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B14A4C">
        <w:rPr>
          <w:rFonts w:ascii="Book Antiqua" w:eastAsia="Times New Roman" w:hAnsi="Book Antiqua" w:cs="Times New Roman"/>
          <w:b/>
          <w:color w:val="000000"/>
        </w:rPr>
        <w:t>DÔVODOVÁ SPRÁVA</w:t>
      </w:r>
    </w:p>
    <w:p w14:paraId="00000003"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 xml:space="preserve">A. VŠEOBECNÁ ČASŤ </w:t>
      </w:r>
    </w:p>
    <w:p w14:paraId="3161926F" w14:textId="77777777" w:rsidR="007838BE" w:rsidRPr="00B14A4C"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color w:val="000000"/>
        </w:rPr>
      </w:pPr>
    </w:p>
    <w:p w14:paraId="5B7BD683" w14:textId="72ECD915" w:rsidR="001F02BF" w:rsidRDefault="00757A17" w:rsidP="00757A17">
      <w:pPr>
        <w:tabs>
          <w:tab w:val="left" w:pos="709"/>
        </w:tabs>
        <w:spacing w:before="120" w:after="0" w:line="276" w:lineRule="auto"/>
        <w:jc w:val="both"/>
        <w:rPr>
          <w:rFonts w:ascii="Book Antiqua" w:hAnsi="Book Antiqua"/>
        </w:rPr>
      </w:pPr>
      <w:bookmarkStart w:id="0" w:name="_Hlk118722197"/>
      <w:r>
        <w:rPr>
          <w:rFonts w:ascii="Book Antiqua" w:eastAsia="Times New Roman" w:hAnsi="Book Antiqua" w:cs="Times New Roman"/>
          <w:color w:val="000000"/>
        </w:rPr>
        <w:tab/>
      </w:r>
      <w:bookmarkStart w:id="1" w:name="_Hlk177390119"/>
      <w:r w:rsidR="006F7B9F" w:rsidRPr="00911A32">
        <w:rPr>
          <w:rFonts w:ascii="Book Antiqua" w:hAnsi="Book Antiqua"/>
        </w:rPr>
        <w:t>Návrh zákona</w:t>
      </w:r>
      <w:bookmarkStart w:id="2" w:name="_Hlk127200235"/>
      <w:bookmarkStart w:id="3" w:name="_Hlk127199157"/>
      <w:r w:rsidR="005F0557">
        <w:rPr>
          <w:rFonts w:ascii="Book Antiqua" w:hAnsi="Book Antiqua"/>
        </w:rPr>
        <w:t xml:space="preserve">, </w:t>
      </w:r>
      <w:bookmarkStart w:id="4" w:name="_Hlk202969573"/>
      <w:bookmarkEnd w:id="1"/>
      <w:bookmarkEnd w:id="2"/>
      <w:bookmarkEnd w:id="3"/>
      <w:r w:rsidR="00347095" w:rsidRPr="006B32F9">
        <w:rPr>
          <w:rFonts w:ascii="Book Antiqua" w:hAnsi="Book Antiqua"/>
          <w:color w:val="000000" w:themeColor="text1"/>
        </w:rPr>
        <w:t>ktorým sa</w:t>
      </w:r>
      <w:r w:rsidR="00347095">
        <w:rPr>
          <w:rFonts w:ascii="Book Antiqua" w:hAnsi="Book Antiqua"/>
          <w:color w:val="000000" w:themeColor="text1"/>
        </w:rPr>
        <w:t xml:space="preserve"> mení a </w:t>
      </w:r>
      <w:r w:rsidR="00347095" w:rsidRPr="006B32F9">
        <w:rPr>
          <w:rFonts w:ascii="Book Antiqua" w:hAnsi="Book Antiqua"/>
          <w:color w:val="000000" w:themeColor="text1"/>
        </w:rPr>
        <w:t xml:space="preserve">dopĺňa zákon </w:t>
      </w:r>
      <w:r w:rsidR="00347095">
        <w:rPr>
          <w:rFonts w:ascii="Book Antiqua" w:hAnsi="Book Antiqua"/>
          <w:color w:val="000000" w:themeColor="text1"/>
        </w:rPr>
        <w:t xml:space="preserve">Národnej rady Slovenskej republiky     </w:t>
      </w:r>
      <w:r w:rsidR="00347095" w:rsidRPr="006B32F9">
        <w:rPr>
          <w:rFonts w:ascii="Book Antiqua" w:hAnsi="Book Antiqua"/>
          <w:color w:val="000000" w:themeColor="text1"/>
        </w:rPr>
        <w:t xml:space="preserve">č. </w:t>
      </w:r>
      <w:r w:rsidR="00347095">
        <w:rPr>
          <w:rFonts w:ascii="Book Antiqua" w:hAnsi="Book Antiqua"/>
          <w:color w:val="000000" w:themeColor="text1"/>
        </w:rPr>
        <w:t>162/1995 Z. z. o katastri nehnuteľností a o zápise vlastníckych a iných práv k nehnuteľnostiam (katastrálny zákon) v znení neskorších predpisov a ktorým sa mení a dopĺňa zákon č. 586/2003 Z. z. o advokácii a o zmene a doplnení z</w:t>
      </w:r>
      <w:bookmarkStart w:id="5" w:name="_GoBack"/>
      <w:bookmarkEnd w:id="5"/>
      <w:r w:rsidR="00347095">
        <w:rPr>
          <w:rFonts w:ascii="Book Antiqua" w:hAnsi="Book Antiqua"/>
          <w:color w:val="000000" w:themeColor="text1"/>
        </w:rPr>
        <w:t>ákona č. 455/1991 Zb. o živnostenskom podnikaní (živnostenský zákon) v znení neskorších predpisov</w:t>
      </w:r>
      <w:r w:rsidR="00DC3F2F" w:rsidRPr="00DC3F2F">
        <w:rPr>
          <w:rFonts w:ascii="Book Antiqua" w:hAnsi="Book Antiqua" w:cs="Open Sans"/>
          <w:bCs/>
          <w:color w:val="000000"/>
          <w:shd w:val="clear" w:color="auto" w:fill="FFFFFF"/>
        </w:rPr>
        <w:t xml:space="preserve"> </w:t>
      </w:r>
      <w:bookmarkEnd w:id="4"/>
      <w:r w:rsidR="006F7B9F" w:rsidRPr="00911A32">
        <w:rPr>
          <w:rFonts w:ascii="Book Antiqua" w:hAnsi="Book Antiqua"/>
        </w:rPr>
        <w:t>(ďalej len „návrh zákona“) predklad</w:t>
      </w:r>
      <w:r w:rsidR="00AE0A03" w:rsidRPr="00911A32">
        <w:rPr>
          <w:rFonts w:ascii="Book Antiqua" w:hAnsi="Book Antiqua"/>
        </w:rPr>
        <w:t xml:space="preserve">á </w:t>
      </w:r>
      <w:bookmarkStart w:id="6" w:name="_Hlk161931983"/>
      <w:r w:rsidR="00194A04">
        <w:rPr>
          <w:rFonts w:ascii="Book Antiqua" w:hAnsi="Book Antiqua"/>
        </w:rPr>
        <w:t xml:space="preserve">skupina </w:t>
      </w:r>
      <w:r w:rsidR="00AE0A03" w:rsidRPr="00911A32">
        <w:rPr>
          <w:rFonts w:ascii="Book Antiqua" w:hAnsi="Book Antiqua"/>
        </w:rPr>
        <w:t>poslan</w:t>
      </w:r>
      <w:r w:rsidR="00194A04">
        <w:rPr>
          <w:rFonts w:ascii="Book Antiqua" w:hAnsi="Book Antiqua"/>
        </w:rPr>
        <w:t>cov</w:t>
      </w:r>
      <w:r w:rsidR="006F7B9F" w:rsidRPr="00911A32">
        <w:rPr>
          <w:rFonts w:ascii="Book Antiqua" w:hAnsi="Book Antiqua"/>
        </w:rPr>
        <w:t xml:space="preserve"> Národnej rady Slovenskej republiky</w:t>
      </w:r>
      <w:bookmarkEnd w:id="6"/>
      <w:r w:rsidR="006D485C">
        <w:rPr>
          <w:rFonts w:ascii="Book Antiqua" w:hAnsi="Book Antiqua"/>
        </w:rPr>
        <w:t xml:space="preserve"> za hnutie SLOVENSKO</w:t>
      </w:r>
      <w:r w:rsidR="00ED6DB9" w:rsidRPr="00911A32">
        <w:rPr>
          <w:rFonts w:ascii="Book Antiqua" w:hAnsi="Book Antiqua"/>
        </w:rPr>
        <w:t>.</w:t>
      </w:r>
    </w:p>
    <w:p w14:paraId="32497176" w14:textId="6DA10B3C" w:rsidR="003856C2" w:rsidRDefault="00900DB7" w:rsidP="00720C14">
      <w:pPr>
        <w:tabs>
          <w:tab w:val="left" w:pos="709"/>
        </w:tabs>
        <w:spacing w:before="120" w:after="0" w:line="276" w:lineRule="auto"/>
        <w:jc w:val="both"/>
        <w:rPr>
          <w:rFonts w:ascii="Book Antiqua" w:hAnsi="Book Antiqua"/>
          <w:b/>
          <w:bCs/>
        </w:rPr>
      </w:pPr>
      <w:r>
        <w:rPr>
          <w:rFonts w:ascii="Book Antiqua" w:hAnsi="Book Antiqua"/>
        </w:rPr>
        <w:tab/>
      </w:r>
      <w:r w:rsidR="00CD604C" w:rsidRPr="00720C14">
        <w:rPr>
          <w:rFonts w:ascii="Book Antiqua" w:hAnsi="Book Antiqua"/>
          <w:b/>
          <w:bCs/>
        </w:rPr>
        <w:t xml:space="preserve">Cieľom návrhu zákona je </w:t>
      </w:r>
      <w:r w:rsidR="00265D2D">
        <w:rPr>
          <w:rFonts w:ascii="Book Antiqua" w:hAnsi="Book Antiqua"/>
          <w:b/>
          <w:bCs/>
        </w:rPr>
        <w:t>zlepšiť kontrolné mechanizmy týkajúce sa majetkových priznaní politikov, najmä v súvislosti s modifikačnými dohodami manželov v rámci bezpodielového spoluvlastníctva manželov (BSM), ako aj zabrániť podvodom, ktoré sa vyskytujú pri prevodoch nehnuteľností, a to zavedením lepšej súčinnosti medzi katastrálnymi úradmi</w:t>
      </w:r>
      <w:r w:rsidR="002B00B6">
        <w:rPr>
          <w:rFonts w:ascii="Book Antiqua" w:hAnsi="Book Antiqua"/>
          <w:b/>
          <w:bCs/>
        </w:rPr>
        <w:t xml:space="preserve">, matrikami, </w:t>
      </w:r>
      <w:r w:rsidR="00265D2D">
        <w:rPr>
          <w:rFonts w:ascii="Book Antiqua" w:hAnsi="Book Antiqua"/>
          <w:b/>
          <w:bCs/>
        </w:rPr>
        <w:t>notármi a advokátmi.</w:t>
      </w:r>
    </w:p>
    <w:p w14:paraId="62C4D78F" w14:textId="2CD609B0" w:rsidR="00A31CA1" w:rsidRPr="002B00B6" w:rsidRDefault="00A31CA1" w:rsidP="00720C14">
      <w:pPr>
        <w:tabs>
          <w:tab w:val="left" w:pos="709"/>
        </w:tabs>
        <w:spacing w:before="120" w:after="0" w:line="276" w:lineRule="auto"/>
        <w:jc w:val="both"/>
        <w:rPr>
          <w:rFonts w:ascii="Book Antiqua" w:hAnsi="Book Antiqua"/>
          <w:bCs/>
        </w:rPr>
      </w:pPr>
      <w:r w:rsidRPr="002B00B6">
        <w:rPr>
          <w:rFonts w:ascii="Book Antiqua" w:hAnsi="Book Antiqua"/>
          <w:bCs/>
        </w:rPr>
        <w:t>Konkrétne sa v návrhu zákona:</w:t>
      </w:r>
    </w:p>
    <w:p w14:paraId="2884076D" w14:textId="1EACA64B" w:rsidR="00A31CA1" w:rsidRPr="00AA6EED" w:rsidRDefault="00A31CA1" w:rsidP="002B00B6">
      <w:pPr>
        <w:pStyle w:val="Odsekzoznamu"/>
        <w:numPr>
          <w:ilvl w:val="0"/>
          <w:numId w:val="11"/>
        </w:numPr>
        <w:tabs>
          <w:tab w:val="left" w:pos="709"/>
        </w:tabs>
        <w:spacing w:before="120" w:after="0" w:line="276" w:lineRule="auto"/>
        <w:jc w:val="both"/>
        <w:rPr>
          <w:rFonts w:ascii="Book Antiqua" w:hAnsi="Book Antiqua"/>
          <w:bCs/>
        </w:rPr>
      </w:pPr>
      <w:r w:rsidRPr="002B00B6">
        <w:rPr>
          <w:rFonts w:ascii="Book Antiqua" w:hAnsi="Book Antiqua"/>
          <w:bCs/>
        </w:rPr>
        <w:t xml:space="preserve">zavádza povinnosť uvádzať informáciu o osobnom stave v návrhu na začatie katastrálneho konania, čo zvyšuje dôveryhodnosť údajov zapísaných v katastri nehnuteľností </w:t>
      </w:r>
      <w:r w:rsidRPr="00AA6EED">
        <w:rPr>
          <w:rFonts w:ascii="Book Antiqua" w:hAnsi="Book Antiqua"/>
          <w:bCs/>
        </w:rPr>
        <w:t xml:space="preserve">a zabraňuje podvodom, </w:t>
      </w:r>
      <w:r w:rsidR="00AA6EED" w:rsidRPr="00AA6EED">
        <w:rPr>
          <w:rFonts w:ascii="Book Antiqua" w:hAnsi="Book Antiqua"/>
          <w:bCs/>
        </w:rPr>
        <w:t>osobitne v prípadoch, ak manželia uzavreli modifikačné dohody o bezpodielovom spoluvlastníctve,</w:t>
      </w:r>
    </w:p>
    <w:p w14:paraId="16661472" w14:textId="2DF9B016" w:rsidR="00A31CA1" w:rsidRDefault="00A31CA1" w:rsidP="002B00B6">
      <w:pPr>
        <w:pStyle w:val="Odsekzoznamu"/>
        <w:numPr>
          <w:ilvl w:val="0"/>
          <w:numId w:val="11"/>
        </w:numPr>
        <w:tabs>
          <w:tab w:val="left" w:pos="709"/>
        </w:tabs>
        <w:spacing w:before="120" w:after="0" w:line="276" w:lineRule="auto"/>
        <w:jc w:val="both"/>
        <w:rPr>
          <w:rFonts w:ascii="Book Antiqua" w:hAnsi="Book Antiqua"/>
          <w:bCs/>
        </w:rPr>
      </w:pPr>
      <w:r w:rsidRPr="00AA6EED">
        <w:rPr>
          <w:rFonts w:ascii="Book Antiqua" w:hAnsi="Book Antiqua"/>
          <w:bCs/>
        </w:rPr>
        <w:t>zavádza povinnosť katastra nehnuteľností skutočne overiť, či bola zmluva o prevode nehnuteľností spísaná vo forme notárskej zápisnice alebo autorizovaná advokátom, a to priamo v notárskom centrálnom registri listín, resp. v </w:t>
      </w:r>
      <w:r w:rsidR="002551C2">
        <w:rPr>
          <w:rFonts w:ascii="Book Antiqua" w:hAnsi="Book Antiqua"/>
          <w:bCs/>
        </w:rPr>
        <w:t>centrálnej knihe autorizácií,</w:t>
      </w:r>
    </w:p>
    <w:p w14:paraId="614E4310" w14:textId="162522B1" w:rsidR="002551C2" w:rsidRPr="002B00B6" w:rsidRDefault="002551C2" w:rsidP="002B00B6">
      <w:pPr>
        <w:pStyle w:val="Odsekzoznamu"/>
        <w:numPr>
          <w:ilvl w:val="0"/>
          <w:numId w:val="11"/>
        </w:numPr>
        <w:tabs>
          <w:tab w:val="left" w:pos="709"/>
        </w:tabs>
        <w:spacing w:before="120" w:after="0" w:line="276" w:lineRule="auto"/>
        <w:jc w:val="both"/>
        <w:rPr>
          <w:rFonts w:ascii="Book Antiqua" w:hAnsi="Book Antiqua"/>
          <w:bCs/>
        </w:rPr>
      </w:pPr>
      <w:r>
        <w:rPr>
          <w:rFonts w:ascii="Book Antiqua" w:hAnsi="Book Antiqua"/>
          <w:bCs/>
        </w:rPr>
        <w:t xml:space="preserve">umožňuje okresnému úradu prístup do elektronickej matriky, najmä za účelom overenie, či osoba je </w:t>
      </w:r>
      <w:r w:rsidR="002B00B6">
        <w:rPr>
          <w:rFonts w:ascii="Book Antiqua" w:hAnsi="Book Antiqua"/>
          <w:bCs/>
        </w:rPr>
        <w:t>v manželskom stave (</w:t>
      </w:r>
      <w:r>
        <w:rPr>
          <w:rFonts w:ascii="Book Antiqua" w:hAnsi="Book Antiqua"/>
          <w:bCs/>
        </w:rPr>
        <w:t>vydatá/ženatý</w:t>
      </w:r>
      <w:r w:rsidR="002B00B6">
        <w:rPr>
          <w:rFonts w:ascii="Book Antiqua" w:hAnsi="Book Antiqua"/>
          <w:bCs/>
        </w:rPr>
        <w:t>)</w:t>
      </w:r>
      <w:r>
        <w:rPr>
          <w:rFonts w:ascii="Book Antiqua" w:hAnsi="Book Antiqua"/>
          <w:bCs/>
        </w:rPr>
        <w:t>.</w:t>
      </w:r>
    </w:p>
    <w:bookmarkEnd w:id="0"/>
    <w:p w14:paraId="08139216" w14:textId="5EE0D199" w:rsidR="000F1924" w:rsidRPr="000F3A93" w:rsidRDefault="000F1924" w:rsidP="00F20E0B">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color w:val="000000" w:themeColor="text1"/>
        </w:rPr>
      </w:pPr>
      <w:r w:rsidRPr="000F3A93">
        <w:rPr>
          <w:rFonts w:ascii="Book Antiqua" w:hAnsi="Book Antiqua"/>
          <w:color w:val="000000" w:themeColor="text1"/>
        </w:rPr>
        <w:t xml:space="preserve">Návrh zákona </w:t>
      </w:r>
      <w:r w:rsidR="00D94793">
        <w:rPr>
          <w:rFonts w:ascii="Book Antiqua" w:hAnsi="Book Antiqua"/>
          <w:color w:val="000000" w:themeColor="text1"/>
        </w:rPr>
        <w:t xml:space="preserve">nemá </w:t>
      </w:r>
      <w:r w:rsidRPr="000F3A93">
        <w:rPr>
          <w:rFonts w:ascii="Book Antiqua" w:hAnsi="Book Antiqua"/>
          <w:color w:val="000000" w:themeColor="text1"/>
        </w:rPr>
        <w:t>vplyv na rozpočet verejnej správy</w:t>
      </w:r>
      <w:r w:rsidR="00D8092E" w:rsidRPr="000F3A93">
        <w:rPr>
          <w:rFonts w:ascii="Book Antiqua" w:hAnsi="Book Antiqua"/>
          <w:color w:val="000000" w:themeColor="text1"/>
        </w:rPr>
        <w:t>,</w:t>
      </w:r>
      <w:r w:rsidR="00D71F3C" w:rsidRPr="000F3A93">
        <w:rPr>
          <w:rFonts w:ascii="Book Antiqua" w:hAnsi="Book Antiqua"/>
          <w:color w:val="000000" w:themeColor="text1"/>
        </w:rPr>
        <w:t xml:space="preserve"> </w:t>
      </w:r>
      <w:r w:rsidR="00EF38DB">
        <w:rPr>
          <w:rFonts w:ascii="Book Antiqua" w:hAnsi="Book Antiqua"/>
          <w:color w:val="000000" w:themeColor="text1"/>
        </w:rPr>
        <w:t xml:space="preserve">má negatívny dopad na podnikateľov, </w:t>
      </w:r>
      <w:r w:rsidR="00D94793">
        <w:rPr>
          <w:rFonts w:ascii="Book Antiqua" w:hAnsi="Book Antiqua"/>
          <w:color w:val="000000" w:themeColor="text1"/>
        </w:rPr>
        <w:t xml:space="preserve">nemá </w:t>
      </w:r>
      <w:r w:rsidRPr="000F3A93">
        <w:rPr>
          <w:rFonts w:ascii="Book Antiqua" w:hAnsi="Book Antiqua"/>
          <w:color w:val="000000" w:themeColor="text1"/>
        </w:rPr>
        <w:t>sociálne vplyvy</w:t>
      </w:r>
      <w:r w:rsidR="00D8092E" w:rsidRPr="000F3A93">
        <w:rPr>
          <w:rFonts w:ascii="Book Antiqua" w:hAnsi="Book Antiqua"/>
          <w:color w:val="000000" w:themeColor="text1"/>
        </w:rPr>
        <w:t>,</w:t>
      </w:r>
      <w:r w:rsidR="005B1ACE" w:rsidRPr="000F3A93">
        <w:rPr>
          <w:rFonts w:ascii="Book Antiqua" w:hAnsi="Book Antiqua"/>
          <w:color w:val="000000" w:themeColor="text1"/>
        </w:rPr>
        <w:t xml:space="preserve"> nemá</w:t>
      </w:r>
      <w:r w:rsidR="00D94793">
        <w:rPr>
          <w:rFonts w:ascii="Book Antiqua" w:hAnsi="Book Antiqua"/>
          <w:color w:val="000000" w:themeColor="text1"/>
        </w:rPr>
        <w:t xml:space="preserve"> </w:t>
      </w:r>
      <w:r w:rsidRPr="000F3A93">
        <w:rPr>
          <w:rFonts w:ascii="Book Antiqua" w:hAnsi="Book Antiqua"/>
          <w:color w:val="000000" w:themeColor="text1"/>
        </w:rPr>
        <w:t>vplyv</w:t>
      </w:r>
      <w:r w:rsidR="004D0734" w:rsidRPr="000F3A93">
        <w:rPr>
          <w:rFonts w:ascii="Book Antiqua" w:hAnsi="Book Antiqua"/>
          <w:color w:val="000000" w:themeColor="text1"/>
        </w:rPr>
        <w:t>y</w:t>
      </w:r>
      <w:r w:rsidRPr="000F3A93">
        <w:rPr>
          <w:rFonts w:ascii="Book Antiqua" w:hAnsi="Book Antiqua"/>
          <w:color w:val="000000" w:themeColor="text1"/>
        </w:rPr>
        <w:t xml:space="preserve"> na životné prostredie, </w:t>
      </w:r>
      <w:r w:rsidR="00EF38DB">
        <w:rPr>
          <w:rFonts w:ascii="Book Antiqua" w:hAnsi="Book Antiqua"/>
          <w:color w:val="000000" w:themeColor="text1"/>
        </w:rPr>
        <w:t xml:space="preserve">má však pozitívny vplyv </w:t>
      </w:r>
      <w:r w:rsidR="004D0734" w:rsidRPr="000F3A93">
        <w:rPr>
          <w:rFonts w:ascii="Book Antiqua" w:hAnsi="Book Antiqua"/>
          <w:color w:val="000000" w:themeColor="text1"/>
        </w:rPr>
        <w:t xml:space="preserve">na </w:t>
      </w:r>
      <w:r w:rsidRPr="000F3A93">
        <w:rPr>
          <w:rFonts w:ascii="Book Antiqua" w:hAnsi="Book Antiqua"/>
          <w:color w:val="000000" w:themeColor="text1"/>
        </w:rPr>
        <w:t xml:space="preserve">informatizáciu spoločnosti, </w:t>
      </w:r>
      <w:r w:rsidR="005B1ACE" w:rsidRPr="000F3A93">
        <w:rPr>
          <w:rFonts w:ascii="Book Antiqua" w:hAnsi="Book Antiqua"/>
          <w:color w:val="000000" w:themeColor="text1"/>
        </w:rPr>
        <w:t>na</w:t>
      </w:r>
      <w:r w:rsidRPr="000F3A93">
        <w:rPr>
          <w:rFonts w:ascii="Book Antiqua" w:hAnsi="Book Antiqua"/>
          <w:color w:val="000000" w:themeColor="text1"/>
        </w:rPr>
        <w:t xml:space="preserve"> manželstvo, rodičovstvo a</w:t>
      </w:r>
      <w:r w:rsidR="004D0734" w:rsidRPr="000F3A93">
        <w:rPr>
          <w:rFonts w:ascii="Book Antiqua" w:hAnsi="Book Antiqua"/>
          <w:color w:val="000000" w:themeColor="text1"/>
        </w:rPr>
        <w:t> </w:t>
      </w:r>
      <w:r w:rsidRPr="000F3A93">
        <w:rPr>
          <w:rFonts w:ascii="Book Antiqua" w:hAnsi="Book Antiqua"/>
          <w:color w:val="000000" w:themeColor="text1"/>
        </w:rPr>
        <w:t>rodinu</w:t>
      </w:r>
      <w:r w:rsidR="004D0734" w:rsidRPr="000F3A93">
        <w:rPr>
          <w:rFonts w:ascii="Book Antiqua" w:hAnsi="Book Antiqua"/>
          <w:color w:val="000000" w:themeColor="text1"/>
        </w:rPr>
        <w:t xml:space="preserve">, </w:t>
      </w:r>
      <w:r w:rsidR="00EF38DB">
        <w:rPr>
          <w:rFonts w:ascii="Book Antiqua" w:hAnsi="Book Antiqua"/>
          <w:color w:val="000000" w:themeColor="text1"/>
        </w:rPr>
        <w:t xml:space="preserve">a </w:t>
      </w:r>
      <w:r w:rsidRPr="000F3A93">
        <w:rPr>
          <w:rFonts w:ascii="Book Antiqua" w:hAnsi="Book Antiqua"/>
          <w:color w:val="000000" w:themeColor="text1"/>
        </w:rPr>
        <w:t>na služby verejnej správy pre občana.</w:t>
      </w:r>
    </w:p>
    <w:p w14:paraId="1C56A8BD" w14:textId="057A149E" w:rsidR="00293814" w:rsidRPr="000F3A93" w:rsidRDefault="000F1924" w:rsidP="00D8092E">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color w:val="000000" w:themeColor="text1"/>
        </w:rPr>
      </w:pPr>
      <w:r w:rsidRPr="000F3A93">
        <w:rPr>
          <w:rFonts w:ascii="Book Antiqua" w:hAnsi="Book Antiqua"/>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0000000E" w14:textId="72D2CEDB" w:rsidR="00386510" w:rsidRPr="000F3A93" w:rsidRDefault="00BB6162" w:rsidP="00D81B13">
      <w:pPr>
        <w:pageBreakBefore/>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themeColor="text1"/>
        </w:rPr>
      </w:pPr>
      <w:r w:rsidRPr="000F3A93">
        <w:rPr>
          <w:rFonts w:ascii="Book Antiqua" w:eastAsia="Times New Roman" w:hAnsi="Book Antiqua" w:cs="Times New Roman"/>
          <w:b/>
          <w:color w:val="000000" w:themeColor="text1"/>
        </w:rPr>
        <w:lastRenderedPageBreak/>
        <w:t>B. OSOBITNÁ ČASŤ</w:t>
      </w:r>
    </w:p>
    <w:p w14:paraId="0000000F" w14:textId="77777777" w:rsidR="00386510" w:rsidRPr="000F3A93" w:rsidRDefault="00386510"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themeColor="text1"/>
        </w:rPr>
      </w:pPr>
    </w:p>
    <w:p w14:paraId="00000010" w14:textId="63580F9F" w:rsidR="00386510" w:rsidRPr="000F3A93" w:rsidRDefault="00BB6162"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themeColor="text1"/>
        </w:rPr>
      </w:pPr>
      <w:r w:rsidRPr="000F3A93">
        <w:rPr>
          <w:rFonts w:ascii="Book Antiqua" w:eastAsia="Times New Roman" w:hAnsi="Book Antiqua" w:cs="Times New Roman"/>
          <w:b/>
          <w:color w:val="000000" w:themeColor="text1"/>
        </w:rPr>
        <w:t>K Čl. I</w:t>
      </w:r>
    </w:p>
    <w:p w14:paraId="04BE1ADC" w14:textId="29B08E89" w:rsidR="00C80137" w:rsidRPr="000F3A93" w:rsidRDefault="00C80137"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u w:val="single"/>
        </w:rPr>
      </w:pPr>
      <w:r w:rsidRPr="000F3A93">
        <w:rPr>
          <w:rFonts w:ascii="Book Antiqua" w:eastAsia="Times New Roman" w:hAnsi="Book Antiqua" w:cs="Times New Roman"/>
          <w:bCs/>
          <w:color w:val="000000" w:themeColor="text1"/>
          <w:u w:val="single"/>
        </w:rPr>
        <w:t>K</w:t>
      </w:r>
      <w:r w:rsidR="003A3E9C">
        <w:rPr>
          <w:rFonts w:ascii="Book Antiqua" w:eastAsia="Times New Roman" w:hAnsi="Book Antiqua" w:cs="Times New Roman"/>
          <w:bCs/>
          <w:color w:val="000000" w:themeColor="text1"/>
          <w:u w:val="single"/>
        </w:rPr>
        <w:t> </w:t>
      </w:r>
      <w:r w:rsidRPr="000F3A93">
        <w:rPr>
          <w:rFonts w:ascii="Book Antiqua" w:eastAsia="Times New Roman" w:hAnsi="Book Antiqua" w:cs="Times New Roman"/>
          <w:bCs/>
          <w:color w:val="000000" w:themeColor="text1"/>
          <w:u w:val="single"/>
        </w:rPr>
        <w:t>bod</w:t>
      </w:r>
      <w:r w:rsidR="003A3E9C">
        <w:rPr>
          <w:rFonts w:ascii="Book Antiqua" w:eastAsia="Times New Roman" w:hAnsi="Book Antiqua" w:cs="Times New Roman"/>
          <w:bCs/>
          <w:color w:val="000000" w:themeColor="text1"/>
          <w:u w:val="single"/>
        </w:rPr>
        <w:t xml:space="preserve">om 1 až </w:t>
      </w:r>
      <w:r w:rsidR="002551C2">
        <w:rPr>
          <w:rFonts w:ascii="Book Antiqua" w:eastAsia="Times New Roman" w:hAnsi="Book Antiqua" w:cs="Times New Roman"/>
          <w:bCs/>
          <w:color w:val="000000" w:themeColor="text1"/>
          <w:u w:val="single"/>
        </w:rPr>
        <w:t>4</w:t>
      </w:r>
    </w:p>
    <w:p w14:paraId="5445D3EC" w14:textId="5393B2E8" w:rsidR="003A3E9C" w:rsidRDefault="003A3E9C"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Kontrola majetkových priznaní politikov na Slovensku nie je dostatočná a dlhodobo sme za to kritizovaný zo strany rôznych medzinárodných subjektov. K takým patrí napríklad GRECO – hlavný protikorupčný orgán Rady Európy, MONEYVAL – Výbor expertov na hodnotenie opatrení proti praniu špinavých peňazí a financovaniu terorizmu ako stály monitorovací orgán Rady Európy, či rôzne pracovné skupiny OECD – Organizác</w:t>
      </w:r>
      <w:r w:rsidR="00C44E80">
        <w:rPr>
          <w:rFonts w:ascii="Book Antiqua" w:eastAsia="Times New Roman" w:hAnsi="Book Antiqua" w:cs="Times New Roman"/>
          <w:bCs/>
          <w:color w:val="000000" w:themeColor="text1"/>
        </w:rPr>
        <w:t>ie</w:t>
      </w:r>
      <w:r>
        <w:rPr>
          <w:rFonts w:ascii="Book Antiqua" w:eastAsia="Times New Roman" w:hAnsi="Book Antiqua" w:cs="Times New Roman"/>
          <w:bCs/>
          <w:color w:val="000000" w:themeColor="text1"/>
        </w:rPr>
        <w:t xml:space="preserve"> pre hospodársku spoluprácu a</w:t>
      </w:r>
      <w:r w:rsidR="00C44E80">
        <w:rPr>
          <w:rFonts w:ascii="Book Antiqua" w:eastAsia="Times New Roman" w:hAnsi="Book Antiqua" w:cs="Times New Roman"/>
          <w:bCs/>
          <w:color w:val="000000" w:themeColor="text1"/>
        </w:rPr>
        <w:t> </w:t>
      </w:r>
      <w:r>
        <w:rPr>
          <w:rFonts w:ascii="Book Antiqua" w:eastAsia="Times New Roman" w:hAnsi="Book Antiqua" w:cs="Times New Roman"/>
          <w:bCs/>
          <w:color w:val="000000" w:themeColor="text1"/>
        </w:rPr>
        <w:t>rozvoj</w:t>
      </w:r>
      <w:r w:rsidR="00C44E80">
        <w:rPr>
          <w:rFonts w:ascii="Book Antiqua" w:eastAsia="Times New Roman" w:hAnsi="Book Antiqua" w:cs="Times New Roman"/>
          <w:bCs/>
          <w:color w:val="000000" w:themeColor="text1"/>
        </w:rPr>
        <w:t>, ktoré sú</w:t>
      </w:r>
      <w:r>
        <w:rPr>
          <w:rFonts w:ascii="Book Antiqua" w:eastAsia="Times New Roman" w:hAnsi="Book Antiqua" w:cs="Times New Roman"/>
          <w:bCs/>
          <w:color w:val="000000" w:themeColor="text1"/>
        </w:rPr>
        <w:t xml:space="preserve"> zamerané na boj proti korupcii.</w:t>
      </w:r>
    </w:p>
    <w:p w14:paraId="2AED9CBC" w14:textId="04693C7B" w:rsidR="003A3E9C" w:rsidRDefault="003A3E9C"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Na prvý pohľad by sa zdalo, že s kontrolou majetkových priznaní a poskytovaním súčinnosti príslušnému kontrolnému orgánu zo strany iných subjektov nemôže byť problém, veď predsa čl. 9 ods. 4 ústavného zákona č. 357/2004 Z. z. o ochrane verejného záujmu pri výkone funkcií verejných funkcionárov</w:t>
      </w:r>
      <w:r w:rsidR="00D24166">
        <w:rPr>
          <w:rFonts w:ascii="Book Antiqua" w:eastAsia="Times New Roman" w:hAnsi="Book Antiqua" w:cs="Times New Roman"/>
          <w:bCs/>
          <w:color w:val="000000" w:themeColor="text1"/>
        </w:rPr>
        <w:t xml:space="preserve"> </w:t>
      </w:r>
      <w:r w:rsidR="008F744B">
        <w:rPr>
          <w:rFonts w:ascii="Book Antiqua" w:eastAsia="Times New Roman" w:hAnsi="Book Antiqua" w:cs="Times New Roman"/>
          <w:bCs/>
          <w:color w:val="000000" w:themeColor="text1"/>
        </w:rPr>
        <w:t xml:space="preserve">v znení neskorších predpisov (ďalej len „ústavný zákon o ochrane verejného záujmu“) </w:t>
      </w:r>
      <w:r w:rsidR="00D24166">
        <w:rPr>
          <w:rFonts w:ascii="Book Antiqua" w:eastAsia="Times New Roman" w:hAnsi="Book Antiqua" w:cs="Times New Roman"/>
          <w:bCs/>
          <w:color w:val="000000" w:themeColor="text1"/>
        </w:rPr>
        <w:t>umožňuje príslušnému orgánu na kontrolu majetkových priznaní, aby vykonával (ďalšie) dokazovanie, resp. čl. 9 ods. 15 uvedeného ústavného zákona ustanovuje, že o</w:t>
      </w:r>
      <w:r w:rsidR="00D24166" w:rsidRPr="00D24166">
        <w:rPr>
          <w:rFonts w:ascii="Book Antiqua" w:eastAsia="Times New Roman" w:hAnsi="Book Antiqua" w:cs="Times New Roman"/>
          <w:bCs/>
          <w:color w:val="000000" w:themeColor="text1"/>
        </w:rPr>
        <w:t xml:space="preserve">rgány verejnej moci a právnické osoby sú povinné na žiadosť </w:t>
      </w:r>
      <w:r w:rsidR="00D24166">
        <w:rPr>
          <w:rFonts w:ascii="Book Antiqua" w:eastAsia="Times New Roman" w:hAnsi="Book Antiqua" w:cs="Times New Roman"/>
          <w:bCs/>
          <w:color w:val="000000" w:themeColor="text1"/>
        </w:rPr>
        <w:t xml:space="preserve">príslušného </w:t>
      </w:r>
      <w:r w:rsidR="00D24166" w:rsidRPr="00D24166">
        <w:rPr>
          <w:rFonts w:ascii="Book Antiqua" w:eastAsia="Times New Roman" w:hAnsi="Book Antiqua" w:cs="Times New Roman"/>
          <w:bCs/>
          <w:color w:val="000000" w:themeColor="text1"/>
        </w:rPr>
        <w:t>orgánu</w:t>
      </w:r>
      <w:r w:rsidR="00D24166">
        <w:rPr>
          <w:rFonts w:ascii="Book Antiqua" w:eastAsia="Times New Roman" w:hAnsi="Book Antiqua" w:cs="Times New Roman"/>
          <w:bCs/>
          <w:color w:val="000000" w:themeColor="text1"/>
        </w:rPr>
        <w:t xml:space="preserve"> na kontrolu majetkových priznaní </w:t>
      </w:r>
      <w:r w:rsidR="00D24166" w:rsidRPr="00D24166">
        <w:rPr>
          <w:rFonts w:ascii="Book Antiqua" w:eastAsia="Times New Roman" w:hAnsi="Book Antiqua" w:cs="Times New Roman"/>
          <w:bCs/>
          <w:color w:val="000000" w:themeColor="text1"/>
        </w:rPr>
        <w:t>oznámiť skutočnosti, ktoré majú význam pre konanie a rozhodnutie podľa tohto ústavného zákona</w:t>
      </w:r>
      <w:r w:rsidR="00D24166">
        <w:rPr>
          <w:rFonts w:ascii="Book Antiqua" w:eastAsia="Times New Roman" w:hAnsi="Book Antiqua" w:cs="Times New Roman"/>
          <w:bCs/>
          <w:color w:val="000000" w:themeColor="text1"/>
        </w:rPr>
        <w:t>, pričom za nesplnenie tejto ich povinnosti</w:t>
      </w:r>
      <w:r w:rsidR="00D24166" w:rsidRPr="00D24166">
        <w:rPr>
          <w:rFonts w:ascii="Book Antiqua" w:eastAsia="Times New Roman" w:hAnsi="Book Antiqua" w:cs="Times New Roman"/>
          <w:bCs/>
          <w:color w:val="000000" w:themeColor="text1"/>
        </w:rPr>
        <w:t xml:space="preserve"> môže orgán </w:t>
      </w:r>
      <w:r w:rsidR="00D24166">
        <w:rPr>
          <w:rFonts w:ascii="Book Antiqua" w:eastAsia="Times New Roman" w:hAnsi="Book Antiqua" w:cs="Times New Roman"/>
          <w:bCs/>
          <w:color w:val="000000" w:themeColor="text1"/>
        </w:rPr>
        <w:t xml:space="preserve">na kontrolu majetkových priznaní </w:t>
      </w:r>
      <w:r w:rsidR="00D24166" w:rsidRPr="00D24166">
        <w:rPr>
          <w:rFonts w:ascii="Book Antiqua" w:eastAsia="Times New Roman" w:hAnsi="Book Antiqua" w:cs="Times New Roman"/>
          <w:bCs/>
          <w:color w:val="000000" w:themeColor="text1"/>
        </w:rPr>
        <w:t>uložiť štatutárnemu orgánu alebo predsedovi štatutárneho orgánu orgánov verejnej moci a orgánov právnických osôb pokutu, a to aj opakovane.</w:t>
      </w:r>
    </w:p>
    <w:p w14:paraId="38E3C111" w14:textId="09740022" w:rsidR="00D24166" w:rsidRDefault="00D24166"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 xml:space="preserve">V praxi by to teda malo fungovať tak, že </w:t>
      </w:r>
      <w:r w:rsidR="00C44E80">
        <w:rPr>
          <w:rFonts w:ascii="Book Antiqua" w:eastAsia="Times New Roman" w:hAnsi="Book Antiqua" w:cs="Times New Roman"/>
          <w:bCs/>
          <w:color w:val="000000" w:themeColor="text1"/>
        </w:rPr>
        <w:t xml:space="preserve">na požiadanie budú banky </w:t>
      </w:r>
      <w:r>
        <w:rPr>
          <w:rFonts w:ascii="Book Antiqua" w:eastAsia="Times New Roman" w:hAnsi="Book Antiqua" w:cs="Times New Roman"/>
          <w:bCs/>
          <w:color w:val="000000" w:themeColor="text1"/>
        </w:rPr>
        <w:t xml:space="preserve">oznamovať orgánu pre kontrolu majetkových priznaní údaje z bankových účtov politikov, kataster nehnuteľností z katastra, notári zo svojich registrov, advokáti napríklad z kníh o autorizácii, centrálny depozitár cenných papierov zo svojej databázy, či daňové úrady zo svojich evidencií. V mnohých prípadoch takýto postup naráža na legislatívne prekážky alebo </w:t>
      </w:r>
      <w:r w:rsidR="008F744B">
        <w:rPr>
          <w:rFonts w:ascii="Book Antiqua" w:eastAsia="Times New Roman" w:hAnsi="Book Antiqua" w:cs="Times New Roman"/>
          <w:bCs/>
          <w:color w:val="000000" w:themeColor="text1"/>
        </w:rPr>
        <w:t>tajomstvo priznané zákonom (daňové, bankové a pod.). V ďalších prípadoch viazne súčinnosť medzi orgánmi verejnej moci alebo štátne evidencie nie sú navzájom prepojené alebo nemajú povinnosť si navzájom poskytovať informácie na overenie skutočností, ktorými by sa zabezpečila väčšia transparentnosť a pre</w:t>
      </w:r>
      <w:r w:rsidR="00C44E80">
        <w:rPr>
          <w:rFonts w:ascii="Book Antiqua" w:eastAsia="Times New Roman" w:hAnsi="Book Antiqua" w:cs="Times New Roman"/>
          <w:bCs/>
          <w:color w:val="000000" w:themeColor="text1"/>
        </w:rPr>
        <w:t>d</w:t>
      </w:r>
      <w:r w:rsidR="008F744B">
        <w:rPr>
          <w:rFonts w:ascii="Book Antiqua" w:eastAsia="Times New Roman" w:hAnsi="Book Antiqua" w:cs="Times New Roman"/>
          <w:bCs/>
          <w:color w:val="000000" w:themeColor="text1"/>
        </w:rPr>
        <w:t>chádzalo podvodom alebo zatajovaniu informácií potrebných pre kontrolu majetkových priznaní a</w:t>
      </w:r>
      <w:r w:rsidR="00752DEC">
        <w:rPr>
          <w:rFonts w:ascii="Book Antiqua" w:eastAsia="Times New Roman" w:hAnsi="Book Antiqua" w:cs="Times New Roman"/>
          <w:bCs/>
          <w:color w:val="000000" w:themeColor="text1"/>
        </w:rPr>
        <w:t xml:space="preserve"> pre </w:t>
      </w:r>
      <w:r w:rsidR="008F744B">
        <w:rPr>
          <w:rFonts w:ascii="Book Antiqua" w:eastAsia="Times New Roman" w:hAnsi="Book Antiqua" w:cs="Times New Roman"/>
          <w:bCs/>
          <w:color w:val="000000" w:themeColor="text1"/>
        </w:rPr>
        <w:t>konanie podľa ústavného zákona o ochrane verejného záujmu.</w:t>
      </w:r>
    </w:p>
    <w:p w14:paraId="4B0840F1" w14:textId="74F69539" w:rsidR="003A3E9C" w:rsidRDefault="00205BBD"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 xml:space="preserve">Cieľom návrhu zákona nie je odstrániť všetky </w:t>
      </w:r>
      <w:r w:rsidR="00911D4A">
        <w:rPr>
          <w:rFonts w:ascii="Book Antiqua" w:eastAsia="Times New Roman" w:hAnsi="Book Antiqua" w:cs="Times New Roman"/>
          <w:bCs/>
          <w:color w:val="000000" w:themeColor="text1"/>
        </w:rPr>
        <w:t xml:space="preserve">naznačené prekážky a nezrovnalosti, ale sústrediť sa na tie, ktoré môžu napomôcť lepšej kontrole nehnuteľného majetku politikov (verejných funkcionárov) s osobitným dôrazom na </w:t>
      </w:r>
      <w:r w:rsidR="00C44E80">
        <w:rPr>
          <w:rFonts w:ascii="Book Antiqua" w:eastAsia="Times New Roman" w:hAnsi="Book Antiqua" w:cs="Times New Roman"/>
          <w:bCs/>
          <w:color w:val="000000" w:themeColor="text1"/>
        </w:rPr>
        <w:t xml:space="preserve">predchádzanie podvodom a </w:t>
      </w:r>
      <w:r w:rsidR="00911D4A">
        <w:rPr>
          <w:rFonts w:ascii="Book Antiqua" w:eastAsia="Times New Roman" w:hAnsi="Book Antiqua" w:cs="Times New Roman"/>
          <w:bCs/>
          <w:color w:val="000000" w:themeColor="text1"/>
        </w:rPr>
        <w:t>evidenciu modifikačných dohôd manželov pri bezpodielovom spoluvlastníctve manželov</w:t>
      </w:r>
      <w:r w:rsidR="00C44E80">
        <w:rPr>
          <w:rFonts w:ascii="Book Antiqua" w:eastAsia="Times New Roman" w:hAnsi="Book Antiqua" w:cs="Times New Roman"/>
          <w:bCs/>
          <w:color w:val="000000" w:themeColor="text1"/>
        </w:rPr>
        <w:t xml:space="preserve"> (ďalej len „BSM“)</w:t>
      </w:r>
      <w:r w:rsidR="002B00B6">
        <w:rPr>
          <w:rFonts w:ascii="Book Antiqua" w:eastAsia="Times New Roman" w:hAnsi="Book Antiqua" w:cs="Times New Roman"/>
          <w:bCs/>
          <w:color w:val="000000" w:themeColor="text1"/>
        </w:rPr>
        <w:t>, a to nielen medzi politikmi, ale aj širšou verejnosťou</w:t>
      </w:r>
      <w:r w:rsidR="00911D4A">
        <w:rPr>
          <w:rFonts w:ascii="Book Antiqua" w:eastAsia="Times New Roman" w:hAnsi="Book Antiqua" w:cs="Times New Roman"/>
          <w:bCs/>
          <w:color w:val="000000" w:themeColor="text1"/>
        </w:rPr>
        <w:t>.</w:t>
      </w:r>
    </w:p>
    <w:p w14:paraId="427C809D" w14:textId="1204FD52" w:rsidR="00911D4A" w:rsidRDefault="00D93D0E"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 xml:space="preserve">Medzi modifikačné dohody manželov patrí dohoda o zúžení rozsahu </w:t>
      </w:r>
      <w:r w:rsidR="00C44E80">
        <w:rPr>
          <w:rFonts w:ascii="Book Antiqua" w:eastAsia="Times New Roman" w:hAnsi="Book Antiqua" w:cs="Times New Roman"/>
          <w:bCs/>
          <w:color w:val="000000" w:themeColor="text1"/>
        </w:rPr>
        <w:t>BSM</w:t>
      </w:r>
      <w:r>
        <w:rPr>
          <w:rFonts w:ascii="Book Antiqua" w:eastAsia="Times New Roman" w:hAnsi="Book Antiqua" w:cs="Times New Roman"/>
          <w:bCs/>
          <w:color w:val="000000" w:themeColor="text1"/>
        </w:rPr>
        <w:t xml:space="preserve">, dohoda o rozšírení rozsahu BSM a dohoda o výhrade vzniku BSM ku dňu zániku manželstva. V zásade sa má za to, že tieto modifikačné dohody by sa mali týkať len toho majetku, ktorí ku dňu uzavretia </w:t>
      </w:r>
      <w:r>
        <w:rPr>
          <w:rFonts w:ascii="Book Antiqua" w:eastAsia="Times New Roman" w:hAnsi="Book Antiqua" w:cs="Times New Roman"/>
          <w:bCs/>
          <w:color w:val="000000" w:themeColor="text1"/>
        </w:rPr>
        <w:lastRenderedPageBreak/>
        <w:t xml:space="preserve">dohody manželia ešte nenadobudli do BSM a že by </w:t>
      </w:r>
      <w:r w:rsidR="00C44E80">
        <w:rPr>
          <w:rFonts w:ascii="Book Antiqua" w:eastAsia="Times New Roman" w:hAnsi="Book Antiqua" w:cs="Times New Roman"/>
          <w:bCs/>
          <w:color w:val="000000" w:themeColor="text1"/>
        </w:rPr>
        <w:t xml:space="preserve">tieto dohody </w:t>
      </w:r>
      <w:r>
        <w:rPr>
          <w:rFonts w:ascii="Book Antiqua" w:eastAsia="Times New Roman" w:hAnsi="Book Antiqua" w:cs="Times New Roman"/>
          <w:bCs/>
          <w:color w:val="000000" w:themeColor="text1"/>
        </w:rPr>
        <w:t>nemali byť formulované všeobecne, ale na konkrétny majetok, resp. aspoň na konkrétny druh majetku. Možno sa však stretnúť aj s výnimkami podľa toho, aký názor v tejto veci zastáva konkrétny notár.</w:t>
      </w:r>
    </w:p>
    <w:p w14:paraId="26D2491D" w14:textId="58AA49B1" w:rsidR="00D93D0E" w:rsidRDefault="00D93D0E"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 xml:space="preserve">Keďže dohody sa spisujú vo forme notárskej zápisnice, ale nie sú dostupné centrálne, </w:t>
      </w:r>
      <w:r w:rsidR="00752DEC">
        <w:rPr>
          <w:rFonts w:ascii="Book Antiqua" w:eastAsia="Times New Roman" w:hAnsi="Book Antiqua" w:cs="Times New Roman"/>
          <w:bCs/>
          <w:color w:val="000000" w:themeColor="text1"/>
        </w:rPr>
        <w:t>iba</w:t>
      </w:r>
      <w:r>
        <w:rPr>
          <w:rFonts w:ascii="Book Antiqua" w:eastAsia="Times New Roman" w:hAnsi="Book Antiqua" w:cs="Times New Roman"/>
          <w:bCs/>
          <w:color w:val="000000" w:themeColor="text1"/>
        </w:rPr>
        <w:t xml:space="preserve"> u konkrétneho notára, nemôže sa príslušný orgán na kontrolu majetkových priznaní obrátiť na Notársku komoru Slovenskej republiky a vyžiadať si ju. Sporné je aj to, či by si </w:t>
      </w:r>
      <w:r w:rsidR="00C44E80">
        <w:rPr>
          <w:rFonts w:ascii="Book Antiqua" w:eastAsia="Times New Roman" w:hAnsi="Book Antiqua" w:cs="Times New Roman"/>
          <w:bCs/>
          <w:color w:val="000000" w:themeColor="text1"/>
        </w:rPr>
        <w:t xml:space="preserve">ju </w:t>
      </w:r>
      <w:r>
        <w:rPr>
          <w:rFonts w:ascii="Book Antiqua" w:eastAsia="Times New Roman" w:hAnsi="Book Antiqua" w:cs="Times New Roman"/>
          <w:bCs/>
          <w:color w:val="000000" w:themeColor="text1"/>
        </w:rPr>
        <w:t>takýto orgán mohol vyžiadať od konkrétneho notára, ktorý dohodu spísal</w:t>
      </w:r>
      <w:r w:rsidR="00752DEC">
        <w:rPr>
          <w:rFonts w:ascii="Book Antiqua" w:eastAsia="Times New Roman" w:hAnsi="Book Antiqua" w:cs="Times New Roman"/>
          <w:bCs/>
          <w:color w:val="000000" w:themeColor="text1"/>
        </w:rPr>
        <w:t xml:space="preserve">, postupom podľa </w:t>
      </w:r>
      <w:r>
        <w:rPr>
          <w:rFonts w:ascii="Book Antiqua" w:eastAsia="Times New Roman" w:hAnsi="Book Antiqua" w:cs="Times New Roman"/>
          <w:bCs/>
          <w:color w:val="000000" w:themeColor="text1"/>
        </w:rPr>
        <w:t>§ 74 ods. 2 prvej vety Notárskeho poriadku (zákon č. 323/1992 Zb. o notároch a notárskej činnosti) ako osoba, ktorá má na tom právny záujem, pretože notári v princípe považujú poskytovanie tohto druhu informácií za zásah do ich povinnosti zachovávať mlčanlivosť</w:t>
      </w:r>
      <w:r w:rsidR="00752DEC">
        <w:rPr>
          <w:rFonts w:ascii="Book Antiqua" w:eastAsia="Times New Roman" w:hAnsi="Book Antiqua" w:cs="Times New Roman"/>
          <w:bCs/>
          <w:color w:val="000000" w:themeColor="text1"/>
        </w:rPr>
        <w:t xml:space="preserve"> vo vzťahu ku klientovi</w:t>
      </w:r>
      <w:r>
        <w:rPr>
          <w:rFonts w:ascii="Book Antiqua" w:eastAsia="Times New Roman" w:hAnsi="Book Antiqua" w:cs="Times New Roman"/>
          <w:bCs/>
          <w:color w:val="000000" w:themeColor="text1"/>
        </w:rPr>
        <w:t>.</w:t>
      </w:r>
    </w:p>
    <w:p w14:paraId="424EC497" w14:textId="59BD47BE" w:rsidR="00D93D0E" w:rsidRDefault="00D93D0E"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Keďže modifikačná dohoda nie je zmluvou o prevode nehnuteľností, ale len dohodou, na základe ktorej sa následne v budúcnosti uzavrie zmluva o prevode nehnuteľností</w:t>
      </w:r>
      <w:r w:rsidR="00444837">
        <w:rPr>
          <w:rFonts w:ascii="Book Antiqua" w:eastAsia="Times New Roman" w:hAnsi="Book Antiqua" w:cs="Times New Roman"/>
          <w:bCs/>
          <w:color w:val="000000" w:themeColor="text1"/>
        </w:rPr>
        <w:t>, nezasiela sa katastru nehnuteľností</w:t>
      </w:r>
      <w:r w:rsidR="00B8495C">
        <w:rPr>
          <w:rFonts w:ascii="Book Antiqua" w:eastAsia="Times New Roman" w:hAnsi="Book Antiqua" w:cs="Times New Roman"/>
          <w:bCs/>
          <w:color w:val="000000" w:themeColor="text1"/>
        </w:rPr>
        <w:t xml:space="preserve"> a kataster teda vo vzťahu k vonkajšiemu svetu neeviduje existenciu takejto dohody</w:t>
      </w:r>
      <w:r w:rsidR="00444837">
        <w:rPr>
          <w:rFonts w:ascii="Book Antiqua" w:eastAsia="Times New Roman" w:hAnsi="Book Antiqua" w:cs="Times New Roman"/>
          <w:bCs/>
          <w:color w:val="000000" w:themeColor="text1"/>
        </w:rPr>
        <w:t>. Špecifické situácie môžu tiež nastať, ak je manžel alebo manželka politika cudzím štátnym príslušníkom, ak sa nehnuteľnosť nachádza v zahraničí, navyše v štáte, ktorý nepozná BSM, t.j. ak ide o modifikačnú dohodu s kolíznym prvkom. Situáci</w:t>
      </w:r>
      <w:r w:rsidR="002B00B6">
        <w:rPr>
          <w:rFonts w:ascii="Book Antiqua" w:eastAsia="Times New Roman" w:hAnsi="Book Antiqua" w:cs="Times New Roman"/>
          <w:bCs/>
          <w:color w:val="000000" w:themeColor="text1"/>
        </w:rPr>
        <w:t>u zhoršuje aj</w:t>
      </w:r>
      <w:r w:rsidR="00444837">
        <w:rPr>
          <w:rFonts w:ascii="Book Antiqua" w:eastAsia="Times New Roman" w:hAnsi="Book Antiqua" w:cs="Times New Roman"/>
          <w:bCs/>
          <w:color w:val="000000" w:themeColor="text1"/>
        </w:rPr>
        <w:t xml:space="preserve"> to, že pred rokom 2020 nebol podrobný formulár majetkových priznaní politikov povinný a informácie tak nemali veľkú výpovednú hodnotu. Ak politik (verejný funkcionár) spísal takúto modifikačnú dohodu pred rokom 2020 alebo pred vstupom do politiky a jej reálne účinky nastanú až o niekoľko rokov neskôr</w:t>
      </w:r>
      <w:r w:rsidR="00B8495C">
        <w:rPr>
          <w:rFonts w:ascii="Book Antiqua" w:eastAsia="Times New Roman" w:hAnsi="Book Antiqua" w:cs="Times New Roman"/>
          <w:bCs/>
          <w:color w:val="000000" w:themeColor="text1"/>
        </w:rPr>
        <w:t xml:space="preserve"> uzavretím zmluvy o prevode konkrétnej nehnuteľnosti </w:t>
      </w:r>
      <w:r w:rsidR="00752DEC">
        <w:rPr>
          <w:rFonts w:ascii="Book Antiqua" w:eastAsia="Times New Roman" w:hAnsi="Book Antiqua" w:cs="Times New Roman"/>
          <w:bCs/>
          <w:color w:val="000000" w:themeColor="text1"/>
        </w:rPr>
        <w:t xml:space="preserve">v zmysle modifikačnej dohody </w:t>
      </w:r>
      <w:r w:rsidR="00B8495C">
        <w:rPr>
          <w:rFonts w:ascii="Book Antiqua" w:eastAsia="Times New Roman" w:hAnsi="Book Antiqua" w:cs="Times New Roman"/>
          <w:bCs/>
          <w:color w:val="000000" w:themeColor="text1"/>
        </w:rPr>
        <w:t>a</w:t>
      </w:r>
      <w:r w:rsidR="00752DEC">
        <w:rPr>
          <w:rFonts w:ascii="Book Antiqua" w:eastAsia="Times New Roman" w:hAnsi="Book Antiqua" w:cs="Times New Roman"/>
          <w:bCs/>
          <w:color w:val="000000" w:themeColor="text1"/>
        </w:rPr>
        <w:t xml:space="preserve"> následne </w:t>
      </w:r>
      <w:r w:rsidR="00B8495C">
        <w:rPr>
          <w:rFonts w:ascii="Book Antiqua" w:eastAsia="Times New Roman" w:hAnsi="Book Antiqua" w:cs="Times New Roman"/>
          <w:bCs/>
          <w:color w:val="000000" w:themeColor="text1"/>
        </w:rPr>
        <w:t>podaním návrhu na vklad vlastníctva na kataster nehnuteľností</w:t>
      </w:r>
      <w:r w:rsidR="00444837">
        <w:rPr>
          <w:rFonts w:ascii="Book Antiqua" w:eastAsia="Times New Roman" w:hAnsi="Book Antiqua" w:cs="Times New Roman"/>
          <w:bCs/>
          <w:color w:val="000000" w:themeColor="text1"/>
        </w:rPr>
        <w:t xml:space="preserve">, kontrola majetkového priznania </w:t>
      </w:r>
      <w:r w:rsidR="00B8495C">
        <w:rPr>
          <w:rFonts w:ascii="Book Antiqua" w:eastAsia="Times New Roman" w:hAnsi="Book Antiqua" w:cs="Times New Roman"/>
          <w:bCs/>
          <w:color w:val="000000" w:themeColor="text1"/>
        </w:rPr>
        <w:t xml:space="preserve">určitého </w:t>
      </w:r>
      <w:r w:rsidR="00444837">
        <w:rPr>
          <w:rFonts w:ascii="Book Antiqua" w:eastAsia="Times New Roman" w:hAnsi="Book Antiqua" w:cs="Times New Roman"/>
          <w:bCs/>
          <w:color w:val="000000" w:themeColor="text1"/>
        </w:rPr>
        <w:t xml:space="preserve">politika </w:t>
      </w:r>
      <w:r w:rsidR="00B8495C">
        <w:rPr>
          <w:rFonts w:ascii="Book Antiqua" w:eastAsia="Times New Roman" w:hAnsi="Book Antiqua" w:cs="Times New Roman"/>
          <w:bCs/>
          <w:color w:val="000000" w:themeColor="text1"/>
        </w:rPr>
        <w:t xml:space="preserve">vo vzťahu k takejto nehnuteľnosti </w:t>
      </w:r>
      <w:r w:rsidR="00444837">
        <w:rPr>
          <w:rFonts w:ascii="Book Antiqua" w:eastAsia="Times New Roman" w:hAnsi="Book Antiqua" w:cs="Times New Roman"/>
          <w:bCs/>
          <w:color w:val="000000" w:themeColor="text1"/>
        </w:rPr>
        <w:t xml:space="preserve">je </w:t>
      </w:r>
      <w:r w:rsidR="00B8495C">
        <w:rPr>
          <w:rFonts w:ascii="Book Antiqua" w:eastAsia="Times New Roman" w:hAnsi="Book Antiqua" w:cs="Times New Roman"/>
          <w:bCs/>
          <w:color w:val="000000" w:themeColor="text1"/>
        </w:rPr>
        <w:t>výrazne sťažená až nemožná</w:t>
      </w:r>
      <w:r w:rsidR="00444837">
        <w:rPr>
          <w:rFonts w:ascii="Book Antiqua" w:eastAsia="Times New Roman" w:hAnsi="Book Antiqua" w:cs="Times New Roman"/>
          <w:bCs/>
          <w:color w:val="000000" w:themeColor="text1"/>
        </w:rPr>
        <w:t>.</w:t>
      </w:r>
    </w:p>
    <w:p w14:paraId="29D31E1F" w14:textId="5E434274" w:rsidR="00444837" w:rsidRDefault="00444837"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 xml:space="preserve">Osobitne nastáva problém vtedy, keď návrh do katastra podá len jeden z manželov, napr. manžel alebo manželka politika, ktorý by mal patriť do BSM, </w:t>
      </w:r>
      <w:r w:rsidR="00B8495C">
        <w:rPr>
          <w:rFonts w:ascii="Book Antiqua" w:eastAsia="Times New Roman" w:hAnsi="Book Antiqua" w:cs="Times New Roman"/>
          <w:bCs/>
          <w:color w:val="000000" w:themeColor="text1"/>
        </w:rPr>
        <w:t>a nemusí tak pritom spraviť ani zámerne. K</w:t>
      </w:r>
      <w:r>
        <w:rPr>
          <w:rFonts w:ascii="Book Antiqua" w:eastAsia="Times New Roman" w:hAnsi="Book Antiqua" w:cs="Times New Roman"/>
          <w:bCs/>
          <w:color w:val="000000" w:themeColor="text1"/>
        </w:rPr>
        <w:t xml:space="preserve">eďže </w:t>
      </w:r>
      <w:r w:rsidR="00B8495C">
        <w:rPr>
          <w:rFonts w:ascii="Book Antiqua" w:eastAsia="Times New Roman" w:hAnsi="Book Antiqua" w:cs="Times New Roman"/>
          <w:bCs/>
          <w:color w:val="000000" w:themeColor="text1"/>
        </w:rPr>
        <w:t xml:space="preserve">však </w:t>
      </w:r>
      <w:r>
        <w:rPr>
          <w:rFonts w:ascii="Book Antiqua" w:eastAsia="Times New Roman" w:hAnsi="Book Antiqua" w:cs="Times New Roman"/>
          <w:bCs/>
          <w:color w:val="000000" w:themeColor="text1"/>
        </w:rPr>
        <w:t xml:space="preserve">kataster neskúma osobný stav navrhovateľa (t.j. či je </w:t>
      </w:r>
      <w:r w:rsidR="00DC78F5">
        <w:rPr>
          <w:rFonts w:ascii="Book Antiqua" w:eastAsia="Times New Roman" w:hAnsi="Book Antiqua" w:cs="Times New Roman"/>
          <w:bCs/>
          <w:color w:val="000000" w:themeColor="text1"/>
        </w:rPr>
        <w:t>slobodný, ženatý alebo rozvedený</w:t>
      </w:r>
      <w:r>
        <w:rPr>
          <w:rFonts w:ascii="Book Antiqua" w:eastAsia="Times New Roman" w:hAnsi="Book Antiqua" w:cs="Times New Roman"/>
          <w:bCs/>
          <w:color w:val="000000" w:themeColor="text1"/>
        </w:rPr>
        <w:t>), nehnuteľnosť sa zapíše len na jedného z manželov (navrhovateľa). Takto sa dá aj zámerne zatajovať majetok politika, ktorý by sa inak zverejnil, pokiaľ by bol návrh na kataster podaný pravdivo a úplne. Kataster nehnuteľností v súčasnosti nie je podľa zákona povinný skúmať alebo preverovať informáciu o osobnom stave navrhovateľa</w:t>
      </w:r>
      <w:r w:rsidR="00F8582B">
        <w:rPr>
          <w:rFonts w:ascii="Book Antiqua" w:eastAsia="Times New Roman" w:hAnsi="Book Antiqua" w:cs="Times New Roman"/>
          <w:bCs/>
          <w:color w:val="000000" w:themeColor="text1"/>
        </w:rPr>
        <w:t xml:space="preserve"> a matrika mu nezasiela oznam o uzavretí manželstva alebo o rozvode a obe tieto štátne evidencie ani nie sú v</w:t>
      </w:r>
      <w:r w:rsidR="00752DEC">
        <w:rPr>
          <w:rFonts w:ascii="Book Antiqua" w:eastAsia="Times New Roman" w:hAnsi="Book Antiqua" w:cs="Times New Roman"/>
          <w:bCs/>
          <w:color w:val="000000" w:themeColor="text1"/>
        </w:rPr>
        <w:t> </w:t>
      </w:r>
      <w:r w:rsidR="00F8582B">
        <w:rPr>
          <w:rFonts w:ascii="Book Antiqua" w:eastAsia="Times New Roman" w:hAnsi="Book Antiqua" w:cs="Times New Roman"/>
          <w:bCs/>
          <w:color w:val="000000" w:themeColor="text1"/>
        </w:rPr>
        <w:t>t</w:t>
      </w:r>
      <w:r w:rsidR="00752DEC">
        <w:rPr>
          <w:rFonts w:ascii="Book Antiqua" w:eastAsia="Times New Roman" w:hAnsi="Book Antiqua" w:cs="Times New Roman"/>
          <w:bCs/>
          <w:color w:val="000000" w:themeColor="text1"/>
        </w:rPr>
        <w:t>omto ohľade</w:t>
      </w:r>
      <w:r w:rsidR="00F8582B">
        <w:rPr>
          <w:rFonts w:ascii="Book Antiqua" w:eastAsia="Times New Roman" w:hAnsi="Book Antiqua" w:cs="Times New Roman"/>
          <w:bCs/>
          <w:color w:val="000000" w:themeColor="text1"/>
        </w:rPr>
        <w:t xml:space="preserve"> navzájom prepojené.</w:t>
      </w:r>
    </w:p>
    <w:p w14:paraId="78CEA335" w14:textId="0FBB7884" w:rsidR="00F8582B" w:rsidRDefault="00752DEC"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V dôsledku toho, že</w:t>
      </w:r>
      <w:r w:rsidR="00F8582B">
        <w:rPr>
          <w:rFonts w:ascii="Book Antiqua" w:eastAsia="Times New Roman" w:hAnsi="Book Antiqua" w:cs="Times New Roman"/>
          <w:bCs/>
          <w:color w:val="000000" w:themeColor="text1"/>
        </w:rPr>
        <w:t xml:space="preserve"> orgán, ktorý kontroluje majetkové priznania, nevie z verejných zdrojov zistiť, či existuje notárska zápisnica k modifikačnej dohode verejného funkcionára, konkrétny notár by mu ju neposkytol a kataster nezisťuje osobný stav navrhovateľa, údaj v katastri nehnuteľností z pohľadu, či daná nehnuteľnosť má byť zapísaná len v časti majetkového priznania verejného funkcionára alebo len v časti týkajúcej sa majetku jej manžela/jeho manželky alebo u oboch súčasne, nemá výpovednú hodnotu a kontrolný orgán je tak výrazne obmedzený pri výkone svojej kontrolnej činnosti.</w:t>
      </w:r>
    </w:p>
    <w:p w14:paraId="67FF31EF" w14:textId="5189A5D5" w:rsidR="00F8582B" w:rsidRPr="00C44E80" w:rsidRDefault="00F8582B"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themeColor="text1"/>
        </w:rPr>
      </w:pPr>
      <w:r w:rsidRPr="00AF18AA">
        <w:rPr>
          <w:rFonts w:ascii="Book Antiqua" w:eastAsia="Times New Roman" w:hAnsi="Book Antiqua" w:cs="Times New Roman"/>
          <w:b/>
          <w:color w:val="000000" w:themeColor="text1"/>
        </w:rPr>
        <w:t xml:space="preserve">V minulosti pritom súčasťou návrhov </w:t>
      </w:r>
      <w:r w:rsidR="00752DEC" w:rsidRPr="00AF18AA">
        <w:rPr>
          <w:rFonts w:ascii="Book Antiqua" w:eastAsia="Times New Roman" w:hAnsi="Book Antiqua" w:cs="Times New Roman"/>
          <w:b/>
          <w:color w:val="000000" w:themeColor="text1"/>
        </w:rPr>
        <w:t xml:space="preserve">na vklad do katastra nehnuteľností </w:t>
      </w:r>
      <w:r w:rsidRPr="00AF18AA">
        <w:rPr>
          <w:rFonts w:ascii="Book Antiqua" w:eastAsia="Times New Roman" w:hAnsi="Book Antiqua" w:cs="Times New Roman"/>
          <w:b/>
          <w:color w:val="000000" w:themeColor="text1"/>
        </w:rPr>
        <w:t>pri prevode nehnuteľností bola aj informácia o osobnom stave navrhovateľa.</w:t>
      </w:r>
      <w:r w:rsidRPr="00C44E80">
        <w:rPr>
          <w:rFonts w:ascii="Book Antiqua" w:eastAsia="Times New Roman" w:hAnsi="Book Antiqua" w:cs="Times New Roman"/>
          <w:b/>
          <w:color w:val="000000" w:themeColor="text1"/>
        </w:rPr>
        <w:t xml:space="preserve"> Preto sa v</w:t>
      </w:r>
      <w:r w:rsidR="00AF18AA">
        <w:rPr>
          <w:rFonts w:ascii="Book Antiqua" w:eastAsia="Times New Roman" w:hAnsi="Book Antiqua" w:cs="Times New Roman"/>
          <w:b/>
          <w:color w:val="000000" w:themeColor="text1"/>
        </w:rPr>
        <w:t xml:space="preserve"> čl. I </w:t>
      </w:r>
      <w:r w:rsidRPr="00C44E80">
        <w:rPr>
          <w:rFonts w:ascii="Book Antiqua" w:eastAsia="Times New Roman" w:hAnsi="Book Antiqua" w:cs="Times New Roman"/>
          <w:b/>
          <w:color w:val="000000" w:themeColor="text1"/>
        </w:rPr>
        <w:t>bodoch 1 a </w:t>
      </w:r>
      <w:r w:rsidR="002551C2">
        <w:rPr>
          <w:rFonts w:ascii="Book Antiqua" w:eastAsia="Times New Roman" w:hAnsi="Book Antiqua" w:cs="Times New Roman"/>
          <w:b/>
          <w:color w:val="000000" w:themeColor="text1"/>
        </w:rPr>
        <w:t>4</w:t>
      </w:r>
      <w:r w:rsidRPr="00C44E80">
        <w:rPr>
          <w:rFonts w:ascii="Book Antiqua" w:eastAsia="Times New Roman" w:hAnsi="Book Antiqua" w:cs="Times New Roman"/>
          <w:b/>
          <w:color w:val="000000" w:themeColor="text1"/>
        </w:rPr>
        <w:t xml:space="preserve"> návrhu zákona </w:t>
      </w:r>
      <w:r w:rsidR="00752DEC">
        <w:rPr>
          <w:rFonts w:ascii="Book Antiqua" w:eastAsia="Times New Roman" w:hAnsi="Book Antiqua" w:cs="Times New Roman"/>
          <w:b/>
          <w:color w:val="000000" w:themeColor="text1"/>
        </w:rPr>
        <w:t>zavádza táto povinnosť pre navrhovateľa opätovne</w:t>
      </w:r>
      <w:r w:rsidRPr="00C44E80">
        <w:rPr>
          <w:rFonts w:ascii="Book Antiqua" w:eastAsia="Times New Roman" w:hAnsi="Book Antiqua" w:cs="Times New Roman"/>
          <w:b/>
          <w:color w:val="000000" w:themeColor="text1"/>
        </w:rPr>
        <w:t>.</w:t>
      </w:r>
    </w:p>
    <w:p w14:paraId="050E6524" w14:textId="1794BF8B" w:rsidR="00B8495C" w:rsidRDefault="00F8582B"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lastRenderedPageBreak/>
        <w:t xml:space="preserve">V praxi by </w:t>
      </w:r>
      <w:r w:rsidR="00752DEC">
        <w:rPr>
          <w:rFonts w:ascii="Book Antiqua" w:eastAsia="Times New Roman" w:hAnsi="Book Antiqua" w:cs="Times New Roman"/>
          <w:bCs/>
          <w:color w:val="000000" w:themeColor="text1"/>
        </w:rPr>
        <w:t xml:space="preserve">to pri uplatňovaní novely zákona </w:t>
      </w:r>
      <w:r w:rsidR="00B8495C">
        <w:rPr>
          <w:rFonts w:ascii="Book Antiqua" w:eastAsia="Times New Roman" w:hAnsi="Book Antiqua" w:cs="Times New Roman"/>
          <w:bCs/>
          <w:color w:val="000000" w:themeColor="text1"/>
        </w:rPr>
        <w:t>malo fungovať tak</w:t>
      </w:r>
      <w:r>
        <w:rPr>
          <w:rFonts w:ascii="Book Antiqua" w:eastAsia="Times New Roman" w:hAnsi="Book Antiqua" w:cs="Times New Roman"/>
          <w:bCs/>
          <w:color w:val="000000" w:themeColor="text1"/>
        </w:rPr>
        <w:t>, že navrhovateľ, ktorý pravdivo uvedie, že je ženatý (vydatá), bude musieť pri konkrétnom prevode nehnuteľnosti, resp. jej zápise do katastra nehnuteľností</w:t>
      </w:r>
      <w:r w:rsidR="00C44E80">
        <w:rPr>
          <w:rFonts w:ascii="Book Antiqua" w:eastAsia="Times New Roman" w:hAnsi="Book Antiqua" w:cs="Times New Roman"/>
          <w:bCs/>
          <w:color w:val="000000" w:themeColor="text1"/>
        </w:rPr>
        <w:t>, predložiť katastru aj modifikačnú dohodu</w:t>
      </w:r>
      <w:r w:rsidR="00A31CA1">
        <w:rPr>
          <w:rFonts w:ascii="Book Antiqua" w:eastAsia="Times New Roman" w:hAnsi="Book Antiqua" w:cs="Times New Roman"/>
          <w:bCs/>
          <w:color w:val="000000" w:themeColor="text1"/>
        </w:rPr>
        <w:t xml:space="preserve"> o BSM</w:t>
      </w:r>
      <w:r w:rsidR="00C44E80">
        <w:rPr>
          <w:rFonts w:ascii="Book Antiqua" w:eastAsia="Times New Roman" w:hAnsi="Book Antiqua" w:cs="Times New Roman"/>
          <w:bCs/>
          <w:color w:val="000000" w:themeColor="text1"/>
        </w:rPr>
        <w:t xml:space="preserve">, pričom kataster overí, či sa nehnuteľnosť má zapísať len na jedného z manželov alebo na oboch. </w:t>
      </w:r>
      <w:r w:rsidR="00A31CA1">
        <w:rPr>
          <w:rFonts w:ascii="Book Antiqua" w:eastAsia="Times New Roman" w:hAnsi="Book Antiqua" w:cs="Times New Roman"/>
          <w:bCs/>
          <w:color w:val="000000" w:themeColor="text1"/>
        </w:rPr>
        <w:t xml:space="preserve">Platí totiž, že podľa § 30 ods. 4 písm. g) katastrálneho zákona priloží navrhovateľ k návrhu na vklad listiny, ktoré majú dôkaznú hodnotu pre konanie o návrhu na vklad. </w:t>
      </w:r>
      <w:r w:rsidR="00B8495C">
        <w:rPr>
          <w:rFonts w:ascii="Book Antiqua" w:eastAsia="Times New Roman" w:hAnsi="Book Antiqua" w:cs="Times New Roman"/>
          <w:bCs/>
          <w:color w:val="000000" w:themeColor="text1"/>
        </w:rPr>
        <w:t xml:space="preserve">Modifikačná dohoda manželov sa navyše týmto spôsobom dostane aj do zbierky listín katastra, od ktorého si ju môže </w:t>
      </w:r>
      <w:r w:rsidR="00A31CA1">
        <w:rPr>
          <w:rFonts w:ascii="Book Antiqua" w:eastAsia="Times New Roman" w:hAnsi="Book Antiqua" w:cs="Times New Roman"/>
          <w:bCs/>
          <w:color w:val="000000" w:themeColor="text1"/>
        </w:rPr>
        <w:t xml:space="preserve">napríklad </w:t>
      </w:r>
      <w:r w:rsidR="00B8495C">
        <w:rPr>
          <w:rFonts w:ascii="Book Antiqua" w:eastAsia="Times New Roman" w:hAnsi="Book Antiqua" w:cs="Times New Roman"/>
          <w:bCs/>
          <w:color w:val="000000" w:themeColor="text1"/>
        </w:rPr>
        <w:t xml:space="preserve">orgán kontrolujúci majetkové priznanie vyžiadať bez toho, aby zasahoval do sféry mlčanlivosti notára. </w:t>
      </w:r>
    </w:p>
    <w:p w14:paraId="55123A7B" w14:textId="77777777" w:rsidR="00AF18AA" w:rsidRDefault="00C44E80"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 xml:space="preserve">Údaj v katastri nehnuteľností tak bude mať </w:t>
      </w:r>
      <w:r w:rsidR="00B8495C">
        <w:rPr>
          <w:rFonts w:ascii="Book Antiqua" w:eastAsia="Times New Roman" w:hAnsi="Book Antiqua" w:cs="Times New Roman"/>
          <w:bCs/>
          <w:color w:val="000000" w:themeColor="text1"/>
        </w:rPr>
        <w:t xml:space="preserve">oveľa vyššiu </w:t>
      </w:r>
      <w:r>
        <w:rPr>
          <w:rFonts w:ascii="Book Antiqua" w:eastAsia="Times New Roman" w:hAnsi="Book Antiqua" w:cs="Times New Roman"/>
          <w:bCs/>
          <w:color w:val="000000" w:themeColor="text1"/>
        </w:rPr>
        <w:t xml:space="preserve">výpovednú hodnotu aj pre orgán, ktorý kontroluje majetkové priznania. </w:t>
      </w:r>
      <w:r w:rsidR="00752DEC">
        <w:rPr>
          <w:rFonts w:ascii="Book Antiqua" w:eastAsia="Times New Roman" w:hAnsi="Book Antiqua" w:cs="Times New Roman"/>
          <w:bCs/>
          <w:color w:val="000000" w:themeColor="text1"/>
        </w:rPr>
        <w:t>N</w:t>
      </w:r>
      <w:r>
        <w:rPr>
          <w:rFonts w:ascii="Book Antiqua" w:eastAsia="Times New Roman" w:hAnsi="Book Antiqua" w:cs="Times New Roman"/>
          <w:bCs/>
          <w:color w:val="000000" w:themeColor="text1"/>
        </w:rPr>
        <w:t>evyriešia sa tým všetky situácie, osobitne nie</w:t>
      </w:r>
      <w:r w:rsidR="00B8495C">
        <w:rPr>
          <w:rFonts w:ascii="Book Antiqua" w:eastAsia="Times New Roman" w:hAnsi="Book Antiqua" w:cs="Times New Roman"/>
          <w:bCs/>
          <w:color w:val="000000" w:themeColor="text1"/>
        </w:rPr>
        <w:t xml:space="preserve"> </w:t>
      </w:r>
      <w:r>
        <w:rPr>
          <w:rFonts w:ascii="Book Antiqua" w:eastAsia="Times New Roman" w:hAnsi="Book Antiqua" w:cs="Times New Roman"/>
          <w:bCs/>
          <w:color w:val="000000" w:themeColor="text1"/>
        </w:rPr>
        <w:t xml:space="preserve">modifikačné dohody s kolíznym prvkom alebo situácia, že politik alebo jeho manžel/manželka zámerne uvedie nepravdivo informáciu o svojom osobnom stave, bude však možné voči nim vyvodiť zodpovednosť, </w:t>
      </w:r>
      <w:r w:rsidR="00752DEC">
        <w:rPr>
          <w:rFonts w:ascii="Book Antiqua" w:eastAsia="Times New Roman" w:hAnsi="Book Antiqua" w:cs="Times New Roman"/>
          <w:bCs/>
          <w:color w:val="000000" w:themeColor="text1"/>
        </w:rPr>
        <w:t xml:space="preserve">resp. prerušiť alebo zastaviť konanie, </w:t>
      </w:r>
      <w:r>
        <w:rPr>
          <w:rFonts w:ascii="Book Antiqua" w:eastAsia="Times New Roman" w:hAnsi="Book Antiqua" w:cs="Times New Roman"/>
          <w:bCs/>
          <w:color w:val="000000" w:themeColor="text1"/>
        </w:rPr>
        <w:t xml:space="preserve">čo dnes </w:t>
      </w:r>
      <w:r w:rsidR="00752DEC">
        <w:rPr>
          <w:rFonts w:ascii="Book Antiqua" w:eastAsia="Times New Roman" w:hAnsi="Book Antiqua" w:cs="Times New Roman"/>
          <w:bCs/>
          <w:color w:val="000000" w:themeColor="text1"/>
        </w:rPr>
        <w:t xml:space="preserve">na úseku katastra nehnuteľností </w:t>
      </w:r>
      <w:r>
        <w:rPr>
          <w:rFonts w:ascii="Book Antiqua" w:eastAsia="Times New Roman" w:hAnsi="Book Antiqua" w:cs="Times New Roman"/>
          <w:bCs/>
          <w:color w:val="000000" w:themeColor="text1"/>
        </w:rPr>
        <w:t xml:space="preserve">možné nie, keďže informácia o osobnom stave nie je </w:t>
      </w:r>
      <w:r w:rsidR="00752DEC">
        <w:rPr>
          <w:rFonts w:ascii="Book Antiqua" w:eastAsia="Times New Roman" w:hAnsi="Book Antiqua" w:cs="Times New Roman"/>
          <w:bCs/>
          <w:color w:val="000000" w:themeColor="text1"/>
        </w:rPr>
        <w:t xml:space="preserve">povinnou </w:t>
      </w:r>
      <w:r>
        <w:rPr>
          <w:rFonts w:ascii="Book Antiqua" w:eastAsia="Times New Roman" w:hAnsi="Book Antiqua" w:cs="Times New Roman"/>
          <w:bCs/>
          <w:color w:val="000000" w:themeColor="text1"/>
        </w:rPr>
        <w:t>súčasťou návrhu na vklad, resp. v katastrálnom konaní.</w:t>
      </w:r>
      <w:r w:rsidR="00B8495C">
        <w:rPr>
          <w:rFonts w:ascii="Book Antiqua" w:eastAsia="Times New Roman" w:hAnsi="Book Antiqua" w:cs="Times New Roman"/>
          <w:bCs/>
          <w:color w:val="000000" w:themeColor="text1"/>
        </w:rPr>
        <w:t xml:space="preserve"> </w:t>
      </w:r>
    </w:p>
    <w:p w14:paraId="7429FE6B" w14:textId="7FC21E52" w:rsidR="00F8582B" w:rsidRDefault="002551C2"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sidRPr="00AF18AA">
        <w:rPr>
          <w:rFonts w:ascii="Book Antiqua" w:eastAsia="Times New Roman" w:hAnsi="Book Antiqua" w:cs="Times New Roman"/>
          <w:b/>
          <w:color w:val="000000" w:themeColor="text1"/>
        </w:rPr>
        <w:t>V</w:t>
      </w:r>
      <w:r w:rsidR="00DC78F5" w:rsidRPr="00AF18AA">
        <w:rPr>
          <w:rFonts w:ascii="Book Antiqua" w:eastAsia="Times New Roman" w:hAnsi="Book Antiqua" w:cs="Times New Roman"/>
          <w:b/>
          <w:color w:val="000000" w:themeColor="text1"/>
        </w:rPr>
        <w:t xml:space="preserve"> čl. I </w:t>
      </w:r>
      <w:r w:rsidRPr="00AF18AA">
        <w:rPr>
          <w:rFonts w:ascii="Book Antiqua" w:eastAsia="Times New Roman" w:hAnsi="Book Antiqua" w:cs="Times New Roman"/>
          <w:b/>
          <w:color w:val="000000" w:themeColor="text1"/>
        </w:rPr>
        <w:t>bode 2</w:t>
      </w:r>
      <w:r>
        <w:rPr>
          <w:rFonts w:ascii="Book Antiqua" w:eastAsia="Times New Roman" w:hAnsi="Book Antiqua" w:cs="Times New Roman"/>
          <w:bCs/>
          <w:color w:val="000000" w:themeColor="text1"/>
        </w:rPr>
        <w:t xml:space="preserve"> </w:t>
      </w:r>
      <w:r w:rsidRPr="00AF18AA">
        <w:rPr>
          <w:rFonts w:ascii="Book Antiqua" w:eastAsia="Times New Roman" w:hAnsi="Book Antiqua" w:cs="Times New Roman"/>
          <w:b/>
          <w:color w:val="000000" w:themeColor="text1"/>
        </w:rPr>
        <w:t>návrhu zákona</w:t>
      </w:r>
      <w:r w:rsidR="00B8495C" w:rsidRPr="00AF18AA">
        <w:rPr>
          <w:rFonts w:ascii="Book Antiqua" w:eastAsia="Times New Roman" w:hAnsi="Book Antiqua" w:cs="Times New Roman"/>
          <w:b/>
          <w:color w:val="000000" w:themeColor="text1"/>
        </w:rPr>
        <w:t xml:space="preserve"> sa </w:t>
      </w:r>
      <w:r w:rsidRPr="00AF18AA">
        <w:rPr>
          <w:rFonts w:ascii="Book Antiqua" w:eastAsia="Times New Roman" w:hAnsi="Book Antiqua" w:cs="Times New Roman"/>
          <w:b/>
          <w:color w:val="000000" w:themeColor="text1"/>
        </w:rPr>
        <w:t>umožňuje, aby okresný úrad (kataster) mal možnosť prístupu k elektronickej matrike.</w:t>
      </w:r>
    </w:p>
    <w:p w14:paraId="163631E7" w14:textId="5ECDBA19" w:rsidR="006B2C5B" w:rsidRDefault="006B2C5B"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hAnsi="Book Antiqua"/>
          <w:color w:val="000000" w:themeColor="text1"/>
        </w:rPr>
      </w:pPr>
      <w:r>
        <w:rPr>
          <w:rFonts w:ascii="Book Antiqua" w:eastAsia="Times New Roman" w:hAnsi="Book Antiqua" w:cs="Times New Roman"/>
          <w:bCs/>
          <w:color w:val="000000" w:themeColor="text1"/>
        </w:rPr>
        <w:t xml:space="preserve">Pri prevode nehnuteľností je </w:t>
      </w:r>
      <w:r w:rsidR="00752DEC">
        <w:rPr>
          <w:rFonts w:ascii="Book Antiqua" w:eastAsia="Times New Roman" w:hAnsi="Book Antiqua" w:cs="Times New Roman"/>
          <w:bCs/>
          <w:color w:val="000000" w:themeColor="text1"/>
        </w:rPr>
        <w:t xml:space="preserve">rovnako </w:t>
      </w:r>
      <w:r>
        <w:rPr>
          <w:rFonts w:ascii="Book Antiqua" w:eastAsia="Times New Roman" w:hAnsi="Book Antiqua" w:cs="Times New Roman"/>
          <w:bCs/>
          <w:color w:val="000000" w:themeColor="text1"/>
        </w:rPr>
        <w:t xml:space="preserve">vážnym nedostatkom aj to, že kataster nehnuteľností nie je povinný overovať, či notár skutočne spísal notársku zápisnicu alebo či advokát skutočne autorizoval zmluvu o prevode nehnuteľností. Totiž podľa § 31 ods. 2 katastrálneho zákona (zákon </w:t>
      </w:r>
      <w:r w:rsidRPr="006B32F9">
        <w:rPr>
          <w:rFonts w:ascii="Book Antiqua" w:hAnsi="Book Antiqua"/>
          <w:color w:val="000000" w:themeColor="text1"/>
        </w:rPr>
        <w:t xml:space="preserve">č. </w:t>
      </w:r>
      <w:r>
        <w:rPr>
          <w:rFonts w:ascii="Book Antiqua" w:hAnsi="Book Antiqua"/>
          <w:color w:val="000000" w:themeColor="text1"/>
        </w:rPr>
        <w:t xml:space="preserve">162/1995 Z. z. o katastri nehnuteľností a o zápise vlastníckych a iných práv k nehnuteľnostiam), kataster nehnuteľností overuje výlučne to, či je zmluva v súlade s katastrálnym operátom a či sú splnené procesné podmienky na povolenie vkladu. V dôsledku takto nastavenej legislatívy došlo </w:t>
      </w:r>
      <w:r w:rsidR="00DC78F5">
        <w:rPr>
          <w:rFonts w:ascii="Book Antiqua" w:hAnsi="Book Antiqua"/>
          <w:color w:val="000000" w:themeColor="text1"/>
        </w:rPr>
        <w:t xml:space="preserve">napríklad </w:t>
      </w:r>
      <w:r>
        <w:rPr>
          <w:rFonts w:ascii="Book Antiqua" w:hAnsi="Book Antiqua"/>
          <w:color w:val="000000" w:themeColor="text1"/>
        </w:rPr>
        <w:t xml:space="preserve">v rokoch 2008 a 2009 k rozsiahlym podvodom s nehnuteľnosťami v okrese Dunajská Streda, ktorým sa dalo jednoducho zabrániť aj tým, že by si kataster nehnuteľností overil vo verejne dostupnom notárskom centrálnom registri, či notárska zápisnica </w:t>
      </w:r>
      <w:r w:rsidR="00DC78F5">
        <w:rPr>
          <w:rFonts w:ascii="Book Antiqua" w:hAnsi="Book Antiqua"/>
          <w:color w:val="000000" w:themeColor="text1"/>
        </w:rPr>
        <w:t xml:space="preserve">skutočne </w:t>
      </w:r>
      <w:r>
        <w:rPr>
          <w:rFonts w:ascii="Book Antiqua" w:hAnsi="Book Antiqua"/>
          <w:color w:val="000000" w:themeColor="text1"/>
        </w:rPr>
        <w:t>spísaná bola.</w:t>
      </w:r>
    </w:p>
    <w:p w14:paraId="51D491F7" w14:textId="56249BC9" w:rsidR="006B2C5B" w:rsidRDefault="006B2C5B"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hAnsi="Book Antiqua"/>
          <w:color w:val="000000" w:themeColor="text1"/>
        </w:rPr>
      </w:pPr>
      <w:r w:rsidRPr="00AE7DDA">
        <w:rPr>
          <w:rFonts w:ascii="Book Antiqua" w:hAnsi="Book Antiqua"/>
          <w:b/>
          <w:bCs/>
          <w:color w:val="000000" w:themeColor="text1"/>
        </w:rPr>
        <w:t xml:space="preserve">Preto sa </w:t>
      </w:r>
      <w:r w:rsidR="00AE7DDA" w:rsidRPr="00AE7DDA">
        <w:rPr>
          <w:rFonts w:ascii="Book Antiqua" w:hAnsi="Book Antiqua"/>
          <w:b/>
          <w:bCs/>
          <w:color w:val="000000" w:themeColor="text1"/>
        </w:rPr>
        <w:t>v</w:t>
      </w:r>
      <w:r w:rsidR="00AF18AA">
        <w:rPr>
          <w:rFonts w:ascii="Book Antiqua" w:hAnsi="Book Antiqua"/>
          <w:b/>
          <w:bCs/>
          <w:color w:val="000000" w:themeColor="text1"/>
        </w:rPr>
        <w:t xml:space="preserve"> čl. I </w:t>
      </w:r>
      <w:r w:rsidR="00AE7DDA" w:rsidRPr="00AE7DDA">
        <w:rPr>
          <w:rFonts w:ascii="Book Antiqua" w:hAnsi="Book Antiqua"/>
          <w:b/>
          <w:bCs/>
          <w:color w:val="000000" w:themeColor="text1"/>
        </w:rPr>
        <w:t xml:space="preserve">bode </w:t>
      </w:r>
      <w:r w:rsidR="002551C2">
        <w:rPr>
          <w:rFonts w:ascii="Book Antiqua" w:hAnsi="Book Antiqua"/>
          <w:b/>
          <w:bCs/>
          <w:color w:val="000000" w:themeColor="text1"/>
        </w:rPr>
        <w:t>3</w:t>
      </w:r>
      <w:r w:rsidR="00AE7DDA" w:rsidRPr="00AE7DDA">
        <w:rPr>
          <w:rFonts w:ascii="Book Antiqua" w:hAnsi="Book Antiqua"/>
          <w:b/>
          <w:bCs/>
          <w:color w:val="000000" w:themeColor="text1"/>
        </w:rPr>
        <w:t xml:space="preserve"> </w:t>
      </w:r>
      <w:r w:rsidRPr="00AF18AA">
        <w:rPr>
          <w:rFonts w:ascii="Book Antiqua" w:hAnsi="Book Antiqua"/>
          <w:b/>
          <w:bCs/>
          <w:color w:val="000000" w:themeColor="text1"/>
        </w:rPr>
        <w:t>navrhuje, aby kataster nehnuteľností mal povinnosť overiť si vo verejne dostupnom notárskom centrálnom registri notárskych zápisníc</w:t>
      </w:r>
      <w:r w:rsidRPr="00AF18AA">
        <w:rPr>
          <w:rFonts w:ascii="Book Antiqua" w:hAnsi="Book Antiqua"/>
          <w:color w:val="000000" w:themeColor="text1"/>
        </w:rPr>
        <w:t xml:space="preserve"> (</w:t>
      </w:r>
      <w:hyperlink r:id="rId8" w:history="1">
        <w:r w:rsidRPr="00AF18AA">
          <w:rPr>
            <w:rStyle w:val="Hypertextovprepojenie"/>
            <w:rFonts w:ascii="Book Antiqua" w:hAnsi="Book Antiqua"/>
          </w:rPr>
          <w:t>https://www.notar.sk/overenie-podpisu/</w:t>
        </w:r>
      </w:hyperlink>
      <w:r w:rsidRPr="00AF18AA">
        <w:rPr>
          <w:rFonts w:ascii="Book Antiqua" w:hAnsi="Book Antiqua"/>
          <w:color w:val="000000" w:themeColor="text1"/>
        </w:rPr>
        <w:t xml:space="preserve">) </w:t>
      </w:r>
      <w:r w:rsidRPr="00AF18AA">
        <w:rPr>
          <w:rFonts w:ascii="Book Antiqua" w:hAnsi="Book Antiqua"/>
          <w:b/>
          <w:bCs/>
          <w:color w:val="000000" w:themeColor="text1"/>
        </w:rPr>
        <w:t>skutočnosť, či notárska zápisnica o prevode nehnuteľností spísaná skutočne bola.</w:t>
      </w:r>
      <w:r>
        <w:rPr>
          <w:rFonts w:ascii="Book Antiqua" w:hAnsi="Book Antiqua"/>
          <w:color w:val="000000" w:themeColor="text1"/>
        </w:rPr>
        <w:t xml:space="preserve"> Takto koncipovaný návrh nenapomáha </w:t>
      </w:r>
      <w:r w:rsidR="00752DEC">
        <w:rPr>
          <w:rFonts w:ascii="Book Antiqua" w:hAnsi="Book Antiqua"/>
          <w:color w:val="000000" w:themeColor="text1"/>
        </w:rPr>
        <w:t xml:space="preserve">len </w:t>
      </w:r>
      <w:r w:rsidR="00AE7DDA">
        <w:rPr>
          <w:rFonts w:ascii="Book Antiqua" w:hAnsi="Book Antiqua"/>
          <w:color w:val="000000" w:themeColor="text1"/>
        </w:rPr>
        <w:t>lepšej kontrole majetkových priznaní, ale všeobecne slúži ako prostriedok na predchádzanie podvodom.</w:t>
      </w:r>
    </w:p>
    <w:p w14:paraId="1F1DFCE7" w14:textId="6A170607" w:rsidR="009E5788" w:rsidRPr="000F3A93" w:rsidRDefault="00AE7DDA"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Pr>
          <w:rFonts w:ascii="Book Antiqua" w:hAnsi="Book Antiqua"/>
          <w:color w:val="000000" w:themeColor="text1"/>
        </w:rPr>
        <w:t>Pri notároch je takáto legislatívna zmena na rozdiel od advokátov oveľa jednoduchšia, keďže notári v zmysle Notárskeho poriadku vedú viaceré centrálne registre, ktoré sú verejne dostupné a notári majú povinnosť ich vypĺňať a byť s informačným systémom Notárskej komory Slovenskej republiky navzájom prepojen</w:t>
      </w:r>
      <w:r w:rsidR="00752DEC">
        <w:rPr>
          <w:rFonts w:ascii="Book Antiqua" w:hAnsi="Book Antiqua"/>
          <w:color w:val="000000" w:themeColor="text1"/>
        </w:rPr>
        <w:t>í</w:t>
      </w:r>
      <w:r>
        <w:rPr>
          <w:rFonts w:ascii="Book Antiqua" w:hAnsi="Book Antiqua"/>
          <w:color w:val="000000" w:themeColor="text1"/>
        </w:rPr>
        <w:t>, čo u advokátov zatiaľ tak nie je.</w:t>
      </w:r>
    </w:p>
    <w:p w14:paraId="0FC16E6B" w14:textId="7A3CB374" w:rsidR="00C80137" w:rsidRPr="000F3A93" w:rsidRDefault="00C80137"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u w:val="single"/>
        </w:rPr>
      </w:pPr>
      <w:r w:rsidRPr="000F3A93">
        <w:rPr>
          <w:rFonts w:ascii="Book Antiqua" w:eastAsia="Times New Roman" w:hAnsi="Book Antiqua" w:cs="Times New Roman"/>
          <w:bCs/>
          <w:color w:val="000000" w:themeColor="text1"/>
          <w:u w:val="single"/>
        </w:rPr>
        <w:t xml:space="preserve">K bodu </w:t>
      </w:r>
      <w:r w:rsidR="002551C2">
        <w:rPr>
          <w:rFonts w:ascii="Book Antiqua" w:eastAsia="Times New Roman" w:hAnsi="Book Antiqua" w:cs="Times New Roman"/>
          <w:bCs/>
          <w:color w:val="000000" w:themeColor="text1"/>
          <w:u w:val="single"/>
        </w:rPr>
        <w:t>5</w:t>
      </w:r>
    </w:p>
    <w:p w14:paraId="2C886E8D" w14:textId="13DDB96B" w:rsidR="006D7113" w:rsidRPr="000F3A93" w:rsidRDefault="006D7113"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themeColor="text1"/>
        </w:rPr>
      </w:pPr>
      <w:r w:rsidRPr="000F3A93">
        <w:rPr>
          <w:rFonts w:ascii="Book Antiqua" w:eastAsia="Times New Roman" w:hAnsi="Book Antiqua" w:cs="Times New Roman"/>
          <w:bCs/>
          <w:color w:val="000000" w:themeColor="text1"/>
        </w:rPr>
        <w:t xml:space="preserve">Navrhujú sa prechodné ustanovenia, ktorými sa </w:t>
      </w:r>
      <w:r w:rsidR="00AE7DDA">
        <w:rPr>
          <w:rFonts w:ascii="Book Antiqua" w:eastAsia="Times New Roman" w:hAnsi="Book Antiqua" w:cs="Times New Roman"/>
          <w:bCs/>
          <w:color w:val="000000" w:themeColor="text1"/>
        </w:rPr>
        <w:t>spresňuje, že nové pravidlá a povinnosti sa budú vzťahovať na kataster nehnuteľností až na nové katastrálne konania, t.j. na tie, ktoré sa začnú po nadobudnutí účinnosti novely zákona (od 1. 7. 2026).</w:t>
      </w:r>
    </w:p>
    <w:p w14:paraId="38828A62" w14:textId="3D790F5F" w:rsidR="0007515F" w:rsidRDefault="0007515F" w:rsidP="00BD60C9">
      <w:pPr>
        <w:tabs>
          <w:tab w:val="left" w:pos="708"/>
        </w:tabs>
        <w:spacing w:before="120" w:after="0" w:line="276" w:lineRule="auto"/>
        <w:jc w:val="both"/>
        <w:rPr>
          <w:rFonts w:ascii="Book Antiqua" w:eastAsia="Times New Roman" w:hAnsi="Book Antiqua" w:cs="Times New Roman"/>
          <w:b/>
          <w:color w:val="000000" w:themeColor="text1"/>
        </w:rPr>
      </w:pPr>
      <w:r w:rsidRPr="000F3A93">
        <w:rPr>
          <w:rFonts w:ascii="Book Antiqua" w:eastAsia="Times New Roman" w:hAnsi="Book Antiqua" w:cs="Times New Roman"/>
          <w:b/>
          <w:color w:val="000000" w:themeColor="text1"/>
        </w:rPr>
        <w:lastRenderedPageBreak/>
        <w:t>K Čl. II</w:t>
      </w:r>
    </w:p>
    <w:p w14:paraId="56FF6473" w14:textId="575ACED3" w:rsidR="00633064" w:rsidRPr="00633064" w:rsidRDefault="00633064" w:rsidP="00BD60C9">
      <w:pPr>
        <w:tabs>
          <w:tab w:val="left" w:pos="708"/>
        </w:tabs>
        <w:spacing w:before="120" w:after="0" w:line="276" w:lineRule="auto"/>
        <w:jc w:val="both"/>
        <w:rPr>
          <w:rFonts w:ascii="Book Antiqua" w:eastAsia="Times New Roman" w:hAnsi="Book Antiqua" w:cs="Times New Roman"/>
          <w:bCs/>
          <w:color w:val="000000" w:themeColor="text1"/>
          <w:u w:val="single"/>
        </w:rPr>
      </w:pPr>
      <w:r w:rsidRPr="00633064">
        <w:rPr>
          <w:rFonts w:ascii="Book Antiqua" w:eastAsia="Times New Roman" w:hAnsi="Book Antiqua" w:cs="Times New Roman"/>
          <w:bCs/>
          <w:color w:val="000000" w:themeColor="text1"/>
          <w:u w:val="single"/>
        </w:rPr>
        <w:t>K bodom 1 až 3</w:t>
      </w:r>
    </w:p>
    <w:p w14:paraId="4E410B46" w14:textId="28ABB8FE" w:rsidR="0007515F" w:rsidRDefault="0007515F" w:rsidP="00BD60C9">
      <w:pPr>
        <w:tabs>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Ako už bolo spomenuté v odôvodnení k čl. I bodom 1 a </w:t>
      </w:r>
      <w:r w:rsidR="002551C2">
        <w:rPr>
          <w:rFonts w:ascii="Book Antiqua" w:eastAsia="Times New Roman" w:hAnsi="Book Antiqua" w:cs="Times New Roman"/>
          <w:bCs/>
          <w:color w:val="000000" w:themeColor="text1"/>
        </w:rPr>
        <w:t>4</w:t>
      </w:r>
      <w:r>
        <w:rPr>
          <w:rFonts w:ascii="Book Antiqua" w:eastAsia="Times New Roman" w:hAnsi="Book Antiqua" w:cs="Times New Roman"/>
          <w:bCs/>
          <w:color w:val="000000" w:themeColor="text1"/>
        </w:rPr>
        <w:t xml:space="preserve"> tohto návrhu zákona, v súčasnosti nie je možné z verejne dostupných zdrojov overiť, či advokát skutočne autorizoval zmluvu o prevode nehnuteľností, ako je to možné o notárov, ktorí majú na tieto účely zriadený verejne dostupný register notárskych zápisníc.</w:t>
      </w:r>
    </w:p>
    <w:p w14:paraId="279A1C05" w14:textId="0E7D54F2" w:rsidR="0007515F" w:rsidRDefault="0007515F" w:rsidP="00BD60C9">
      <w:pPr>
        <w:tabs>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Advokáti si síce v súlade s interným predpisom Slovenskej advokátskej komory</w:t>
      </w:r>
      <w:r w:rsidR="000E16E6">
        <w:rPr>
          <w:rFonts w:ascii="Book Antiqua" w:eastAsia="Times New Roman" w:hAnsi="Book Antiqua" w:cs="Times New Roman"/>
          <w:bCs/>
          <w:color w:val="000000" w:themeColor="text1"/>
        </w:rPr>
        <w:t xml:space="preserve"> vedú knihu autorizácií, kde si zapisujú autorizované zmluvy, čo je povinnosť, ktorej neplnenie je sankcionované disciplinárnym konaním voči advokátovi, tieto knihy však nie sú verejné a tak si ani kataster nehnuteľností nevie overiť, či boli skutočne advokátom autorizované.</w:t>
      </w:r>
    </w:p>
    <w:p w14:paraId="52A18C85" w14:textId="096B155E" w:rsidR="000E16E6" w:rsidRDefault="000E16E6" w:rsidP="00BD60C9">
      <w:pPr>
        <w:tabs>
          <w:tab w:val="left" w:pos="708"/>
        </w:tabs>
        <w:spacing w:before="120" w:after="0" w:line="276" w:lineRule="auto"/>
        <w:jc w:val="both"/>
        <w:rPr>
          <w:rFonts w:ascii="Book Antiqua" w:eastAsia="Times New Roman" w:hAnsi="Book Antiqua" w:cs="Times New Roman"/>
          <w:bCs/>
          <w:color w:val="000000" w:themeColor="text1"/>
        </w:rPr>
      </w:pPr>
      <w:r>
        <w:rPr>
          <w:rFonts w:ascii="Book Antiqua" w:eastAsia="Times New Roman" w:hAnsi="Book Antiqua" w:cs="Times New Roman"/>
          <w:bCs/>
          <w:color w:val="000000" w:themeColor="text1"/>
        </w:rPr>
        <w:t xml:space="preserve">Tento závažný nedostatok zmierňuje prax, pretože advokát, ktorý zmluvu autorizoval, je často zároveň splnomocnený na podanie návrhu na vklad na kataster, takže kataster nehnuteľností si môže v osobnej komunikácii s daným advokátom overiť, či zmluvu skutočne autorizoval. Z hľadiska transparentnosti a zabráneniu možným podvodom to </w:t>
      </w:r>
      <w:r w:rsidR="009C4B13">
        <w:rPr>
          <w:rFonts w:ascii="Book Antiqua" w:eastAsia="Times New Roman" w:hAnsi="Book Antiqua" w:cs="Times New Roman"/>
          <w:bCs/>
          <w:color w:val="000000" w:themeColor="text1"/>
        </w:rPr>
        <w:t>však</w:t>
      </w:r>
      <w:r>
        <w:rPr>
          <w:rFonts w:ascii="Book Antiqua" w:eastAsia="Times New Roman" w:hAnsi="Book Antiqua" w:cs="Times New Roman"/>
          <w:bCs/>
          <w:color w:val="000000" w:themeColor="text1"/>
        </w:rPr>
        <w:t xml:space="preserve"> nie je dostatočné riešenie.</w:t>
      </w:r>
    </w:p>
    <w:p w14:paraId="709D03B2" w14:textId="2E2D3CB5" w:rsidR="000E16E6" w:rsidRDefault="000E16E6" w:rsidP="00BD60C9">
      <w:pPr>
        <w:tabs>
          <w:tab w:val="left" w:pos="708"/>
        </w:tabs>
        <w:spacing w:before="120" w:after="0" w:line="276" w:lineRule="auto"/>
        <w:jc w:val="both"/>
        <w:rPr>
          <w:rFonts w:ascii="Book Antiqua" w:eastAsia="Times New Roman" w:hAnsi="Book Antiqua" w:cs="Times New Roman"/>
          <w:bCs/>
          <w:color w:val="000000" w:themeColor="text1"/>
        </w:rPr>
      </w:pPr>
      <w:r w:rsidRPr="00633064">
        <w:rPr>
          <w:rFonts w:ascii="Book Antiqua" w:eastAsia="Times New Roman" w:hAnsi="Book Antiqua" w:cs="Times New Roman"/>
          <w:b/>
          <w:color w:val="000000" w:themeColor="text1"/>
        </w:rPr>
        <w:t>Preto sa podľa vzoru notárov navrhuje vytvorenie centrálneho registra – knihy autorizácií, ktorý by viedla Slovenská advokátska komora</w:t>
      </w:r>
      <w:r>
        <w:rPr>
          <w:rFonts w:ascii="Book Antiqua" w:eastAsia="Times New Roman" w:hAnsi="Book Antiqua" w:cs="Times New Roman"/>
          <w:bCs/>
          <w:color w:val="000000" w:themeColor="text1"/>
        </w:rPr>
        <w:t xml:space="preserve"> a advokáti by boli povinní vypĺňať tento register údajmi o autorizácii zmlúv o prevode nehnuteľnosti, ktoré si v súčasnosti vedú vo svojej kancelárii. Na rozdiel od notárov by nemuseli do registra vkladať celé zmluvy, ale vypĺňali by len najnutnejšie údaje, ktoré by slúžili na to, aby si kataster nehnuteľností (ale aj širšia verejnosť) mohol jednoducho overiť, či zmluvu o prevode nehnuteľností </w:t>
      </w:r>
      <w:r w:rsidR="009C4B13">
        <w:rPr>
          <w:rFonts w:ascii="Book Antiqua" w:eastAsia="Times New Roman" w:hAnsi="Book Antiqua" w:cs="Times New Roman"/>
          <w:bCs/>
          <w:color w:val="000000" w:themeColor="text1"/>
        </w:rPr>
        <w:t xml:space="preserve">daný advokát </w:t>
      </w:r>
      <w:r>
        <w:rPr>
          <w:rFonts w:ascii="Book Antiqua" w:eastAsia="Times New Roman" w:hAnsi="Book Antiqua" w:cs="Times New Roman"/>
          <w:bCs/>
          <w:color w:val="000000" w:themeColor="text1"/>
        </w:rPr>
        <w:t>skutočne autorizoval.</w:t>
      </w:r>
    </w:p>
    <w:p w14:paraId="217A3C5E" w14:textId="44DA27BF" w:rsidR="00633064" w:rsidRDefault="00633064" w:rsidP="00BD60C9">
      <w:pPr>
        <w:tabs>
          <w:tab w:val="left" w:pos="708"/>
        </w:tabs>
        <w:spacing w:before="120" w:after="0" w:line="276" w:lineRule="auto"/>
        <w:jc w:val="both"/>
        <w:rPr>
          <w:rFonts w:ascii="Book Antiqua" w:hAnsi="Book Antiqua"/>
          <w:color w:val="000000" w:themeColor="text1"/>
        </w:rPr>
      </w:pPr>
      <w:r>
        <w:rPr>
          <w:rFonts w:ascii="Book Antiqua" w:eastAsia="Times New Roman" w:hAnsi="Book Antiqua" w:cs="Times New Roman"/>
          <w:bCs/>
          <w:color w:val="000000" w:themeColor="text1"/>
        </w:rPr>
        <w:t xml:space="preserve">Novela zákona </w:t>
      </w:r>
      <w:r>
        <w:rPr>
          <w:rFonts w:ascii="Book Antiqua" w:hAnsi="Book Antiqua"/>
          <w:color w:val="000000" w:themeColor="text1"/>
        </w:rPr>
        <w:t>č. 586/2003 Z. z. o advokácii a o zmene a doplnení zákona č. 455/1991 Zb. o živnostenskom podnikaní (živnostenský zákon) v znení neskorších predpisov (ďalej len „zákon o advokácii“) v tejto súvislosti obsahuje aj ďalšie ustanovenia o povinnostiach advokátov a vzťahoch medzi advokátmi a ich komorou s cieľom vzájomného prepojenia informačného systému Slovenskej advokátskej komory s ich vlastnými databázami o zmluvách o prevode nehnuteľností. Tieto ustanovenia sú obdobné tým, ktoré upravuje Notársky poriadok.</w:t>
      </w:r>
    </w:p>
    <w:p w14:paraId="0B1E73BF" w14:textId="194201E6" w:rsidR="00633064" w:rsidRDefault="00633064" w:rsidP="00BD60C9">
      <w:pPr>
        <w:tabs>
          <w:tab w:val="left" w:pos="708"/>
        </w:tabs>
        <w:spacing w:before="120" w:after="0" w:line="276" w:lineRule="auto"/>
        <w:jc w:val="both"/>
        <w:rPr>
          <w:rFonts w:ascii="Book Antiqua" w:hAnsi="Book Antiqua"/>
          <w:color w:val="000000" w:themeColor="text1"/>
        </w:rPr>
      </w:pPr>
      <w:r>
        <w:rPr>
          <w:rFonts w:ascii="Book Antiqua" w:hAnsi="Book Antiqua"/>
          <w:color w:val="000000" w:themeColor="text1"/>
        </w:rPr>
        <w:t xml:space="preserve">Z hľadiska nákladov na vytvorenie informačného systému </w:t>
      </w:r>
      <w:r w:rsidR="00AF18AA">
        <w:rPr>
          <w:rFonts w:ascii="Book Antiqua" w:hAnsi="Book Antiqua"/>
          <w:color w:val="000000" w:themeColor="text1"/>
        </w:rPr>
        <w:t xml:space="preserve">verejnej správy </w:t>
      </w:r>
      <w:r>
        <w:rPr>
          <w:rFonts w:ascii="Book Antiqua" w:hAnsi="Book Antiqua"/>
          <w:color w:val="000000" w:themeColor="text1"/>
        </w:rPr>
        <w:t>nič nebráni Slovenskej advokátskej komore, aby si od svojich členov – advokátov vypýtala platby, ktorými prispejú na jeho vytvorenie – umožňuje to § 29 ods. 1 zákona o advokácii.</w:t>
      </w:r>
      <w:r w:rsidR="00AF18AA">
        <w:rPr>
          <w:rFonts w:ascii="Book Antiqua" w:hAnsi="Book Antiqua"/>
          <w:color w:val="000000" w:themeColor="text1"/>
        </w:rPr>
        <w:t xml:space="preserve"> Členovia komory sa však nevyhnutne na nákladoch na takýto informačný systém podieľať nemusi</w:t>
      </w:r>
      <w:r w:rsidR="0009155F">
        <w:rPr>
          <w:rFonts w:ascii="Book Antiqua" w:hAnsi="Book Antiqua"/>
          <w:color w:val="000000" w:themeColor="text1"/>
        </w:rPr>
        <w:t>a</w:t>
      </w:r>
      <w:r w:rsidR="00AF18AA">
        <w:rPr>
          <w:rFonts w:ascii="Book Antiqua" w:hAnsi="Book Antiqua"/>
          <w:color w:val="000000" w:themeColor="text1"/>
        </w:rPr>
        <w:t>, pretože Slovenská advokátska komora získala z eurofondov sumu 620 000 eur na projekt s názvom „</w:t>
      </w:r>
      <w:r w:rsidR="00AF18AA" w:rsidRPr="0009155F">
        <w:rPr>
          <w:rFonts w:ascii="Book Antiqua" w:hAnsi="Book Antiqua"/>
          <w:i/>
          <w:iCs/>
          <w:color w:val="000000" w:themeColor="text1"/>
        </w:rPr>
        <w:t>Realizácia technologických a netechnologických zmien na front-ende a back-ende koncových služieb a webových sídel a vytváranie expertných ľudských kapacít v súlade s § 13a Zákona č. 95/2019 Z. z.</w:t>
      </w:r>
      <w:r w:rsidR="00AF18AA">
        <w:rPr>
          <w:rFonts w:ascii="Book Antiqua" w:hAnsi="Book Antiqua"/>
          <w:color w:val="000000" w:themeColor="text1"/>
        </w:rPr>
        <w:t>“, čo nepochybne zahŕňa aj vytvorenie centrálnej knihy autorizácií, ak by sa tak rozhodla, alebo by jej to prikazoval zákon.</w:t>
      </w:r>
    </w:p>
    <w:p w14:paraId="4DD14229" w14:textId="77777777" w:rsidR="0009155F" w:rsidRDefault="0009155F" w:rsidP="00BD60C9">
      <w:pPr>
        <w:tabs>
          <w:tab w:val="left" w:pos="708"/>
        </w:tabs>
        <w:spacing w:before="120" w:after="0" w:line="276" w:lineRule="auto"/>
        <w:jc w:val="both"/>
        <w:rPr>
          <w:rFonts w:ascii="Book Antiqua" w:hAnsi="Book Antiqua"/>
          <w:color w:val="000000" w:themeColor="text1"/>
          <w:u w:val="single"/>
        </w:rPr>
      </w:pPr>
    </w:p>
    <w:p w14:paraId="165FE644" w14:textId="77777777" w:rsidR="0009155F" w:rsidRDefault="0009155F" w:rsidP="00BD60C9">
      <w:pPr>
        <w:tabs>
          <w:tab w:val="left" w:pos="708"/>
        </w:tabs>
        <w:spacing w:before="120" w:after="0" w:line="276" w:lineRule="auto"/>
        <w:jc w:val="both"/>
        <w:rPr>
          <w:rFonts w:ascii="Book Antiqua" w:hAnsi="Book Antiqua"/>
          <w:color w:val="000000" w:themeColor="text1"/>
          <w:u w:val="single"/>
        </w:rPr>
      </w:pPr>
    </w:p>
    <w:p w14:paraId="4F3AAA0F" w14:textId="6FE3EF4A" w:rsidR="00633064" w:rsidRPr="00364D4E" w:rsidRDefault="00633064" w:rsidP="00BD60C9">
      <w:pPr>
        <w:tabs>
          <w:tab w:val="left" w:pos="708"/>
        </w:tabs>
        <w:spacing w:before="120" w:after="0" w:line="276" w:lineRule="auto"/>
        <w:jc w:val="both"/>
        <w:rPr>
          <w:rFonts w:ascii="Book Antiqua" w:hAnsi="Book Antiqua"/>
          <w:color w:val="000000" w:themeColor="text1"/>
          <w:u w:val="single"/>
        </w:rPr>
      </w:pPr>
      <w:r w:rsidRPr="00364D4E">
        <w:rPr>
          <w:rFonts w:ascii="Book Antiqua" w:hAnsi="Book Antiqua"/>
          <w:color w:val="000000" w:themeColor="text1"/>
          <w:u w:val="single"/>
        </w:rPr>
        <w:lastRenderedPageBreak/>
        <w:t>K bodu 4</w:t>
      </w:r>
    </w:p>
    <w:p w14:paraId="78F69812" w14:textId="7EDBE7AC" w:rsidR="00633064" w:rsidRPr="0009155F" w:rsidRDefault="00633064" w:rsidP="00BD60C9">
      <w:pPr>
        <w:tabs>
          <w:tab w:val="left" w:pos="708"/>
        </w:tabs>
        <w:spacing w:before="120" w:after="0" w:line="276" w:lineRule="auto"/>
        <w:jc w:val="both"/>
        <w:rPr>
          <w:rFonts w:ascii="Book Antiqua" w:eastAsia="Times New Roman" w:hAnsi="Book Antiqua" w:cs="Times New Roman"/>
          <w:color w:val="000000" w:themeColor="text1"/>
        </w:rPr>
      </w:pPr>
      <w:r w:rsidRPr="0009155F">
        <w:rPr>
          <w:rFonts w:ascii="Book Antiqua" w:hAnsi="Book Antiqua"/>
          <w:color w:val="000000" w:themeColor="text1"/>
        </w:rPr>
        <w:t xml:space="preserve">Prechodné ustanovenia </w:t>
      </w:r>
      <w:r w:rsidR="00364D4E" w:rsidRPr="0009155F">
        <w:rPr>
          <w:rFonts w:ascii="Book Antiqua" w:hAnsi="Book Antiqua"/>
          <w:color w:val="000000" w:themeColor="text1"/>
        </w:rPr>
        <w:t>upravujú</w:t>
      </w:r>
      <w:r w:rsidRPr="0009155F">
        <w:rPr>
          <w:rFonts w:ascii="Book Antiqua" w:hAnsi="Book Antiqua"/>
          <w:color w:val="000000" w:themeColor="text1"/>
        </w:rPr>
        <w:t>, že nové pravidlá sa budú vzťahovať až na zmluvy o prevode nehnuteľnosti, ktoré advokáti autorizujú po nadobudnutí účinnosti novely zákona, t.j. po 30. júni 2025.</w:t>
      </w:r>
    </w:p>
    <w:p w14:paraId="17920560" w14:textId="77777777" w:rsidR="0007515F" w:rsidRDefault="0007515F" w:rsidP="00BD60C9">
      <w:pPr>
        <w:tabs>
          <w:tab w:val="left" w:pos="708"/>
        </w:tabs>
        <w:spacing w:before="120" w:after="0" w:line="276" w:lineRule="auto"/>
        <w:jc w:val="both"/>
        <w:rPr>
          <w:rFonts w:ascii="Book Antiqua" w:eastAsia="Times New Roman" w:hAnsi="Book Antiqua" w:cs="Times New Roman"/>
          <w:b/>
          <w:color w:val="000000" w:themeColor="text1"/>
        </w:rPr>
      </w:pPr>
    </w:p>
    <w:p w14:paraId="30242AB4" w14:textId="603DA8D3" w:rsidR="00BD60C9" w:rsidRPr="000F3A93" w:rsidRDefault="00BD60C9" w:rsidP="00BD60C9">
      <w:pPr>
        <w:tabs>
          <w:tab w:val="left" w:pos="708"/>
        </w:tabs>
        <w:spacing w:before="120" w:after="0" w:line="276" w:lineRule="auto"/>
        <w:jc w:val="both"/>
        <w:rPr>
          <w:rFonts w:ascii="Book Antiqua" w:eastAsia="Times New Roman" w:hAnsi="Book Antiqua" w:cs="Times New Roman"/>
          <w:b/>
          <w:color w:val="000000" w:themeColor="text1"/>
        </w:rPr>
      </w:pPr>
      <w:r w:rsidRPr="000F3A93">
        <w:rPr>
          <w:rFonts w:ascii="Book Antiqua" w:eastAsia="Times New Roman" w:hAnsi="Book Antiqua" w:cs="Times New Roman"/>
          <w:b/>
          <w:color w:val="000000" w:themeColor="text1"/>
        </w:rPr>
        <w:t>K</w:t>
      </w:r>
      <w:r w:rsidR="00921A8E" w:rsidRPr="000F3A93">
        <w:rPr>
          <w:rFonts w:ascii="Book Antiqua" w:eastAsia="Times New Roman" w:hAnsi="Book Antiqua" w:cs="Times New Roman"/>
          <w:b/>
          <w:color w:val="000000" w:themeColor="text1"/>
        </w:rPr>
        <w:t> Čl. II</w:t>
      </w:r>
      <w:r w:rsidR="00AE7DDA">
        <w:rPr>
          <w:rFonts w:ascii="Book Antiqua" w:eastAsia="Times New Roman" w:hAnsi="Book Antiqua" w:cs="Times New Roman"/>
          <w:b/>
          <w:color w:val="000000" w:themeColor="text1"/>
        </w:rPr>
        <w:t>I</w:t>
      </w:r>
    </w:p>
    <w:p w14:paraId="00000029" w14:textId="43E935A5" w:rsidR="00386510" w:rsidRPr="00184CB0" w:rsidRDefault="00BB6162" w:rsidP="00AE0A03">
      <w:pPr>
        <w:tabs>
          <w:tab w:val="left" w:pos="708"/>
        </w:tabs>
        <w:spacing w:before="120" w:after="0" w:line="276" w:lineRule="auto"/>
        <w:jc w:val="both"/>
        <w:rPr>
          <w:rFonts w:ascii="Book Antiqua" w:eastAsia="Times New Roman" w:hAnsi="Book Antiqua" w:cs="Times New Roman"/>
          <w:b/>
          <w:color w:val="000000" w:themeColor="text1"/>
        </w:rPr>
      </w:pPr>
      <w:r w:rsidRPr="000F3A93">
        <w:rPr>
          <w:rFonts w:ascii="Book Antiqua" w:eastAsia="Times New Roman" w:hAnsi="Book Antiqua" w:cs="Times New Roman"/>
          <w:color w:val="000000" w:themeColor="text1"/>
        </w:rPr>
        <w:t xml:space="preserve">Navrhuje sa účinnosť návrhu zákona </w:t>
      </w:r>
      <w:r w:rsidR="00AE0A03" w:rsidRPr="000F3A93">
        <w:rPr>
          <w:rFonts w:ascii="Book Antiqua" w:eastAsia="Times New Roman" w:hAnsi="Book Antiqua" w:cs="Times New Roman"/>
          <w:color w:val="000000" w:themeColor="text1"/>
        </w:rPr>
        <w:t xml:space="preserve">na </w:t>
      </w:r>
      <w:r w:rsidRPr="000F3A93">
        <w:rPr>
          <w:rFonts w:ascii="Book Antiqua" w:eastAsia="Times New Roman" w:hAnsi="Book Antiqua" w:cs="Times New Roman"/>
          <w:color w:val="000000" w:themeColor="text1"/>
        </w:rPr>
        <w:t xml:space="preserve">1. </w:t>
      </w:r>
      <w:r w:rsidR="00BD60C9" w:rsidRPr="000F3A93">
        <w:rPr>
          <w:rFonts w:ascii="Book Antiqua" w:eastAsia="Times New Roman" w:hAnsi="Book Antiqua" w:cs="Times New Roman"/>
          <w:color w:val="000000" w:themeColor="text1"/>
        </w:rPr>
        <w:t>j</w:t>
      </w:r>
      <w:r w:rsidR="00AE7DDA">
        <w:rPr>
          <w:rFonts w:ascii="Book Antiqua" w:eastAsia="Times New Roman" w:hAnsi="Book Antiqua" w:cs="Times New Roman"/>
          <w:color w:val="000000" w:themeColor="text1"/>
        </w:rPr>
        <w:t>úla</w:t>
      </w:r>
      <w:r w:rsidR="00AD7716" w:rsidRPr="000F3A93">
        <w:rPr>
          <w:rFonts w:ascii="Book Antiqua" w:eastAsia="Times New Roman" w:hAnsi="Book Antiqua" w:cs="Times New Roman"/>
          <w:color w:val="000000" w:themeColor="text1"/>
        </w:rPr>
        <w:t xml:space="preserve"> 202</w:t>
      </w:r>
      <w:r w:rsidR="00BD60C9" w:rsidRPr="000F3A93">
        <w:rPr>
          <w:rFonts w:ascii="Book Antiqua" w:eastAsia="Times New Roman" w:hAnsi="Book Antiqua" w:cs="Times New Roman"/>
          <w:color w:val="000000" w:themeColor="text1"/>
        </w:rPr>
        <w:t>6</w:t>
      </w:r>
      <w:r w:rsidR="00184CB0">
        <w:rPr>
          <w:rFonts w:ascii="Book Antiqua" w:eastAsia="Times New Roman" w:hAnsi="Book Antiqua" w:cs="Times New Roman"/>
          <w:color w:val="000000" w:themeColor="text1"/>
        </w:rPr>
        <w:t xml:space="preserve">, </w:t>
      </w:r>
      <w:r w:rsidR="00AE7DDA">
        <w:rPr>
          <w:rFonts w:ascii="Book Antiqua" w:eastAsia="Times New Roman" w:hAnsi="Book Antiqua" w:cs="Times New Roman"/>
          <w:color w:val="000000" w:themeColor="text1"/>
        </w:rPr>
        <w:t xml:space="preserve">jednak kvôli zohľadneniu </w:t>
      </w:r>
      <w:r w:rsidR="00184CB0">
        <w:rPr>
          <w:rFonts w:ascii="Book Antiqua" w:eastAsia="Times New Roman" w:hAnsi="Book Antiqua" w:cs="Times New Roman"/>
          <w:color w:val="000000" w:themeColor="text1"/>
        </w:rPr>
        <w:t>primeranej legisvakancie</w:t>
      </w:r>
      <w:r w:rsidR="00AE7DDA">
        <w:rPr>
          <w:rFonts w:ascii="Book Antiqua" w:eastAsia="Times New Roman" w:hAnsi="Book Antiqua" w:cs="Times New Roman"/>
          <w:color w:val="000000" w:themeColor="text1"/>
        </w:rPr>
        <w:t xml:space="preserve">, keďže sa navrhujú nové povinnosti pre advokátov aj kataster nehnuteľností, ale tiež v súlade s § 19 ods. 6 zákona č. </w:t>
      </w:r>
      <w:r w:rsidR="0007515F">
        <w:rPr>
          <w:rFonts w:ascii="Book Antiqua" w:eastAsia="Times New Roman" w:hAnsi="Book Antiqua" w:cs="Times New Roman"/>
          <w:color w:val="000000" w:themeColor="text1"/>
        </w:rPr>
        <w:t>400/2015 Z. z. o tvorbe právnych predpisov a o Zbierke zákonov Slovenskej republiky a o zmene a doplnení niektorých zákonov v znení neskorších predpisov (dopad návrhu zákona na podnikateľov).</w:t>
      </w:r>
    </w:p>
    <w:p w14:paraId="0000002A" w14:textId="77777777" w:rsidR="00386510" w:rsidRPr="000F3A93"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themeColor="text1"/>
        </w:rPr>
      </w:pPr>
    </w:p>
    <w:p w14:paraId="1A693423" w14:textId="12BA8A14" w:rsidR="00A77F33" w:rsidRPr="000F3A93" w:rsidRDefault="00A77F33" w:rsidP="003B2158">
      <w:pPr>
        <w:tabs>
          <w:tab w:val="left" w:pos="6015"/>
        </w:tabs>
        <w:jc w:val="center"/>
        <w:rPr>
          <w:rFonts w:ascii="Book Antiqua" w:hAnsi="Book Antiqua" w:cs="Book Antiqua"/>
          <w:b/>
          <w:bCs/>
          <w:caps/>
          <w:color w:val="000000" w:themeColor="text1"/>
          <w:spacing w:val="30"/>
        </w:rPr>
      </w:pPr>
    </w:p>
    <w:p w14:paraId="194FE0A8" w14:textId="286A5A22" w:rsidR="009A375B" w:rsidRPr="000F3A93" w:rsidRDefault="009A375B" w:rsidP="003B2158">
      <w:pPr>
        <w:tabs>
          <w:tab w:val="left" w:pos="6015"/>
        </w:tabs>
        <w:jc w:val="center"/>
        <w:rPr>
          <w:rFonts w:ascii="Book Antiqua" w:hAnsi="Book Antiqua" w:cs="Book Antiqua"/>
          <w:b/>
          <w:bCs/>
          <w:caps/>
          <w:color w:val="000000" w:themeColor="text1"/>
          <w:spacing w:val="30"/>
        </w:rPr>
      </w:pPr>
    </w:p>
    <w:p w14:paraId="1310A0AC" w14:textId="7FF0A38C" w:rsidR="009A375B" w:rsidRPr="000F3A93" w:rsidRDefault="009A375B" w:rsidP="003B2158">
      <w:pPr>
        <w:tabs>
          <w:tab w:val="left" w:pos="6015"/>
        </w:tabs>
        <w:jc w:val="center"/>
        <w:rPr>
          <w:rFonts w:ascii="Book Antiqua" w:hAnsi="Book Antiqua" w:cs="Book Antiqua"/>
          <w:b/>
          <w:bCs/>
          <w:caps/>
          <w:color w:val="000000" w:themeColor="text1"/>
          <w:spacing w:val="30"/>
        </w:rPr>
      </w:pPr>
    </w:p>
    <w:p w14:paraId="4DBF337C" w14:textId="3B26FF2D" w:rsidR="009A375B" w:rsidRPr="000F3A93" w:rsidRDefault="009A375B" w:rsidP="003B2158">
      <w:pPr>
        <w:tabs>
          <w:tab w:val="left" w:pos="6015"/>
        </w:tabs>
        <w:jc w:val="center"/>
        <w:rPr>
          <w:rFonts w:ascii="Book Antiqua" w:hAnsi="Book Antiqua" w:cs="Book Antiqua"/>
          <w:b/>
          <w:bCs/>
          <w:caps/>
          <w:color w:val="000000" w:themeColor="text1"/>
          <w:spacing w:val="30"/>
        </w:rPr>
      </w:pPr>
    </w:p>
    <w:p w14:paraId="4286E95C" w14:textId="5E2248D8" w:rsidR="00D81B13" w:rsidRPr="00B14A4C" w:rsidRDefault="00D81B13" w:rsidP="00802C5B">
      <w:pPr>
        <w:tabs>
          <w:tab w:val="left" w:pos="6015"/>
        </w:tabs>
        <w:rPr>
          <w:rFonts w:ascii="Book Antiqua" w:hAnsi="Book Antiqua" w:cs="Book Antiqua"/>
          <w:b/>
          <w:bCs/>
          <w:caps/>
          <w:spacing w:val="30"/>
        </w:rPr>
      </w:pPr>
    </w:p>
    <w:p w14:paraId="2700FBFD" w14:textId="4CB016D8" w:rsidR="003B2158" w:rsidRPr="00AE0A03" w:rsidRDefault="003B2158" w:rsidP="00D81B13">
      <w:pPr>
        <w:pageBreakBefore/>
        <w:tabs>
          <w:tab w:val="left" w:pos="6015"/>
        </w:tabs>
        <w:spacing w:before="120" w:after="0" w:line="276" w:lineRule="auto"/>
        <w:jc w:val="center"/>
        <w:rPr>
          <w:rFonts w:ascii="Book Antiqua" w:hAnsi="Book Antiqua"/>
        </w:rPr>
      </w:pPr>
      <w:r w:rsidRPr="00AE0A03">
        <w:rPr>
          <w:rFonts w:ascii="Book Antiqua" w:hAnsi="Book Antiqua" w:cs="Book Antiqua"/>
          <w:b/>
          <w:bCs/>
          <w:caps/>
          <w:spacing w:val="30"/>
        </w:rPr>
        <w:lastRenderedPageBreak/>
        <w:t>DOLOŽKA ZLUČITEĽNOSTI</w:t>
      </w:r>
    </w:p>
    <w:p w14:paraId="6BCFEF60" w14:textId="77777777" w:rsidR="003B2158" w:rsidRPr="00AE0A03" w:rsidRDefault="003B2158" w:rsidP="00AE0A03">
      <w:pPr>
        <w:pStyle w:val="Normlnywebov1"/>
        <w:spacing w:before="120" w:after="0" w:line="276" w:lineRule="auto"/>
        <w:jc w:val="center"/>
        <w:rPr>
          <w:rFonts w:ascii="Book Antiqua" w:hAnsi="Book Antiqua"/>
          <w:sz w:val="22"/>
          <w:szCs w:val="22"/>
        </w:rPr>
      </w:pPr>
      <w:r w:rsidRPr="00AE0A03">
        <w:rPr>
          <w:rFonts w:ascii="Book Antiqua" w:hAnsi="Book Antiqua" w:cs="Book Antiqua"/>
          <w:b/>
          <w:bCs/>
          <w:sz w:val="22"/>
          <w:szCs w:val="22"/>
        </w:rPr>
        <w:t>návrhu zákona</w:t>
      </w:r>
      <w:r w:rsidRPr="00AE0A03">
        <w:rPr>
          <w:rFonts w:ascii="Book Antiqua" w:hAnsi="Book Antiqua" w:cs="Book Antiqua"/>
          <w:sz w:val="22"/>
          <w:szCs w:val="22"/>
        </w:rPr>
        <w:t xml:space="preserve"> </w:t>
      </w:r>
      <w:r w:rsidRPr="00AE0A03">
        <w:rPr>
          <w:rFonts w:ascii="Book Antiqua" w:hAnsi="Book Antiqua" w:cs="Book Antiqua"/>
          <w:b/>
          <w:bCs/>
          <w:sz w:val="22"/>
          <w:szCs w:val="22"/>
        </w:rPr>
        <w:t>s právom Európskej únie</w:t>
      </w:r>
    </w:p>
    <w:p w14:paraId="231F273E" w14:textId="77777777" w:rsidR="003B2158" w:rsidRPr="00AE0A03" w:rsidRDefault="003B2158" w:rsidP="00AE0A03">
      <w:pPr>
        <w:pStyle w:val="Normlnywebov1"/>
        <w:spacing w:before="120" w:after="0" w:line="276" w:lineRule="auto"/>
        <w:jc w:val="both"/>
        <w:rPr>
          <w:rFonts w:ascii="Book Antiqua" w:hAnsi="Book Antiqua"/>
          <w:sz w:val="22"/>
          <w:szCs w:val="22"/>
        </w:rPr>
      </w:pPr>
      <w:r w:rsidRPr="00AE0A03">
        <w:rPr>
          <w:rFonts w:ascii="Book Antiqua" w:hAnsi="Book Antiqua" w:cs="Book Antiqua"/>
          <w:sz w:val="22"/>
          <w:szCs w:val="22"/>
        </w:rPr>
        <w:t> </w:t>
      </w:r>
    </w:p>
    <w:p w14:paraId="66BBC018" w14:textId="4A04FB21" w:rsidR="003B2158" w:rsidRDefault="003B2158" w:rsidP="005F0557">
      <w:pPr>
        <w:pStyle w:val="Normlnywebov1"/>
        <w:spacing w:before="0" w:after="120" w:line="276" w:lineRule="auto"/>
        <w:jc w:val="both"/>
        <w:rPr>
          <w:rFonts w:ascii="Book Antiqua" w:hAnsi="Book Antiqua" w:cs="Book Antiqua"/>
          <w:color w:val="000000" w:themeColor="text1"/>
          <w:sz w:val="22"/>
          <w:szCs w:val="22"/>
        </w:rPr>
      </w:pPr>
      <w:r w:rsidRPr="005F0557">
        <w:rPr>
          <w:rFonts w:ascii="Book Antiqua" w:hAnsi="Book Antiqua" w:cs="Book Antiqua"/>
          <w:b/>
          <w:bCs/>
          <w:color w:val="000000" w:themeColor="text1"/>
          <w:sz w:val="22"/>
          <w:szCs w:val="22"/>
        </w:rPr>
        <w:t>1. Navrhovateľ zákona:</w:t>
      </w:r>
      <w:r w:rsidRPr="005F0557">
        <w:rPr>
          <w:rFonts w:ascii="Book Antiqua" w:hAnsi="Book Antiqua" w:cs="Book Antiqua"/>
          <w:color w:val="000000" w:themeColor="text1"/>
          <w:sz w:val="22"/>
          <w:szCs w:val="22"/>
        </w:rPr>
        <w:t xml:space="preserve"> </w:t>
      </w:r>
      <w:r w:rsidR="00194A04" w:rsidRPr="00194A04">
        <w:rPr>
          <w:rFonts w:ascii="Book Antiqua" w:hAnsi="Book Antiqua" w:cs="Book Antiqua"/>
          <w:color w:val="000000" w:themeColor="text1"/>
          <w:sz w:val="22"/>
          <w:szCs w:val="22"/>
        </w:rPr>
        <w:t>skupina poslancov Národnej rady Slovenskej republiky</w:t>
      </w:r>
    </w:p>
    <w:p w14:paraId="16629587" w14:textId="77777777" w:rsidR="00581B5A" w:rsidRPr="005F0557" w:rsidRDefault="00581B5A" w:rsidP="005F0557">
      <w:pPr>
        <w:pStyle w:val="Normlnywebov1"/>
        <w:spacing w:before="0" w:after="120" w:line="276" w:lineRule="auto"/>
        <w:jc w:val="both"/>
        <w:rPr>
          <w:rFonts w:ascii="Book Antiqua" w:hAnsi="Book Antiqua" w:cs="Book Antiqua"/>
          <w:color w:val="000000" w:themeColor="text1"/>
          <w:sz w:val="22"/>
          <w:szCs w:val="22"/>
        </w:rPr>
      </w:pPr>
    </w:p>
    <w:p w14:paraId="4F6C85AF" w14:textId="44FEB6E1" w:rsidR="007954BA" w:rsidRDefault="003B2158" w:rsidP="007954BA">
      <w:pPr>
        <w:spacing w:after="120" w:line="276" w:lineRule="auto"/>
        <w:jc w:val="both"/>
        <w:rPr>
          <w:rFonts w:ascii="Book Antiqua" w:hAnsi="Book Antiqua"/>
          <w:color w:val="000000" w:themeColor="text1"/>
        </w:rPr>
      </w:pPr>
      <w:r w:rsidRPr="005F0557">
        <w:rPr>
          <w:rFonts w:ascii="Book Antiqua" w:hAnsi="Book Antiqua" w:cs="Book Antiqua"/>
          <w:b/>
          <w:bCs/>
          <w:color w:val="000000" w:themeColor="text1"/>
        </w:rPr>
        <w:t>2. Názov návrhu právneho predpisu:</w:t>
      </w:r>
      <w:r w:rsidRPr="005F0557">
        <w:rPr>
          <w:rFonts w:ascii="Book Antiqua" w:hAnsi="Book Antiqua" w:cs="Book Antiqua"/>
          <w:b/>
          <w:color w:val="000000" w:themeColor="text1"/>
        </w:rPr>
        <w:t xml:space="preserve"> </w:t>
      </w:r>
      <w:r w:rsidR="00FC02F5">
        <w:rPr>
          <w:rFonts w:ascii="Book Antiqua" w:hAnsi="Book Antiqua" w:cs="Book Antiqua"/>
          <w:bCs/>
          <w:color w:val="000000" w:themeColor="text1"/>
        </w:rPr>
        <w:t xml:space="preserve">návrh zákona, </w:t>
      </w:r>
      <w:r w:rsidR="00FC02F5" w:rsidRPr="006B32F9">
        <w:rPr>
          <w:rFonts w:ascii="Book Antiqua" w:hAnsi="Book Antiqua"/>
          <w:color w:val="000000" w:themeColor="text1"/>
        </w:rPr>
        <w:t>ktorým sa</w:t>
      </w:r>
      <w:r w:rsidR="00FC02F5">
        <w:rPr>
          <w:rFonts w:ascii="Book Antiqua" w:hAnsi="Book Antiqua"/>
          <w:color w:val="000000" w:themeColor="text1"/>
        </w:rPr>
        <w:t xml:space="preserve"> mení a </w:t>
      </w:r>
      <w:r w:rsidR="00FC02F5" w:rsidRPr="006B32F9">
        <w:rPr>
          <w:rFonts w:ascii="Book Antiqua" w:hAnsi="Book Antiqua"/>
          <w:color w:val="000000" w:themeColor="text1"/>
        </w:rPr>
        <w:t xml:space="preserve">dopĺňa zákon </w:t>
      </w:r>
      <w:r w:rsidR="00FC02F5">
        <w:rPr>
          <w:rFonts w:ascii="Book Antiqua" w:hAnsi="Book Antiqua"/>
          <w:color w:val="000000" w:themeColor="text1"/>
        </w:rPr>
        <w:t xml:space="preserve">Národnej rady Slovenskej republiky </w:t>
      </w:r>
      <w:r w:rsidR="00FC02F5" w:rsidRPr="006B32F9">
        <w:rPr>
          <w:rFonts w:ascii="Book Antiqua" w:hAnsi="Book Antiqua"/>
          <w:color w:val="000000" w:themeColor="text1"/>
        </w:rPr>
        <w:t xml:space="preserve">č. </w:t>
      </w:r>
      <w:r w:rsidR="00FC02F5">
        <w:rPr>
          <w:rFonts w:ascii="Book Antiqua" w:hAnsi="Book Antiqua"/>
          <w:color w:val="000000" w:themeColor="text1"/>
        </w:rPr>
        <w:t>162/1995 Z. z. o katastri nehnuteľností a o zápise vlastníckych a iných práv k nehnuteľnostiam (katastrálny zákon) v znení neskorších predpisov a ktorým sa mení a dopĺňa zákon č. 586/2003 Z. z. o advokácii a o zmene a doplnení zákona č. 455/1991 Zb. o živnostenskom podnikaní (živnostenský zákon) v znení neskorších predpisov</w:t>
      </w:r>
    </w:p>
    <w:p w14:paraId="0079ADFA" w14:textId="77777777" w:rsidR="00581B5A" w:rsidRDefault="00581B5A" w:rsidP="007954BA">
      <w:pPr>
        <w:spacing w:after="120" w:line="276" w:lineRule="auto"/>
        <w:jc w:val="both"/>
        <w:rPr>
          <w:rFonts w:ascii="Book Antiqua" w:hAnsi="Book Antiqua"/>
          <w:color w:val="000000" w:themeColor="text1"/>
        </w:rPr>
      </w:pPr>
    </w:p>
    <w:p w14:paraId="08A21804" w14:textId="77777777" w:rsidR="007954BA" w:rsidRPr="007954BA" w:rsidRDefault="007954BA" w:rsidP="007954BA">
      <w:pPr>
        <w:spacing w:after="120" w:line="240" w:lineRule="auto"/>
        <w:jc w:val="both"/>
        <w:rPr>
          <w:rFonts w:ascii="Book Antiqua" w:eastAsia="Times New Roman" w:hAnsi="Book Antiqua" w:cs="Times New Roman"/>
          <w:b/>
          <w:bCs/>
          <w:color w:val="000000" w:themeColor="text1"/>
        </w:rPr>
      </w:pPr>
      <w:r w:rsidRPr="007954BA">
        <w:rPr>
          <w:rFonts w:ascii="Book Antiqua" w:eastAsia="Times New Roman" w:hAnsi="Book Antiqua" w:cs="Times New Roman"/>
          <w:b/>
          <w:bCs/>
          <w:color w:val="000000" w:themeColor="text1"/>
        </w:rPr>
        <w:t>3. Predmet návrhu zákona:</w:t>
      </w:r>
    </w:p>
    <w:p w14:paraId="4D800048" w14:textId="77777777" w:rsidR="007954BA" w:rsidRPr="007954BA" w:rsidRDefault="007954BA" w:rsidP="007954BA">
      <w:pPr>
        <w:spacing w:after="120" w:line="240" w:lineRule="auto"/>
        <w:ind w:left="284"/>
        <w:jc w:val="both"/>
        <w:rPr>
          <w:rFonts w:ascii="Book Antiqua" w:eastAsia="Times New Roman" w:hAnsi="Book Antiqua" w:cs="Times New Roman"/>
          <w:color w:val="000000" w:themeColor="text1"/>
        </w:rPr>
      </w:pPr>
      <w:r w:rsidRPr="007954BA">
        <w:rPr>
          <w:rFonts w:ascii="Book Antiqua" w:eastAsia="Times New Roman" w:hAnsi="Book Antiqua" w:cs="Times New Roman"/>
          <w:b/>
          <w:bCs/>
          <w:color w:val="000000" w:themeColor="text1"/>
        </w:rPr>
        <w:t>a)</w:t>
      </w:r>
      <w:r w:rsidRPr="007954BA">
        <w:rPr>
          <w:rFonts w:ascii="Book Antiqua" w:eastAsia="Times New Roman" w:hAnsi="Book Antiqua" w:cs="Times New Roman"/>
          <w:b/>
          <w:bCs/>
          <w:color w:val="000000" w:themeColor="text1"/>
        </w:rPr>
        <w:tab/>
      </w:r>
      <w:r w:rsidRPr="007954BA">
        <w:rPr>
          <w:rFonts w:ascii="Book Antiqua" w:eastAsia="Times New Roman" w:hAnsi="Book Antiqua" w:cs="Times New Roman"/>
          <w:color w:val="000000" w:themeColor="text1"/>
        </w:rPr>
        <w:t>nie je upravený v primárnom práve Európskej únie,</w:t>
      </w:r>
    </w:p>
    <w:p w14:paraId="4297B827" w14:textId="77777777" w:rsidR="007954BA" w:rsidRPr="007954BA" w:rsidRDefault="007954BA" w:rsidP="007954BA">
      <w:pPr>
        <w:spacing w:after="120" w:line="240" w:lineRule="auto"/>
        <w:ind w:left="284"/>
        <w:jc w:val="both"/>
        <w:rPr>
          <w:rFonts w:ascii="Book Antiqua" w:eastAsia="Times New Roman" w:hAnsi="Book Antiqua" w:cs="Times New Roman"/>
          <w:color w:val="000000" w:themeColor="text1"/>
        </w:rPr>
      </w:pPr>
      <w:r w:rsidRPr="007954BA">
        <w:rPr>
          <w:rFonts w:ascii="Book Antiqua" w:eastAsia="Times New Roman" w:hAnsi="Book Antiqua" w:cs="Times New Roman"/>
          <w:b/>
          <w:bCs/>
          <w:color w:val="000000" w:themeColor="text1"/>
        </w:rPr>
        <w:t>b)</w:t>
      </w:r>
      <w:r w:rsidRPr="007954BA">
        <w:rPr>
          <w:rFonts w:ascii="Book Antiqua" w:eastAsia="Times New Roman" w:hAnsi="Book Antiqua" w:cs="Times New Roman"/>
          <w:color w:val="000000" w:themeColor="text1"/>
        </w:rPr>
        <w:tab/>
        <w:t xml:space="preserve">nie je upravený v sekundárnom práve Európskej únie, </w:t>
      </w:r>
    </w:p>
    <w:p w14:paraId="51807C85" w14:textId="77777777" w:rsidR="007954BA" w:rsidRPr="007954BA" w:rsidRDefault="007954BA" w:rsidP="007954BA">
      <w:pPr>
        <w:spacing w:after="120" w:line="240" w:lineRule="auto"/>
        <w:ind w:left="284"/>
        <w:jc w:val="both"/>
        <w:rPr>
          <w:rFonts w:ascii="Book Antiqua" w:eastAsia="Times New Roman" w:hAnsi="Book Antiqua" w:cs="Times New Roman"/>
          <w:color w:val="000000" w:themeColor="text1"/>
        </w:rPr>
      </w:pPr>
      <w:r w:rsidRPr="007954BA">
        <w:rPr>
          <w:rFonts w:ascii="Book Antiqua" w:eastAsia="Times New Roman" w:hAnsi="Book Antiqua" w:cs="Times New Roman"/>
          <w:b/>
          <w:bCs/>
          <w:color w:val="000000" w:themeColor="text1"/>
        </w:rPr>
        <w:t>c)</w:t>
      </w:r>
      <w:r w:rsidRPr="007954BA">
        <w:rPr>
          <w:rFonts w:ascii="Book Antiqua" w:eastAsia="Times New Roman" w:hAnsi="Book Antiqua" w:cs="Times New Roman"/>
          <w:color w:val="000000" w:themeColor="text1"/>
        </w:rPr>
        <w:tab/>
        <w:t>nie je obsiahnutý v judikatúre Súdneho dvora Európskej únie.</w:t>
      </w:r>
    </w:p>
    <w:p w14:paraId="58C782B8" w14:textId="77777777" w:rsidR="007F2546" w:rsidRDefault="007F2546" w:rsidP="007954BA">
      <w:pPr>
        <w:spacing w:after="120" w:line="240" w:lineRule="auto"/>
        <w:jc w:val="both"/>
        <w:rPr>
          <w:rFonts w:ascii="Book Antiqua" w:eastAsia="Times New Roman" w:hAnsi="Book Antiqua" w:cs="Times New Roman"/>
          <w:b/>
          <w:bCs/>
          <w:color w:val="000000" w:themeColor="text1"/>
        </w:rPr>
      </w:pPr>
    </w:p>
    <w:p w14:paraId="21CFDF5D" w14:textId="434C14D2" w:rsidR="00D81B13" w:rsidRDefault="007954BA" w:rsidP="007954BA">
      <w:pPr>
        <w:spacing w:after="120" w:line="240" w:lineRule="auto"/>
        <w:jc w:val="both"/>
        <w:rPr>
          <w:rFonts w:ascii="Book Antiqua" w:hAnsi="Book Antiqua"/>
          <w:b/>
        </w:rPr>
      </w:pPr>
      <w:r w:rsidRPr="007954BA">
        <w:rPr>
          <w:rFonts w:ascii="Book Antiqua" w:eastAsia="Times New Roman" w:hAnsi="Book Antiqua" w:cs="Times New Roman"/>
          <w:b/>
          <w:bCs/>
          <w:color w:val="000000" w:themeColor="text1"/>
        </w:rPr>
        <w:t>Vzhľadom na to, že predmet návrhu zákona nie je upravený v práve Európskej únie, je bezpredmetné vyjadrovať sa k bodom 4. a 5.</w:t>
      </w:r>
    </w:p>
    <w:p w14:paraId="707E5EFF" w14:textId="4CEFAD15" w:rsidR="00AD7716" w:rsidRPr="00D524FA" w:rsidRDefault="00AD7716" w:rsidP="00D81B13">
      <w:pPr>
        <w:pageBreakBefore/>
        <w:spacing w:after="120" w:line="240" w:lineRule="auto"/>
        <w:jc w:val="center"/>
        <w:rPr>
          <w:rFonts w:ascii="Book Antiqua" w:eastAsia="Times New Roman" w:hAnsi="Book Antiqua" w:cs="Times New Roman"/>
          <w:color w:val="000000" w:themeColor="text1"/>
        </w:rPr>
      </w:pPr>
      <w:r w:rsidRPr="00D524FA">
        <w:rPr>
          <w:rFonts w:ascii="Book Antiqua" w:hAnsi="Book Antiqua"/>
          <w:b/>
        </w:rPr>
        <w:lastRenderedPageBreak/>
        <w:t>Doložka vybraných vplyvov</w:t>
      </w:r>
    </w:p>
    <w:p w14:paraId="3B0F4F94" w14:textId="77777777" w:rsidR="00AD7716" w:rsidRPr="00D524FA" w:rsidRDefault="00AD7716" w:rsidP="00AD7716">
      <w:pPr>
        <w:ind w:left="426"/>
        <w:contextualSpacing/>
        <w:rPr>
          <w:rFonts w:ascii="Book Antiqua"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AD7716" w:rsidRPr="00D524FA" w14:paraId="452EB5C7" w14:textId="77777777" w:rsidTr="00AC02BC">
        <w:tc>
          <w:tcPr>
            <w:tcW w:w="9180" w:type="dxa"/>
            <w:gridSpan w:val="9"/>
            <w:tcBorders>
              <w:bottom w:val="single" w:sz="4" w:space="0" w:color="FFFFFF"/>
            </w:tcBorders>
            <w:shd w:val="clear" w:color="auto" w:fill="E2E2E2"/>
          </w:tcPr>
          <w:p w14:paraId="556CACD1"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Základné údaje</w:t>
            </w:r>
          </w:p>
        </w:tc>
      </w:tr>
      <w:tr w:rsidR="00AD7716" w:rsidRPr="00D524FA" w14:paraId="25FD5352" w14:textId="77777777" w:rsidTr="00AC02BC">
        <w:tc>
          <w:tcPr>
            <w:tcW w:w="9180" w:type="dxa"/>
            <w:gridSpan w:val="9"/>
            <w:tcBorders>
              <w:bottom w:val="single" w:sz="4" w:space="0" w:color="FFFFFF"/>
            </w:tcBorders>
            <w:shd w:val="clear" w:color="auto" w:fill="E2E2E2"/>
          </w:tcPr>
          <w:p w14:paraId="2C0063B1" w14:textId="77777777" w:rsidR="00AD7716" w:rsidRPr="00D524FA" w:rsidRDefault="00AD7716" w:rsidP="00AC02BC">
            <w:pPr>
              <w:ind w:left="142"/>
              <w:contextualSpacing/>
              <w:rPr>
                <w:rFonts w:ascii="Book Antiqua" w:eastAsia="Calibri" w:hAnsi="Book Antiqua"/>
                <w:b/>
                <w:sz w:val="20"/>
                <w:szCs w:val="20"/>
              </w:rPr>
            </w:pPr>
            <w:r w:rsidRPr="00D524FA">
              <w:rPr>
                <w:rFonts w:ascii="Book Antiqua" w:eastAsia="Calibri" w:hAnsi="Book Antiqua"/>
                <w:b/>
                <w:sz w:val="20"/>
                <w:szCs w:val="20"/>
              </w:rPr>
              <w:t>Názov návrhu zákona</w:t>
            </w:r>
          </w:p>
        </w:tc>
      </w:tr>
      <w:tr w:rsidR="00AD7716" w:rsidRPr="00D524FA" w14:paraId="72E873B6" w14:textId="77777777" w:rsidTr="00AC02BC">
        <w:tc>
          <w:tcPr>
            <w:tcW w:w="9180" w:type="dxa"/>
            <w:gridSpan w:val="9"/>
            <w:tcBorders>
              <w:top w:val="single" w:sz="4" w:space="0" w:color="FFFFFF"/>
              <w:bottom w:val="single" w:sz="4" w:space="0" w:color="auto"/>
            </w:tcBorders>
          </w:tcPr>
          <w:p w14:paraId="0272385A" w14:textId="166A44BA" w:rsidR="00AD7716" w:rsidRPr="00D524FA" w:rsidRDefault="000B23BC" w:rsidP="00711499">
            <w:pPr>
              <w:spacing w:after="120" w:line="276" w:lineRule="auto"/>
              <w:jc w:val="both"/>
              <w:rPr>
                <w:rFonts w:ascii="Book Antiqua" w:hAnsi="Book Antiqua" w:cs="Times New Roman"/>
                <w:color w:val="000000" w:themeColor="text1"/>
                <w:sz w:val="20"/>
                <w:szCs w:val="20"/>
                <w:shd w:val="clear" w:color="auto" w:fill="FFFFFF"/>
              </w:rPr>
            </w:pPr>
            <w:r>
              <w:rPr>
                <w:rFonts w:ascii="Book Antiqua" w:hAnsi="Book Antiqua" w:cs="Times New Roman"/>
                <w:color w:val="000000" w:themeColor="text1"/>
                <w:sz w:val="20"/>
                <w:szCs w:val="20"/>
              </w:rPr>
              <w:t>n</w:t>
            </w:r>
            <w:r w:rsidR="006D485C" w:rsidRPr="006D485C">
              <w:rPr>
                <w:rFonts w:ascii="Book Antiqua" w:hAnsi="Book Antiqua" w:cs="Times New Roman"/>
                <w:color w:val="000000" w:themeColor="text1"/>
                <w:sz w:val="20"/>
                <w:szCs w:val="20"/>
              </w:rPr>
              <w:t xml:space="preserve">ávrh zákona, </w:t>
            </w:r>
            <w:r w:rsidR="00FC02F5" w:rsidRPr="006B32F9">
              <w:rPr>
                <w:rFonts w:ascii="Book Antiqua" w:hAnsi="Book Antiqua"/>
                <w:color w:val="000000" w:themeColor="text1"/>
              </w:rPr>
              <w:t>ktorým sa</w:t>
            </w:r>
            <w:r w:rsidR="00FC02F5">
              <w:rPr>
                <w:rFonts w:ascii="Book Antiqua" w:hAnsi="Book Antiqua"/>
                <w:color w:val="000000" w:themeColor="text1"/>
              </w:rPr>
              <w:t xml:space="preserve"> mení a </w:t>
            </w:r>
            <w:r w:rsidR="00FC02F5" w:rsidRPr="006B32F9">
              <w:rPr>
                <w:rFonts w:ascii="Book Antiqua" w:hAnsi="Book Antiqua"/>
                <w:color w:val="000000" w:themeColor="text1"/>
              </w:rPr>
              <w:t xml:space="preserve">dopĺňa zákon </w:t>
            </w:r>
            <w:r w:rsidR="00FC02F5">
              <w:rPr>
                <w:rFonts w:ascii="Book Antiqua" w:hAnsi="Book Antiqua"/>
                <w:color w:val="000000" w:themeColor="text1"/>
              </w:rPr>
              <w:t xml:space="preserve">Národnej rady Slovenskej republiky     </w:t>
            </w:r>
            <w:r>
              <w:rPr>
                <w:rFonts w:ascii="Book Antiqua" w:hAnsi="Book Antiqua"/>
                <w:color w:val="000000" w:themeColor="text1"/>
              </w:rPr>
              <w:t xml:space="preserve">                     </w:t>
            </w:r>
            <w:r w:rsidR="00FC02F5" w:rsidRPr="006B32F9">
              <w:rPr>
                <w:rFonts w:ascii="Book Antiqua" w:hAnsi="Book Antiqua"/>
                <w:color w:val="000000" w:themeColor="text1"/>
              </w:rPr>
              <w:t xml:space="preserve">č. </w:t>
            </w:r>
            <w:r w:rsidR="00FC02F5">
              <w:rPr>
                <w:rFonts w:ascii="Book Antiqua" w:hAnsi="Book Antiqua"/>
                <w:color w:val="000000" w:themeColor="text1"/>
              </w:rPr>
              <w:t>162/1995 Z. z. o katastri nehnuteľností a o zápise vlastníckych a iných práv k nehnuteľnostiam (katastrálny zákon) v znení neskorších predpisov a ktorým sa mení a dopĺňa zákon č. 586/2003 Z. z. o advokácii a o zmene a doplnení zákona č. 455/1991 Zb. o živnostenskom podnikaní (živnostenský zákon) v znení neskorších predpisov</w:t>
            </w:r>
          </w:p>
        </w:tc>
      </w:tr>
      <w:tr w:rsidR="00AD7716" w:rsidRPr="00D524FA" w14:paraId="16AD1E47" w14:textId="77777777" w:rsidTr="00AC02BC">
        <w:tc>
          <w:tcPr>
            <w:tcW w:w="9180" w:type="dxa"/>
            <w:gridSpan w:val="9"/>
            <w:tcBorders>
              <w:top w:val="single" w:sz="4" w:space="0" w:color="auto"/>
              <w:left w:val="single" w:sz="4" w:space="0" w:color="auto"/>
              <w:bottom w:val="single" w:sz="4" w:space="0" w:color="FFFFFF"/>
            </w:tcBorders>
            <w:shd w:val="clear" w:color="auto" w:fill="E2E2E2"/>
          </w:tcPr>
          <w:p w14:paraId="5AAC14F7" w14:textId="77777777" w:rsidR="00AD7716" w:rsidRPr="00D524FA" w:rsidRDefault="00AD7716" w:rsidP="00AC02BC">
            <w:pPr>
              <w:ind w:left="142"/>
              <w:contextualSpacing/>
              <w:rPr>
                <w:rFonts w:ascii="Book Antiqua" w:eastAsia="Calibri" w:hAnsi="Book Antiqua"/>
                <w:b/>
                <w:sz w:val="20"/>
                <w:szCs w:val="20"/>
              </w:rPr>
            </w:pPr>
            <w:r w:rsidRPr="00D524FA">
              <w:rPr>
                <w:rFonts w:ascii="Book Antiqua" w:eastAsia="Calibri" w:hAnsi="Book Antiqua"/>
                <w:b/>
                <w:sz w:val="20"/>
                <w:szCs w:val="20"/>
              </w:rPr>
              <w:t>Navrhovateľ (a spolunavrhovatelia)</w:t>
            </w:r>
          </w:p>
        </w:tc>
      </w:tr>
      <w:tr w:rsidR="00AD7716" w:rsidRPr="00D524FA" w14:paraId="7C012A87" w14:textId="77777777" w:rsidTr="00AC02BC">
        <w:tc>
          <w:tcPr>
            <w:tcW w:w="9180" w:type="dxa"/>
            <w:gridSpan w:val="9"/>
            <w:tcBorders>
              <w:top w:val="single" w:sz="4" w:space="0" w:color="FFFFFF"/>
              <w:left w:val="single" w:sz="4" w:space="0" w:color="auto"/>
              <w:bottom w:val="single" w:sz="4" w:space="0" w:color="auto"/>
            </w:tcBorders>
            <w:shd w:val="clear" w:color="auto" w:fill="FFFFFF"/>
          </w:tcPr>
          <w:p w14:paraId="0A6F3568" w14:textId="6E5882AC" w:rsidR="00AD7716" w:rsidRPr="00D524FA" w:rsidRDefault="00194A04" w:rsidP="00AC02BC">
            <w:pPr>
              <w:rPr>
                <w:rFonts w:ascii="Book Antiqua" w:eastAsia="Times New Roman" w:hAnsi="Book Antiqua"/>
                <w:sz w:val="20"/>
                <w:szCs w:val="20"/>
                <w:lang w:eastAsia="sk-SK"/>
              </w:rPr>
            </w:pPr>
            <w:r w:rsidRPr="00194A04">
              <w:rPr>
                <w:rFonts w:ascii="Book Antiqua" w:eastAsia="Times New Roman" w:hAnsi="Book Antiqua"/>
                <w:sz w:val="20"/>
                <w:szCs w:val="20"/>
                <w:lang w:eastAsia="sk-SK"/>
              </w:rPr>
              <w:t>skupina poslancov Národnej rady Slovenskej republiky</w:t>
            </w:r>
          </w:p>
          <w:p w14:paraId="67607F51" w14:textId="77777777" w:rsidR="00AD7716" w:rsidRPr="00D524FA" w:rsidRDefault="00AD7716" w:rsidP="00AC02BC">
            <w:pPr>
              <w:rPr>
                <w:rFonts w:ascii="Book Antiqua" w:eastAsia="Times New Roman" w:hAnsi="Book Antiqua"/>
                <w:sz w:val="20"/>
                <w:szCs w:val="20"/>
                <w:lang w:eastAsia="sk-SK"/>
              </w:rPr>
            </w:pPr>
          </w:p>
        </w:tc>
      </w:tr>
      <w:tr w:rsidR="00AD7716" w:rsidRPr="00D524FA" w14:paraId="71F3C15C" w14:textId="77777777" w:rsidTr="00AC02BC">
        <w:tc>
          <w:tcPr>
            <w:tcW w:w="9180" w:type="dxa"/>
            <w:gridSpan w:val="9"/>
            <w:tcBorders>
              <w:top w:val="single" w:sz="4" w:space="0" w:color="auto"/>
              <w:left w:val="nil"/>
              <w:bottom w:val="single" w:sz="4" w:space="0" w:color="auto"/>
              <w:right w:val="nil"/>
            </w:tcBorders>
            <w:shd w:val="clear" w:color="auto" w:fill="FFFFFF"/>
          </w:tcPr>
          <w:p w14:paraId="53C970A8" w14:textId="77777777" w:rsidR="00AD7716" w:rsidRPr="00D524FA" w:rsidRDefault="00AD7716" w:rsidP="00AC02BC">
            <w:pPr>
              <w:rPr>
                <w:rFonts w:ascii="Book Antiqua" w:eastAsia="Times New Roman" w:hAnsi="Book Antiqua"/>
                <w:sz w:val="20"/>
                <w:szCs w:val="20"/>
                <w:lang w:eastAsia="sk-SK"/>
              </w:rPr>
            </w:pPr>
          </w:p>
        </w:tc>
      </w:tr>
      <w:tr w:rsidR="00AD7716" w:rsidRPr="00D524FA" w14:paraId="5614ADCE"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F4DC894"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Definovanie problému</w:t>
            </w:r>
          </w:p>
        </w:tc>
      </w:tr>
      <w:tr w:rsidR="00AD7716" w:rsidRPr="00214D57" w14:paraId="66C2EF32" w14:textId="77777777" w:rsidTr="00AC02BC">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41F87712" w14:textId="77777777" w:rsidR="00A64B28" w:rsidRPr="00214D57" w:rsidRDefault="00A64B28" w:rsidP="00A64B28">
            <w:pPr>
              <w:jc w:val="both"/>
              <w:rPr>
                <w:rFonts w:ascii="Book Antiqua" w:eastAsia="Times New Roman" w:hAnsi="Book Antiqua" w:cs="Times New Roman"/>
                <w:i/>
                <w:sz w:val="20"/>
                <w:szCs w:val="20"/>
                <w:lang w:eastAsia="sk-SK"/>
              </w:rPr>
            </w:pPr>
            <w:r w:rsidRPr="00214D57">
              <w:rPr>
                <w:rFonts w:ascii="Book Antiqua" w:eastAsia="Times New Roman" w:hAnsi="Book Antiqua"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6E22A3F2" w14:textId="77777777" w:rsidR="00A64B28" w:rsidRPr="00214D57" w:rsidRDefault="00A64B28" w:rsidP="00AC02BC">
            <w:pPr>
              <w:jc w:val="both"/>
              <w:rPr>
                <w:rFonts w:ascii="Book Antiqua" w:eastAsia="Times New Roman" w:hAnsi="Book Antiqua"/>
                <w:i/>
                <w:sz w:val="20"/>
                <w:szCs w:val="20"/>
                <w:lang w:eastAsia="sk-SK"/>
              </w:rPr>
            </w:pPr>
          </w:p>
          <w:p w14:paraId="725CA215" w14:textId="76355116" w:rsidR="00AD7716" w:rsidRPr="00FC02F5" w:rsidRDefault="00FC02F5" w:rsidP="00D524FA">
            <w:pPr>
              <w:jc w:val="both"/>
              <w:rPr>
                <w:rFonts w:ascii="Book Antiqua" w:eastAsia="Times New Roman" w:hAnsi="Book Antiqua"/>
                <w:sz w:val="20"/>
                <w:szCs w:val="20"/>
                <w:lang w:eastAsia="sk-SK"/>
              </w:rPr>
            </w:pPr>
            <w:r>
              <w:rPr>
                <w:rFonts w:ascii="Book Antiqua" w:hAnsi="Book Antiqua"/>
              </w:rPr>
              <w:t>Sťažená až nemožná kontrola majetkových priznaní politikov príslušným kontrolným orgánom v prípade kontroly nehnuteľného majetku a podvody pri prevode nehnuteľností.</w:t>
            </w:r>
          </w:p>
        </w:tc>
      </w:tr>
      <w:tr w:rsidR="00AD7716" w:rsidRPr="00D524FA" w14:paraId="63ADB841"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5F5F3CD6"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Ciele a výsledný stav</w:t>
            </w:r>
          </w:p>
        </w:tc>
      </w:tr>
      <w:tr w:rsidR="00AD7716" w:rsidRPr="00D524FA" w14:paraId="697C0B55" w14:textId="77777777" w:rsidTr="00AC02BC">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389C2630" w14:textId="073EA8A6" w:rsidR="00A64B28" w:rsidRPr="00D524FA" w:rsidRDefault="00A64B28" w:rsidP="00A64B28">
            <w:pPr>
              <w:rPr>
                <w:rFonts w:ascii="Book Antiqua" w:eastAsia="Times New Roman" w:hAnsi="Book Antiqua" w:cs="Times New Roman"/>
                <w:i/>
                <w:sz w:val="20"/>
                <w:szCs w:val="20"/>
                <w:lang w:eastAsia="sk-SK"/>
              </w:rPr>
            </w:pPr>
            <w:r w:rsidRPr="00D524FA">
              <w:rPr>
                <w:rFonts w:ascii="Book Antiqua" w:eastAsia="Times New Roman" w:hAnsi="Book Antiqua"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02989E8B" w14:textId="77777777" w:rsidR="00A64B28" w:rsidRPr="00D524FA" w:rsidRDefault="00A64B28" w:rsidP="00AC02BC">
            <w:pPr>
              <w:jc w:val="both"/>
              <w:rPr>
                <w:rFonts w:ascii="Book Antiqua" w:eastAsia="Times New Roman" w:hAnsi="Book Antiqua"/>
                <w:i/>
                <w:sz w:val="20"/>
                <w:szCs w:val="20"/>
                <w:lang w:eastAsia="sk-SK"/>
              </w:rPr>
            </w:pPr>
          </w:p>
          <w:p w14:paraId="1B676AE1" w14:textId="153D7B09" w:rsidR="00AD7716" w:rsidRPr="00D524FA" w:rsidRDefault="00FC02F5" w:rsidP="00EA1244">
            <w:pPr>
              <w:jc w:val="both"/>
              <w:rPr>
                <w:rFonts w:ascii="Book Antiqua" w:eastAsia="Times New Roman" w:hAnsi="Book Antiqua"/>
                <w:sz w:val="20"/>
                <w:szCs w:val="20"/>
                <w:lang w:eastAsia="sk-SK"/>
              </w:rPr>
            </w:pPr>
            <w:r>
              <w:rPr>
                <w:rFonts w:ascii="Book Antiqua" w:hAnsi="Book Antiqua"/>
              </w:rPr>
              <w:t xml:space="preserve">Zlepšenie </w:t>
            </w:r>
            <w:r w:rsidRPr="00FC02F5">
              <w:rPr>
                <w:rFonts w:ascii="Book Antiqua" w:hAnsi="Book Antiqua"/>
              </w:rPr>
              <w:t>kontroln</w:t>
            </w:r>
            <w:r>
              <w:rPr>
                <w:rFonts w:ascii="Book Antiqua" w:hAnsi="Book Antiqua"/>
              </w:rPr>
              <w:t>ých</w:t>
            </w:r>
            <w:r w:rsidRPr="00FC02F5">
              <w:rPr>
                <w:rFonts w:ascii="Book Antiqua" w:hAnsi="Book Antiqua"/>
              </w:rPr>
              <w:t xml:space="preserve"> mechanizm</w:t>
            </w:r>
            <w:r>
              <w:rPr>
                <w:rFonts w:ascii="Book Antiqua" w:hAnsi="Book Antiqua"/>
              </w:rPr>
              <w:t>ov</w:t>
            </w:r>
            <w:r w:rsidRPr="00FC02F5">
              <w:rPr>
                <w:rFonts w:ascii="Book Antiqua" w:hAnsi="Book Antiqua"/>
              </w:rPr>
              <w:t xml:space="preserve"> týkajúc</w:t>
            </w:r>
            <w:r>
              <w:rPr>
                <w:rFonts w:ascii="Book Antiqua" w:hAnsi="Book Antiqua"/>
              </w:rPr>
              <w:t>ich</w:t>
            </w:r>
            <w:r w:rsidRPr="00FC02F5">
              <w:rPr>
                <w:rFonts w:ascii="Book Antiqua" w:hAnsi="Book Antiqua"/>
              </w:rPr>
              <w:t xml:space="preserve"> sa majetkových priznaní politikov, najmä v súvislosti s modifikačnými dohodami manželov v rámci bezpodielového spoluvlastníctva manželov (BSM), ako aj </w:t>
            </w:r>
            <w:r>
              <w:rPr>
                <w:rFonts w:ascii="Book Antiqua" w:hAnsi="Book Antiqua"/>
              </w:rPr>
              <w:t>snaha zabrániť</w:t>
            </w:r>
            <w:r w:rsidRPr="00FC02F5">
              <w:rPr>
                <w:rFonts w:ascii="Book Antiqua" w:hAnsi="Book Antiqua"/>
              </w:rPr>
              <w:t xml:space="preserve"> podvodom, ktoré sa vyskytujú pri prevodoch nehnuteľností, a to zavedením lepšej súčinnosti medzi katastrálnymi úradmi a notármi alebo advokátmi</w:t>
            </w:r>
            <w:r>
              <w:rPr>
                <w:rFonts w:ascii="Book Antiqua" w:hAnsi="Book Antiqua"/>
              </w:rPr>
              <w:t>.</w:t>
            </w:r>
          </w:p>
        </w:tc>
      </w:tr>
      <w:tr w:rsidR="00AD7716" w:rsidRPr="00D524FA" w14:paraId="5FDEB01A"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56CBB4AA"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Dotknuté subjekty</w:t>
            </w:r>
          </w:p>
        </w:tc>
      </w:tr>
      <w:tr w:rsidR="00AD7716" w:rsidRPr="00D524FA" w14:paraId="4D662270" w14:textId="77777777" w:rsidTr="00AC02BC">
        <w:tc>
          <w:tcPr>
            <w:tcW w:w="9180" w:type="dxa"/>
            <w:gridSpan w:val="9"/>
            <w:tcBorders>
              <w:top w:val="nil"/>
              <w:left w:val="single" w:sz="4" w:space="0" w:color="auto"/>
              <w:bottom w:val="single" w:sz="4" w:space="0" w:color="auto"/>
              <w:right w:val="single" w:sz="4" w:space="0" w:color="auto"/>
            </w:tcBorders>
            <w:shd w:val="clear" w:color="auto" w:fill="FFFFFF"/>
          </w:tcPr>
          <w:p w14:paraId="786BC8CE" w14:textId="2A6B34B6" w:rsidR="00A64B28" w:rsidRPr="00D524FA" w:rsidRDefault="00A64B28" w:rsidP="00AC02BC">
            <w:pPr>
              <w:rPr>
                <w:rFonts w:ascii="Book Antiqua" w:eastAsia="Times New Roman" w:hAnsi="Book Antiqua" w:cs="Times New Roman"/>
                <w:b/>
                <w:sz w:val="20"/>
                <w:szCs w:val="20"/>
                <w:lang w:eastAsia="sk-SK"/>
              </w:rPr>
            </w:pPr>
            <w:r w:rsidRPr="00D524FA">
              <w:rPr>
                <w:rFonts w:ascii="Book Antiqua" w:eastAsia="Times New Roman" w:hAnsi="Book Antiqua" w:cs="Times New Roman"/>
                <w:i/>
                <w:sz w:val="20"/>
                <w:szCs w:val="20"/>
                <w:lang w:eastAsia="sk-SK"/>
              </w:rPr>
              <w:t xml:space="preserve">Uveďte subjekty, ktorých sa zmeny predkladaného materiálu dotknú priamo aj nepriamo: </w:t>
            </w:r>
          </w:p>
          <w:p w14:paraId="535AC813" w14:textId="77777777" w:rsidR="00A64B28" w:rsidRPr="00D524FA" w:rsidRDefault="00A64B28" w:rsidP="00AC02BC">
            <w:pPr>
              <w:rPr>
                <w:rFonts w:ascii="Book Antiqua" w:eastAsia="Times New Roman" w:hAnsi="Book Antiqua"/>
                <w:i/>
                <w:sz w:val="20"/>
                <w:szCs w:val="20"/>
                <w:lang w:eastAsia="sk-SK"/>
              </w:rPr>
            </w:pPr>
          </w:p>
          <w:p w14:paraId="772B2638" w14:textId="315F1BE0" w:rsidR="00967486" w:rsidRPr="00581B5A" w:rsidRDefault="00FC02F5" w:rsidP="0071270C">
            <w:pPr>
              <w:rPr>
                <w:rFonts w:ascii="Book Antiqua" w:eastAsia="Times New Roman" w:hAnsi="Book Antiqua"/>
                <w:sz w:val="20"/>
                <w:szCs w:val="20"/>
                <w:lang w:eastAsia="sk-SK"/>
              </w:rPr>
            </w:pPr>
            <w:r>
              <w:rPr>
                <w:rFonts w:ascii="Book Antiqua" w:eastAsia="Times New Roman" w:hAnsi="Book Antiqua"/>
                <w:sz w:val="20"/>
                <w:szCs w:val="20"/>
                <w:lang w:eastAsia="sk-SK"/>
              </w:rPr>
              <w:t>Občania, osobitne manželia a rodiny, kataster nehnuteľností, notári a advokáti.</w:t>
            </w:r>
          </w:p>
        </w:tc>
      </w:tr>
      <w:tr w:rsidR="00AD7716" w:rsidRPr="00D524FA" w14:paraId="63B4AA4D" w14:textId="77777777" w:rsidTr="00AC02BC">
        <w:tc>
          <w:tcPr>
            <w:tcW w:w="9180" w:type="dxa"/>
            <w:gridSpan w:val="9"/>
            <w:tcBorders>
              <w:top w:val="single" w:sz="4" w:space="0" w:color="auto"/>
              <w:left w:val="single" w:sz="4" w:space="0" w:color="auto"/>
              <w:bottom w:val="nil"/>
              <w:right w:val="single" w:sz="4" w:space="0" w:color="auto"/>
            </w:tcBorders>
            <w:shd w:val="clear" w:color="auto" w:fill="E2E2E2"/>
          </w:tcPr>
          <w:p w14:paraId="6243F256"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Alternatívne riešenia</w:t>
            </w:r>
          </w:p>
        </w:tc>
      </w:tr>
      <w:tr w:rsidR="00AD7716" w:rsidRPr="00D524FA" w14:paraId="158506AA" w14:textId="77777777" w:rsidTr="00AC02BC">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4FAA80C1" w14:textId="1CA2B590" w:rsidR="00A64B28" w:rsidRPr="00D524FA" w:rsidRDefault="00A64B28" w:rsidP="00D524FA">
            <w:pPr>
              <w:jc w:val="both"/>
              <w:rPr>
                <w:rFonts w:ascii="Book Antiqua" w:eastAsia="Times New Roman" w:hAnsi="Book Antiqua" w:cs="Times New Roman"/>
                <w:i/>
                <w:sz w:val="20"/>
                <w:szCs w:val="20"/>
                <w:lang w:eastAsia="sk-SK"/>
              </w:rPr>
            </w:pPr>
            <w:r w:rsidRPr="00D524FA">
              <w:rPr>
                <w:rFonts w:ascii="Book Antiqua" w:eastAsia="Times New Roman" w:hAnsi="Book Antiqua" w:cs="Times New Roman"/>
                <w:i/>
                <w:sz w:val="20"/>
                <w:szCs w:val="20"/>
                <w:lang w:eastAsia="sk-SK"/>
              </w:rPr>
              <w:t>Aké alternatívne riešenia vedúce k stanovenému cieľu boli identifikované a posudzované pre riešenie definovaného problému?</w:t>
            </w:r>
          </w:p>
          <w:p w14:paraId="5B94CB5D" w14:textId="5B1A49FF" w:rsidR="00A64B28" w:rsidRPr="00D524FA" w:rsidRDefault="00A64B28" w:rsidP="00A64B28">
            <w:pPr>
              <w:jc w:val="both"/>
              <w:rPr>
                <w:rFonts w:ascii="Book Antiqua" w:eastAsia="Times New Roman" w:hAnsi="Book Antiqua"/>
                <w:i/>
                <w:sz w:val="20"/>
                <w:szCs w:val="20"/>
                <w:lang w:eastAsia="sk-SK"/>
              </w:rPr>
            </w:pPr>
            <w:r w:rsidRPr="00D524FA">
              <w:rPr>
                <w:rFonts w:ascii="Book Antiqua" w:eastAsia="Times New Roman" w:hAnsi="Book Antiqua"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68142EE0" w14:textId="77777777" w:rsidR="00A64B28" w:rsidRPr="00D524FA" w:rsidRDefault="00A64B28" w:rsidP="00AC02BC">
            <w:pPr>
              <w:jc w:val="both"/>
              <w:rPr>
                <w:rFonts w:ascii="Book Antiqua" w:eastAsia="Times New Roman" w:hAnsi="Book Antiqua"/>
                <w:i/>
                <w:sz w:val="20"/>
                <w:szCs w:val="20"/>
                <w:lang w:eastAsia="sk-SK"/>
              </w:rPr>
            </w:pPr>
          </w:p>
          <w:p w14:paraId="24F63CBE" w14:textId="07988925" w:rsidR="00AD7716" w:rsidRPr="00D524FA" w:rsidRDefault="00FC02F5" w:rsidP="00AC02BC">
            <w:pPr>
              <w:jc w:val="both"/>
              <w:rPr>
                <w:rFonts w:ascii="Book Antiqua" w:eastAsia="Times New Roman" w:hAnsi="Book Antiqua"/>
                <w:sz w:val="20"/>
                <w:szCs w:val="20"/>
                <w:lang w:eastAsia="sk-SK"/>
              </w:rPr>
            </w:pPr>
            <w:r>
              <w:rPr>
                <w:rFonts w:ascii="Book Antiqua" w:eastAsia="Times New Roman" w:hAnsi="Book Antiqua"/>
                <w:sz w:val="20"/>
                <w:szCs w:val="20"/>
                <w:lang w:eastAsia="sk-SK"/>
              </w:rPr>
              <w:t>Pri modifikačných dohodách manželov by alternatívou bol</w:t>
            </w:r>
            <w:r w:rsidR="0009155F">
              <w:rPr>
                <w:rFonts w:ascii="Book Antiqua" w:eastAsia="Times New Roman" w:hAnsi="Book Antiqua"/>
                <w:sz w:val="20"/>
                <w:szCs w:val="20"/>
                <w:lang w:eastAsia="sk-SK"/>
              </w:rPr>
              <w:t xml:space="preserve">a </w:t>
            </w:r>
            <w:r>
              <w:rPr>
                <w:rFonts w:ascii="Book Antiqua" w:eastAsia="Times New Roman" w:hAnsi="Book Antiqua"/>
                <w:sz w:val="20"/>
                <w:szCs w:val="20"/>
                <w:lang w:eastAsia="sk-SK"/>
              </w:rPr>
              <w:t>povinnosť matrík zasielať oznamy o sobášoch a rozvodoch katastru nehnuteľností. Pri zamedzení podvodom pri prevode nehnuteľností (notári a advokáti) by alternatívou bolo, že by kataster nehnuteľností osobne kontaktoval každého jednotlivého notára a advokáta, ktorý spísal notársku zápisnicu alebo autorizoval zmluvu. Obe alternatívne riešenia by však boli finančne, technicky, administratívne aj personálne náročnejšie a nákladnejšie.</w:t>
            </w:r>
          </w:p>
        </w:tc>
      </w:tr>
      <w:tr w:rsidR="00AD7716" w:rsidRPr="00D524FA" w14:paraId="382E56B6"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B5D5FBB"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Vykonávacie predpisy</w:t>
            </w:r>
          </w:p>
        </w:tc>
      </w:tr>
      <w:tr w:rsidR="00AD7716" w:rsidRPr="00D524FA" w14:paraId="488929F0" w14:textId="77777777" w:rsidTr="00AC02BC">
        <w:tc>
          <w:tcPr>
            <w:tcW w:w="6203" w:type="dxa"/>
            <w:gridSpan w:val="5"/>
            <w:tcBorders>
              <w:top w:val="single" w:sz="4" w:space="0" w:color="FFFFFF"/>
              <w:left w:val="single" w:sz="4" w:space="0" w:color="auto"/>
              <w:bottom w:val="nil"/>
              <w:right w:val="nil"/>
            </w:tcBorders>
            <w:shd w:val="clear" w:color="auto" w:fill="FFFFFF"/>
          </w:tcPr>
          <w:p w14:paraId="64C14C6C" w14:textId="77777777"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69DAFF0" w14:textId="34AEFCF8" w:rsidR="00AD7716" w:rsidRPr="00D524FA" w:rsidRDefault="00E444AC" w:rsidP="00AC02BC">
            <w:pPr>
              <w:jc w:val="center"/>
              <w:rPr>
                <w:rFonts w:ascii="Book Antiqua" w:eastAsia="Times New Roman" w:hAnsi="Book Antiqua"/>
                <w:b/>
                <w:sz w:val="20"/>
                <w:szCs w:val="20"/>
                <w:lang w:eastAsia="sk-SK"/>
              </w:rPr>
            </w:pPr>
            <w:sdt>
              <w:sdtPr>
                <w:rPr>
                  <w:rFonts w:ascii="Book Antiqua" w:hAnsi="Book Antiqua"/>
                  <w:b/>
                  <w:sz w:val="20"/>
                  <w:szCs w:val="20"/>
                </w:rPr>
                <w:id w:val="1929613764"/>
                <w14:checkbox>
                  <w14:checked w14:val="1"/>
                  <w14:checkedState w14:val="2612" w14:font="MS Gothic"/>
                  <w14:uncheckedState w14:val="2610" w14:font="MS Gothic"/>
                </w14:checkbox>
              </w:sdtPr>
              <w:sdtEndPr/>
              <w:sdtContent>
                <w:r w:rsidR="00FC02F5">
                  <w:rPr>
                    <w:rFonts w:ascii="MS Gothic" w:eastAsia="MS Gothic" w:hAnsi="MS Gothic" w:hint="eastAsia"/>
                    <w:b/>
                    <w:sz w:val="20"/>
                    <w:szCs w:val="20"/>
                  </w:rPr>
                  <w:t>☒</w:t>
                </w:r>
              </w:sdtContent>
            </w:sdt>
            <w:r w:rsidR="00AD7716" w:rsidRPr="00D524FA">
              <w:rPr>
                <w:rFonts w:ascii="Book Antiqua" w:eastAsia="Times New Roman"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A7368D2" w14:textId="75F666C4" w:rsidR="00AD7716" w:rsidRPr="00D524FA" w:rsidRDefault="00E444AC" w:rsidP="00AC02BC">
            <w:pPr>
              <w:jc w:val="center"/>
              <w:rPr>
                <w:rFonts w:ascii="Book Antiqua" w:eastAsia="Times New Roman" w:hAnsi="Book Antiqua"/>
                <w:b/>
                <w:sz w:val="20"/>
                <w:szCs w:val="20"/>
                <w:lang w:eastAsia="sk-SK"/>
              </w:rPr>
            </w:pPr>
            <w:sdt>
              <w:sdtPr>
                <w:rPr>
                  <w:rFonts w:ascii="Book Antiqua" w:hAnsi="Book Antiqua"/>
                  <w:b/>
                  <w:sz w:val="20"/>
                  <w:szCs w:val="20"/>
                </w:rPr>
                <w:id w:val="-1594626508"/>
                <w14:checkbox>
                  <w14:checked w14:val="0"/>
                  <w14:checkedState w14:val="2612" w14:font="MS Gothic"/>
                  <w14:uncheckedState w14:val="2610" w14:font="MS Gothic"/>
                </w14:checkbox>
              </w:sdtPr>
              <w:sdtEndPr/>
              <w:sdtContent>
                <w:r w:rsidR="00FC02F5">
                  <w:rPr>
                    <w:rFonts w:ascii="MS Gothic" w:eastAsia="MS Gothic" w:hAnsi="MS Gothic" w:hint="eastAsia"/>
                    <w:b/>
                    <w:sz w:val="20"/>
                    <w:szCs w:val="20"/>
                  </w:rPr>
                  <w:t>☐</w:t>
                </w:r>
              </w:sdtContent>
            </w:sdt>
            <w:r w:rsidR="00AD7716" w:rsidRPr="00D524FA">
              <w:rPr>
                <w:rFonts w:ascii="Book Antiqua" w:eastAsia="Times New Roman" w:hAnsi="Book Antiqua"/>
                <w:b/>
                <w:sz w:val="20"/>
                <w:szCs w:val="20"/>
                <w:lang w:eastAsia="sk-SK"/>
              </w:rPr>
              <w:t xml:space="preserve">  Nie</w:t>
            </w:r>
          </w:p>
        </w:tc>
      </w:tr>
      <w:tr w:rsidR="00AD7716" w:rsidRPr="00D524FA" w14:paraId="2A5DA108" w14:textId="77777777" w:rsidTr="00AC02BC">
        <w:tc>
          <w:tcPr>
            <w:tcW w:w="9180" w:type="dxa"/>
            <w:gridSpan w:val="9"/>
            <w:tcBorders>
              <w:top w:val="nil"/>
              <w:left w:val="single" w:sz="4" w:space="0" w:color="auto"/>
              <w:bottom w:val="single" w:sz="4" w:space="0" w:color="auto"/>
              <w:right w:val="single" w:sz="4" w:space="0" w:color="auto"/>
            </w:tcBorders>
            <w:shd w:val="clear" w:color="auto" w:fill="FFFFFF"/>
          </w:tcPr>
          <w:p w14:paraId="511ABA5F" w14:textId="77777777" w:rsidR="00AD7716"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Ak áno, uveďte ktoré oblasti budú nimi upravené, resp. ktorých vykonávacích predpisov sa zmena dotkne:</w:t>
            </w:r>
          </w:p>
          <w:p w14:paraId="64E36603" w14:textId="77777777" w:rsidR="00FC02F5" w:rsidRDefault="00FC02F5" w:rsidP="00AC02BC">
            <w:pPr>
              <w:rPr>
                <w:rFonts w:ascii="Book Antiqua" w:eastAsia="Times New Roman" w:hAnsi="Book Antiqua"/>
                <w:i/>
                <w:sz w:val="20"/>
                <w:szCs w:val="20"/>
                <w:lang w:eastAsia="sk-SK"/>
              </w:rPr>
            </w:pPr>
          </w:p>
          <w:p w14:paraId="1A0BD830" w14:textId="0499CAF4" w:rsidR="00FC02F5" w:rsidRPr="00FC02F5" w:rsidRDefault="00FC02F5" w:rsidP="00AC02BC">
            <w:pPr>
              <w:rPr>
                <w:rFonts w:ascii="Book Antiqua" w:eastAsia="Times New Roman" w:hAnsi="Book Antiqua"/>
                <w:iCs/>
                <w:sz w:val="20"/>
                <w:szCs w:val="20"/>
                <w:lang w:eastAsia="sk-SK"/>
              </w:rPr>
            </w:pPr>
            <w:r>
              <w:rPr>
                <w:rFonts w:ascii="Book Antiqua" w:eastAsia="Times New Roman" w:hAnsi="Book Antiqua"/>
                <w:iCs/>
                <w:sz w:val="20"/>
                <w:szCs w:val="20"/>
                <w:lang w:eastAsia="sk-SK"/>
              </w:rPr>
              <w:t>Bude potrebné zmeniť alebo vydať nové interné predpisy Slovenskej advokátskej komory a zmeniť alebo vydať nové interné predpisy na úseku katastra nehnuteľností.</w:t>
            </w:r>
          </w:p>
          <w:p w14:paraId="096CB4B8" w14:textId="77777777" w:rsidR="00AD7716" w:rsidRPr="00D524FA" w:rsidRDefault="00AD7716" w:rsidP="00AC02BC">
            <w:pPr>
              <w:rPr>
                <w:rFonts w:ascii="Book Antiqua" w:eastAsia="Times New Roman" w:hAnsi="Book Antiqua"/>
                <w:sz w:val="20"/>
                <w:szCs w:val="20"/>
                <w:lang w:eastAsia="sk-SK"/>
              </w:rPr>
            </w:pPr>
          </w:p>
        </w:tc>
      </w:tr>
      <w:tr w:rsidR="00AD7716" w:rsidRPr="00D524FA" w14:paraId="033086D2"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4F76D7F"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 xml:space="preserve">Transpozícia práva EÚ </w:t>
            </w:r>
          </w:p>
        </w:tc>
      </w:tr>
      <w:tr w:rsidR="00AD7716" w:rsidRPr="00D524FA" w14:paraId="53AB07E4" w14:textId="77777777" w:rsidTr="00AC02BC">
        <w:trPr>
          <w:trHeight w:val="157"/>
        </w:trPr>
        <w:tc>
          <w:tcPr>
            <w:tcW w:w="9180" w:type="dxa"/>
            <w:gridSpan w:val="9"/>
            <w:tcBorders>
              <w:top w:val="nil"/>
              <w:left w:val="single" w:sz="4" w:space="0" w:color="000000"/>
              <w:bottom w:val="nil"/>
              <w:right w:val="single" w:sz="4" w:space="0" w:color="auto"/>
            </w:tcBorders>
            <w:shd w:val="clear" w:color="auto" w:fill="FFFFFF"/>
          </w:tcPr>
          <w:p w14:paraId="0260C867" w14:textId="35CC4E89" w:rsidR="00A64B28" w:rsidRPr="00D524FA" w:rsidRDefault="00A64B28" w:rsidP="00AC02BC">
            <w:pPr>
              <w:jc w:val="both"/>
              <w:rPr>
                <w:rFonts w:ascii="Book Antiqua" w:eastAsia="Times New Roman" w:hAnsi="Book Antiqua"/>
                <w:i/>
                <w:sz w:val="20"/>
                <w:szCs w:val="20"/>
                <w:lang w:eastAsia="sk-SK"/>
              </w:rPr>
            </w:pPr>
            <w:r w:rsidRPr="00D524FA">
              <w:rPr>
                <w:rFonts w:ascii="Book Antiqua" w:eastAsia="Times New Roman" w:hAnsi="Book Antiqua" w:cs="Times New Roman"/>
                <w:i/>
                <w:sz w:val="20"/>
                <w:szCs w:val="20"/>
                <w:lang w:eastAsia="sk-SK"/>
              </w:rPr>
              <w:lastRenderedPageBreak/>
              <w:t>Uveďte, v ktorých konkrétnych ustanoveniach (paragrafy, články, body, atď.) ide národná právna úprava nad rámec minimálnych požiadaviek EÚ (tzv. goldplating) spolu s odôvodnením opodstatnenosti presahu.</w:t>
            </w:r>
          </w:p>
          <w:p w14:paraId="28162787" w14:textId="77777777" w:rsidR="00A64B28" w:rsidRPr="00D524FA" w:rsidRDefault="00A64B28" w:rsidP="00AC02BC">
            <w:pPr>
              <w:jc w:val="both"/>
              <w:rPr>
                <w:rFonts w:ascii="Book Antiqua" w:eastAsia="Times New Roman" w:hAnsi="Book Antiqua"/>
                <w:i/>
                <w:sz w:val="20"/>
                <w:szCs w:val="20"/>
                <w:lang w:eastAsia="sk-SK"/>
              </w:rPr>
            </w:pPr>
          </w:p>
          <w:p w14:paraId="77B0C60E" w14:textId="55F4B6D0" w:rsidR="00AD7716" w:rsidRPr="0043711F" w:rsidRDefault="00AD7716" w:rsidP="00AC02BC">
            <w:pPr>
              <w:jc w:val="both"/>
              <w:rPr>
                <w:rFonts w:ascii="Book Antiqua" w:eastAsia="Times New Roman" w:hAnsi="Book Antiqua"/>
                <w:iCs/>
                <w:sz w:val="20"/>
                <w:szCs w:val="20"/>
                <w:lang w:eastAsia="sk-SK"/>
              </w:rPr>
            </w:pPr>
            <w:r w:rsidRPr="0043711F">
              <w:rPr>
                <w:rFonts w:ascii="Book Antiqua" w:eastAsia="Times New Roman" w:hAnsi="Book Antiqua"/>
                <w:iCs/>
                <w:sz w:val="20"/>
                <w:szCs w:val="20"/>
              </w:rPr>
              <w:t>bezpredmetné</w:t>
            </w:r>
          </w:p>
        </w:tc>
      </w:tr>
      <w:tr w:rsidR="00AD7716" w:rsidRPr="00D524FA" w14:paraId="235AAF66" w14:textId="77777777" w:rsidTr="00AC02BC">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635A8985" w14:textId="77777777" w:rsidR="00AD7716" w:rsidRPr="00D524FA" w:rsidRDefault="00AD7716" w:rsidP="00AC02BC">
            <w:pPr>
              <w:jc w:val="center"/>
              <w:rPr>
                <w:rFonts w:ascii="Book Antiqua" w:eastAsia="Times New Roman" w:hAnsi="Book Antiqua"/>
                <w:sz w:val="20"/>
                <w:szCs w:val="20"/>
                <w:lang w:eastAsia="sk-SK"/>
              </w:rPr>
            </w:pPr>
          </w:p>
        </w:tc>
      </w:tr>
      <w:tr w:rsidR="00AD7716" w:rsidRPr="00D524FA" w14:paraId="66AEF150" w14:textId="77777777" w:rsidTr="00AC02B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907AE19"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Preskúmanie účelnosti</w:t>
            </w:r>
          </w:p>
        </w:tc>
      </w:tr>
      <w:tr w:rsidR="00AD7716" w:rsidRPr="00D524FA" w14:paraId="2CE8CBB2" w14:textId="77777777" w:rsidTr="00AC02BC">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606C6A0B" w14:textId="77777777"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 xml:space="preserve">Uveďte termín, kedy by malo dôjsť k preskúmaniu účinnosti a účelnosti predkladaného materiálu. </w:t>
            </w:r>
          </w:p>
          <w:p w14:paraId="44093C58" w14:textId="483B0A36" w:rsidR="00A64B28" w:rsidRPr="0043711F" w:rsidRDefault="00581B5A" w:rsidP="00AC02BC">
            <w:pPr>
              <w:rPr>
                <w:rFonts w:ascii="Book Antiqua" w:eastAsia="Times New Roman" w:hAnsi="Book Antiqua"/>
                <w:iCs/>
                <w:sz w:val="20"/>
                <w:szCs w:val="20"/>
                <w:lang w:eastAsia="sk-SK"/>
              </w:rPr>
            </w:pPr>
            <w:r>
              <w:rPr>
                <w:rFonts w:ascii="Book Antiqua" w:eastAsia="Times New Roman" w:hAnsi="Book Antiqua"/>
                <w:iCs/>
                <w:sz w:val="20"/>
                <w:szCs w:val="20"/>
              </w:rPr>
              <w:t>vzhľadom na charakter navrhovaných zmien a absenciu vplyvov v zmysle doložky vplyvov preskúmanie nie je potrebné</w:t>
            </w:r>
          </w:p>
          <w:p w14:paraId="153CF040" w14:textId="77777777" w:rsidR="0037462D" w:rsidRPr="00D524FA" w:rsidRDefault="0037462D" w:rsidP="00AC02BC">
            <w:pPr>
              <w:rPr>
                <w:rFonts w:ascii="Book Antiqua" w:eastAsia="Times New Roman" w:hAnsi="Book Antiqua"/>
                <w:i/>
                <w:sz w:val="20"/>
                <w:szCs w:val="20"/>
                <w:lang w:eastAsia="sk-SK"/>
              </w:rPr>
            </w:pPr>
          </w:p>
          <w:p w14:paraId="06AFED54" w14:textId="1C857004" w:rsidR="0037462D" w:rsidRDefault="006A3F8D" w:rsidP="00AC02BC">
            <w:pPr>
              <w:rPr>
                <w:rFonts w:ascii="Book Antiqua" w:eastAsia="Times New Roman" w:hAnsi="Book Antiqua"/>
                <w:i/>
                <w:sz w:val="20"/>
                <w:szCs w:val="20"/>
                <w:lang w:eastAsia="sk-SK"/>
              </w:rPr>
            </w:pPr>
            <w:r>
              <w:rPr>
                <w:rFonts w:ascii="Book Antiqua" w:eastAsia="Times New Roman" w:hAnsi="Book Antiqua"/>
                <w:i/>
                <w:sz w:val="20"/>
                <w:szCs w:val="20"/>
                <w:lang w:eastAsia="sk-SK"/>
              </w:rPr>
              <w:t>Keďže zákon by mal nadobudnúť účinnosť až 1. 7. 2026</w:t>
            </w:r>
            <w:r w:rsidR="00C36B1B">
              <w:rPr>
                <w:rFonts w:ascii="Book Antiqua" w:eastAsia="Times New Roman" w:hAnsi="Book Antiqua"/>
                <w:i/>
                <w:sz w:val="20"/>
                <w:szCs w:val="20"/>
                <w:lang w:eastAsia="sk-SK"/>
              </w:rPr>
              <w:t>, k preskúmaniu jeho účelnosti by malo prísť najskôr po roku od jeho účinnosti, resp. po 31. 12. 2027.</w:t>
            </w:r>
          </w:p>
          <w:p w14:paraId="202E57BE" w14:textId="2A0E11DD" w:rsidR="0077388C" w:rsidRPr="0043711F" w:rsidRDefault="0077388C" w:rsidP="00967486">
            <w:pPr>
              <w:rPr>
                <w:rFonts w:ascii="Book Antiqua" w:eastAsia="Times New Roman" w:hAnsi="Book Antiqua"/>
                <w:iCs/>
                <w:sz w:val="20"/>
                <w:szCs w:val="20"/>
                <w:lang w:eastAsia="sk-SK"/>
              </w:rPr>
            </w:pPr>
          </w:p>
        </w:tc>
      </w:tr>
      <w:tr w:rsidR="00AD7716" w:rsidRPr="00D524FA" w14:paraId="6BC9DA40" w14:textId="77777777" w:rsidTr="00AC02BC">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79DB43ED"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Vybrané vplyvy materiálu</w:t>
            </w:r>
          </w:p>
        </w:tc>
      </w:tr>
      <w:tr w:rsidR="00AD7716" w:rsidRPr="00D524FA" w14:paraId="0ADB83C3" w14:textId="77777777" w:rsidTr="00AC02BC">
        <w:tc>
          <w:tcPr>
            <w:tcW w:w="3812" w:type="dxa"/>
            <w:tcBorders>
              <w:top w:val="single" w:sz="4" w:space="0" w:color="auto"/>
              <w:left w:val="single" w:sz="4" w:space="0" w:color="auto"/>
              <w:bottom w:val="nil"/>
              <w:right w:val="single" w:sz="4" w:space="0" w:color="auto"/>
            </w:tcBorders>
            <w:shd w:val="clear" w:color="auto" w:fill="E2E2E2"/>
          </w:tcPr>
          <w:p w14:paraId="39C6AC88"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rozpočet verejnej správy</w:t>
            </w:r>
          </w:p>
        </w:tc>
        <w:sdt>
          <w:sdtPr>
            <w:rPr>
              <w:rFonts w:ascii="Book Antiqua" w:hAnsi="Book Antiqua"/>
              <w:b/>
              <w:sz w:val="20"/>
              <w:szCs w:val="20"/>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15D5AACF" w14:textId="2FE42871" w:rsidR="00AD7716" w:rsidRPr="00D524FA" w:rsidRDefault="00967486"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tcPr>
          <w:p w14:paraId="41069307"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443467D" w14:textId="504560C9" w:rsidR="00AD7716" w:rsidRPr="00D524FA" w:rsidRDefault="00581B5A"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13F4062D"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39D9AE2" w14:textId="3CC6757E" w:rsidR="00AD7716" w:rsidRPr="00D524FA" w:rsidRDefault="00581B5A" w:rsidP="00AC02BC">
                <w:pPr>
                  <w:ind w:left="-107" w:right="-108"/>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204B7BDD" w14:textId="77777777" w:rsidR="00AD7716" w:rsidRPr="00D524FA" w:rsidRDefault="00AD7716" w:rsidP="00AC02BC">
            <w:pPr>
              <w:ind w:left="3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27FE6C44" w14:textId="77777777" w:rsidTr="00AC02BC">
        <w:tc>
          <w:tcPr>
            <w:tcW w:w="3812" w:type="dxa"/>
            <w:tcBorders>
              <w:top w:val="nil"/>
              <w:left w:val="single" w:sz="4" w:space="0" w:color="auto"/>
              <w:bottom w:val="nil"/>
              <w:right w:val="single" w:sz="4" w:space="0" w:color="auto"/>
            </w:tcBorders>
            <w:shd w:val="clear" w:color="auto" w:fill="E2E2E2"/>
          </w:tcPr>
          <w:p w14:paraId="225A8557"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 xml:space="preserve">    z toho rozpočtovo zabezpečené vplyvy,         </w:t>
            </w:r>
          </w:p>
          <w:p w14:paraId="05BA289C"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 xml:space="preserve">    v prípade identifikovaného negatívneho </w:t>
            </w:r>
          </w:p>
          <w:p w14:paraId="51B49F85"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 xml:space="preserve">    vplyvu</w:t>
            </w:r>
          </w:p>
        </w:tc>
        <w:sdt>
          <w:sdtPr>
            <w:rPr>
              <w:rFonts w:ascii="Book Antiqua" w:hAnsi="Book Antiqua"/>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195889A9" w14:textId="77777777" w:rsidR="00AD7716" w:rsidRPr="00D524FA" w:rsidRDefault="00AD7716" w:rsidP="00AC02BC">
                <w:pPr>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74A5D1C9"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Áno</w:t>
            </w:r>
          </w:p>
        </w:tc>
        <w:sdt>
          <w:sdtPr>
            <w:rPr>
              <w:rFonts w:ascii="Book Antiqua" w:hAnsi="Book Antiqua"/>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86E1178" w14:textId="5592801F" w:rsidR="00AD7716" w:rsidRPr="00D524FA" w:rsidRDefault="000C4C3A" w:rsidP="00AC02BC">
                <w:pPr>
                  <w:jc w:val="center"/>
                  <w:rPr>
                    <w:rFonts w:ascii="Book Antiqua" w:eastAsia="Times New Roman" w:hAnsi="Book Antiqua"/>
                    <w:sz w:val="20"/>
                    <w:szCs w:val="20"/>
                    <w:lang w:eastAsia="sk-SK"/>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51A0EF66"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Nie</w:t>
            </w:r>
          </w:p>
        </w:tc>
        <w:sdt>
          <w:sdtPr>
            <w:rPr>
              <w:rFonts w:ascii="Book Antiqua" w:hAnsi="Book Antiqua"/>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60D0ED9" w14:textId="77777777" w:rsidR="00AD7716" w:rsidRPr="00D524FA" w:rsidRDefault="00AD7716" w:rsidP="00AC02BC">
                <w:pPr>
                  <w:ind w:left="-107" w:right="-108"/>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DFF58CC" w14:textId="77777777" w:rsidR="00AD7716" w:rsidRPr="00D524FA" w:rsidRDefault="00AD7716" w:rsidP="00AC02BC">
            <w:pPr>
              <w:ind w:left="34"/>
              <w:rPr>
                <w:rFonts w:ascii="Book Antiqua" w:eastAsia="Times New Roman" w:hAnsi="Book Antiqua"/>
                <w:sz w:val="20"/>
                <w:szCs w:val="20"/>
                <w:lang w:eastAsia="sk-SK"/>
              </w:rPr>
            </w:pPr>
            <w:r w:rsidRPr="00D524FA">
              <w:rPr>
                <w:rFonts w:ascii="Book Antiqua" w:eastAsia="Times New Roman" w:hAnsi="Book Antiqua"/>
                <w:sz w:val="20"/>
                <w:szCs w:val="20"/>
                <w:lang w:eastAsia="sk-SK"/>
              </w:rPr>
              <w:t>Čiastočne</w:t>
            </w:r>
          </w:p>
        </w:tc>
      </w:tr>
      <w:tr w:rsidR="00AD7716" w:rsidRPr="00D524FA" w14:paraId="761F4BCE" w14:textId="77777777" w:rsidTr="00AC02BC">
        <w:tc>
          <w:tcPr>
            <w:tcW w:w="3812" w:type="dxa"/>
            <w:tcBorders>
              <w:top w:val="nil"/>
              <w:left w:val="single" w:sz="4" w:space="0" w:color="auto"/>
              <w:bottom w:val="nil"/>
              <w:right w:val="single" w:sz="4" w:space="0" w:color="auto"/>
            </w:tcBorders>
            <w:shd w:val="clear" w:color="auto" w:fill="E2E2E2"/>
          </w:tcPr>
          <w:p w14:paraId="668C4498"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 tom vplyvy na rozpočty obcí a vyšších územných celkov</w:t>
            </w:r>
          </w:p>
        </w:tc>
        <w:sdt>
          <w:sdtPr>
            <w:rPr>
              <w:rFonts w:ascii="Book Antiqua" w:hAnsi="Book Antiqua"/>
              <w:b/>
              <w:sz w:val="20"/>
              <w:szCs w:val="20"/>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2E305788" w14:textId="423FA4D0" w:rsidR="00AD7716" w:rsidRPr="00D524FA" w:rsidRDefault="00967486"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dotted" w:sz="4" w:space="0" w:color="auto"/>
              <w:left w:val="nil"/>
              <w:bottom w:val="dotted" w:sz="4" w:space="0" w:color="auto"/>
              <w:right w:val="nil"/>
            </w:tcBorders>
          </w:tcPr>
          <w:p w14:paraId="0F9ACDDB"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40D80F0B" w14:textId="2971BD94" w:rsidR="00AD7716" w:rsidRPr="00D524FA" w:rsidRDefault="0043711F"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3BC5F396"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341E8C1F" w14:textId="0BEBA6DA" w:rsidR="00AD7716" w:rsidRPr="00D524FA" w:rsidRDefault="006D635C" w:rsidP="00AC02BC">
                <w:pPr>
                  <w:ind w:left="-107" w:right="-108"/>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12F257CF" w14:textId="77777777" w:rsidR="00AD7716" w:rsidRPr="00D524FA" w:rsidRDefault="00AD7716" w:rsidP="00AC02BC">
            <w:pPr>
              <w:ind w:left="3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6A30B727" w14:textId="77777777" w:rsidTr="00AC02BC">
        <w:tc>
          <w:tcPr>
            <w:tcW w:w="3812" w:type="dxa"/>
            <w:tcBorders>
              <w:top w:val="nil"/>
              <w:left w:val="single" w:sz="4" w:space="0" w:color="auto"/>
              <w:bottom w:val="single" w:sz="4" w:space="0" w:color="000000"/>
              <w:right w:val="single" w:sz="4" w:space="0" w:color="auto"/>
            </w:tcBorders>
            <w:shd w:val="clear" w:color="auto" w:fill="E2E2E2"/>
          </w:tcPr>
          <w:p w14:paraId="29AC131A" w14:textId="77777777" w:rsidR="00AD7716" w:rsidRPr="00D524FA" w:rsidRDefault="00AD7716" w:rsidP="00AC02BC">
            <w:pPr>
              <w:ind w:left="171"/>
              <w:rPr>
                <w:rFonts w:ascii="Book Antiqua" w:eastAsia="Times New Roman" w:hAnsi="Book Antiqua"/>
                <w:sz w:val="20"/>
                <w:szCs w:val="20"/>
                <w:lang w:eastAsia="sk-SK"/>
              </w:rPr>
            </w:pPr>
            <w:r w:rsidRPr="00D524FA">
              <w:rPr>
                <w:rFonts w:ascii="Book Antiqua" w:eastAsia="Times New Roman" w:hAnsi="Book Antiqua"/>
                <w:sz w:val="20"/>
                <w:szCs w:val="20"/>
                <w:lang w:eastAsia="sk-SK"/>
              </w:rPr>
              <w:t>z toho rozpočtovo zabezpečené vplyvy,</w:t>
            </w:r>
          </w:p>
          <w:p w14:paraId="49658A43" w14:textId="77777777" w:rsidR="00AD7716" w:rsidRPr="00D524FA" w:rsidRDefault="00AD7716" w:rsidP="00AC02BC">
            <w:pPr>
              <w:ind w:left="171"/>
              <w:rPr>
                <w:rFonts w:ascii="Book Antiqua" w:eastAsia="Times New Roman" w:hAnsi="Book Antiqua"/>
                <w:sz w:val="20"/>
                <w:szCs w:val="20"/>
                <w:lang w:eastAsia="sk-SK"/>
              </w:rPr>
            </w:pPr>
            <w:r w:rsidRPr="00D524FA">
              <w:rPr>
                <w:rFonts w:ascii="Book Antiqua" w:eastAsia="Times New Roman" w:hAnsi="Book Antiqua"/>
                <w:sz w:val="20"/>
                <w:szCs w:val="20"/>
                <w:lang w:eastAsia="sk-SK"/>
              </w:rPr>
              <w:t>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5776008F" w14:textId="77777777" w:rsidR="00AD7716" w:rsidRPr="00D524FA" w:rsidRDefault="00AD7716" w:rsidP="00AC02BC">
                <w:pPr>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65004E15"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Áno</w:t>
            </w:r>
          </w:p>
        </w:tc>
        <w:sdt>
          <w:sdtPr>
            <w:rPr>
              <w:rFonts w:ascii="Book Antiqua" w:hAnsi="Book Antiqua"/>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7C05731" w14:textId="65DCEB4D" w:rsidR="00AD7716" w:rsidRPr="00D524FA" w:rsidRDefault="000C4C3A" w:rsidP="00AC02BC">
                <w:pPr>
                  <w:jc w:val="center"/>
                  <w:rPr>
                    <w:rFonts w:ascii="Book Antiqua" w:eastAsia="Times New Roman" w:hAnsi="Book Antiqua"/>
                    <w:sz w:val="20"/>
                    <w:szCs w:val="20"/>
                    <w:lang w:eastAsia="sk-SK"/>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08DDCB4B" w14:textId="77777777" w:rsidR="00AD7716" w:rsidRPr="00D524FA" w:rsidRDefault="00AD7716" w:rsidP="00AC02BC">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Nie</w:t>
            </w:r>
          </w:p>
        </w:tc>
        <w:sdt>
          <w:sdtPr>
            <w:rPr>
              <w:rFonts w:ascii="Book Antiqua" w:hAnsi="Book Antiqua"/>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FCCC394" w14:textId="77777777" w:rsidR="00AD7716" w:rsidRPr="00D524FA" w:rsidRDefault="00AD7716" w:rsidP="00AC02BC">
                <w:pPr>
                  <w:ind w:left="-107" w:right="-108"/>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D77DB9C" w14:textId="77777777" w:rsidR="00AD7716" w:rsidRPr="00D524FA" w:rsidRDefault="00AD7716" w:rsidP="00AC02BC">
            <w:pPr>
              <w:ind w:left="34"/>
              <w:rPr>
                <w:rFonts w:ascii="Book Antiqua" w:eastAsia="Times New Roman" w:hAnsi="Book Antiqua"/>
                <w:sz w:val="20"/>
                <w:szCs w:val="20"/>
                <w:lang w:eastAsia="sk-SK"/>
              </w:rPr>
            </w:pPr>
            <w:r w:rsidRPr="00D524FA">
              <w:rPr>
                <w:rFonts w:ascii="Book Antiqua" w:eastAsia="Times New Roman" w:hAnsi="Book Antiqua"/>
                <w:sz w:val="20"/>
                <w:szCs w:val="20"/>
                <w:lang w:eastAsia="sk-SK"/>
              </w:rPr>
              <w:t>Čiastočne</w:t>
            </w:r>
          </w:p>
        </w:tc>
      </w:tr>
      <w:tr w:rsidR="00AD7716" w:rsidRPr="00D524FA" w14:paraId="7B631B6A" w14:textId="77777777" w:rsidTr="00AC02BC">
        <w:tc>
          <w:tcPr>
            <w:tcW w:w="3812" w:type="dxa"/>
            <w:tcBorders>
              <w:top w:val="single" w:sz="4" w:space="0" w:color="000000"/>
              <w:left w:val="single" w:sz="4" w:space="0" w:color="auto"/>
              <w:bottom w:val="nil"/>
              <w:right w:val="single" w:sz="4" w:space="0" w:color="auto"/>
            </w:tcBorders>
            <w:shd w:val="clear" w:color="auto" w:fill="E2E2E2"/>
          </w:tcPr>
          <w:p w14:paraId="69EF37F2"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19422485" w14:textId="128BF7E0" w:rsidR="00AD7716" w:rsidRPr="00D524FA" w:rsidRDefault="004D0734"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vAlign w:val="center"/>
          </w:tcPr>
          <w:p w14:paraId="197FC17C"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52E6A3E" w14:textId="2A51CB2C" w:rsidR="00AD7716" w:rsidRPr="00D524FA" w:rsidRDefault="00C36B1B"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70AEAF34"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8844032" w14:textId="6428A232" w:rsidR="00AD7716" w:rsidRPr="00D524FA" w:rsidRDefault="00C36B1B"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049FA3FF"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793F0612" w14:textId="77777777" w:rsidTr="00AC02BC">
        <w:tc>
          <w:tcPr>
            <w:tcW w:w="3812" w:type="dxa"/>
            <w:tcBorders>
              <w:top w:val="nil"/>
              <w:left w:val="single" w:sz="4" w:space="0" w:color="auto"/>
              <w:bottom w:val="single" w:sz="4" w:space="0" w:color="auto"/>
              <w:right w:val="single" w:sz="4" w:space="0" w:color="auto"/>
            </w:tcBorders>
            <w:shd w:val="clear" w:color="auto" w:fill="E2E2E2"/>
          </w:tcPr>
          <w:p w14:paraId="241FB10A"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ED7861A" w14:textId="77777777" w:rsidR="00AD7716" w:rsidRPr="00D524FA" w:rsidRDefault="00AD7716" w:rsidP="00AC02BC">
            <w:pPr>
              <w:jc w:val="center"/>
              <w:rPr>
                <w:rFonts w:ascii="Book Antiqua" w:eastAsia="Times New Roman" w:hAnsi="Book Antiqua"/>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5D40797F" w14:textId="77777777" w:rsidR="00AD7716" w:rsidRPr="00D524FA" w:rsidRDefault="00AD7716" w:rsidP="00AC02BC">
            <w:pPr>
              <w:ind w:right="-108"/>
              <w:rPr>
                <w:rFonts w:ascii="Book Antiqua" w:eastAsia="Times New Roman" w:hAnsi="Book Antiqua"/>
                <w:b/>
                <w:sz w:val="20"/>
                <w:szCs w:val="20"/>
                <w:lang w:eastAsia="sk-SK"/>
              </w:rPr>
            </w:pPr>
          </w:p>
        </w:tc>
        <w:tc>
          <w:tcPr>
            <w:tcW w:w="254" w:type="dxa"/>
            <w:tcBorders>
              <w:top w:val="dotted" w:sz="4" w:space="0" w:color="auto"/>
              <w:left w:val="nil"/>
              <w:bottom w:val="single" w:sz="4" w:space="0" w:color="auto"/>
              <w:right w:val="nil"/>
            </w:tcBorders>
            <w:vAlign w:val="center"/>
          </w:tcPr>
          <w:p w14:paraId="0D81E644" w14:textId="77777777" w:rsidR="00AD7716" w:rsidRPr="00D524FA" w:rsidRDefault="00AD7716" w:rsidP="00AC02BC">
            <w:pPr>
              <w:jc w:val="center"/>
              <w:rPr>
                <w:rFonts w:ascii="Book Antiqua" w:eastAsia="Times New Roman"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4B6B6C1C" w14:textId="77777777" w:rsidR="00AD7716" w:rsidRPr="00D524FA" w:rsidRDefault="00AD7716" w:rsidP="00AC02BC">
            <w:pPr>
              <w:rPr>
                <w:rFonts w:ascii="Book Antiqua" w:eastAsia="Times New Roman" w:hAnsi="Book Antiqua"/>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731F4ADB" w14:textId="77777777" w:rsidR="00AD7716" w:rsidRPr="00D524FA" w:rsidRDefault="00AD7716" w:rsidP="00AC02BC">
            <w:pPr>
              <w:jc w:val="center"/>
              <w:rPr>
                <w:rFonts w:ascii="Book Antiqua" w:eastAsia="Times New Roman" w:hAnsi="Book Antiqua"/>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1287A7DA" w14:textId="77777777" w:rsidR="00AD7716" w:rsidRPr="00D524FA" w:rsidRDefault="00AD7716" w:rsidP="00AC02BC">
            <w:pPr>
              <w:rPr>
                <w:rFonts w:ascii="Book Antiqua" w:eastAsia="Times New Roman" w:hAnsi="Book Antiqua"/>
                <w:b/>
                <w:sz w:val="20"/>
                <w:szCs w:val="20"/>
                <w:lang w:eastAsia="sk-SK"/>
              </w:rPr>
            </w:pPr>
          </w:p>
        </w:tc>
      </w:tr>
      <w:tr w:rsidR="00AD7716" w:rsidRPr="00D524FA" w14:paraId="6DE68168" w14:textId="77777777" w:rsidTr="00AC02BC">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D8E35E"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Sociálne vplyvy</w:t>
            </w:r>
          </w:p>
        </w:tc>
        <w:sdt>
          <w:sdtPr>
            <w:rPr>
              <w:rFonts w:ascii="Book Antiqua" w:hAnsi="Book Antiqua"/>
              <w:b/>
              <w:sz w:val="20"/>
              <w:szCs w:val="20"/>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8974651" w14:textId="196B67C7" w:rsidR="00AD7716" w:rsidRPr="00D524FA" w:rsidRDefault="00581B5A"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5E7181F8"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393F144" w14:textId="34AE2D0B" w:rsidR="00AD7716" w:rsidRPr="00D524FA" w:rsidRDefault="00581B5A"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1D9BA64E"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747C7B0"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7C4A479"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7981B6F4" w14:textId="77777777" w:rsidTr="00AC02BC">
        <w:tc>
          <w:tcPr>
            <w:tcW w:w="3812" w:type="dxa"/>
            <w:tcBorders>
              <w:top w:val="single" w:sz="4" w:space="0" w:color="auto"/>
              <w:left w:val="single" w:sz="4" w:space="0" w:color="auto"/>
              <w:bottom w:val="single" w:sz="4" w:space="0" w:color="auto"/>
              <w:right w:val="single" w:sz="4" w:space="0" w:color="auto"/>
            </w:tcBorders>
            <w:shd w:val="clear" w:color="auto" w:fill="E2E2E2"/>
          </w:tcPr>
          <w:p w14:paraId="3EFF6F9D"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869A530" w14:textId="0A539D57" w:rsidR="00AD7716" w:rsidRPr="00D524FA" w:rsidRDefault="004D0734"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37F30365"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0D6152F" w14:textId="40CA30FF" w:rsidR="00AD7716" w:rsidRPr="00D524FA" w:rsidRDefault="004D0734"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2FF7573C"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EDA6440"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B44CD38"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56253697" w14:textId="77777777" w:rsidTr="00AC02BC">
        <w:tc>
          <w:tcPr>
            <w:tcW w:w="3812" w:type="dxa"/>
            <w:tcBorders>
              <w:top w:val="single" w:sz="4" w:space="0" w:color="auto"/>
              <w:left w:val="single" w:sz="4" w:space="0" w:color="auto"/>
              <w:bottom w:val="single" w:sz="4" w:space="0" w:color="auto"/>
              <w:right w:val="single" w:sz="4" w:space="0" w:color="auto"/>
            </w:tcBorders>
            <w:shd w:val="clear" w:color="auto" w:fill="E2E2E2"/>
          </w:tcPr>
          <w:p w14:paraId="0054B823"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informatizáciu spoločnosti</w:t>
            </w:r>
          </w:p>
        </w:tc>
        <w:sdt>
          <w:sdtPr>
            <w:rPr>
              <w:rFonts w:ascii="Book Antiqua" w:hAnsi="Book Antiqua"/>
              <w:b/>
              <w:sz w:val="20"/>
              <w:szCs w:val="20"/>
            </w:rPr>
            <w:id w:val="-1573421395"/>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D28D62E" w14:textId="0A0ADC5C" w:rsidR="00AD7716" w:rsidRPr="00D524FA" w:rsidRDefault="000B23BC"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32AD76C8"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3B2B73D" w14:textId="6ACD6C62" w:rsidR="00AD7716" w:rsidRPr="00D524FA" w:rsidRDefault="000B23BC"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3A2C7E2B"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7F11DBF"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80F1854"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D7716" w:rsidRPr="00D524FA" w14:paraId="5F71BE26" w14:textId="77777777" w:rsidTr="00AC02BC">
        <w:tc>
          <w:tcPr>
            <w:tcW w:w="3812" w:type="dxa"/>
            <w:tcBorders>
              <w:top w:val="single" w:sz="4" w:space="0" w:color="auto"/>
              <w:left w:val="single" w:sz="4" w:space="0" w:color="auto"/>
              <w:bottom w:val="nil"/>
              <w:right w:val="single" w:sz="4" w:space="0" w:color="auto"/>
            </w:tcBorders>
            <w:shd w:val="clear" w:color="auto" w:fill="E2E2E2"/>
          </w:tcPr>
          <w:p w14:paraId="6CAC2428" w14:textId="77777777" w:rsidR="00AD7716" w:rsidRPr="00D524FA" w:rsidRDefault="00AD7716" w:rsidP="00AC02BC">
            <w:pPr>
              <w:spacing w:after="0" w:line="240" w:lineRule="auto"/>
              <w:rPr>
                <w:rFonts w:ascii="Book Antiqua" w:hAnsi="Book Antiqua"/>
                <w:b/>
                <w:sz w:val="20"/>
                <w:szCs w:val="20"/>
              </w:rPr>
            </w:pPr>
            <w:r w:rsidRPr="00D524FA">
              <w:rPr>
                <w:rFonts w:ascii="Book Antiqua" w:hAnsi="Book Antiqua"/>
                <w:b/>
                <w:sz w:val="20"/>
                <w:szCs w:val="20"/>
              </w:rPr>
              <w:t>Vplyvy na služby verejnej správy pre občana</w:t>
            </w:r>
          </w:p>
        </w:tc>
        <w:tc>
          <w:tcPr>
            <w:tcW w:w="541" w:type="dxa"/>
            <w:tcBorders>
              <w:top w:val="single" w:sz="4" w:space="0" w:color="auto"/>
              <w:left w:val="single" w:sz="4" w:space="0" w:color="auto"/>
              <w:bottom w:val="nil"/>
              <w:right w:val="nil"/>
            </w:tcBorders>
          </w:tcPr>
          <w:p w14:paraId="22F4028D" w14:textId="77777777" w:rsidR="00AD7716" w:rsidRPr="00D524FA" w:rsidRDefault="00AD7716" w:rsidP="00AC02BC">
            <w:pPr>
              <w:spacing w:after="0" w:line="240" w:lineRule="auto"/>
              <w:rPr>
                <w:rFonts w:ascii="Book Antiqua" w:eastAsia="MS Mincho" w:hAnsi="Book Antiqua"/>
                <w:b/>
                <w:sz w:val="20"/>
                <w:szCs w:val="20"/>
              </w:rPr>
            </w:pPr>
          </w:p>
        </w:tc>
        <w:tc>
          <w:tcPr>
            <w:tcW w:w="1281" w:type="dxa"/>
            <w:tcBorders>
              <w:top w:val="single" w:sz="4" w:space="0" w:color="auto"/>
              <w:left w:val="nil"/>
              <w:bottom w:val="nil"/>
              <w:right w:val="nil"/>
            </w:tcBorders>
          </w:tcPr>
          <w:p w14:paraId="0612A3FB" w14:textId="77777777" w:rsidR="00AD7716" w:rsidRPr="00D524FA" w:rsidRDefault="00AD7716" w:rsidP="00AC02BC">
            <w:pPr>
              <w:spacing w:after="0" w:line="240" w:lineRule="auto"/>
              <w:ind w:right="-108"/>
              <w:rPr>
                <w:rFonts w:ascii="Book Antiqua" w:hAnsi="Book Antiqua"/>
                <w:b/>
                <w:sz w:val="20"/>
                <w:szCs w:val="20"/>
              </w:rPr>
            </w:pPr>
          </w:p>
        </w:tc>
        <w:tc>
          <w:tcPr>
            <w:tcW w:w="569" w:type="dxa"/>
            <w:gridSpan w:val="2"/>
            <w:tcBorders>
              <w:top w:val="single" w:sz="4" w:space="0" w:color="auto"/>
              <w:left w:val="nil"/>
              <w:bottom w:val="nil"/>
              <w:right w:val="nil"/>
            </w:tcBorders>
          </w:tcPr>
          <w:p w14:paraId="142995F9" w14:textId="77777777" w:rsidR="00AD7716" w:rsidRPr="00D524FA" w:rsidRDefault="00AD7716" w:rsidP="00AC02BC">
            <w:pPr>
              <w:spacing w:after="0" w:line="240" w:lineRule="auto"/>
              <w:jc w:val="center"/>
              <w:rPr>
                <w:rFonts w:ascii="Book Antiqua" w:eastAsia="MS Mincho" w:hAnsi="Book Antiqua"/>
                <w:b/>
                <w:sz w:val="20"/>
                <w:szCs w:val="20"/>
              </w:rPr>
            </w:pPr>
          </w:p>
        </w:tc>
        <w:tc>
          <w:tcPr>
            <w:tcW w:w="1133" w:type="dxa"/>
            <w:tcBorders>
              <w:top w:val="single" w:sz="4" w:space="0" w:color="auto"/>
              <w:left w:val="nil"/>
              <w:bottom w:val="nil"/>
              <w:right w:val="nil"/>
            </w:tcBorders>
          </w:tcPr>
          <w:p w14:paraId="1A6B375E" w14:textId="77777777" w:rsidR="00AD7716" w:rsidRPr="00D524FA" w:rsidRDefault="00AD7716" w:rsidP="00AC02BC">
            <w:pPr>
              <w:spacing w:after="0" w:line="240" w:lineRule="auto"/>
              <w:rPr>
                <w:rFonts w:ascii="Book Antiqua" w:hAnsi="Book Antiqua"/>
                <w:b/>
                <w:sz w:val="20"/>
                <w:szCs w:val="20"/>
              </w:rPr>
            </w:pPr>
          </w:p>
        </w:tc>
        <w:tc>
          <w:tcPr>
            <w:tcW w:w="547" w:type="dxa"/>
            <w:tcBorders>
              <w:top w:val="single" w:sz="4" w:space="0" w:color="auto"/>
              <w:left w:val="nil"/>
              <w:bottom w:val="nil"/>
              <w:right w:val="nil"/>
            </w:tcBorders>
          </w:tcPr>
          <w:p w14:paraId="1E37D6AF" w14:textId="77777777" w:rsidR="00AD7716" w:rsidRPr="00D524FA" w:rsidRDefault="00AD7716" w:rsidP="00AC02BC">
            <w:pPr>
              <w:spacing w:after="0" w:line="240" w:lineRule="auto"/>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tcPr>
          <w:p w14:paraId="5F33C0A1" w14:textId="77777777" w:rsidR="00AD7716" w:rsidRPr="00D524FA" w:rsidRDefault="00AD7716" w:rsidP="00AC02BC">
            <w:pPr>
              <w:spacing w:after="0" w:line="240" w:lineRule="auto"/>
              <w:ind w:left="54"/>
              <w:rPr>
                <w:rFonts w:ascii="Book Antiqua" w:hAnsi="Book Antiqua"/>
                <w:b/>
                <w:sz w:val="20"/>
                <w:szCs w:val="20"/>
              </w:rPr>
            </w:pPr>
          </w:p>
        </w:tc>
      </w:tr>
      <w:tr w:rsidR="00AD7716" w:rsidRPr="00D524FA" w14:paraId="25C404D6" w14:textId="77777777" w:rsidTr="00AC02BC">
        <w:tc>
          <w:tcPr>
            <w:tcW w:w="3812" w:type="dxa"/>
            <w:tcBorders>
              <w:top w:val="nil"/>
              <w:left w:val="single" w:sz="4" w:space="0" w:color="auto"/>
              <w:bottom w:val="nil"/>
              <w:right w:val="single" w:sz="4" w:space="0" w:color="auto"/>
            </w:tcBorders>
            <w:shd w:val="clear" w:color="auto" w:fill="E2E2E2"/>
          </w:tcPr>
          <w:p w14:paraId="29989398" w14:textId="77777777" w:rsidR="00AD7716" w:rsidRPr="00D524FA" w:rsidRDefault="00AD7716" w:rsidP="00AC02BC">
            <w:pPr>
              <w:spacing w:after="0" w:line="240" w:lineRule="auto"/>
              <w:rPr>
                <w:rFonts w:ascii="Book Antiqua" w:hAnsi="Book Antiqua"/>
                <w:b/>
                <w:sz w:val="20"/>
                <w:szCs w:val="20"/>
              </w:rPr>
            </w:pPr>
          </w:p>
        </w:tc>
        <w:sdt>
          <w:sdtPr>
            <w:rPr>
              <w:rFonts w:ascii="Book Antiqua" w:hAnsi="Book Antiqua"/>
              <w:b/>
              <w:sz w:val="20"/>
              <w:szCs w:val="20"/>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14:paraId="5D62F540" w14:textId="259F2D97" w:rsidR="00AD7716" w:rsidRPr="00D524FA" w:rsidRDefault="000B23BC" w:rsidP="00AC02BC">
                <w:pPr>
                  <w:spacing w:after="0" w:line="240" w:lineRule="auto"/>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tcPr>
          <w:p w14:paraId="38677995" w14:textId="77777777" w:rsidR="00AD7716" w:rsidRPr="00D524FA" w:rsidRDefault="00AD7716" w:rsidP="00AC02BC">
            <w:pPr>
              <w:spacing w:after="0" w:line="240" w:lineRule="auto"/>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tcPr>
              <w:p w14:paraId="74B02118" w14:textId="57218179" w:rsidR="00AD7716" w:rsidRPr="00D524FA" w:rsidRDefault="000B23BC" w:rsidP="00AC02BC">
                <w:pPr>
                  <w:spacing w:after="0" w:line="240" w:lineRule="auto"/>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tcPr>
          <w:p w14:paraId="23F27900" w14:textId="77777777" w:rsidR="00AD7716" w:rsidRPr="00D524FA" w:rsidRDefault="00AD7716" w:rsidP="00AC02BC">
            <w:pPr>
              <w:spacing w:after="0" w:line="240" w:lineRule="auto"/>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tcPr>
              <w:p w14:paraId="2818C267" w14:textId="77777777" w:rsidR="00AD7716" w:rsidRPr="00D524FA" w:rsidRDefault="00AD7716" w:rsidP="00AC02BC">
                <w:pPr>
                  <w:spacing w:after="0" w:line="240" w:lineRule="auto"/>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tcPr>
          <w:p w14:paraId="58E6B53F" w14:textId="77777777" w:rsidR="00AD7716" w:rsidRPr="00D524FA" w:rsidRDefault="00AD7716" w:rsidP="00AC02BC">
            <w:pPr>
              <w:spacing w:after="0" w:line="240" w:lineRule="auto"/>
              <w:ind w:left="54"/>
              <w:rPr>
                <w:rFonts w:ascii="Book Antiqua" w:hAnsi="Book Antiqua"/>
                <w:b/>
                <w:sz w:val="20"/>
                <w:szCs w:val="20"/>
              </w:rPr>
            </w:pPr>
            <w:r w:rsidRPr="00D524FA">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D7716" w:rsidRPr="00D524FA" w14:paraId="42D5E97B" w14:textId="77777777" w:rsidTr="00AC02B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FA3C23"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rPr>
              <w:t>Vplyvy na manželstvo, rodičovstvo, rodinu a deti</w:t>
            </w:r>
          </w:p>
        </w:tc>
        <w:sdt>
          <w:sdtPr>
            <w:rPr>
              <w:rFonts w:ascii="Book Antiqua" w:hAnsi="Book Antiqua"/>
              <w:b/>
              <w:sz w:val="20"/>
              <w:szCs w:val="20"/>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9E205F8" w14:textId="72E0BFCA" w:rsidR="00AD7716" w:rsidRPr="00D524FA" w:rsidRDefault="000B23BC"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6F0BF3A7" w14:textId="77777777" w:rsidR="00AD7716" w:rsidRPr="00D524FA" w:rsidRDefault="00AD7716" w:rsidP="00AC02BC">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88F318C" w14:textId="711D25AB" w:rsidR="00AD7716" w:rsidRPr="00D524FA" w:rsidRDefault="00967486" w:rsidP="00AC02BC">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686CA6A4" w14:textId="77777777" w:rsidR="00AD7716" w:rsidRPr="00D524FA" w:rsidRDefault="00AD7716" w:rsidP="00AC02BC">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B41D92A" w14:textId="77777777" w:rsidR="00AD7716" w:rsidRPr="00D524FA" w:rsidRDefault="00AD7716" w:rsidP="00AC02BC">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834F634" w14:textId="77777777" w:rsidR="00AD7716" w:rsidRPr="00D524FA" w:rsidRDefault="00AD7716" w:rsidP="00AC02BC">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bl>
    <w:p w14:paraId="236ADD31" w14:textId="77777777" w:rsidR="00AD7716" w:rsidRPr="00D524FA" w:rsidRDefault="00AD7716" w:rsidP="00AD7716">
      <w:pPr>
        <w:spacing w:after="0" w:line="240" w:lineRule="auto"/>
        <w:ind w:right="141"/>
        <w:rPr>
          <w:rFonts w:ascii="Book Antiqua" w:hAnsi="Book Antiqua"/>
          <w:b/>
          <w:sz w:val="20"/>
          <w:szCs w:val="20"/>
        </w:rPr>
      </w:pPr>
    </w:p>
    <w:tbl>
      <w:tblPr>
        <w:tblStyle w:val="Mriekatabuky1"/>
        <w:tblW w:w="9176" w:type="dxa"/>
        <w:tblLayout w:type="fixed"/>
        <w:tblLook w:val="04A0" w:firstRow="1" w:lastRow="0" w:firstColumn="1" w:lastColumn="0" w:noHBand="0" w:noVBand="1"/>
      </w:tblPr>
      <w:tblGrid>
        <w:gridCol w:w="9176"/>
      </w:tblGrid>
      <w:tr w:rsidR="00AD7716" w:rsidRPr="00D524FA" w14:paraId="0328CCED" w14:textId="77777777" w:rsidTr="00AC02BC">
        <w:tc>
          <w:tcPr>
            <w:tcW w:w="9176" w:type="dxa"/>
            <w:tcBorders>
              <w:top w:val="single" w:sz="4" w:space="0" w:color="auto"/>
              <w:left w:val="single" w:sz="4" w:space="0" w:color="auto"/>
              <w:bottom w:val="nil"/>
              <w:right w:val="single" w:sz="4" w:space="0" w:color="auto"/>
            </w:tcBorders>
            <w:shd w:val="clear" w:color="auto" w:fill="E2E2E2"/>
          </w:tcPr>
          <w:p w14:paraId="55B45B8B"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Poznámky</w:t>
            </w:r>
          </w:p>
        </w:tc>
      </w:tr>
      <w:tr w:rsidR="00AD7716" w:rsidRPr="00D524FA" w14:paraId="64A5F108" w14:textId="77777777" w:rsidTr="00AC02BC">
        <w:trPr>
          <w:trHeight w:val="713"/>
        </w:trPr>
        <w:tc>
          <w:tcPr>
            <w:tcW w:w="9176" w:type="dxa"/>
            <w:tcBorders>
              <w:top w:val="nil"/>
              <w:left w:val="single" w:sz="4" w:space="0" w:color="auto"/>
              <w:bottom w:val="single" w:sz="4" w:space="0" w:color="auto"/>
              <w:right w:val="single" w:sz="4" w:space="0" w:color="auto"/>
            </w:tcBorders>
          </w:tcPr>
          <w:p w14:paraId="097CD3CE" w14:textId="77777777" w:rsidR="006D7113" w:rsidRDefault="00C36B1B" w:rsidP="0071270C">
            <w:pPr>
              <w:spacing w:before="120"/>
              <w:jc w:val="both"/>
              <w:rPr>
                <w:rFonts w:ascii="Book Antiqua" w:hAnsi="Book Antiqua"/>
                <w:sz w:val="20"/>
                <w:szCs w:val="20"/>
                <w:lang w:eastAsia="ar-SA"/>
              </w:rPr>
            </w:pPr>
            <w:r>
              <w:rPr>
                <w:rFonts w:ascii="Book Antiqua" w:hAnsi="Book Antiqua"/>
                <w:sz w:val="20"/>
                <w:szCs w:val="20"/>
                <w:lang w:eastAsia="ar-SA"/>
              </w:rPr>
              <w:t>Vplyv na rozpočet verejnej správy sa nepredpokladá. Možno však očakávať zvýšenú administratívnu náročnosť na úseku katastra nehnuteľností, hoci preverovanie tak, ako ho zákon predpokladá, čiastočne prebiehalo už doteraz, resp. na dobrovoľnej báze. Zvýšená administratívna náročnosť však nie je tak rozsiahla, aby si to vyžadovalo navýšenie personálnych kapacít katastra nehnuteľností.</w:t>
            </w:r>
          </w:p>
          <w:p w14:paraId="02A72174" w14:textId="3015CC35" w:rsidR="00C36B1B" w:rsidRDefault="00C36B1B" w:rsidP="0071270C">
            <w:pPr>
              <w:spacing w:before="120"/>
              <w:jc w:val="both"/>
              <w:rPr>
                <w:rFonts w:ascii="Book Antiqua" w:hAnsi="Book Antiqua"/>
                <w:sz w:val="20"/>
                <w:szCs w:val="20"/>
                <w:lang w:eastAsia="ar-SA"/>
              </w:rPr>
            </w:pPr>
            <w:r>
              <w:rPr>
                <w:rFonts w:ascii="Book Antiqua" w:hAnsi="Book Antiqua"/>
                <w:sz w:val="20"/>
                <w:szCs w:val="20"/>
                <w:lang w:eastAsia="ar-SA"/>
              </w:rPr>
              <w:t>Negatívne vplyvy sa predpokladajú vo vzťahu k advokátom a Slovenskej advokátskej komore. Z hľadiska administratívnej náročnosti minimálne, pretože vyplnenie 5 základných údajov do centrálneho registra nie je administratívne ani časovo náročné. Skôr na úrovni vybudovania verejného registra a informačného systému, ktorý podobne ako v minulosti notári, bude musieť komora vytvoriť spoločne s advokátmi a to si prechodne vyžiada aj zvýšené finančné náklady, následne aj menšie náklady na údržbu a prevádzkovanie systému.</w:t>
            </w:r>
            <w:r w:rsidR="0009155F">
              <w:rPr>
                <w:rFonts w:ascii="Book Antiqua" w:hAnsi="Book Antiqua"/>
                <w:sz w:val="20"/>
                <w:szCs w:val="20"/>
                <w:lang w:eastAsia="ar-SA"/>
              </w:rPr>
              <w:t xml:space="preserve"> Aj v tomto ohľade však Slovenská advokátska komora môže využiť eurofondy, ktoré jej už boli priznané na projekt „</w:t>
            </w:r>
            <w:r w:rsidR="0009155F" w:rsidRPr="0009155F">
              <w:rPr>
                <w:rFonts w:ascii="Book Antiqua" w:hAnsi="Book Antiqua"/>
                <w:sz w:val="20"/>
                <w:szCs w:val="20"/>
                <w:lang w:eastAsia="ar-SA"/>
              </w:rPr>
              <w:t>Realizácia technologických a netechnologických zmien na front-ende a back-ende koncových služieb a webových sídel a vytváranie expertných ľudských kapacít v súlade s § 13a Zákona č. 95/2019 Z. z</w:t>
            </w:r>
            <w:r w:rsidR="0009155F">
              <w:rPr>
                <w:rFonts w:ascii="Book Antiqua" w:hAnsi="Book Antiqua"/>
                <w:sz w:val="20"/>
                <w:szCs w:val="20"/>
                <w:lang w:eastAsia="ar-SA"/>
              </w:rPr>
              <w:t>.“ v sume 620 000 eur so špecifickým cieľom - v</w:t>
            </w:r>
            <w:r w:rsidR="0009155F" w:rsidRPr="0009155F">
              <w:rPr>
                <w:rFonts w:ascii="Book Antiqua" w:hAnsi="Book Antiqua"/>
                <w:sz w:val="20"/>
                <w:szCs w:val="20"/>
                <w:lang w:eastAsia="ar-SA"/>
              </w:rPr>
              <w:t>yužívanie prínosov digitalizácie pre občanov, podniky, výskumné organizácie a orgány verejnej správy</w:t>
            </w:r>
            <w:r w:rsidR="0009155F">
              <w:rPr>
                <w:rFonts w:ascii="Book Antiqua" w:hAnsi="Book Antiqua"/>
                <w:sz w:val="20"/>
                <w:szCs w:val="20"/>
                <w:lang w:eastAsia="ar-SA"/>
              </w:rPr>
              <w:t>, čo nepochybne zahŕňa aj zákonom navrhovanú centrálnu knihu autorizácií.</w:t>
            </w:r>
          </w:p>
          <w:p w14:paraId="094FA0E7" w14:textId="77777777" w:rsidR="000B23BC" w:rsidRDefault="000B23BC" w:rsidP="0071270C">
            <w:pPr>
              <w:spacing w:before="120"/>
              <w:jc w:val="both"/>
              <w:rPr>
                <w:rFonts w:ascii="Book Antiqua" w:hAnsi="Book Antiqua"/>
                <w:sz w:val="20"/>
                <w:szCs w:val="20"/>
                <w:lang w:eastAsia="ar-SA"/>
              </w:rPr>
            </w:pPr>
            <w:r>
              <w:rPr>
                <w:rFonts w:ascii="Book Antiqua" w:hAnsi="Book Antiqua"/>
                <w:sz w:val="20"/>
                <w:szCs w:val="20"/>
                <w:lang w:eastAsia="ar-SA"/>
              </w:rPr>
              <w:lastRenderedPageBreak/>
              <w:t>Predpokladajú sa pozitívne vplyvy na informatizáciu spoločnosti, keďže z vybudovania informačného systému bude mať prospech nielen kataster nehnuteľností, ale aj širšia verejnosť, ktorá tak bude lepšie chránená pred podvodmi a zároveň si zlepší aj gramotnosť v oblasti informatizácie spoločnosti.</w:t>
            </w:r>
          </w:p>
          <w:p w14:paraId="263E5331" w14:textId="77777777" w:rsidR="000B23BC" w:rsidRDefault="000B23BC" w:rsidP="0071270C">
            <w:pPr>
              <w:spacing w:before="120"/>
              <w:jc w:val="both"/>
              <w:rPr>
                <w:rFonts w:ascii="Book Antiqua" w:hAnsi="Book Antiqua"/>
                <w:sz w:val="20"/>
                <w:szCs w:val="20"/>
                <w:lang w:eastAsia="ar-SA"/>
              </w:rPr>
            </w:pPr>
            <w:r>
              <w:rPr>
                <w:rFonts w:ascii="Book Antiqua" w:hAnsi="Book Antiqua"/>
                <w:sz w:val="20"/>
                <w:szCs w:val="20"/>
                <w:lang w:eastAsia="ar-SA"/>
              </w:rPr>
              <w:t>Predpokladá sa tiež pozitívny vplyv na služby verejnej správy pre občana, konkrétne sa majú na mysli služby katastra nehnuteľností, ako aj zlepšenie výsledkov v oblasti kontroly majetkových priznaní s následným dopadom na väčšiu transparentnosť verejného života a hospodárnejšie nakladanie s verejnými financiami.</w:t>
            </w:r>
          </w:p>
          <w:p w14:paraId="7DC75F74" w14:textId="1E9AEAC3" w:rsidR="000B23BC" w:rsidRPr="00C36B1B" w:rsidRDefault="000B23BC" w:rsidP="0071270C">
            <w:pPr>
              <w:spacing w:before="120"/>
              <w:jc w:val="both"/>
              <w:rPr>
                <w:rFonts w:ascii="Book Antiqua" w:hAnsi="Book Antiqua"/>
                <w:sz w:val="20"/>
                <w:szCs w:val="20"/>
                <w:lang w:eastAsia="ar-SA"/>
              </w:rPr>
            </w:pPr>
            <w:r>
              <w:rPr>
                <w:rFonts w:ascii="Book Antiqua" w:hAnsi="Book Antiqua"/>
                <w:sz w:val="20"/>
                <w:szCs w:val="20"/>
                <w:lang w:eastAsia="ar-SA"/>
              </w:rPr>
              <w:t>Pozitívne by mali byť aj vplyvy na manželstvo, rodinu, rodičovstvo a deti. Keďže podvody pri BSM sa dejú medzi manželmi, na čo môžu doplatiť aj ich deti, zníženie alebo zamedzenie podvodom pri prevodoch nehnuteľností, osobitne pri modifikačných dohodách manželov, prospeje aj samotným manželom, rodinám a deťom.</w:t>
            </w:r>
          </w:p>
        </w:tc>
      </w:tr>
      <w:tr w:rsidR="00AD7716" w:rsidRPr="00D524FA" w14:paraId="5DFAFDC8" w14:textId="77777777" w:rsidTr="00AC02BC">
        <w:tc>
          <w:tcPr>
            <w:tcW w:w="9176" w:type="dxa"/>
          </w:tcPr>
          <w:p w14:paraId="4D1C9E8A"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lastRenderedPageBreak/>
              <w:t xml:space="preserve">Kontakt na spracovateľa/súčinnosť </w:t>
            </w:r>
          </w:p>
        </w:tc>
      </w:tr>
      <w:tr w:rsidR="00AD7716" w:rsidRPr="00D524FA" w14:paraId="4BAD81E5" w14:textId="77777777" w:rsidTr="00AC02BC">
        <w:trPr>
          <w:trHeight w:val="586"/>
        </w:trPr>
        <w:tc>
          <w:tcPr>
            <w:tcW w:w="9176" w:type="dxa"/>
          </w:tcPr>
          <w:p w14:paraId="00E6BFD8" w14:textId="77777777"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Vypracovali ste návrh zákona v súčinnosti s príslušným ministerstvom?</w:t>
            </w:r>
            <w:r w:rsidRPr="00D524FA">
              <w:rPr>
                <w:rFonts w:ascii="Book Antiqua" w:eastAsia="Times New Roman" w:hAnsi="Book Antiqua"/>
                <w:b/>
                <w:sz w:val="20"/>
                <w:szCs w:val="20"/>
                <w:lang w:eastAsia="sk-SK"/>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Nie</w:t>
            </w:r>
          </w:p>
          <w:p w14:paraId="2F5A814F" w14:textId="77777777" w:rsidR="00AD7716" w:rsidRPr="00D524FA" w:rsidRDefault="00AD7716" w:rsidP="00AC02BC">
            <w:pPr>
              <w:rPr>
                <w:rFonts w:ascii="Book Antiqua" w:eastAsia="Times New Roman" w:hAnsi="Book Antiqua"/>
                <w:i/>
                <w:sz w:val="20"/>
                <w:szCs w:val="20"/>
                <w:lang w:eastAsia="sk-SK"/>
              </w:rPr>
            </w:pPr>
          </w:p>
          <w:p w14:paraId="3E1F8440" w14:textId="77777777"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Uveďte údaje na kontaktnú osobu, ktorú je možné kontaktovať v súvislosti s posúdením vybraných vplyvov.</w:t>
            </w:r>
          </w:p>
          <w:p w14:paraId="5A215457" w14:textId="77777777" w:rsidR="00AD7716" w:rsidRPr="00D524FA" w:rsidRDefault="00AD7716" w:rsidP="00AC02BC">
            <w:pPr>
              <w:rPr>
                <w:rFonts w:ascii="Book Antiqua" w:eastAsia="Times New Roman" w:hAnsi="Book Antiqua"/>
                <w:i/>
                <w:sz w:val="20"/>
                <w:szCs w:val="20"/>
                <w:lang w:eastAsia="sk-SK"/>
              </w:rPr>
            </w:pPr>
          </w:p>
        </w:tc>
      </w:tr>
      <w:tr w:rsidR="00AD7716" w:rsidRPr="00D524FA" w14:paraId="3D7FF2C9" w14:textId="77777777" w:rsidTr="00AC02BC">
        <w:tc>
          <w:tcPr>
            <w:tcW w:w="9176" w:type="dxa"/>
          </w:tcPr>
          <w:p w14:paraId="5A5D046F"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Stanovisko gestorov</w:t>
            </w:r>
          </w:p>
        </w:tc>
      </w:tr>
      <w:tr w:rsidR="00AD7716" w:rsidRPr="00D524FA" w14:paraId="321BE1C1" w14:textId="77777777" w:rsidTr="00AC02BC">
        <w:trPr>
          <w:trHeight w:val="401"/>
        </w:trPr>
        <w:tc>
          <w:tcPr>
            <w:tcW w:w="9176" w:type="dxa"/>
          </w:tcPr>
          <w:p w14:paraId="7091E867" w14:textId="79C3FE2F" w:rsidR="00AD7716" w:rsidRPr="00D524FA" w:rsidRDefault="00AD7716" w:rsidP="00AC02BC">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Stanovisko Ministerstva financií SR</w:t>
            </w:r>
            <w:r w:rsidRPr="00D524FA">
              <w:rPr>
                <w:rFonts w:ascii="Book Antiqua" w:eastAsia="Times New Roman" w:hAnsi="Book Antiqua"/>
                <w:b/>
                <w:sz w:val="20"/>
                <w:szCs w:val="20"/>
                <w:lang w:eastAsia="sk-SK"/>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vyžiadané              </w:t>
            </w:r>
            <w:sdt>
              <w:sdtPr>
                <w:rPr>
                  <w:rFonts w:ascii="Book Antiqua" w:hAnsi="Book Antiqua"/>
                  <w:b/>
                  <w:sz w:val="20"/>
                  <w:szCs w:val="20"/>
                </w:rPr>
                <w:id w:val="284241648"/>
                <w14:checkbox>
                  <w14:checked w14:val="0"/>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00D524FA">
              <w:rPr>
                <w:rFonts w:ascii="Book Antiqua" w:eastAsia="Times New Roman" w:hAnsi="Book Antiqua"/>
                <w:b/>
                <w:sz w:val="20"/>
                <w:szCs w:val="20"/>
                <w:lang w:eastAsia="sk-SK"/>
              </w:rPr>
              <w:t xml:space="preserve"> p</w:t>
            </w:r>
            <w:r w:rsidRPr="00D524FA">
              <w:rPr>
                <w:rFonts w:ascii="Book Antiqua" w:eastAsia="Times New Roman" w:hAnsi="Book Antiqua"/>
                <w:b/>
                <w:sz w:val="20"/>
                <w:szCs w:val="20"/>
                <w:lang w:eastAsia="sk-SK"/>
              </w:rPr>
              <w:t>riložené</w:t>
            </w:r>
          </w:p>
          <w:p w14:paraId="288D9A06" w14:textId="77777777" w:rsidR="00AD7716" w:rsidRPr="00D524FA" w:rsidRDefault="00AD7716" w:rsidP="00AC02BC">
            <w:pPr>
              <w:jc w:val="both"/>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 xml:space="preserve">Stanovisko Ministerstva hospodárstva SR                                         </w:t>
            </w:r>
            <w:r w:rsidRPr="00D524FA">
              <w:rPr>
                <w:rFonts w:ascii="Book Antiqua" w:eastAsia="Times New Roman" w:hAnsi="Book Antiqua"/>
                <w:b/>
                <w:sz w:val="20"/>
                <w:szCs w:val="20"/>
                <w:lang w:eastAsia="sk-SK"/>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End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priložené</w:t>
            </w:r>
          </w:p>
          <w:p w14:paraId="3D67DA51" w14:textId="77777777" w:rsidR="00D524FA" w:rsidRDefault="00D524FA" w:rsidP="00AC02BC">
            <w:pPr>
              <w:rPr>
                <w:rFonts w:ascii="Book Antiqua" w:eastAsia="Times New Roman" w:hAnsi="Book Antiqua"/>
                <w:bCs/>
                <w:i/>
                <w:iCs/>
                <w:sz w:val="20"/>
                <w:szCs w:val="20"/>
                <w:lang w:eastAsia="sk-SK"/>
              </w:rPr>
            </w:pPr>
          </w:p>
          <w:p w14:paraId="41A5B8E7" w14:textId="2D58A969" w:rsidR="00AD7716" w:rsidRPr="00D524FA" w:rsidRDefault="00AD7716" w:rsidP="00AC02BC">
            <w:pPr>
              <w:rPr>
                <w:rFonts w:ascii="Book Antiqua" w:eastAsia="Times New Roman" w:hAnsi="Book Antiqua"/>
                <w:bCs/>
                <w:i/>
                <w:iCs/>
                <w:sz w:val="20"/>
                <w:szCs w:val="20"/>
                <w:lang w:eastAsia="sk-SK"/>
              </w:rPr>
            </w:pPr>
            <w:r w:rsidRPr="00D524FA">
              <w:rPr>
                <w:rFonts w:ascii="Book Antiqua" w:eastAsia="Times New Roman" w:hAnsi="Book Antiqua"/>
                <w:bCs/>
                <w:i/>
                <w:iCs/>
                <w:sz w:val="20"/>
                <w:szCs w:val="20"/>
                <w:lang w:eastAsia="sk-SK"/>
              </w:rPr>
              <w:t>V prípade potreby uveďte doplňujúce informácie alebo poznámky k stanovisku.</w:t>
            </w:r>
          </w:p>
          <w:p w14:paraId="0DB3499E" w14:textId="77777777" w:rsidR="00AD7716" w:rsidRPr="00D524FA" w:rsidRDefault="00AD7716" w:rsidP="00AC02BC">
            <w:pPr>
              <w:rPr>
                <w:rFonts w:ascii="Book Antiqua" w:eastAsia="Times New Roman" w:hAnsi="Book Antiqua"/>
                <w:bCs/>
                <w:i/>
                <w:iCs/>
                <w:sz w:val="20"/>
                <w:szCs w:val="20"/>
                <w:lang w:eastAsia="sk-SK"/>
              </w:rPr>
            </w:pPr>
          </w:p>
        </w:tc>
      </w:tr>
    </w:tbl>
    <w:p w14:paraId="632A2A84" w14:textId="2018F857" w:rsidR="000C4C3A" w:rsidRDefault="000C4C3A" w:rsidP="00D524FA">
      <w:pPr>
        <w:rPr>
          <w:rFonts w:ascii="Book Antiqua" w:hAnsi="Book Antiqua" w:cs="Book Antiqua"/>
          <w:caps/>
          <w:spacing w:val="30"/>
        </w:rPr>
      </w:pPr>
    </w:p>
    <w:p w14:paraId="6CBA4C23" w14:textId="77777777" w:rsidR="000C4C3A" w:rsidRDefault="000C4C3A" w:rsidP="00D524FA">
      <w:pPr>
        <w:rPr>
          <w:rFonts w:ascii="Book Antiqua" w:hAnsi="Book Antiqua" w:cs="Book Antiqua"/>
          <w:caps/>
          <w:spacing w:val="30"/>
        </w:rPr>
      </w:pPr>
    </w:p>
    <w:p w14:paraId="3FDF784B" w14:textId="77777777" w:rsidR="000C4C3A" w:rsidRDefault="000C4C3A" w:rsidP="00D524FA">
      <w:pPr>
        <w:rPr>
          <w:rFonts w:ascii="Book Antiqua" w:hAnsi="Book Antiqua" w:cs="Book Antiqua"/>
          <w:caps/>
          <w:spacing w:val="30"/>
        </w:rPr>
      </w:pPr>
    </w:p>
    <w:p w14:paraId="2D87705A" w14:textId="77777777" w:rsidR="000C4C3A" w:rsidRDefault="000C4C3A" w:rsidP="00D524FA">
      <w:pPr>
        <w:rPr>
          <w:rFonts w:ascii="Book Antiqua" w:hAnsi="Book Antiqua" w:cs="Book Antiqua"/>
          <w:caps/>
          <w:spacing w:val="30"/>
        </w:rPr>
      </w:pPr>
    </w:p>
    <w:p w14:paraId="2583F53A" w14:textId="77777777" w:rsidR="000C4C3A" w:rsidRDefault="000C4C3A" w:rsidP="00D524FA">
      <w:pPr>
        <w:rPr>
          <w:rFonts w:ascii="Book Antiqua" w:hAnsi="Book Antiqua" w:cs="Book Antiqua"/>
          <w:caps/>
          <w:spacing w:val="30"/>
        </w:rPr>
      </w:pPr>
    </w:p>
    <w:p w14:paraId="4A527C7F" w14:textId="77777777" w:rsidR="000C4C3A" w:rsidRDefault="000C4C3A" w:rsidP="00D524FA">
      <w:pPr>
        <w:rPr>
          <w:rFonts w:ascii="Book Antiqua" w:hAnsi="Book Antiqua" w:cs="Book Antiqua"/>
          <w:caps/>
          <w:spacing w:val="30"/>
        </w:rPr>
      </w:pPr>
    </w:p>
    <w:p w14:paraId="2AA7E43A" w14:textId="369FF4EB" w:rsidR="00D71F3C" w:rsidRPr="00D524FA" w:rsidRDefault="00D71F3C" w:rsidP="00D524FA">
      <w:pPr>
        <w:rPr>
          <w:rFonts w:ascii="Book Antiqua" w:hAnsi="Book Antiqua" w:cs="Book Antiqua"/>
          <w:b/>
          <w:bCs/>
          <w:caps/>
          <w:spacing w:val="30"/>
        </w:rPr>
      </w:pPr>
    </w:p>
    <w:sectPr w:rsidR="00D71F3C" w:rsidRPr="00D524FA">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70D7" w14:textId="77777777" w:rsidR="00E444AC" w:rsidRDefault="00E444AC" w:rsidP="00C97949">
      <w:pPr>
        <w:spacing w:after="0" w:line="240" w:lineRule="auto"/>
      </w:pPr>
      <w:r>
        <w:separator/>
      </w:r>
    </w:p>
  </w:endnote>
  <w:endnote w:type="continuationSeparator" w:id="0">
    <w:p w14:paraId="5968D224" w14:textId="77777777" w:rsidR="00E444AC" w:rsidRDefault="00E444AC"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924427"/>
      <w:docPartObj>
        <w:docPartGallery w:val="Page Numbers (Bottom of Page)"/>
        <w:docPartUnique/>
      </w:docPartObj>
    </w:sdtPr>
    <w:sdtEndPr/>
    <w:sdtContent>
      <w:p w14:paraId="494A51FA" w14:textId="741EF572" w:rsidR="00C97949" w:rsidRDefault="00C97949">
        <w:pPr>
          <w:pStyle w:val="Pta"/>
          <w:jc w:val="center"/>
        </w:pPr>
        <w:r>
          <w:fldChar w:fldCharType="begin"/>
        </w:r>
        <w:r>
          <w:instrText>PAGE   \* MERGEFORMAT</w:instrText>
        </w:r>
        <w:r>
          <w:fldChar w:fldCharType="separate"/>
        </w:r>
        <w:r w:rsidR="00D40E83">
          <w:rPr>
            <w:noProof/>
          </w:rPr>
          <w:t>2</w:t>
        </w:r>
        <w:r>
          <w:fldChar w:fldCharType="end"/>
        </w:r>
      </w:p>
    </w:sdtContent>
  </w:sdt>
  <w:p w14:paraId="4074F35F" w14:textId="77777777" w:rsidR="00C97949" w:rsidRDefault="00C97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60B09" w14:textId="77777777" w:rsidR="00E444AC" w:rsidRDefault="00E444AC" w:rsidP="00C97949">
      <w:pPr>
        <w:spacing w:after="0" w:line="240" w:lineRule="auto"/>
      </w:pPr>
      <w:r>
        <w:separator/>
      </w:r>
    </w:p>
  </w:footnote>
  <w:footnote w:type="continuationSeparator" w:id="0">
    <w:p w14:paraId="09E845A5" w14:textId="77777777" w:rsidR="00E444AC" w:rsidRDefault="00E444AC"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F123241"/>
    <w:multiLevelType w:val="hybridMultilevel"/>
    <w:tmpl w:val="6E9852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301C5273"/>
    <w:multiLevelType w:val="hybridMultilevel"/>
    <w:tmpl w:val="81460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 w15:restartNumberingAfterBreak="0">
    <w:nsid w:val="5A687FA8"/>
    <w:multiLevelType w:val="hybridMultilevel"/>
    <w:tmpl w:val="3392E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528042C"/>
    <w:multiLevelType w:val="hybridMultilevel"/>
    <w:tmpl w:val="669E23F2"/>
    <w:lvl w:ilvl="0" w:tplc="F52AFA2E">
      <w:numFmt w:val="bullet"/>
      <w:lvlText w:val="-"/>
      <w:lvlJc w:val="left"/>
      <w:pPr>
        <w:ind w:left="720" w:hanging="360"/>
      </w:pPr>
      <w:rPr>
        <w:rFonts w:ascii="Book Antiqua" w:eastAsia="Calibri" w:hAnsi="Book Antiqu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4E1357A"/>
    <w:multiLevelType w:val="hybridMultilevel"/>
    <w:tmpl w:val="FB5491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7F6C3013"/>
    <w:multiLevelType w:val="hybridMultilevel"/>
    <w:tmpl w:val="F2DA4E0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7"/>
  </w:num>
  <w:num w:numId="5">
    <w:abstractNumId w:val="1"/>
  </w:num>
  <w:num w:numId="6">
    <w:abstractNumId w:val="3"/>
  </w:num>
  <w:num w:numId="7">
    <w:abstractNumId w:val="9"/>
  </w:num>
  <w:num w:numId="8">
    <w:abstractNumId w:val="5"/>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0"/>
    <w:rsid w:val="000018AC"/>
    <w:rsid w:val="00003D93"/>
    <w:rsid w:val="000062E8"/>
    <w:rsid w:val="00011B96"/>
    <w:rsid w:val="00023FB8"/>
    <w:rsid w:val="00034E00"/>
    <w:rsid w:val="00046726"/>
    <w:rsid w:val="00067042"/>
    <w:rsid w:val="00074EE2"/>
    <w:rsid w:val="0007515F"/>
    <w:rsid w:val="0009155F"/>
    <w:rsid w:val="000A22A1"/>
    <w:rsid w:val="000B23BC"/>
    <w:rsid w:val="000B4307"/>
    <w:rsid w:val="000B6CAD"/>
    <w:rsid w:val="000B7209"/>
    <w:rsid w:val="000C4C3A"/>
    <w:rsid w:val="000C544E"/>
    <w:rsid w:val="000D1DB6"/>
    <w:rsid w:val="000D7AAE"/>
    <w:rsid w:val="000E16E6"/>
    <w:rsid w:val="000F1924"/>
    <w:rsid w:val="000F3A93"/>
    <w:rsid w:val="00126C54"/>
    <w:rsid w:val="001338D5"/>
    <w:rsid w:val="00141EFC"/>
    <w:rsid w:val="00152EAC"/>
    <w:rsid w:val="00155368"/>
    <w:rsid w:val="00162168"/>
    <w:rsid w:val="0017562F"/>
    <w:rsid w:val="00184CB0"/>
    <w:rsid w:val="00191F05"/>
    <w:rsid w:val="00194A04"/>
    <w:rsid w:val="001A3650"/>
    <w:rsid w:val="001A762C"/>
    <w:rsid w:val="001C14F4"/>
    <w:rsid w:val="001D0445"/>
    <w:rsid w:val="001F02BF"/>
    <w:rsid w:val="00205BBD"/>
    <w:rsid w:val="00206156"/>
    <w:rsid w:val="00211B3B"/>
    <w:rsid w:val="00214D57"/>
    <w:rsid w:val="00231ECB"/>
    <w:rsid w:val="002339BE"/>
    <w:rsid w:val="00240C85"/>
    <w:rsid w:val="0024315B"/>
    <w:rsid w:val="0025249C"/>
    <w:rsid w:val="002551C2"/>
    <w:rsid w:val="00255EB4"/>
    <w:rsid w:val="00265D2D"/>
    <w:rsid w:val="00284496"/>
    <w:rsid w:val="00290DFE"/>
    <w:rsid w:val="00293814"/>
    <w:rsid w:val="002A1B31"/>
    <w:rsid w:val="002A6D03"/>
    <w:rsid w:val="002B00B6"/>
    <w:rsid w:val="002F4854"/>
    <w:rsid w:val="002F648B"/>
    <w:rsid w:val="003204E7"/>
    <w:rsid w:val="00323127"/>
    <w:rsid w:val="00323776"/>
    <w:rsid w:val="0033340C"/>
    <w:rsid w:val="00334D0C"/>
    <w:rsid w:val="0034333E"/>
    <w:rsid w:val="00343651"/>
    <w:rsid w:val="003459BE"/>
    <w:rsid w:val="00347095"/>
    <w:rsid w:val="00353DA2"/>
    <w:rsid w:val="00364D4E"/>
    <w:rsid w:val="0037462D"/>
    <w:rsid w:val="00374C8B"/>
    <w:rsid w:val="00377236"/>
    <w:rsid w:val="00381EC0"/>
    <w:rsid w:val="003856C2"/>
    <w:rsid w:val="00386510"/>
    <w:rsid w:val="0038768A"/>
    <w:rsid w:val="003920C5"/>
    <w:rsid w:val="003A3202"/>
    <w:rsid w:val="003A3E9C"/>
    <w:rsid w:val="003B2158"/>
    <w:rsid w:val="003C18E1"/>
    <w:rsid w:val="003C66F7"/>
    <w:rsid w:val="003D3E6B"/>
    <w:rsid w:val="003E737E"/>
    <w:rsid w:val="00404AB4"/>
    <w:rsid w:val="004064CE"/>
    <w:rsid w:val="00430AB9"/>
    <w:rsid w:val="0043711F"/>
    <w:rsid w:val="00444837"/>
    <w:rsid w:val="00446495"/>
    <w:rsid w:val="0045568A"/>
    <w:rsid w:val="00471083"/>
    <w:rsid w:val="004777CE"/>
    <w:rsid w:val="004819F6"/>
    <w:rsid w:val="00487E4E"/>
    <w:rsid w:val="004A3D51"/>
    <w:rsid w:val="004B23CD"/>
    <w:rsid w:val="004C1BE8"/>
    <w:rsid w:val="004D0734"/>
    <w:rsid w:val="004E0F11"/>
    <w:rsid w:val="004E58DE"/>
    <w:rsid w:val="00517DFD"/>
    <w:rsid w:val="00521BB0"/>
    <w:rsid w:val="005425E1"/>
    <w:rsid w:val="005439BC"/>
    <w:rsid w:val="00570D93"/>
    <w:rsid w:val="00581B5A"/>
    <w:rsid w:val="005B1ACE"/>
    <w:rsid w:val="005C1297"/>
    <w:rsid w:val="005C14B4"/>
    <w:rsid w:val="005F0011"/>
    <w:rsid w:val="005F0557"/>
    <w:rsid w:val="005F17FE"/>
    <w:rsid w:val="005F3632"/>
    <w:rsid w:val="006036BB"/>
    <w:rsid w:val="0061371A"/>
    <w:rsid w:val="006272CD"/>
    <w:rsid w:val="00633064"/>
    <w:rsid w:val="006540D6"/>
    <w:rsid w:val="00662B02"/>
    <w:rsid w:val="00664FFE"/>
    <w:rsid w:val="00674F9D"/>
    <w:rsid w:val="00687DAD"/>
    <w:rsid w:val="0069020B"/>
    <w:rsid w:val="0069302A"/>
    <w:rsid w:val="006A3F8D"/>
    <w:rsid w:val="006B2C5B"/>
    <w:rsid w:val="006D1C1F"/>
    <w:rsid w:val="006D485C"/>
    <w:rsid w:val="006D635C"/>
    <w:rsid w:val="006D7113"/>
    <w:rsid w:val="006F2637"/>
    <w:rsid w:val="006F7B9F"/>
    <w:rsid w:val="007013DA"/>
    <w:rsid w:val="00711499"/>
    <w:rsid w:val="0071270C"/>
    <w:rsid w:val="00720C14"/>
    <w:rsid w:val="007253B8"/>
    <w:rsid w:val="0074281F"/>
    <w:rsid w:val="0074382E"/>
    <w:rsid w:val="00747483"/>
    <w:rsid w:val="00752DEC"/>
    <w:rsid w:val="00757A17"/>
    <w:rsid w:val="007651A7"/>
    <w:rsid w:val="0077388C"/>
    <w:rsid w:val="007838BE"/>
    <w:rsid w:val="007954BA"/>
    <w:rsid w:val="007B7066"/>
    <w:rsid w:val="007C0CE8"/>
    <w:rsid w:val="007F2546"/>
    <w:rsid w:val="008003F2"/>
    <w:rsid w:val="00802C5B"/>
    <w:rsid w:val="008310F3"/>
    <w:rsid w:val="00844FFC"/>
    <w:rsid w:val="00857EEE"/>
    <w:rsid w:val="00865E4C"/>
    <w:rsid w:val="008756DD"/>
    <w:rsid w:val="00886970"/>
    <w:rsid w:val="0089456A"/>
    <w:rsid w:val="008956BC"/>
    <w:rsid w:val="008A1A9C"/>
    <w:rsid w:val="008A5E46"/>
    <w:rsid w:val="008B1E22"/>
    <w:rsid w:val="008D4D13"/>
    <w:rsid w:val="008F51EB"/>
    <w:rsid w:val="008F744B"/>
    <w:rsid w:val="00900DB7"/>
    <w:rsid w:val="00911A32"/>
    <w:rsid w:val="00911D4A"/>
    <w:rsid w:val="0091753B"/>
    <w:rsid w:val="0092002E"/>
    <w:rsid w:val="00921A8E"/>
    <w:rsid w:val="00930F9F"/>
    <w:rsid w:val="00942E2D"/>
    <w:rsid w:val="00962AEC"/>
    <w:rsid w:val="00964F40"/>
    <w:rsid w:val="00967486"/>
    <w:rsid w:val="00983F2C"/>
    <w:rsid w:val="00986280"/>
    <w:rsid w:val="00986EEF"/>
    <w:rsid w:val="0099219C"/>
    <w:rsid w:val="00993083"/>
    <w:rsid w:val="009A20BB"/>
    <w:rsid w:val="009A375B"/>
    <w:rsid w:val="009C1006"/>
    <w:rsid w:val="009C4B13"/>
    <w:rsid w:val="009E5788"/>
    <w:rsid w:val="009E5F9D"/>
    <w:rsid w:val="009E7FCC"/>
    <w:rsid w:val="00A10234"/>
    <w:rsid w:val="00A208D0"/>
    <w:rsid w:val="00A2373B"/>
    <w:rsid w:val="00A31CA1"/>
    <w:rsid w:val="00A43919"/>
    <w:rsid w:val="00A44D86"/>
    <w:rsid w:val="00A64B28"/>
    <w:rsid w:val="00A74020"/>
    <w:rsid w:val="00A75AE5"/>
    <w:rsid w:val="00A77F33"/>
    <w:rsid w:val="00A81002"/>
    <w:rsid w:val="00A94421"/>
    <w:rsid w:val="00AA6EED"/>
    <w:rsid w:val="00AB2C68"/>
    <w:rsid w:val="00AC68D6"/>
    <w:rsid w:val="00AD7716"/>
    <w:rsid w:val="00AE0A03"/>
    <w:rsid w:val="00AE7DDA"/>
    <w:rsid w:val="00AF0B6F"/>
    <w:rsid w:val="00AF18AA"/>
    <w:rsid w:val="00B01103"/>
    <w:rsid w:val="00B03694"/>
    <w:rsid w:val="00B0496F"/>
    <w:rsid w:val="00B14A4C"/>
    <w:rsid w:val="00B16F89"/>
    <w:rsid w:val="00B37678"/>
    <w:rsid w:val="00B4515D"/>
    <w:rsid w:val="00B569AB"/>
    <w:rsid w:val="00B576F5"/>
    <w:rsid w:val="00B63A0B"/>
    <w:rsid w:val="00B73C72"/>
    <w:rsid w:val="00B76A1E"/>
    <w:rsid w:val="00B770FC"/>
    <w:rsid w:val="00B7736A"/>
    <w:rsid w:val="00B8495C"/>
    <w:rsid w:val="00B916AA"/>
    <w:rsid w:val="00BA694A"/>
    <w:rsid w:val="00BB6162"/>
    <w:rsid w:val="00BB6AD9"/>
    <w:rsid w:val="00BC418B"/>
    <w:rsid w:val="00BC652D"/>
    <w:rsid w:val="00BD60C9"/>
    <w:rsid w:val="00BD6F41"/>
    <w:rsid w:val="00C03F8F"/>
    <w:rsid w:val="00C06852"/>
    <w:rsid w:val="00C22B39"/>
    <w:rsid w:val="00C36B1B"/>
    <w:rsid w:val="00C43EA0"/>
    <w:rsid w:val="00C44D52"/>
    <w:rsid w:val="00C44E80"/>
    <w:rsid w:val="00C45583"/>
    <w:rsid w:val="00C71033"/>
    <w:rsid w:val="00C7368E"/>
    <w:rsid w:val="00C74BE1"/>
    <w:rsid w:val="00C80137"/>
    <w:rsid w:val="00C81A8B"/>
    <w:rsid w:val="00C86ABC"/>
    <w:rsid w:val="00C95B0A"/>
    <w:rsid w:val="00C97949"/>
    <w:rsid w:val="00CA1C34"/>
    <w:rsid w:val="00CA480F"/>
    <w:rsid w:val="00CA6BEB"/>
    <w:rsid w:val="00CB31E2"/>
    <w:rsid w:val="00CB4DA2"/>
    <w:rsid w:val="00CD344A"/>
    <w:rsid w:val="00CD604C"/>
    <w:rsid w:val="00D04475"/>
    <w:rsid w:val="00D24166"/>
    <w:rsid w:val="00D33337"/>
    <w:rsid w:val="00D368C7"/>
    <w:rsid w:val="00D40E83"/>
    <w:rsid w:val="00D52442"/>
    <w:rsid w:val="00D524FA"/>
    <w:rsid w:val="00D53140"/>
    <w:rsid w:val="00D62CD7"/>
    <w:rsid w:val="00D6657D"/>
    <w:rsid w:val="00D71F3C"/>
    <w:rsid w:val="00D756C8"/>
    <w:rsid w:val="00D76788"/>
    <w:rsid w:val="00D8092E"/>
    <w:rsid w:val="00D81B13"/>
    <w:rsid w:val="00D93D0E"/>
    <w:rsid w:val="00D941E0"/>
    <w:rsid w:val="00D94793"/>
    <w:rsid w:val="00D966C0"/>
    <w:rsid w:val="00DC3F2F"/>
    <w:rsid w:val="00DC78F5"/>
    <w:rsid w:val="00DF0CE7"/>
    <w:rsid w:val="00DF1BCB"/>
    <w:rsid w:val="00DF2B12"/>
    <w:rsid w:val="00DF3212"/>
    <w:rsid w:val="00E01592"/>
    <w:rsid w:val="00E064DE"/>
    <w:rsid w:val="00E13D99"/>
    <w:rsid w:val="00E22E81"/>
    <w:rsid w:val="00E372F7"/>
    <w:rsid w:val="00E37FD8"/>
    <w:rsid w:val="00E444AC"/>
    <w:rsid w:val="00E508CB"/>
    <w:rsid w:val="00E76879"/>
    <w:rsid w:val="00EA1244"/>
    <w:rsid w:val="00EA4305"/>
    <w:rsid w:val="00EB20F0"/>
    <w:rsid w:val="00EB4C93"/>
    <w:rsid w:val="00EB6BE9"/>
    <w:rsid w:val="00ED6DB9"/>
    <w:rsid w:val="00EF38DB"/>
    <w:rsid w:val="00EF5D39"/>
    <w:rsid w:val="00F13C16"/>
    <w:rsid w:val="00F14B78"/>
    <w:rsid w:val="00F20E0B"/>
    <w:rsid w:val="00F5232F"/>
    <w:rsid w:val="00F554CA"/>
    <w:rsid w:val="00F61493"/>
    <w:rsid w:val="00F70678"/>
    <w:rsid w:val="00F75DFA"/>
    <w:rsid w:val="00F82401"/>
    <w:rsid w:val="00F8582B"/>
    <w:rsid w:val="00F87FA8"/>
    <w:rsid w:val="00F900C7"/>
    <w:rsid w:val="00FB4833"/>
    <w:rsid w:val="00FC02F5"/>
    <w:rsid w:val="00FD059A"/>
    <w:rsid w:val="00FD3A84"/>
    <w:rsid w:val="00FD5E6D"/>
    <w:rsid w:val="00FE1125"/>
    <w:rsid w:val="00FE1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unhideWhenUsed/>
    <w:rsid w:val="00B14A4C"/>
    <w:rPr>
      <w:color w:val="0000FF"/>
      <w:u w:val="single"/>
    </w:rPr>
  </w:style>
  <w:style w:type="character" w:styleId="Siln">
    <w:name w:val="Strong"/>
    <w:basedOn w:val="Predvolenpsmoodseku"/>
    <w:uiPriority w:val="22"/>
    <w:qFormat/>
    <w:rsid w:val="00AE0A03"/>
    <w:rPr>
      <w:b/>
      <w:bCs/>
    </w:rPr>
  </w:style>
  <w:style w:type="table" w:customStyle="1" w:styleId="Mriekatabuky1">
    <w:name w:val="Mriežka tabuľky1"/>
    <w:basedOn w:val="Normlnatabuka"/>
    <w:next w:val="Mriekatabuky"/>
    <w:uiPriority w:val="59"/>
    <w:rsid w:val="00AD771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D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5439BC"/>
    <w:rPr>
      <w:color w:val="605E5C"/>
      <w:shd w:val="clear" w:color="auto" w:fill="E1DFDD"/>
    </w:rPr>
  </w:style>
  <w:style w:type="character" w:styleId="Odkaznakomentr">
    <w:name w:val="annotation reference"/>
    <w:basedOn w:val="Predvolenpsmoodseku"/>
    <w:uiPriority w:val="99"/>
    <w:semiHidden/>
    <w:unhideWhenUsed/>
    <w:rsid w:val="000C544E"/>
    <w:rPr>
      <w:sz w:val="16"/>
      <w:szCs w:val="16"/>
    </w:rPr>
  </w:style>
  <w:style w:type="paragraph" w:styleId="Textkomentra">
    <w:name w:val="annotation text"/>
    <w:basedOn w:val="Normlny"/>
    <w:link w:val="TextkomentraChar"/>
    <w:uiPriority w:val="99"/>
    <w:unhideWhenUsed/>
    <w:rsid w:val="000C544E"/>
    <w:pPr>
      <w:spacing w:line="240" w:lineRule="auto"/>
    </w:pPr>
    <w:rPr>
      <w:sz w:val="20"/>
      <w:szCs w:val="20"/>
    </w:rPr>
  </w:style>
  <w:style w:type="character" w:customStyle="1" w:styleId="TextkomentraChar">
    <w:name w:val="Text komentára Char"/>
    <w:basedOn w:val="Predvolenpsmoodseku"/>
    <w:link w:val="Textkomentra"/>
    <w:uiPriority w:val="99"/>
    <w:rsid w:val="000C544E"/>
    <w:rPr>
      <w:sz w:val="20"/>
      <w:szCs w:val="20"/>
    </w:rPr>
  </w:style>
  <w:style w:type="paragraph" w:styleId="Predmetkomentra">
    <w:name w:val="annotation subject"/>
    <w:basedOn w:val="Textkomentra"/>
    <w:next w:val="Textkomentra"/>
    <w:link w:val="PredmetkomentraChar"/>
    <w:uiPriority w:val="99"/>
    <w:semiHidden/>
    <w:unhideWhenUsed/>
    <w:rsid w:val="000C544E"/>
    <w:rPr>
      <w:b/>
      <w:bCs/>
    </w:rPr>
  </w:style>
  <w:style w:type="character" w:customStyle="1" w:styleId="PredmetkomentraChar">
    <w:name w:val="Predmet komentára Char"/>
    <w:basedOn w:val="TextkomentraChar"/>
    <w:link w:val="Predmetkomentra"/>
    <w:uiPriority w:val="99"/>
    <w:semiHidden/>
    <w:rsid w:val="000C544E"/>
    <w:rPr>
      <w:b/>
      <w:bCs/>
      <w:sz w:val="20"/>
      <w:szCs w:val="20"/>
    </w:rPr>
  </w:style>
  <w:style w:type="paragraph" w:styleId="Revzia">
    <w:name w:val="Revision"/>
    <w:hidden/>
    <w:uiPriority w:val="99"/>
    <w:semiHidden/>
    <w:rsid w:val="0045568A"/>
    <w:pPr>
      <w:spacing w:after="0" w:line="240" w:lineRule="auto"/>
    </w:pPr>
  </w:style>
  <w:style w:type="paragraph" w:styleId="Textbubliny">
    <w:name w:val="Balloon Text"/>
    <w:basedOn w:val="Normlny"/>
    <w:link w:val="TextbublinyChar"/>
    <w:uiPriority w:val="99"/>
    <w:semiHidden/>
    <w:unhideWhenUsed/>
    <w:rsid w:val="00A31C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1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25271504">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7649">
      <w:bodyDiv w:val="1"/>
      <w:marLeft w:val="0"/>
      <w:marRight w:val="0"/>
      <w:marTop w:val="0"/>
      <w:marBottom w:val="0"/>
      <w:divBdr>
        <w:top w:val="none" w:sz="0" w:space="0" w:color="auto"/>
        <w:left w:val="none" w:sz="0" w:space="0" w:color="auto"/>
        <w:bottom w:val="none" w:sz="0" w:space="0" w:color="auto"/>
        <w:right w:val="none" w:sz="0" w:space="0" w:color="auto"/>
      </w:divBdr>
      <w:divsChild>
        <w:div w:id="198394248">
          <w:marLeft w:val="0"/>
          <w:marRight w:val="0"/>
          <w:marTop w:val="0"/>
          <w:marBottom w:val="0"/>
          <w:divBdr>
            <w:top w:val="none" w:sz="0" w:space="0" w:color="auto"/>
            <w:left w:val="none" w:sz="0" w:space="0" w:color="auto"/>
            <w:bottom w:val="none" w:sz="0" w:space="0" w:color="auto"/>
            <w:right w:val="none" w:sz="0" w:space="0" w:color="auto"/>
          </w:divBdr>
        </w:div>
        <w:div w:id="753862899">
          <w:marLeft w:val="0"/>
          <w:marRight w:val="0"/>
          <w:marTop w:val="0"/>
          <w:marBottom w:val="0"/>
          <w:divBdr>
            <w:top w:val="none" w:sz="0" w:space="0" w:color="auto"/>
            <w:left w:val="none" w:sz="0" w:space="0" w:color="auto"/>
            <w:bottom w:val="none" w:sz="0" w:space="0" w:color="auto"/>
            <w:right w:val="none" w:sz="0" w:space="0" w:color="auto"/>
          </w:divBdr>
        </w:div>
        <w:div w:id="1391540524">
          <w:marLeft w:val="0"/>
          <w:marRight w:val="0"/>
          <w:marTop w:val="0"/>
          <w:marBottom w:val="0"/>
          <w:divBdr>
            <w:top w:val="none" w:sz="0" w:space="0" w:color="auto"/>
            <w:left w:val="none" w:sz="0" w:space="0" w:color="auto"/>
            <w:bottom w:val="none" w:sz="0" w:space="0" w:color="auto"/>
            <w:right w:val="none" w:sz="0" w:space="0" w:color="auto"/>
          </w:divBdr>
        </w:div>
        <w:div w:id="1749300050">
          <w:marLeft w:val="0"/>
          <w:marRight w:val="0"/>
          <w:marTop w:val="0"/>
          <w:marBottom w:val="0"/>
          <w:divBdr>
            <w:top w:val="none" w:sz="0" w:space="0" w:color="auto"/>
            <w:left w:val="none" w:sz="0" w:space="0" w:color="auto"/>
            <w:bottom w:val="none" w:sz="0" w:space="0" w:color="auto"/>
            <w:right w:val="none" w:sz="0" w:space="0" w:color="auto"/>
          </w:divBdr>
        </w:div>
        <w:div w:id="1718431024">
          <w:marLeft w:val="0"/>
          <w:marRight w:val="0"/>
          <w:marTop w:val="0"/>
          <w:marBottom w:val="0"/>
          <w:divBdr>
            <w:top w:val="none" w:sz="0" w:space="0" w:color="auto"/>
            <w:left w:val="none" w:sz="0" w:space="0" w:color="auto"/>
            <w:bottom w:val="none" w:sz="0" w:space="0" w:color="auto"/>
            <w:right w:val="none" w:sz="0" w:space="0" w:color="auto"/>
          </w:divBdr>
        </w:div>
      </w:divsChild>
    </w:div>
    <w:div w:id="674651439">
      <w:bodyDiv w:val="1"/>
      <w:marLeft w:val="0"/>
      <w:marRight w:val="0"/>
      <w:marTop w:val="0"/>
      <w:marBottom w:val="0"/>
      <w:divBdr>
        <w:top w:val="none" w:sz="0" w:space="0" w:color="auto"/>
        <w:left w:val="none" w:sz="0" w:space="0" w:color="auto"/>
        <w:bottom w:val="none" w:sz="0" w:space="0" w:color="auto"/>
        <w:right w:val="none" w:sz="0" w:space="0" w:color="auto"/>
      </w:divBdr>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091776558">
      <w:bodyDiv w:val="1"/>
      <w:marLeft w:val="0"/>
      <w:marRight w:val="0"/>
      <w:marTop w:val="0"/>
      <w:marBottom w:val="0"/>
      <w:divBdr>
        <w:top w:val="none" w:sz="0" w:space="0" w:color="auto"/>
        <w:left w:val="none" w:sz="0" w:space="0" w:color="auto"/>
        <w:bottom w:val="none" w:sz="0" w:space="0" w:color="auto"/>
        <w:right w:val="none" w:sz="0" w:space="0" w:color="auto"/>
      </w:divBdr>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158383">
      <w:bodyDiv w:val="1"/>
      <w:marLeft w:val="0"/>
      <w:marRight w:val="0"/>
      <w:marTop w:val="0"/>
      <w:marBottom w:val="0"/>
      <w:divBdr>
        <w:top w:val="none" w:sz="0" w:space="0" w:color="auto"/>
        <w:left w:val="none" w:sz="0" w:space="0" w:color="auto"/>
        <w:bottom w:val="none" w:sz="0" w:space="0" w:color="auto"/>
        <w:right w:val="none" w:sz="0" w:space="0" w:color="auto"/>
      </w:divBdr>
      <w:divsChild>
        <w:div w:id="855995259">
          <w:marLeft w:val="0"/>
          <w:marRight w:val="0"/>
          <w:marTop w:val="0"/>
          <w:marBottom w:val="0"/>
          <w:divBdr>
            <w:top w:val="none" w:sz="0" w:space="0" w:color="auto"/>
            <w:left w:val="none" w:sz="0" w:space="0" w:color="auto"/>
            <w:bottom w:val="none" w:sz="0" w:space="0" w:color="auto"/>
            <w:right w:val="none" w:sz="0" w:space="0" w:color="auto"/>
          </w:divBdr>
        </w:div>
        <w:div w:id="1529021902">
          <w:marLeft w:val="0"/>
          <w:marRight w:val="0"/>
          <w:marTop w:val="0"/>
          <w:marBottom w:val="0"/>
          <w:divBdr>
            <w:top w:val="none" w:sz="0" w:space="0" w:color="auto"/>
            <w:left w:val="none" w:sz="0" w:space="0" w:color="auto"/>
            <w:bottom w:val="none" w:sz="0" w:space="0" w:color="auto"/>
            <w:right w:val="none" w:sz="0" w:space="0" w:color="auto"/>
          </w:divBdr>
        </w:div>
        <w:div w:id="761605968">
          <w:marLeft w:val="0"/>
          <w:marRight w:val="0"/>
          <w:marTop w:val="0"/>
          <w:marBottom w:val="0"/>
          <w:divBdr>
            <w:top w:val="none" w:sz="0" w:space="0" w:color="auto"/>
            <w:left w:val="none" w:sz="0" w:space="0" w:color="auto"/>
            <w:bottom w:val="none" w:sz="0" w:space="0" w:color="auto"/>
            <w:right w:val="none" w:sz="0" w:space="0" w:color="auto"/>
          </w:divBdr>
        </w:div>
        <w:div w:id="817890441">
          <w:marLeft w:val="0"/>
          <w:marRight w:val="0"/>
          <w:marTop w:val="0"/>
          <w:marBottom w:val="0"/>
          <w:divBdr>
            <w:top w:val="none" w:sz="0" w:space="0" w:color="auto"/>
            <w:left w:val="none" w:sz="0" w:space="0" w:color="auto"/>
            <w:bottom w:val="none" w:sz="0" w:space="0" w:color="auto"/>
            <w:right w:val="none" w:sz="0" w:space="0" w:color="auto"/>
          </w:divBdr>
        </w:div>
        <w:div w:id="253586299">
          <w:marLeft w:val="0"/>
          <w:marRight w:val="0"/>
          <w:marTop w:val="0"/>
          <w:marBottom w:val="0"/>
          <w:divBdr>
            <w:top w:val="none" w:sz="0" w:space="0" w:color="auto"/>
            <w:left w:val="none" w:sz="0" w:space="0" w:color="auto"/>
            <w:bottom w:val="none" w:sz="0" w:space="0" w:color="auto"/>
            <w:right w:val="none" w:sz="0" w:space="0" w:color="auto"/>
          </w:divBdr>
        </w:div>
        <w:div w:id="32047537">
          <w:marLeft w:val="0"/>
          <w:marRight w:val="0"/>
          <w:marTop w:val="0"/>
          <w:marBottom w:val="0"/>
          <w:divBdr>
            <w:top w:val="none" w:sz="0" w:space="0" w:color="auto"/>
            <w:left w:val="none" w:sz="0" w:space="0" w:color="auto"/>
            <w:bottom w:val="none" w:sz="0" w:space="0" w:color="auto"/>
            <w:right w:val="none" w:sz="0" w:space="0" w:color="auto"/>
          </w:divBdr>
        </w:div>
        <w:div w:id="1993680079">
          <w:marLeft w:val="0"/>
          <w:marRight w:val="0"/>
          <w:marTop w:val="0"/>
          <w:marBottom w:val="0"/>
          <w:divBdr>
            <w:top w:val="none" w:sz="0" w:space="0" w:color="auto"/>
            <w:left w:val="none" w:sz="0" w:space="0" w:color="auto"/>
            <w:bottom w:val="none" w:sz="0" w:space="0" w:color="auto"/>
            <w:right w:val="none" w:sz="0" w:space="0" w:color="auto"/>
          </w:divBdr>
        </w:div>
        <w:div w:id="536939329">
          <w:marLeft w:val="0"/>
          <w:marRight w:val="0"/>
          <w:marTop w:val="0"/>
          <w:marBottom w:val="0"/>
          <w:divBdr>
            <w:top w:val="none" w:sz="0" w:space="0" w:color="auto"/>
            <w:left w:val="none" w:sz="0" w:space="0" w:color="auto"/>
            <w:bottom w:val="none" w:sz="0" w:space="0" w:color="auto"/>
            <w:right w:val="none" w:sz="0" w:space="0" w:color="auto"/>
          </w:divBdr>
        </w:div>
        <w:div w:id="1511992198">
          <w:marLeft w:val="0"/>
          <w:marRight w:val="0"/>
          <w:marTop w:val="0"/>
          <w:marBottom w:val="0"/>
          <w:divBdr>
            <w:top w:val="none" w:sz="0" w:space="0" w:color="auto"/>
            <w:left w:val="none" w:sz="0" w:space="0" w:color="auto"/>
            <w:bottom w:val="none" w:sz="0" w:space="0" w:color="auto"/>
            <w:right w:val="none" w:sz="0" w:space="0" w:color="auto"/>
          </w:divBdr>
        </w:div>
        <w:div w:id="1087773253">
          <w:marLeft w:val="0"/>
          <w:marRight w:val="0"/>
          <w:marTop w:val="0"/>
          <w:marBottom w:val="0"/>
          <w:divBdr>
            <w:top w:val="none" w:sz="0" w:space="0" w:color="auto"/>
            <w:left w:val="none" w:sz="0" w:space="0" w:color="auto"/>
            <w:bottom w:val="none" w:sz="0" w:space="0" w:color="auto"/>
            <w:right w:val="none" w:sz="0" w:space="0" w:color="auto"/>
          </w:divBdr>
        </w:div>
        <w:div w:id="1635986478">
          <w:marLeft w:val="0"/>
          <w:marRight w:val="0"/>
          <w:marTop w:val="0"/>
          <w:marBottom w:val="0"/>
          <w:divBdr>
            <w:top w:val="none" w:sz="0" w:space="0" w:color="auto"/>
            <w:left w:val="none" w:sz="0" w:space="0" w:color="auto"/>
            <w:bottom w:val="none" w:sz="0" w:space="0" w:color="auto"/>
            <w:right w:val="none" w:sz="0" w:space="0" w:color="auto"/>
          </w:divBdr>
        </w:div>
        <w:div w:id="139927457">
          <w:marLeft w:val="0"/>
          <w:marRight w:val="0"/>
          <w:marTop w:val="0"/>
          <w:marBottom w:val="0"/>
          <w:divBdr>
            <w:top w:val="none" w:sz="0" w:space="0" w:color="auto"/>
            <w:left w:val="none" w:sz="0" w:space="0" w:color="auto"/>
            <w:bottom w:val="none" w:sz="0" w:space="0" w:color="auto"/>
            <w:right w:val="none" w:sz="0" w:space="0" w:color="auto"/>
          </w:divBdr>
        </w:div>
        <w:div w:id="1836144333">
          <w:marLeft w:val="0"/>
          <w:marRight w:val="0"/>
          <w:marTop w:val="0"/>
          <w:marBottom w:val="0"/>
          <w:divBdr>
            <w:top w:val="none" w:sz="0" w:space="0" w:color="auto"/>
            <w:left w:val="none" w:sz="0" w:space="0" w:color="auto"/>
            <w:bottom w:val="none" w:sz="0" w:space="0" w:color="auto"/>
            <w:right w:val="none" w:sz="0" w:space="0" w:color="auto"/>
          </w:divBdr>
        </w:div>
        <w:div w:id="434519348">
          <w:marLeft w:val="0"/>
          <w:marRight w:val="0"/>
          <w:marTop w:val="0"/>
          <w:marBottom w:val="0"/>
          <w:divBdr>
            <w:top w:val="none" w:sz="0" w:space="0" w:color="auto"/>
            <w:left w:val="none" w:sz="0" w:space="0" w:color="auto"/>
            <w:bottom w:val="none" w:sz="0" w:space="0" w:color="auto"/>
            <w:right w:val="none" w:sz="0" w:space="0" w:color="auto"/>
          </w:divBdr>
        </w:div>
        <w:div w:id="319626262">
          <w:marLeft w:val="0"/>
          <w:marRight w:val="0"/>
          <w:marTop w:val="0"/>
          <w:marBottom w:val="0"/>
          <w:divBdr>
            <w:top w:val="none" w:sz="0" w:space="0" w:color="auto"/>
            <w:left w:val="none" w:sz="0" w:space="0" w:color="auto"/>
            <w:bottom w:val="none" w:sz="0" w:space="0" w:color="auto"/>
            <w:right w:val="none" w:sz="0" w:space="0" w:color="auto"/>
          </w:divBdr>
        </w:div>
        <w:div w:id="221065837">
          <w:marLeft w:val="0"/>
          <w:marRight w:val="0"/>
          <w:marTop w:val="0"/>
          <w:marBottom w:val="0"/>
          <w:divBdr>
            <w:top w:val="none" w:sz="0" w:space="0" w:color="auto"/>
            <w:left w:val="none" w:sz="0" w:space="0" w:color="auto"/>
            <w:bottom w:val="none" w:sz="0" w:space="0" w:color="auto"/>
            <w:right w:val="none" w:sz="0" w:space="0" w:color="auto"/>
          </w:divBdr>
        </w:div>
        <w:div w:id="522287682">
          <w:marLeft w:val="0"/>
          <w:marRight w:val="0"/>
          <w:marTop w:val="0"/>
          <w:marBottom w:val="0"/>
          <w:divBdr>
            <w:top w:val="none" w:sz="0" w:space="0" w:color="auto"/>
            <w:left w:val="none" w:sz="0" w:space="0" w:color="auto"/>
            <w:bottom w:val="none" w:sz="0" w:space="0" w:color="auto"/>
            <w:right w:val="none" w:sz="0" w:space="0" w:color="auto"/>
          </w:divBdr>
        </w:div>
      </w:divsChild>
    </w:div>
    <w:div w:id="1855538490">
      <w:bodyDiv w:val="1"/>
      <w:marLeft w:val="0"/>
      <w:marRight w:val="0"/>
      <w:marTop w:val="0"/>
      <w:marBottom w:val="0"/>
      <w:divBdr>
        <w:top w:val="none" w:sz="0" w:space="0" w:color="auto"/>
        <w:left w:val="none" w:sz="0" w:space="0" w:color="auto"/>
        <w:bottom w:val="none" w:sz="0" w:space="0" w:color="auto"/>
        <w:right w:val="none" w:sz="0" w:space="0" w:color="auto"/>
      </w:divBdr>
      <w:divsChild>
        <w:div w:id="1494371625">
          <w:marLeft w:val="0"/>
          <w:marRight w:val="0"/>
          <w:marTop w:val="0"/>
          <w:marBottom w:val="0"/>
          <w:divBdr>
            <w:top w:val="none" w:sz="0" w:space="0" w:color="auto"/>
            <w:left w:val="none" w:sz="0" w:space="0" w:color="auto"/>
            <w:bottom w:val="none" w:sz="0" w:space="0" w:color="auto"/>
            <w:right w:val="none" w:sz="0" w:space="0" w:color="auto"/>
          </w:divBdr>
        </w:div>
        <w:div w:id="987171772">
          <w:marLeft w:val="0"/>
          <w:marRight w:val="0"/>
          <w:marTop w:val="0"/>
          <w:marBottom w:val="0"/>
          <w:divBdr>
            <w:top w:val="none" w:sz="0" w:space="0" w:color="auto"/>
            <w:left w:val="none" w:sz="0" w:space="0" w:color="auto"/>
            <w:bottom w:val="none" w:sz="0" w:space="0" w:color="auto"/>
            <w:right w:val="none" w:sz="0" w:space="0" w:color="auto"/>
          </w:divBdr>
        </w:div>
        <w:div w:id="710112820">
          <w:marLeft w:val="0"/>
          <w:marRight w:val="0"/>
          <w:marTop w:val="0"/>
          <w:marBottom w:val="0"/>
          <w:divBdr>
            <w:top w:val="none" w:sz="0" w:space="0" w:color="auto"/>
            <w:left w:val="none" w:sz="0" w:space="0" w:color="auto"/>
            <w:bottom w:val="none" w:sz="0" w:space="0" w:color="auto"/>
            <w:right w:val="none" w:sz="0" w:space="0" w:color="auto"/>
          </w:divBdr>
        </w:div>
        <w:div w:id="1338458929">
          <w:marLeft w:val="0"/>
          <w:marRight w:val="0"/>
          <w:marTop w:val="0"/>
          <w:marBottom w:val="0"/>
          <w:divBdr>
            <w:top w:val="none" w:sz="0" w:space="0" w:color="auto"/>
            <w:left w:val="none" w:sz="0" w:space="0" w:color="auto"/>
            <w:bottom w:val="none" w:sz="0" w:space="0" w:color="auto"/>
            <w:right w:val="none" w:sz="0" w:space="0" w:color="auto"/>
          </w:divBdr>
        </w:div>
        <w:div w:id="1418864502">
          <w:marLeft w:val="0"/>
          <w:marRight w:val="0"/>
          <w:marTop w:val="0"/>
          <w:marBottom w:val="0"/>
          <w:divBdr>
            <w:top w:val="none" w:sz="0" w:space="0" w:color="auto"/>
            <w:left w:val="none" w:sz="0" w:space="0" w:color="auto"/>
            <w:bottom w:val="none" w:sz="0" w:space="0" w:color="auto"/>
            <w:right w:val="none" w:sz="0" w:space="0" w:color="auto"/>
          </w:divBdr>
        </w:div>
      </w:divsChild>
    </w:div>
    <w:div w:id="1916090171">
      <w:bodyDiv w:val="1"/>
      <w:marLeft w:val="0"/>
      <w:marRight w:val="0"/>
      <w:marTop w:val="0"/>
      <w:marBottom w:val="0"/>
      <w:divBdr>
        <w:top w:val="none" w:sz="0" w:space="0" w:color="auto"/>
        <w:left w:val="none" w:sz="0" w:space="0" w:color="auto"/>
        <w:bottom w:val="none" w:sz="0" w:space="0" w:color="auto"/>
        <w:right w:val="none" w:sz="0" w:space="0" w:color="auto"/>
      </w:divBdr>
    </w:div>
    <w:div w:id="2010207036">
      <w:bodyDiv w:val="1"/>
      <w:marLeft w:val="0"/>
      <w:marRight w:val="0"/>
      <w:marTop w:val="0"/>
      <w:marBottom w:val="0"/>
      <w:divBdr>
        <w:top w:val="none" w:sz="0" w:space="0" w:color="auto"/>
        <w:left w:val="none" w:sz="0" w:space="0" w:color="auto"/>
        <w:bottom w:val="none" w:sz="0" w:space="0" w:color="auto"/>
        <w:right w:val="none" w:sz="0" w:space="0" w:color="auto"/>
      </w:divBdr>
    </w:div>
    <w:div w:id="2038387948">
      <w:bodyDiv w:val="1"/>
      <w:marLeft w:val="0"/>
      <w:marRight w:val="0"/>
      <w:marTop w:val="0"/>
      <w:marBottom w:val="0"/>
      <w:divBdr>
        <w:top w:val="none" w:sz="0" w:space="0" w:color="auto"/>
        <w:left w:val="none" w:sz="0" w:space="0" w:color="auto"/>
        <w:bottom w:val="none" w:sz="0" w:space="0" w:color="auto"/>
        <w:right w:val="none" w:sz="0" w:space="0" w:color="auto"/>
      </w:divBdr>
    </w:div>
    <w:div w:id="2061588665">
      <w:bodyDiv w:val="1"/>
      <w:marLeft w:val="0"/>
      <w:marRight w:val="0"/>
      <w:marTop w:val="0"/>
      <w:marBottom w:val="0"/>
      <w:divBdr>
        <w:top w:val="none" w:sz="0" w:space="0" w:color="auto"/>
        <w:left w:val="none" w:sz="0" w:space="0" w:color="auto"/>
        <w:bottom w:val="none" w:sz="0" w:space="0" w:color="auto"/>
        <w:right w:val="none" w:sz="0" w:space="0" w:color="auto"/>
      </w:divBdr>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r.sk/overenie-podpi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3602</Words>
  <Characters>20533</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Kožár</dc:creator>
  <cp:lastModifiedBy>Klub SLOVENSKO, ZA ĽUDÍ, KÚ</cp:lastModifiedBy>
  <cp:revision>2</cp:revision>
  <dcterms:created xsi:type="dcterms:W3CDTF">2025-08-22T09:06:00Z</dcterms:created>
  <dcterms:modified xsi:type="dcterms:W3CDTF">2025-08-22T09:06:00Z</dcterms:modified>
</cp:coreProperties>
</file>