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97AF9" w14:textId="77777777" w:rsidR="008526CF" w:rsidRDefault="005A567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7B4F9758" w14:textId="77777777" w:rsidR="008526CF" w:rsidRDefault="005A567C">
      <w:pPr>
        <w:pStyle w:val="Nadpis1"/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/>
          <w:sz w:val="22"/>
          <w:szCs w:val="22"/>
        </w:rPr>
        <w:t> </w:t>
      </w:r>
    </w:p>
    <w:p w14:paraId="376DF298" w14:textId="77777777" w:rsidR="008526CF" w:rsidRDefault="005A567C">
      <w:pPr>
        <w:pStyle w:val="Nadpis1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A. Vše</w:t>
      </w:r>
      <w:bookmarkStart w:id="0" w:name="_GoBack"/>
      <w:bookmarkEnd w:id="0"/>
      <w:r>
        <w:rPr>
          <w:rFonts w:ascii="Book Antiqua" w:hAnsi="Book Antiqua" w:cs="Book Antiqua"/>
          <w:sz w:val="22"/>
          <w:szCs w:val="22"/>
        </w:rPr>
        <w:t>obecná časť</w:t>
      </w:r>
    </w:p>
    <w:p w14:paraId="10009327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Návrh ústavného zákona, ktorým sa dopĺňa Ústava Slovenskej republiky č. 460/1992 Zb. v znení neskorších predpisov (ďalej len „návrh ústavného zákona“) predklad</w:t>
      </w:r>
      <w:r w:rsidR="0002247C">
        <w:rPr>
          <w:rFonts w:ascii="Book Antiqua" w:hAnsi="Book Antiqua" w:cs="Book Antiqua"/>
          <w:sz w:val="22"/>
          <w:szCs w:val="22"/>
        </w:rPr>
        <w:t>á skupina poslancov</w:t>
      </w:r>
      <w:r>
        <w:rPr>
          <w:rFonts w:ascii="Book Antiqua" w:hAnsi="Book Antiqua" w:cs="Book Antiqua"/>
          <w:sz w:val="22"/>
          <w:szCs w:val="22"/>
        </w:rPr>
        <w:t xml:space="preserve"> Národnej rady Slovenskej republiky za hnutie </w:t>
      </w:r>
      <w:r w:rsidR="00FE5239">
        <w:rPr>
          <w:rFonts w:ascii="Book Antiqua" w:hAnsi="Book Antiqua" w:cs="Book Antiqua"/>
          <w:sz w:val="22"/>
          <w:szCs w:val="22"/>
        </w:rPr>
        <w:t>SLOVENSKO</w:t>
      </w:r>
      <w:r w:rsidR="00CE7F07">
        <w:rPr>
          <w:rFonts w:ascii="Book Antiqua" w:hAnsi="Book Antiqua" w:cs="Book Antiqua"/>
          <w:sz w:val="22"/>
          <w:szCs w:val="22"/>
        </w:rPr>
        <w:t>.</w:t>
      </w:r>
    </w:p>
    <w:p w14:paraId="011A0228" w14:textId="6451503A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Cieľom novelizácie Ústavy Slovenskej republiky je posilnenie práva občanov Slovenskej republiky zúčastňovať sa na správe veci verejných prostredníctvom inštitútu referenda. Takéto posilnenie účasti občanov na rozhodovacích procesoch je žiaduce aj z dôvodu aktuálnej politickej situácie, keď sa javí, že parlamentná väčšina v</w:t>
      </w:r>
      <w:r w:rsidR="009F4C3D">
        <w:rPr>
          <w:rFonts w:ascii="Book Antiqua" w:hAnsi="Book Antiqua" w:cs="Book Antiqua"/>
          <w:b/>
          <w:sz w:val="22"/>
          <w:szCs w:val="22"/>
        </w:rPr>
        <w:t> </w:t>
      </w:r>
      <w:r>
        <w:rPr>
          <w:rFonts w:ascii="Book Antiqua" w:hAnsi="Book Antiqua" w:cs="Book Antiqua"/>
          <w:b/>
          <w:sz w:val="22"/>
          <w:szCs w:val="22"/>
        </w:rPr>
        <w:t>N</w:t>
      </w:r>
      <w:r w:rsidR="009F4C3D">
        <w:rPr>
          <w:rFonts w:ascii="Book Antiqua" w:hAnsi="Book Antiqua" w:cs="Book Antiqua"/>
          <w:b/>
          <w:sz w:val="22"/>
          <w:szCs w:val="22"/>
        </w:rPr>
        <w:t>árodnej rade Slovenskej republiky (N</w:t>
      </w:r>
      <w:r>
        <w:rPr>
          <w:rFonts w:ascii="Book Antiqua" w:hAnsi="Book Antiqua" w:cs="Book Antiqua"/>
          <w:b/>
          <w:sz w:val="22"/>
          <w:szCs w:val="22"/>
        </w:rPr>
        <w:t>R SR</w:t>
      </w:r>
      <w:r w:rsidR="009F4C3D">
        <w:rPr>
          <w:rFonts w:ascii="Book Antiqua" w:hAnsi="Book Antiqua" w:cs="Book Antiqua"/>
          <w:b/>
          <w:sz w:val="22"/>
          <w:szCs w:val="22"/>
        </w:rPr>
        <w:t>)</w:t>
      </w:r>
      <w:r>
        <w:rPr>
          <w:rFonts w:ascii="Book Antiqua" w:hAnsi="Book Antiqua" w:cs="Book Antiqua"/>
          <w:b/>
          <w:sz w:val="22"/>
          <w:szCs w:val="22"/>
        </w:rPr>
        <w:t xml:space="preserve"> nechráni verejný záujem, ale vlastné záujmy a záujmy finančných skupín.</w:t>
      </w:r>
    </w:p>
    <w:p w14:paraId="5DD17AD7" w14:textId="7EA16D21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Návrhom ústavného zákona sa priznáva občanom Slovenskej republiky právo, aby mohli v referende priamo rozhodnúť o skrátení </w:t>
      </w:r>
      <w:r w:rsidR="0098045D">
        <w:rPr>
          <w:rFonts w:ascii="Book Antiqua" w:hAnsi="Book Antiqua" w:cs="Book Antiqua"/>
          <w:b/>
          <w:sz w:val="22"/>
          <w:szCs w:val="22"/>
        </w:rPr>
        <w:t xml:space="preserve">prebiehajúceho </w:t>
      </w:r>
      <w:r>
        <w:rPr>
          <w:rFonts w:ascii="Book Antiqua" w:hAnsi="Book Antiqua" w:cs="Book Antiqua"/>
          <w:b/>
          <w:sz w:val="22"/>
          <w:szCs w:val="22"/>
        </w:rPr>
        <w:t xml:space="preserve">volebného obdobia </w:t>
      </w:r>
      <w:r w:rsidR="007B0672">
        <w:rPr>
          <w:rFonts w:ascii="Book Antiqua" w:hAnsi="Book Antiqua" w:cs="Book Antiqua"/>
          <w:b/>
          <w:sz w:val="22"/>
          <w:szCs w:val="22"/>
        </w:rPr>
        <w:t>NR SR.</w:t>
      </w:r>
      <w:r>
        <w:rPr>
          <w:rFonts w:ascii="Book Antiqua" w:hAnsi="Book Antiqua" w:cs="Book Antiqua"/>
          <w:b/>
          <w:sz w:val="22"/>
          <w:szCs w:val="22"/>
        </w:rPr>
        <w:t xml:space="preserve"> V zmysle judikatúry Ústavného súdu S</w:t>
      </w:r>
      <w:r w:rsidR="009F4C3D">
        <w:rPr>
          <w:rFonts w:ascii="Book Antiqua" w:hAnsi="Book Antiqua" w:cs="Book Antiqua"/>
          <w:b/>
          <w:sz w:val="22"/>
          <w:szCs w:val="22"/>
        </w:rPr>
        <w:t>lovenskej republiky</w:t>
      </w:r>
      <w:r>
        <w:rPr>
          <w:rFonts w:ascii="Book Antiqua" w:hAnsi="Book Antiqua" w:cs="Book Antiqua"/>
          <w:b/>
          <w:sz w:val="22"/>
          <w:szCs w:val="22"/>
        </w:rPr>
        <w:t xml:space="preserve"> totiž platí, že občania môžu rozhodnúť o skrátení volebného obdobia Národnej rady Slovenskej republiky len vtedy, ak im takéto právo prizná základná norma štátu, ktorou je Ústava Slovenskej republiky.</w:t>
      </w:r>
      <w:r w:rsidR="0098045D">
        <w:rPr>
          <w:rFonts w:ascii="Book Antiqua" w:hAnsi="Book Antiqua" w:cs="Book Antiqua"/>
          <w:b/>
          <w:sz w:val="22"/>
          <w:szCs w:val="22"/>
        </w:rPr>
        <w:t xml:space="preserve"> Podľa súčasnej právnej úpravy čl. 73 ods. 3 Ústavy SR sa môže prebiehajúce volebné obdobie NR SR skrátiť len na základe uznesenia NR SR (nie referendom).</w:t>
      </w:r>
    </w:p>
    <w:p w14:paraId="486280CB" w14:textId="6B1C0C27" w:rsidR="008526CF" w:rsidRPr="000951DC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color w:val="000000" w:themeColor="text1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S cieľom osloviť širokú verejnosť je návrh ústavného zákona formulovaný v otázke referenda rovnako ako tomu bolo pri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referende, ktoré sa uskutočnilo 21. januára 2023 a ktoré bolo iniciované vtedajšou parlamentnou opozíciou. 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Návrh zákona tak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zároveň vystav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uje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zrkadlo 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súčasn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ej vládnej koalícii v parlamente, aby svojim hlasovaním o návrhu ústavného zákona dali najavo, či svoj úmysel z roku 2023 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-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priznať ľuďom právo skrátiť volebné obdobie Národnej rady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Slovenskej republiky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</w:t>
      </w:r>
      <w:r w:rsidR="009F4C3D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referendom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mysleli vážne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,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alebo 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ich snaha nebola úprimná a úmysel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len predstierali. Zároveň prijat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ie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ústavného zákona uľahč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í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 referendov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é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iniciatívy tým, ktorí sú presvedčení, že je potrebné čim skôr ukončiť </w:t>
      </w:r>
      <w:r w:rsidR="00AE007F"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 xml:space="preserve">aktuálne </w:t>
      </w:r>
      <w:r w:rsidRPr="000951DC">
        <w:rPr>
          <w:rFonts w:ascii="Book Antiqua" w:hAnsi="Book Antiqua" w:cs="Book Antiqua"/>
          <w:bCs/>
          <w:color w:val="000000" w:themeColor="text1"/>
          <w:sz w:val="22"/>
          <w:szCs w:val="22"/>
        </w:rPr>
        <w:t>volebné obdobie Národnej rady Slovenskej republiky.</w:t>
      </w:r>
    </w:p>
    <w:p w14:paraId="05F3C643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0951DC">
        <w:rPr>
          <w:rFonts w:ascii="Book Antiqua" w:hAnsi="Book Antiqua"/>
          <w:color w:val="000000" w:themeColor="text1"/>
          <w:sz w:val="22"/>
          <w:szCs w:val="22"/>
        </w:rPr>
        <w:t>Návrh ústavného zákona nemá žiadne vplyvy na rozpočet verejnej správy, na podnikateľské prostredie, na životné prostredie, na informatizáciu spoločnosti,</w:t>
      </w:r>
      <w:r w:rsidRPr="000951DC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na služby verejnej správy pre občana</w:t>
      </w:r>
      <w:r w:rsidRPr="000951DC">
        <w:rPr>
          <w:rFonts w:ascii="Book Antiqua" w:hAnsi="Book Antiqua"/>
          <w:color w:val="000000" w:themeColor="text1"/>
          <w:sz w:val="22"/>
          <w:szCs w:val="22"/>
        </w:rPr>
        <w:t xml:space="preserve"> a nezakladá ani žiadne vplyvy na manželstvo, </w:t>
      </w:r>
      <w:r>
        <w:rPr>
          <w:rFonts w:ascii="Book Antiqua" w:hAnsi="Book Antiqua"/>
          <w:sz w:val="22"/>
          <w:szCs w:val="22"/>
        </w:rPr>
        <w:t>rodičovstvo a rodinu, či sociálne vplyvy.</w:t>
      </w:r>
    </w:p>
    <w:p w14:paraId="7409BBFF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47E26AA" w14:textId="77777777" w:rsidR="008526CF" w:rsidRDefault="005A567C">
      <w:pPr>
        <w:pStyle w:val="Normlnywebov1"/>
        <w:pageBreakBefore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B. Osobitná časť</w:t>
      </w:r>
    </w:p>
    <w:p w14:paraId="669E195A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14:paraId="5A3F8A7A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Čl. I</w:t>
      </w:r>
    </w:p>
    <w:p w14:paraId="52B06307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Národná rada Slovenskej republiky umožnila v roku 2023 (január) novelou Ústavy Slovenskej republiky, aby poslanci parlamentu mohli uznesením schváliť skrátenie jej práve prebiehajúceho volebného obdobia</w:t>
      </w:r>
      <w:r w:rsidR="0098045D">
        <w:rPr>
          <w:rFonts w:ascii="Book Antiqua" w:hAnsi="Book Antiqua" w:cs="Book Antiqua"/>
          <w:bCs/>
          <w:sz w:val="22"/>
          <w:szCs w:val="22"/>
        </w:rPr>
        <w:t xml:space="preserve"> (ústavný zákon č. 24/2023 Z. z., ktorým sa mení a dopĺňa Ústava Slovenskej republiky č. 460/1992 Zb. v znení neskorších predpisov)</w:t>
      </w:r>
      <w:r>
        <w:rPr>
          <w:rFonts w:ascii="Book Antiqua" w:hAnsi="Book Antiqua" w:cs="Book Antiqua"/>
          <w:bCs/>
          <w:sz w:val="22"/>
          <w:szCs w:val="22"/>
        </w:rPr>
        <w:t>. Na prijatie takéhoto uznesenia sa vyžaduje kvalifikovaná väčšina</w:t>
      </w:r>
      <w:r w:rsidR="0098045D">
        <w:rPr>
          <w:rFonts w:ascii="Book Antiqua" w:hAnsi="Book Antiqua" w:cs="Book Antiqua"/>
          <w:bCs/>
          <w:sz w:val="22"/>
          <w:szCs w:val="22"/>
        </w:rPr>
        <w:t xml:space="preserve"> - najmenej</w:t>
      </w:r>
      <w:r>
        <w:rPr>
          <w:rFonts w:ascii="Book Antiqua" w:hAnsi="Book Antiqua" w:cs="Book Antiqua"/>
          <w:bCs/>
          <w:sz w:val="22"/>
          <w:szCs w:val="22"/>
        </w:rPr>
        <w:t xml:space="preserve"> 90 poslancov parlamentu. Zároveň sa v tom istom čase (22.1.2023) uskutočnilo celoštátne referendum, ktoré hoci bolo neplatné, malo okrem poslancov parlamentu priznať rovnaké právo aj občanom Slovenskej republiky priamo prostredníctvom referenda.</w:t>
      </w:r>
    </w:p>
    <w:p w14:paraId="53D3F549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Keďže sa aj v súčasnosti uskutočňujú ľudové iniciatívy, ktorých úmyslom je skrátenie volebného obdobia Národnej rady Slovenskej republiky, návrhom ústavného zákona sa reaguje na tento verejný dopyt a občanom Slovenskej republiky sa priznáva právo rozhodnúť o skrátení volebného obdobia Národnej rady Slovenskej republiky priamo v referende. Zohľadňuje sa tým judikatúra Ústavného súdu Slovenskej republiky (napr. PL ÚS 24/2014, PL ÚS 7/2021 alebo PL ÚS 11/2022), ktorý konštatoval, že bez toho, aby bola zmenená Ústava Slovenskej republiky, nie je možné rozhodovať o skrátení volebného obdobia Národnej rady Slovenskej republiky ani v parlamente ani v referende. Nakoľko Národná rada Slovenskej republiky v roku 2023 priznala takéto právo výlučne poslancom parlamentu, je potrebné ju zmeniť opätovne a priznať toto právo aj ľudom.</w:t>
      </w:r>
    </w:p>
    <w:p w14:paraId="0575C106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117AABF2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K Čl. II</w:t>
      </w:r>
    </w:p>
    <w:p w14:paraId="2A230F33" w14:textId="77777777" w:rsidR="008526CF" w:rsidRDefault="005A567C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Navrhuje sa účinnosť predkladaného návrhu ústavného zákona, so zohľadnením potrebnej dĺžky </w:t>
      </w:r>
      <w:proofErr w:type="spellStart"/>
      <w:r>
        <w:rPr>
          <w:rFonts w:ascii="Book Antiqua" w:hAnsi="Book Antiqua" w:cs="Book Antiqua"/>
          <w:sz w:val="22"/>
          <w:szCs w:val="22"/>
        </w:rPr>
        <w:t>legisvakančnej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lehoty, na 1. </w:t>
      </w:r>
      <w:r w:rsidR="000E4836">
        <w:rPr>
          <w:rFonts w:ascii="Book Antiqua" w:hAnsi="Book Antiqua" w:cs="Book Antiqua"/>
          <w:sz w:val="22"/>
          <w:szCs w:val="22"/>
        </w:rPr>
        <w:t>decembra</w:t>
      </w:r>
      <w:r w:rsidR="00FE5239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20</w:t>
      </w:r>
      <w:r w:rsidR="000E4836">
        <w:rPr>
          <w:rFonts w:ascii="Book Antiqua" w:hAnsi="Book Antiqua" w:cs="Book Antiqua"/>
          <w:sz w:val="22"/>
          <w:szCs w:val="22"/>
        </w:rPr>
        <w:t>25</w:t>
      </w:r>
      <w:r>
        <w:rPr>
          <w:rFonts w:ascii="Book Antiqua" w:hAnsi="Book Antiqua" w:cs="Book Antiqua"/>
          <w:sz w:val="22"/>
          <w:szCs w:val="22"/>
        </w:rPr>
        <w:t>.</w:t>
      </w:r>
    </w:p>
    <w:p w14:paraId="1E0AD86B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211D3FE3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7A28B816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072B0EEB" w14:textId="77777777" w:rsidR="008526CF" w:rsidRDefault="008526CF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9E808A4" w14:textId="77777777" w:rsidR="008526CF" w:rsidRDefault="008526CF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5A0490D" w14:textId="77777777" w:rsidR="008526CF" w:rsidRDefault="00500163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br w:type="page"/>
      </w:r>
      <w:r w:rsidR="005A567C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211F70E2" w14:textId="77777777" w:rsidR="008526CF" w:rsidRDefault="005A567C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ústavného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4E3A5D00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14:paraId="300EAD1B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ústavného zákona: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2247C">
        <w:rPr>
          <w:rFonts w:ascii="Book Antiqua" w:hAnsi="Book Antiqua" w:cs="Book Antiqua"/>
          <w:sz w:val="22"/>
          <w:szCs w:val="22"/>
        </w:rPr>
        <w:t xml:space="preserve">skupina </w:t>
      </w:r>
      <w:r>
        <w:rPr>
          <w:rFonts w:ascii="Book Antiqua" w:hAnsi="Book Antiqua" w:cs="Book Antiqua"/>
          <w:sz w:val="22"/>
          <w:szCs w:val="22"/>
        </w:rPr>
        <w:t>poslanc</w:t>
      </w:r>
      <w:r w:rsidR="0002247C">
        <w:rPr>
          <w:rFonts w:ascii="Book Antiqua" w:hAnsi="Book Antiqua" w:cs="Book Antiqua"/>
          <w:sz w:val="22"/>
          <w:szCs w:val="22"/>
        </w:rPr>
        <w:t>ov</w:t>
      </w:r>
      <w:r>
        <w:rPr>
          <w:rFonts w:ascii="Book Antiqua" w:hAnsi="Book Antiqua" w:cs="Book Antiqua"/>
          <w:sz w:val="22"/>
          <w:szCs w:val="22"/>
        </w:rPr>
        <w:t xml:space="preserve"> Národnej rady Slovenskej republiky </w:t>
      </w:r>
    </w:p>
    <w:p w14:paraId="3E13B20F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14:paraId="14A2CDB5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Názov návrhu ústavného zákona:</w:t>
      </w:r>
      <w:r>
        <w:rPr>
          <w:rFonts w:ascii="Book Antiqua" w:hAnsi="Book Antiqua" w:cs="Book Antiqua"/>
          <w:sz w:val="22"/>
          <w:szCs w:val="22"/>
        </w:rPr>
        <w:t xml:space="preserve"> návrh ústavného zákona, ktorým s</w:t>
      </w:r>
      <w:r w:rsidR="00752238">
        <w:rPr>
          <w:rFonts w:ascii="Book Antiqua" w:hAnsi="Book Antiqua" w:cs="Book Antiqua"/>
          <w:sz w:val="22"/>
          <w:szCs w:val="22"/>
        </w:rPr>
        <w:t>a</w:t>
      </w:r>
      <w:r>
        <w:rPr>
          <w:rFonts w:ascii="Book Antiqua" w:hAnsi="Book Antiqua" w:cs="Book Antiqua"/>
          <w:sz w:val="22"/>
          <w:szCs w:val="22"/>
        </w:rPr>
        <w:t xml:space="preserve"> dopĺňa Ústava Slovenskej republiky č. 460/1992 Zb. v znení neskorších predpisov</w:t>
      </w:r>
    </w:p>
    <w:p w14:paraId="44BA4D94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3A3F02C7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ústavného zákona:</w:t>
      </w:r>
    </w:p>
    <w:p w14:paraId="1E5A683B" w14:textId="77777777" w:rsidR="008526CF" w:rsidRDefault="005A567C">
      <w:pPr>
        <w:pStyle w:val="Normlnywebov1"/>
        <w:numPr>
          <w:ilvl w:val="0"/>
          <w:numId w:val="2"/>
        </w:numPr>
        <w:tabs>
          <w:tab w:val="left" w:pos="0"/>
        </w:tabs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14:paraId="0D5D7468" w14:textId="77777777" w:rsidR="008526CF" w:rsidRDefault="005A567C">
      <w:pPr>
        <w:pStyle w:val="Normlnywebov1"/>
        <w:numPr>
          <w:ilvl w:val="0"/>
          <w:numId w:val="2"/>
        </w:numPr>
        <w:tabs>
          <w:tab w:val="left" w:pos="0"/>
        </w:tabs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sekundárnom práve Európskej únie,</w:t>
      </w:r>
    </w:p>
    <w:p w14:paraId="55476C82" w14:textId="77777777" w:rsidR="008526CF" w:rsidRDefault="005A567C">
      <w:pPr>
        <w:pStyle w:val="Normlnywebov1"/>
        <w:numPr>
          <w:ilvl w:val="0"/>
          <w:numId w:val="2"/>
        </w:numPr>
        <w:tabs>
          <w:tab w:val="left" w:pos="0"/>
        </w:tabs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</w:p>
    <w:p w14:paraId="301A8FF1" w14:textId="77777777" w:rsidR="008526CF" w:rsidRDefault="008526CF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</w:p>
    <w:p w14:paraId="0610ECCB" w14:textId="77777777" w:rsidR="008526CF" w:rsidRDefault="005A567C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14:paraId="5258CBDC" w14:textId="77777777" w:rsidR="008526CF" w:rsidRDefault="005A567C">
      <w:pPr>
        <w:spacing w:before="120" w:line="276" w:lineRule="auto"/>
        <w:ind w:left="341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 </w:t>
      </w:r>
    </w:p>
    <w:p w14:paraId="3391A5E4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7595F60A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150CD226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27E6C0AA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5A7A10D3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17E44B0B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2C1F970D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52F28E16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3E41BCF5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7AFACA1C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02287C7A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663C01CD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271DF922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43EB47CC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</w:p>
    <w:p w14:paraId="342E2AA9" w14:textId="77777777" w:rsidR="008526CF" w:rsidRDefault="008526CF">
      <w:pPr>
        <w:pStyle w:val="Normlnywebov1"/>
        <w:spacing w:before="120" w:after="0" w:line="276" w:lineRule="auto"/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</w:pPr>
    </w:p>
    <w:p w14:paraId="6A276F28" w14:textId="77777777" w:rsidR="004C7F07" w:rsidRPr="004C7F07" w:rsidRDefault="004C7F07" w:rsidP="004C7F07">
      <w:pPr>
        <w:pageBreakBefore/>
        <w:spacing w:after="120"/>
        <w:jc w:val="center"/>
        <w:rPr>
          <w:rFonts w:ascii="Book Antiqua" w:hAnsi="Book Antiqua"/>
          <w:color w:val="000000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05E0429A" w14:textId="77777777" w:rsidR="004C7F07" w:rsidRPr="00D524FA" w:rsidRDefault="004C7F07" w:rsidP="004C7F07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4C7F07" w:rsidRPr="00D524FA" w14:paraId="3300F792" w14:textId="77777777" w:rsidTr="008816A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0767C519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4C7F07" w:rsidRPr="00D524FA" w14:paraId="27EFBCA6" w14:textId="77777777" w:rsidTr="008816A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47266B50" w14:textId="77777777" w:rsidR="004C7F07" w:rsidRPr="00D524FA" w:rsidRDefault="004C7F07" w:rsidP="008816A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4C7F07" w:rsidRPr="00D524FA" w14:paraId="29702468" w14:textId="77777777" w:rsidTr="008816A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3324E4F4" w14:textId="77777777" w:rsidR="004C7F07" w:rsidRPr="009556D1" w:rsidRDefault="004C7F07" w:rsidP="008816AC">
            <w:pPr>
              <w:spacing w:after="120" w:line="276" w:lineRule="auto"/>
              <w:jc w:val="both"/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  <w:r w:rsidRPr="009556D1">
              <w:rPr>
                <w:rFonts w:ascii="Book Antiqua" w:hAnsi="Book Antiqua" w:cs="Book Antiqua"/>
                <w:sz w:val="20"/>
                <w:szCs w:val="20"/>
              </w:rPr>
              <w:t>návrh ústavného zákona, ktorým sa dopĺňa Ústava Slovenskej republiky č. 460/1992 Zb. v znení neskorších predpisov</w:t>
            </w:r>
          </w:p>
        </w:tc>
      </w:tr>
      <w:tr w:rsidR="004C7F07" w:rsidRPr="00D524FA" w14:paraId="5A23787F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E31735C" w14:textId="77777777" w:rsidR="004C7F07" w:rsidRPr="00D524FA" w:rsidRDefault="004C7F07" w:rsidP="008816A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4C7F07" w:rsidRPr="00D524FA" w14:paraId="6FBF2D6F" w14:textId="77777777" w:rsidTr="008816A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28571" w14:textId="77777777" w:rsidR="004C7F07" w:rsidRPr="009556D1" w:rsidRDefault="0002247C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skupina </w:t>
            </w:r>
            <w:r w:rsidR="004C7F07" w:rsidRPr="009556D1">
              <w:rPr>
                <w:rFonts w:ascii="Book Antiqua" w:hAnsi="Book Antiqua" w:cs="Book Antiqua"/>
                <w:sz w:val="20"/>
                <w:szCs w:val="20"/>
              </w:rPr>
              <w:t>poslanc</w:t>
            </w:r>
            <w:r>
              <w:rPr>
                <w:rFonts w:ascii="Book Antiqua" w:hAnsi="Book Antiqua" w:cs="Book Antiqua"/>
                <w:sz w:val="20"/>
                <w:szCs w:val="20"/>
              </w:rPr>
              <w:t>ov</w:t>
            </w:r>
            <w:r w:rsidR="004C7F07" w:rsidRPr="009556D1">
              <w:rPr>
                <w:rFonts w:ascii="Book Antiqua" w:hAnsi="Book Antiqua" w:cs="Book Antiqua"/>
                <w:sz w:val="20"/>
                <w:szCs w:val="20"/>
              </w:rPr>
              <w:t xml:space="preserve"> Národnej rady Slovenskej republiky </w:t>
            </w:r>
          </w:p>
          <w:p w14:paraId="305609B5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4C7F07" w:rsidRPr="00D524FA" w14:paraId="4A9E3155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3EDC82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4C7F07" w:rsidRPr="00D524FA" w14:paraId="2D0B532F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1D75602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4C7F07" w:rsidRPr="00214D57" w14:paraId="6CF49278" w14:textId="77777777" w:rsidTr="008816A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2FE5A" w14:textId="77777777" w:rsidR="004C7F07" w:rsidRPr="00214D57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0A649917" w14:textId="77777777" w:rsidR="004C7F07" w:rsidRPr="00214D57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5051CB64" w14:textId="6B9C2633" w:rsidR="004C7F07" w:rsidRPr="00214D57" w:rsidRDefault="009556D1" w:rsidP="008816AC">
            <w:pPr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9556D1">
              <w:rPr>
                <w:rFonts w:ascii="Book Antiqua" w:hAnsi="Book Antiqua"/>
                <w:sz w:val="20"/>
                <w:szCs w:val="20"/>
                <w:lang w:eastAsia="sk-SK"/>
              </w:rPr>
              <w:t>V zmysle judikatúry Ústavného súdu SR platí, že občania môžu rozhodnúť o skrátení volebného obdobia Národnej rady Slovenskej republiky len vtedy, ak im takéto právo prizná základná norma štátu, ktorou je Ústava Slovenskej republiky. Podľa súčasnej právnej úpravy čl. 73 ods. 3 Ústavy SR sa môže prebiehajúce volebné obdobie NR SR skrátiť len na základe uznesenia NR SR (nie referendom).</w:t>
            </w:r>
          </w:p>
        </w:tc>
      </w:tr>
      <w:tr w:rsidR="004C7F07" w:rsidRPr="00D524FA" w14:paraId="142C8693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A3E8F2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4C7F07" w:rsidRPr="00D524FA" w14:paraId="00A0D417" w14:textId="77777777" w:rsidTr="008816A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37638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504AFA64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6774A312" w14:textId="77777777" w:rsidR="004C7F07" w:rsidRPr="00D524FA" w:rsidRDefault="009556D1" w:rsidP="008816AC">
            <w:pPr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9556D1">
              <w:rPr>
                <w:rFonts w:ascii="Book Antiqua" w:hAnsi="Book Antiqua"/>
                <w:sz w:val="20"/>
                <w:szCs w:val="20"/>
                <w:lang w:eastAsia="sk-SK"/>
              </w:rPr>
              <w:t>Návrhom ústavného zákona sa priznáva občanom Slovenskej republiky právo, aby mohli v referende priamo rozhodnúť o skrátení prebiehajúceho volebného obdobia NR SR.</w:t>
            </w:r>
          </w:p>
        </w:tc>
      </w:tr>
      <w:tr w:rsidR="004C7F07" w:rsidRPr="00D524FA" w14:paraId="3E01CEA7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F53512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4C7F07" w:rsidRPr="00D524FA" w14:paraId="50229B3B" w14:textId="77777777" w:rsidTr="008816A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BD36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4EA4AF5C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1EE84819" w14:textId="77777777" w:rsidR="004C7F07" w:rsidRPr="0071270C" w:rsidRDefault="009556D1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Poslanci NR SR, členovia vlády SR a všetci občania SR s volebným právom.</w:t>
            </w:r>
          </w:p>
        </w:tc>
      </w:tr>
      <w:tr w:rsidR="004C7F07" w:rsidRPr="00D524FA" w14:paraId="4946332B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AAA1075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4C7F07" w:rsidRPr="00D524FA" w14:paraId="6C861071" w14:textId="77777777" w:rsidTr="008816A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CA38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35CB98C4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5EB0698C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30CE119A" w14:textId="77777777" w:rsidR="004C7F07" w:rsidRPr="00D524FA" w:rsidRDefault="009556D1" w:rsidP="008816AC">
            <w:pPr>
              <w:jc w:val="both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sz w:val="20"/>
                <w:szCs w:val="20"/>
                <w:lang w:eastAsia="sk-SK"/>
              </w:rPr>
              <w:t>Bezpredmetné</w:t>
            </w:r>
            <w:r w:rsidR="004C7F07">
              <w:rPr>
                <w:rFonts w:ascii="Book Antiqua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4C7F07" w:rsidRPr="00D524FA" w14:paraId="03E7E4C8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31B489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4C7F07" w:rsidRPr="00D524FA" w14:paraId="7B38B0C2" w14:textId="77777777" w:rsidTr="008816A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08D9E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185D2BF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F2B5E3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☒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4C7F07" w:rsidRPr="00D524FA" w14:paraId="707F273C" w14:textId="77777777" w:rsidTr="008816A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06E0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222E97B8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4C7F07" w:rsidRPr="00D524FA" w14:paraId="0327EDB3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112E3E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4C7F07" w:rsidRPr="00D524FA" w14:paraId="20648520" w14:textId="77777777" w:rsidTr="008816A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2DD69218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1BAF60B0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321D12BC" w14:textId="77777777" w:rsidR="004C7F07" w:rsidRPr="009F4C3D" w:rsidRDefault="004C7F07" w:rsidP="008816AC">
            <w:pPr>
              <w:jc w:val="both"/>
              <w:rPr>
                <w:rFonts w:ascii="Book Antiqua" w:hAnsi="Book Antiqua"/>
                <w:iCs/>
                <w:sz w:val="20"/>
                <w:szCs w:val="20"/>
                <w:lang w:eastAsia="sk-SK"/>
              </w:rPr>
            </w:pPr>
            <w:r w:rsidRPr="009F4C3D">
              <w:rPr>
                <w:rFonts w:ascii="Book Antiqua" w:hAnsi="Book Antiqua"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4C7F07" w:rsidRPr="00D524FA" w14:paraId="69E1C16D" w14:textId="77777777" w:rsidTr="008816A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3D366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</w:p>
        </w:tc>
      </w:tr>
      <w:tr w:rsidR="004C7F07" w:rsidRPr="00D524FA" w14:paraId="17F06508" w14:textId="77777777" w:rsidTr="008816A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C6567B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4C7F07" w:rsidRPr="00D524FA" w14:paraId="32CFB6C6" w14:textId="77777777" w:rsidTr="008816A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AE28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240634F6" w14:textId="1ACC65FE" w:rsidR="004C7F07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Preskúmanie účelnosti </w:t>
            </w:r>
            <w:r w:rsidR="009F4C3D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ústavného </w:t>
            </w:r>
            <w:r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zákona sa navrhuje po </w:t>
            </w:r>
            <w:r w:rsidR="009F4C3D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zrealizovaní referenda o skrátení volebného obdobia NR SR.</w:t>
            </w:r>
          </w:p>
          <w:p w14:paraId="1D2A8195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02B9FE29" w14:textId="77777777" w:rsidR="004C7F07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53D7A18E" w14:textId="77777777" w:rsidR="004C7F07" w:rsidRDefault="004C7F07" w:rsidP="009F4C3D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31FF864B" w14:textId="2FA1034B" w:rsidR="009F4C3D" w:rsidRPr="0077388C" w:rsidRDefault="009F4C3D" w:rsidP="009F4C3D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petícia na vyhlásenie referenda</w:t>
            </w:r>
          </w:p>
        </w:tc>
      </w:tr>
      <w:tr w:rsidR="004C7F07" w:rsidRPr="00D524FA" w14:paraId="52588808" w14:textId="77777777" w:rsidTr="008816A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5A3A75D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4C7F07" w:rsidRPr="00D524FA" w14:paraId="22F8FD3D" w14:textId="77777777" w:rsidTr="008816A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676E4E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lastRenderedPageBreak/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FFF602D" w14:textId="77777777" w:rsidR="004C7F07" w:rsidRPr="00D524FA" w:rsidRDefault="009556D1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319A73F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31C9F9" w14:textId="77777777" w:rsidR="004C7F07" w:rsidRPr="00D524FA" w:rsidRDefault="009556D1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1DFDC6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9D54C3" w14:textId="77777777" w:rsidR="004C7F07" w:rsidRPr="00D524FA" w:rsidRDefault="004C7F07" w:rsidP="008816AC">
            <w:pPr>
              <w:ind w:left="-107" w:right="-108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EC97E24" w14:textId="77777777" w:rsidR="004C7F07" w:rsidRPr="00D524FA" w:rsidRDefault="004C7F07" w:rsidP="008816AC">
            <w:pPr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7F07" w:rsidRPr="00D524FA" w14:paraId="1CD82355" w14:textId="77777777" w:rsidTr="008816A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17DA56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3F1FF287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47A8045A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3BBCC56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9AB857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9EA4D2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25BD25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D5F866" w14:textId="77777777" w:rsidR="004C7F07" w:rsidRPr="00D524FA" w:rsidRDefault="004C7F07" w:rsidP="008816AC">
            <w:pPr>
              <w:ind w:left="-107" w:right="-108"/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A75797" w14:textId="77777777" w:rsidR="004C7F07" w:rsidRPr="00D524FA" w:rsidRDefault="004C7F07" w:rsidP="008816AC">
            <w:pPr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4C7F07" w:rsidRPr="00D524FA" w14:paraId="4F2BF893" w14:textId="77777777" w:rsidTr="008816A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AD047CD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35F47BC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4FBCFB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11C02E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0653C4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862BE" w14:textId="77777777" w:rsidR="004C7F07" w:rsidRPr="00D524FA" w:rsidRDefault="004C7F07" w:rsidP="008816AC">
            <w:pPr>
              <w:ind w:left="-107" w:right="-108"/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80D304" w14:textId="77777777" w:rsidR="004C7F07" w:rsidRPr="00D524FA" w:rsidRDefault="004C7F07" w:rsidP="008816AC">
            <w:pPr>
              <w:ind w:left="3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7F07" w:rsidRPr="00D524FA" w14:paraId="0A5F455E" w14:textId="77777777" w:rsidTr="008816A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64EBFB1D" w14:textId="77777777" w:rsidR="004C7F07" w:rsidRPr="00D524FA" w:rsidRDefault="004C7F07" w:rsidP="008816AC">
            <w:pPr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C0D6DF6" w14:textId="77777777" w:rsidR="004C7F07" w:rsidRPr="00D524FA" w:rsidRDefault="004C7F07" w:rsidP="008816AC">
            <w:pPr>
              <w:ind w:left="171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A405BD2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F5EE1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B7C48B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FBC410" w14:textId="77777777" w:rsidR="004C7F07" w:rsidRPr="00D524FA" w:rsidRDefault="004C7F07" w:rsidP="008816AC">
            <w:pPr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9D832A" w14:textId="77777777" w:rsidR="004C7F07" w:rsidRPr="00D524FA" w:rsidRDefault="004C7F07" w:rsidP="008816AC">
            <w:pPr>
              <w:ind w:left="-107" w:right="-108"/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BDA492" w14:textId="77777777" w:rsidR="004C7F07" w:rsidRPr="00D524FA" w:rsidRDefault="004C7F07" w:rsidP="008816AC">
            <w:pPr>
              <w:ind w:left="34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4C7F07" w:rsidRPr="00D524FA" w14:paraId="73AC379A" w14:textId="77777777" w:rsidTr="008816A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F4CFD7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1D6106B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40C43E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B56388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80630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D2389A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D24BA1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7F07" w:rsidRPr="00D524FA" w14:paraId="62A9CD0E" w14:textId="77777777" w:rsidTr="008816A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0DE002A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9106A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7A574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2F8AE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B0520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07545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86F9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4C7F07" w:rsidRPr="00D524FA" w14:paraId="6959468B" w14:textId="77777777" w:rsidTr="008816A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2C80AF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170F2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6D6AB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64765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DCF66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5080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F0D2D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7F07" w:rsidRPr="00D524FA" w14:paraId="5050D8C1" w14:textId="77777777" w:rsidTr="008816A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0F4427A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6FF16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4D4C0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2707D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241BB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07701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2338F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C7F07" w:rsidRPr="00D524FA" w14:paraId="21D4A494" w14:textId="77777777" w:rsidTr="008816A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8983BDB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D0EF0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2C084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04BB0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48093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52E85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0C0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5BA7889" w14:textId="77777777" w:rsidR="004C7F07" w:rsidRPr="004C7F07" w:rsidRDefault="004C7F07" w:rsidP="004C7F07">
      <w:pPr>
        <w:rPr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4C7F07" w:rsidRPr="00D524FA" w14:paraId="3FC04F85" w14:textId="77777777" w:rsidTr="008816A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AF1782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2593BF" w14:textId="77777777" w:rsidR="004C7F07" w:rsidRPr="00D524FA" w:rsidRDefault="004C7F07" w:rsidP="008816AC">
            <w:pPr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A1BEBB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EFC8C" w14:textId="77777777" w:rsidR="004C7F07" w:rsidRPr="00D524FA" w:rsidRDefault="004C7F07" w:rsidP="008816AC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B874A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1E219" w14:textId="77777777" w:rsidR="004C7F07" w:rsidRPr="00D524FA" w:rsidRDefault="004C7F07" w:rsidP="008816AC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1BA61D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C7F07" w:rsidRPr="00D524FA" w14:paraId="76C63A37" w14:textId="77777777" w:rsidTr="008816A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B788DE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F0A95EC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266070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4EA37F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E30DCF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95B3C2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1E1988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2DB43895" w14:textId="77777777" w:rsidR="004C7F07" w:rsidRPr="004C7F07" w:rsidRDefault="004C7F07" w:rsidP="004C7F07">
      <w:pPr>
        <w:rPr>
          <w:vanish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4C7F07" w:rsidRPr="00D524FA" w14:paraId="672117AA" w14:textId="77777777" w:rsidTr="008816A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5EB757B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6E937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DD4A5" w14:textId="77777777" w:rsidR="004C7F07" w:rsidRPr="00D524FA" w:rsidRDefault="004C7F07" w:rsidP="008816AC">
            <w:pPr>
              <w:ind w:right="-108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3ACD6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60FC" w14:textId="77777777" w:rsidR="004C7F07" w:rsidRPr="00D524FA" w:rsidRDefault="004C7F07" w:rsidP="008816AC">
            <w:pPr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79C2E" w14:textId="77777777" w:rsidR="004C7F07" w:rsidRPr="00D524FA" w:rsidRDefault="004C7F07" w:rsidP="008816AC">
            <w:pPr>
              <w:jc w:val="center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7B7D" w14:textId="77777777" w:rsidR="004C7F07" w:rsidRPr="00D524FA" w:rsidRDefault="004C7F07" w:rsidP="008816AC">
            <w:pPr>
              <w:ind w:left="54"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B95C9DE" w14:textId="77777777" w:rsidR="004C7F07" w:rsidRPr="00D524FA" w:rsidRDefault="004C7F07" w:rsidP="004C7F07">
      <w:pPr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C7F07" w:rsidRPr="00D524FA" w14:paraId="6F3EF47D" w14:textId="77777777" w:rsidTr="008816A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6E51A5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4C7F07" w:rsidRPr="00D524FA" w14:paraId="09FBFBD7" w14:textId="77777777" w:rsidTr="008816A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5F89" w14:textId="77777777" w:rsidR="004C7F07" w:rsidRPr="00D524FA" w:rsidRDefault="009556D1" w:rsidP="008816A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Návrh ústavného zákona nezakladá žiadne vplyvy na rozpočet verejnej správy, na podnikateľské prostredie, na životné prostredie, na informatizáciu spoločnosti, na služby verejnej správy pre občana a nezakladá ani žiadne sociálne vplyvy či vplyvy na manželstvo, rodičovstvo, rodinu a deti. </w:t>
            </w:r>
            <w:r w:rsidR="004C7F07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C7F07" w:rsidRPr="00D524FA" w14:paraId="4A0A7177" w14:textId="77777777" w:rsidTr="008816AC">
        <w:tc>
          <w:tcPr>
            <w:tcW w:w="9176" w:type="dxa"/>
          </w:tcPr>
          <w:p w14:paraId="22F91E41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4C7F07" w:rsidRPr="00D524FA" w14:paraId="1621785E" w14:textId="77777777" w:rsidTr="008816AC">
        <w:trPr>
          <w:trHeight w:val="586"/>
        </w:trPr>
        <w:tc>
          <w:tcPr>
            <w:tcW w:w="9176" w:type="dxa"/>
          </w:tcPr>
          <w:p w14:paraId="0DAFB182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☒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8398273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  <w:p w14:paraId="414E2E6C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6F57CB5C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4C7F07" w:rsidRPr="00D524FA" w14:paraId="0DB7303A" w14:textId="77777777" w:rsidTr="008816AC">
        <w:tc>
          <w:tcPr>
            <w:tcW w:w="9176" w:type="dxa"/>
          </w:tcPr>
          <w:p w14:paraId="1D136FDD" w14:textId="77777777" w:rsidR="004C7F07" w:rsidRPr="00D524FA" w:rsidRDefault="004C7F07" w:rsidP="004C7F07">
            <w:pPr>
              <w:numPr>
                <w:ilvl w:val="0"/>
                <w:numId w:val="3"/>
              </w:numPr>
              <w:suppressAutoHyphens w:val="0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4C7F07" w:rsidRPr="00D524FA" w14:paraId="4B9050D0" w14:textId="77777777" w:rsidTr="008816AC">
        <w:trPr>
          <w:trHeight w:val="401"/>
        </w:trPr>
        <w:tc>
          <w:tcPr>
            <w:tcW w:w="9176" w:type="dxa"/>
          </w:tcPr>
          <w:p w14:paraId="47C1EABA" w14:textId="77777777" w:rsidR="004C7F07" w:rsidRPr="00D524FA" w:rsidRDefault="004C7F07" w:rsidP="008816AC">
            <w:pPr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☒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  <w:r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7556AA3F" w14:textId="77777777" w:rsidR="004C7F07" w:rsidRPr="00D524FA" w:rsidRDefault="004C7F07" w:rsidP="008816AC">
            <w:pPr>
              <w:jc w:val="both"/>
              <w:rPr>
                <w:rFonts w:ascii="Book Antiqua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☒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r w:rsidRPr="00D524FA"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sk-SK"/>
              </w:rPr>
              <w:t>☐</w:t>
            </w:r>
            <w:r w:rsidRPr="00D524FA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18CE3A6F" w14:textId="77777777" w:rsidR="004C7F07" w:rsidRDefault="004C7F07" w:rsidP="008816AC">
            <w:pPr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3AA47E6E" w14:textId="77777777" w:rsidR="004C7F07" w:rsidRPr="00D524FA" w:rsidRDefault="004C7F07" w:rsidP="008816AC">
            <w:pPr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53930E16" w14:textId="77777777" w:rsidR="004C7F07" w:rsidRPr="00D524FA" w:rsidRDefault="004C7F07" w:rsidP="008816AC">
            <w:pPr>
              <w:rPr>
                <w:rFonts w:ascii="Book Antiqua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7A7907D6" w14:textId="77777777" w:rsidR="004C7F07" w:rsidRDefault="004C7F07" w:rsidP="004C7F07">
      <w:pPr>
        <w:rPr>
          <w:rFonts w:ascii="Book Antiqua" w:hAnsi="Book Antiqua" w:cs="Book Antiqua"/>
          <w:caps/>
          <w:spacing w:val="30"/>
        </w:rPr>
      </w:pPr>
    </w:p>
    <w:p w14:paraId="102E9980" w14:textId="77777777" w:rsidR="004C7F07" w:rsidRDefault="004C7F07" w:rsidP="004C7F07">
      <w:pPr>
        <w:rPr>
          <w:rFonts w:ascii="Book Antiqua" w:hAnsi="Book Antiqua" w:cs="Book Antiqua"/>
          <w:caps/>
          <w:spacing w:val="30"/>
        </w:rPr>
      </w:pPr>
    </w:p>
    <w:p w14:paraId="66C3879C" w14:textId="77777777" w:rsidR="004C7F07" w:rsidRDefault="004C7F07" w:rsidP="004C7F07">
      <w:pPr>
        <w:rPr>
          <w:rFonts w:ascii="Book Antiqua" w:hAnsi="Book Antiqua" w:cs="Book Antiqua"/>
          <w:caps/>
          <w:spacing w:val="30"/>
        </w:rPr>
      </w:pPr>
    </w:p>
    <w:p w14:paraId="763649C7" w14:textId="77777777" w:rsidR="004C7F07" w:rsidRDefault="004C7F07" w:rsidP="004C7F07">
      <w:pPr>
        <w:rPr>
          <w:rFonts w:ascii="Book Antiqua" w:hAnsi="Book Antiqua" w:cs="Book Antiqua"/>
          <w:caps/>
          <w:spacing w:val="30"/>
        </w:rPr>
      </w:pPr>
    </w:p>
    <w:p w14:paraId="1BB95CE5" w14:textId="77777777" w:rsidR="008526CF" w:rsidRDefault="008526CF" w:rsidP="004C7F07">
      <w:pPr>
        <w:pStyle w:val="Normlnywebov1"/>
        <w:spacing w:before="120" w:after="0" w:line="276" w:lineRule="auto"/>
      </w:pPr>
    </w:p>
    <w:sectPr w:rsidR="008526C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2E28" w14:textId="77777777" w:rsidR="00CB730A" w:rsidRDefault="00CB730A">
      <w:r>
        <w:separator/>
      </w:r>
    </w:p>
  </w:endnote>
  <w:endnote w:type="continuationSeparator" w:id="0">
    <w:p w14:paraId="1375E07F" w14:textId="77777777" w:rsidR="00CB730A" w:rsidRDefault="00CB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EE80" w14:textId="77777777" w:rsidR="008526CF" w:rsidRDefault="008526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B913" w14:textId="77777777" w:rsidR="008526CF" w:rsidRDefault="008526C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4B8C3" w14:textId="77777777" w:rsidR="008526CF" w:rsidRDefault="008526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E254" w14:textId="77777777" w:rsidR="00CB730A" w:rsidRDefault="00CB730A">
      <w:r>
        <w:separator/>
      </w:r>
    </w:p>
  </w:footnote>
  <w:footnote w:type="continuationSeparator" w:id="0">
    <w:p w14:paraId="393FCFA2" w14:textId="77777777" w:rsidR="00CB730A" w:rsidRDefault="00CB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9E3C" w14:textId="77777777" w:rsidR="008526CF" w:rsidRDefault="008526C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05FD" w14:textId="77777777" w:rsidR="008526CF" w:rsidRDefault="008526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63"/>
    <w:rsid w:val="0002247C"/>
    <w:rsid w:val="00065DDE"/>
    <w:rsid w:val="000951DC"/>
    <w:rsid w:val="000E4836"/>
    <w:rsid w:val="002F51FA"/>
    <w:rsid w:val="003E19BA"/>
    <w:rsid w:val="004B23CD"/>
    <w:rsid w:val="004C7F07"/>
    <w:rsid w:val="004E75E0"/>
    <w:rsid w:val="00500163"/>
    <w:rsid w:val="00502141"/>
    <w:rsid w:val="005A567C"/>
    <w:rsid w:val="00635613"/>
    <w:rsid w:val="0066024F"/>
    <w:rsid w:val="00682980"/>
    <w:rsid w:val="00752238"/>
    <w:rsid w:val="00764245"/>
    <w:rsid w:val="007B0672"/>
    <w:rsid w:val="007C1E8C"/>
    <w:rsid w:val="0083760A"/>
    <w:rsid w:val="00840E63"/>
    <w:rsid w:val="008526CF"/>
    <w:rsid w:val="008A655A"/>
    <w:rsid w:val="009556D1"/>
    <w:rsid w:val="0098045D"/>
    <w:rsid w:val="009A20BB"/>
    <w:rsid w:val="009E46E7"/>
    <w:rsid w:val="009F4C3D"/>
    <w:rsid w:val="00A4367E"/>
    <w:rsid w:val="00A72412"/>
    <w:rsid w:val="00AE007F"/>
    <w:rsid w:val="00B130FE"/>
    <w:rsid w:val="00BB5B77"/>
    <w:rsid w:val="00CB730A"/>
    <w:rsid w:val="00CE7F07"/>
    <w:rsid w:val="00FE5239"/>
    <w:rsid w:val="1E865143"/>
    <w:rsid w:val="401E3C17"/>
    <w:rsid w:val="4C08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BB5C2"/>
  <w15:docId w15:val="{ABF11A93-57B1-473D-BAF4-B86885A6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uiPriority="6" w:qFormat="1"/>
    <w:lsdException w:name="heading 1" w:uiPriority="6" w:qFormat="1"/>
    <w:lsdException w:name="heading 2" w:semiHidden="1" w:unhideWhenUsed="1" w:qFormat="1"/>
    <w:lsdException w:name="heading 3" w:uiPriority="6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7"/>
    <w:lsdException w:name="caption" w:semiHidden="1" w:unhideWhenUsed="1" w:qFormat="1"/>
    <w:lsdException w:name="page number" w:uiPriority="7"/>
    <w:lsdException w:name="List" w:uiPriority="7"/>
    <w:lsdException w:name="Title" w:qFormat="1"/>
    <w:lsdException w:name="Default Paragraph Font" w:semiHidden="1" w:uiPriority="1" w:unhideWhenUsed="1"/>
    <w:lsdException w:name="Body Text" w:uiPriority="6"/>
    <w:lsdException w:name="Subtitle" w:qFormat="1"/>
    <w:lsdException w:name="Hyperlink" w:uiPriority="7"/>
    <w:lsdException w:name="Strong" w:qFormat="1"/>
    <w:lsdException w:name="Emphasis" w:uiPriority="15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6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uiPriority w:val="6"/>
    <w:qFormat/>
    <w:pPr>
      <w:keepNext/>
      <w:numPr>
        <w:numId w:val="1"/>
      </w:numPr>
      <w:tabs>
        <w:tab w:val="left" w:pos="432"/>
      </w:tabs>
      <w:autoSpaceDE w:val="0"/>
      <w:jc w:val="center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dpis3">
    <w:name w:val="heading 3"/>
    <w:basedOn w:val="Normlny"/>
    <w:next w:val="Normlny"/>
    <w:uiPriority w:val="6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6"/>
    <w:pPr>
      <w:spacing w:after="120"/>
    </w:pPr>
  </w:style>
  <w:style w:type="character" w:styleId="Zvraznenie">
    <w:name w:val="Emphasis"/>
    <w:uiPriority w:val="15"/>
    <w:qFormat/>
    <w:rPr>
      <w:rFonts w:cs="Times New Roman"/>
      <w:i/>
    </w:rPr>
  </w:style>
  <w:style w:type="paragraph" w:styleId="Pta">
    <w:name w:val="footer"/>
    <w:basedOn w:val="Normlny"/>
    <w:uiPriority w:val="7"/>
    <w:pPr>
      <w:tabs>
        <w:tab w:val="center" w:pos="4536"/>
        <w:tab w:val="right" w:pos="9072"/>
      </w:tabs>
    </w:pPr>
    <w:rPr>
      <w:szCs w:val="20"/>
    </w:rPr>
  </w:style>
  <w:style w:type="paragraph" w:styleId="Hlavika">
    <w:name w:val="header"/>
    <w:basedOn w:val="Normlny"/>
    <w:uiPriority w:val="6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7"/>
    <w:rPr>
      <w:rFonts w:cs="Times New Roman"/>
      <w:color w:val="0000FF"/>
      <w:u w:val="single"/>
    </w:rPr>
  </w:style>
  <w:style w:type="paragraph" w:styleId="Zoznam">
    <w:name w:val="List"/>
    <w:basedOn w:val="Zkladntext"/>
    <w:uiPriority w:val="7"/>
  </w:style>
  <w:style w:type="character" w:styleId="slostrany">
    <w:name w:val="page number"/>
    <w:uiPriority w:val="7"/>
    <w:rPr>
      <w:rFonts w:cs="Times New Roman"/>
    </w:rPr>
  </w:style>
  <w:style w:type="character" w:customStyle="1" w:styleId="WW8Num1z0">
    <w:name w:val="WW8Num1z0"/>
    <w:uiPriority w:val="3"/>
    <w:rPr>
      <w:rFonts w:ascii="Book Antiqua" w:eastAsia="Times New Roman" w:hAnsi="Book Antiqua" w:cs="Times New Roman" w:hint="default"/>
    </w:rPr>
  </w:style>
  <w:style w:type="character" w:customStyle="1" w:styleId="WW8Num1z1">
    <w:name w:val="WW8Num1z1"/>
    <w:uiPriority w:val="3"/>
    <w:rPr>
      <w:rFonts w:ascii="Courier New" w:hAnsi="Courier New" w:cs="Courier New" w:hint="default"/>
    </w:rPr>
  </w:style>
  <w:style w:type="character" w:customStyle="1" w:styleId="WW8Num1z2">
    <w:name w:val="WW8Num1z2"/>
    <w:uiPriority w:val="3"/>
    <w:rPr>
      <w:rFonts w:ascii="Wingdings" w:hAnsi="Wingdings" w:cs="Wingdings" w:hint="default"/>
    </w:rPr>
  </w:style>
  <w:style w:type="character" w:customStyle="1" w:styleId="WW8Num1z3">
    <w:name w:val="WW8Num1z3"/>
    <w:uiPriority w:val="3"/>
    <w:rPr>
      <w:rFonts w:ascii="Symbol" w:hAnsi="Symbol" w:cs="Symbol" w:hint="default"/>
    </w:rPr>
  </w:style>
  <w:style w:type="character" w:customStyle="1" w:styleId="WW8Num2z0">
    <w:name w:val="WW8Num2z0"/>
    <w:uiPriority w:val="3"/>
    <w:rPr>
      <w:rFonts w:cs="Times New Roman"/>
    </w:rPr>
  </w:style>
  <w:style w:type="character" w:customStyle="1" w:styleId="WW8Num3z0">
    <w:name w:val="WW8Num3z0"/>
    <w:uiPriority w:val="3"/>
    <w:rPr>
      <w:rFonts w:cs="Times New Roman"/>
      <w:i w:val="0"/>
    </w:rPr>
  </w:style>
  <w:style w:type="character" w:customStyle="1" w:styleId="WW8Num3z1">
    <w:name w:val="WW8Num3z1"/>
    <w:uiPriority w:val="3"/>
    <w:rPr>
      <w:rFonts w:cs="Times New Roman"/>
    </w:rPr>
  </w:style>
  <w:style w:type="character" w:customStyle="1" w:styleId="WW8Num4z0">
    <w:name w:val="WW8Num4z0"/>
    <w:uiPriority w:val="3"/>
    <w:rPr>
      <w:rFonts w:hint="default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WW8Num5z0">
    <w:name w:val="WW8Num5z0"/>
    <w:uiPriority w:val="3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uiPriority w:val="3"/>
    <w:rPr>
      <w:rFonts w:ascii="Courier New" w:hAnsi="Courier New" w:cs="Courier New" w:hint="default"/>
    </w:rPr>
  </w:style>
  <w:style w:type="character" w:customStyle="1" w:styleId="WW8Num5z2">
    <w:name w:val="WW8Num5z2"/>
    <w:uiPriority w:val="3"/>
    <w:rPr>
      <w:rFonts w:ascii="Wingdings" w:hAnsi="Wingdings" w:cs="Wingdings" w:hint="default"/>
    </w:rPr>
  </w:style>
  <w:style w:type="character" w:customStyle="1" w:styleId="WW8Num5z3">
    <w:name w:val="WW8Num5z3"/>
    <w:uiPriority w:val="3"/>
    <w:rPr>
      <w:rFonts w:ascii="Symbol" w:hAnsi="Symbol" w:cs="Symbol" w:hint="default"/>
    </w:rPr>
  </w:style>
  <w:style w:type="character" w:customStyle="1" w:styleId="WW8Num6z0">
    <w:name w:val="WW8Num6z0"/>
    <w:uiPriority w:val="3"/>
    <w:rPr>
      <w:rFonts w:cs="Times New Roman" w:hint="default"/>
      <w:b/>
    </w:rPr>
  </w:style>
  <w:style w:type="character" w:customStyle="1" w:styleId="WW8Num6z1">
    <w:name w:val="WW8Num6z1"/>
    <w:uiPriority w:val="3"/>
    <w:rPr>
      <w:rFonts w:cs="Times New Roman"/>
    </w:rPr>
  </w:style>
  <w:style w:type="character" w:customStyle="1" w:styleId="WW8Num7z0">
    <w:name w:val="WW8Num7z0"/>
    <w:uiPriority w:val="3"/>
    <w:rPr>
      <w:rFonts w:cs="Times New Roman" w:hint="default"/>
      <w:i w:val="0"/>
    </w:rPr>
  </w:style>
  <w:style w:type="character" w:customStyle="1" w:styleId="WW8Num7z1">
    <w:name w:val="WW8Num7z1"/>
    <w:uiPriority w:val="3"/>
    <w:rPr>
      <w:rFonts w:cs="Times New Roman"/>
    </w:rPr>
  </w:style>
  <w:style w:type="character" w:customStyle="1" w:styleId="WW8Num8z0">
    <w:name w:val="WW8Num8z0"/>
    <w:uiPriority w:val="3"/>
    <w:rPr>
      <w:rFonts w:ascii="Wingdings" w:hAnsi="Wingdings" w:cs="Wingdings" w:hint="default"/>
    </w:rPr>
  </w:style>
  <w:style w:type="character" w:customStyle="1" w:styleId="WW8Num8z1">
    <w:name w:val="WW8Num8z1"/>
    <w:uiPriority w:val="3"/>
    <w:rPr>
      <w:rFonts w:ascii="Courier New" w:hAnsi="Courier New" w:cs="Courier New" w:hint="default"/>
    </w:rPr>
  </w:style>
  <w:style w:type="character" w:customStyle="1" w:styleId="WW8Num8z3">
    <w:name w:val="WW8Num8z3"/>
    <w:uiPriority w:val="3"/>
    <w:rPr>
      <w:rFonts w:ascii="Symbol" w:hAnsi="Symbol" w:cs="Symbol" w:hint="default"/>
    </w:rPr>
  </w:style>
  <w:style w:type="character" w:customStyle="1" w:styleId="WW8Num9z0">
    <w:name w:val="WW8Num9z0"/>
    <w:uiPriority w:val="3"/>
    <w:rPr>
      <w:rFonts w:cs="Times New Roman" w:hint="default"/>
    </w:rPr>
  </w:style>
  <w:style w:type="character" w:customStyle="1" w:styleId="WW8Num9z1">
    <w:name w:val="WW8Num9z1"/>
    <w:uiPriority w:val="3"/>
    <w:rPr>
      <w:rFonts w:cs="Times New Roman"/>
    </w:rPr>
  </w:style>
  <w:style w:type="character" w:customStyle="1" w:styleId="WW8Num10z0">
    <w:name w:val="WW8Num10z0"/>
    <w:uiPriority w:val="3"/>
    <w:rPr>
      <w:rFonts w:cs="Times New Roman" w:hint="default"/>
    </w:rPr>
  </w:style>
  <w:style w:type="character" w:customStyle="1" w:styleId="WW8Num10z1">
    <w:name w:val="WW8Num10z1"/>
    <w:uiPriority w:val="3"/>
    <w:rPr>
      <w:rFonts w:cs="Times New Roman"/>
    </w:rPr>
  </w:style>
  <w:style w:type="character" w:customStyle="1" w:styleId="WW8Num11z0">
    <w:name w:val="WW8Num11z0"/>
    <w:uiPriority w:val="3"/>
    <w:rPr>
      <w:rFonts w:cs="Times New Roman"/>
      <w:b/>
      <w:i w:val="0"/>
    </w:rPr>
  </w:style>
  <w:style w:type="character" w:customStyle="1" w:styleId="WW8Num11z2">
    <w:name w:val="WW8Num11z2"/>
    <w:uiPriority w:val="3"/>
    <w:rPr>
      <w:rFonts w:cs="Times New Roman"/>
    </w:rPr>
  </w:style>
  <w:style w:type="character" w:customStyle="1" w:styleId="WW8Num12z0">
    <w:name w:val="WW8Num12z0"/>
    <w:uiPriority w:val="3"/>
    <w:rPr>
      <w:rFonts w:cs="Times New Roman" w:hint="default"/>
    </w:rPr>
  </w:style>
  <w:style w:type="character" w:customStyle="1" w:styleId="WW8Num12z1">
    <w:name w:val="WW8Num12z1"/>
    <w:uiPriority w:val="3"/>
    <w:rPr>
      <w:rFonts w:cs="Times New Roman"/>
    </w:rPr>
  </w:style>
  <w:style w:type="character" w:customStyle="1" w:styleId="WW8Num13z0">
    <w:name w:val="WW8Num13z0"/>
    <w:uiPriority w:val="3"/>
    <w:rPr>
      <w:rFonts w:cs="Times New Roman" w:hint="default"/>
    </w:rPr>
  </w:style>
  <w:style w:type="character" w:customStyle="1" w:styleId="WW8Num13z1">
    <w:name w:val="WW8Num13z1"/>
    <w:uiPriority w:val="3"/>
    <w:rPr>
      <w:rFonts w:cs="Times New Roman"/>
    </w:rPr>
  </w:style>
  <w:style w:type="character" w:customStyle="1" w:styleId="WW8Num14z0">
    <w:name w:val="WW8Num14z0"/>
    <w:uiPriority w:val="3"/>
    <w:rPr>
      <w:rFonts w:cs="Times New Roman"/>
    </w:rPr>
  </w:style>
  <w:style w:type="character" w:customStyle="1" w:styleId="WW8Num15z0">
    <w:name w:val="WW8Num15z0"/>
    <w:uiPriority w:val="3"/>
    <w:rPr>
      <w:rFonts w:ascii="Symbol" w:hAnsi="Symbol" w:cs="Symbol"/>
    </w:rPr>
  </w:style>
  <w:style w:type="character" w:customStyle="1" w:styleId="WW8Num15z1">
    <w:name w:val="WW8Num15z1"/>
    <w:uiPriority w:val="3"/>
    <w:rPr>
      <w:rFonts w:ascii="Courier New" w:hAnsi="Courier New" w:cs="Courier New"/>
    </w:rPr>
  </w:style>
  <w:style w:type="character" w:customStyle="1" w:styleId="WW8Num15z2">
    <w:name w:val="WW8Num15z2"/>
    <w:uiPriority w:val="3"/>
    <w:rPr>
      <w:rFonts w:cs="Times New Roman"/>
      <w:b w:val="0"/>
      <w:i w:val="0"/>
    </w:rPr>
  </w:style>
  <w:style w:type="character" w:customStyle="1" w:styleId="WW8Num15z3">
    <w:name w:val="WW8Num15z3"/>
    <w:uiPriority w:val="3"/>
    <w:rPr>
      <w:rFonts w:cs="Times New Roman"/>
      <w:b/>
      <w:i w:val="0"/>
    </w:rPr>
  </w:style>
  <w:style w:type="character" w:customStyle="1" w:styleId="WW8Num15z5">
    <w:name w:val="WW8Num15z5"/>
    <w:uiPriority w:val="3"/>
    <w:rPr>
      <w:rFonts w:ascii="Wingdings" w:hAnsi="Wingdings" w:cs="Wingdings"/>
    </w:rPr>
  </w:style>
  <w:style w:type="character" w:customStyle="1" w:styleId="WW8Num16z0">
    <w:name w:val="WW8Num16z0"/>
    <w:uiPriority w:val="3"/>
    <w:rPr>
      <w:rFonts w:cs="Times New Roman"/>
    </w:rPr>
  </w:style>
  <w:style w:type="character" w:customStyle="1" w:styleId="WW8Num17z0">
    <w:name w:val="WW8Num17z0"/>
    <w:uiPriority w:val="3"/>
    <w:rPr>
      <w:rFonts w:ascii="Times New Roman" w:hAnsi="Times New Roman" w:cs="Times New Roman"/>
    </w:rPr>
  </w:style>
  <w:style w:type="character" w:customStyle="1" w:styleId="WW8Num18z0">
    <w:name w:val="WW8Num18z0"/>
    <w:uiPriority w:val="3"/>
    <w:rPr>
      <w:rFonts w:cs="Times New Roman" w:hint="default"/>
    </w:rPr>
  </w:style>
  <w:style w:type="character" w:customStyle="1" w:styleId="WW8Num18z1">
    <w:name w:val="WW8Num18z1"/>
    <w:uiPriority w:val="3"/>
    <w:rPr>
      <w:rFonts w:cs="Times New Roman"/>
    </w:rPr>
  </w:style>
  <w:style w:type="character" w:customStyle="1" w:styleId="WW8Num19z0">
    <w:name w:val="WW8Num19z0"/>
    <w:uiPriority w:val="3"/>
    <w:rPr>
      <w:rFonts w:cs="Times New Roman"/>
    </w:rPr>
  </w:style>
  <w:style w:type="character" w:customStyle="1" w:styleId="Predvolenpsmoodseku1">
    <w:name w:val="Predvolené písmo odseku1"/>
    <w:uiPriority w:val="6"/>
  </w:style>
  <w:style w:type="character" w:customStyle="1" w:styleId="Nadpis1Char">
    <w:name w:val="Nadpis 1 Char"/>
    <w:uiPriority w:val="6"/>
    <w:rPr>
      <w:rFonts w:ascii="Cambria" w:hAnsi="Cambria" w:cs="Times New Roman"/>
      <w:b/>
      <w:kern w:val="1"/>
      <w:sz w:val="32"/>
    </w:rPr>
  </w:style>
  <w:style w:type="character" w:customStyle="1" w:styleId="Nadpis3Char">
    <w:name w:val="Nadpis 3 Char"/>
    <w:uiPriority w:val="6"/>
    <w:rPr>
      <w:rFonts w:ascii="Cambria" w:hAnsi="Cambria" w:cs="Times New Roman"/>
      <w:b/>
      <w:sz w:val="26"/>
    </w:rPr>
  </w:style>
  <w:style w:type="character" w:customStyle="1" w:styleId="PtaChar">
    <w:name w:val="Päta Char"/>
    <w:uiPriority w:val="7"/>
    <w:rPr>
      <w:rFonts w:cs="Times New Roman"/>
      <w:sz w:val="24"/>
    </w:rPr>
  </w:style>
  <w:style w:type="character" w:customStyle="1" w:styleId="TextbublinyChar">
    <w:name w:val="Text bubliny Char"/>
    <w:uiPriority w:val="7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7"/>
  </w:style>
  <w:style w:type="character" w:customStyle="1" w:styleId="Odkaznakomentr1">
    <w:name w:val="Odkaz na komentár1"/>
    <w:uiPriority w:val="6"/>
    <w:rPr>
      <w:rFonts w:cs="Times New Roman"/>
      <w:sz w:val="16"/>
    </w:rPr>
  </w:style>
  <w:style w:type="character" w:customStyle="1" w:styleId="TextkomentraChar">
    <w:name w:val="Text komentára Char"/>
    <w:uiPriority w:val="7"/>
    <w:rPr>
      <w:rFonts w:cs="Times New Roman"/>
    </w:rPr>
  </w:style>
  <w:style w:type="character" w:customStyle="1" w:styleId="PredmetkomentraChar">
    <w:name w:val="Predmet komentára Char"/>
    <w:uiPriority w:val="6"/>
    <w:rPr>
      <w:rFonts w:cs="Times New Roman"/>
      <w:b/>
    </w:rPr>
  </w:style>
  <w:style w:type="character" w:customStyle="1" w:styleId="HlavikaChar">
    <w:name w:val="Hlavička Char"/>
    <w:uiPriority w:val="6"/>
    <w:rPr>
      <w:rFonts w:cs="Times New Roman"/>
      <w:sz w:val="24"/>
      <w:szCs w:val="24"/>
    </w:rPr>
  </w:style>
  <w:style w:type="paragraph" w:customStyle="1" w:styleId="Nadpis">
    <w:name w:val="Nadpis"/>
    <w:basedOn w:val="Normlny"/>
    <w:next w:val="Zkladntext"/>
    <w:uiPriority w:val="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pisok">
    <w:name w:val="Popisok"/>
    <w:basedOn w:val="Normlny"/>
    <w:uiPriority w:val="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6"/>
    <w:pPr>
      <w:suppressLineNumbers/>
    </w:pPr>
  </w:style>
  <w:style w:type="paragraph" w:customStyle="1" w:styleId="Textbubliny1">
    <w:name w:val="Text bubliny1"/>
    <w:basedOn w:val="Normlny"/>
    <w:uiPriority w:val="7"/>
    <w:rPr>
      <w:rFonts w:ascii="Tahoma" w:hAnsi="Tahoma" w:cs="Tahoma"/>
      <w:sz w:val="16"/>
      <w:szCs w:val="20"/>
    </w:rPr>
  </w:style>
  <w:style w:type="paragraph" w:customStyle="1" w:styleId="titulok">
    <w:name w:val="titulok"/>
    <w:basedOn w:val="Normlny"/>
    <w:uiPriority w:val="7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Normlnywebov1">
    <w:name w:val="Normálny (webový)1"/>
    <w:basedOn w:val="Normlny"/>
    <w:uiPriority w:val="7"/>
    <w:pPr>
      <w:spacing w:before="280" w:after="280"/>
    </w:pPr>
  </w:style>
  <w:style w:type="paragraph" w:customStyle="1" w:styleId="Textkomentra1">
    <w:name w:val="Text komentára1"/>
    <w:basedOn w:val="Normlny"/>
    <w:uiPriority w:val="7"/>
    <w:rPr>
      <w:sz w:val="20"/>
      <w:szCs w:val="20"/>
    </w:rPr>
  </w:style>
  <w:style w:type="paragraph" w:customStyle="1" w:styleId="Predmetkomentra1">
    <w:name w:val="Predmet komentára1"/>
    <w:basedOn w:val="Textkomentra1"/>
    <w:next w:val="Textkomentra1"/>
    <w:uiPriority w:val="6"/>
    <w:rPr>
      <w:b/>
    </w:rPr>
  </w:style>
  <w:style w:type="paragraph" w:customStyle="1" w:styleId="Obsahtabuky">
    <w:name w:val="Obsah tabuľky"/>
    <w:basedOn w:val="Normlny"/>
    <w:uiPriority w:val="7"/>
    <w:pPr>
      <w:suppressLineNumbers/>
    </w:pPr>
  </w:style>
  <w:style w:type="paragraph" w:customStyle="1" w:styleId="Nadpistabuky">
    <w:name w:val="Nadpis tabuľky"/>
    <w:basedOn w:val="Obsahtabuky"/>
    <w:uiPriority w:val="6"/>
    <w:pPr>
      <w:jc w:val="center"/>
    </w:pPr>
    <w:rPr>
      <w:b/>
      <w:bCs/>
    </w:rPr>
  </w:style>
  <w:style w:type="character" w:customStyle="1" w:styleId="awspan">
    <w:name w:val="awspan"/>
    <w:qFormat/>
  </w:style>
  <w:style w:type="table" w:customStyle="1" w:styleId="Mriekatabuky1">
    <w:name w:val="Mriežka tabuľky1"/>
    <w:basedOn w:val="Normlnatabuka"/>
    <w:next w:val="Mriekatabuky"/>
    <w:uiPriority w:val="59"/>
    <w:rsid w:val="004C7F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4C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1"/>
    <w:rsid w:val="00635613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rsid w:val="0063561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Klub SLOVENSKO, ZA ĽUDÍ, KÚ</cp:lastModifiedBy>
  <cp:revision>2</cp:revision>
  <cp:lastPrinted>2025-08-19T07:34:00Z</cp:lastPrinted>
  <dcterms:created xsi:type="dcterms:W3CDTF">2025-08-19T07:34:00Z</dcterms:created>
  <dcterms:modified xsi:type="dcterms:W3CDTF">2025-08-19T07:34:00Z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8432E3E904DD43ABAE6B1C963DD527E0_12</vt:lpwstr>
  </property>
  <property fmtid="{D5CDD505-2E9C-101B-9397-08002B2CF9AE}" pid="3" name="KSOProductBuildVer">
    <vt:lpwstr>1033-12.2.0.18283</vt:lpwstr>
  </property>
</Properties>
</file>