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1263" w14:textId="77777777" w:rsidR="00AA197C" w:rsidRPr="00AA197C" w:rsidRDefault="00AA197C" w:rsidP="003D5B5D">
      <w:pPr>
        <w:jc w:val="center"/>
        <w:rPr>
          <w:rFonts w:ascii="Times New Roman" w:hAnsi="Times New Roman"/>
          <w:b/>
          <w:sz w:val="24"/>
        </w:rPr>
      </w:pPr>
      <w:r w:rsidRPr="00AA197C">
        <w:rPr>
          <w:rFonts w:ascii="Times New Roman" w:hAnsi="Times New Roman"/>
          <w:b/>
          <w:sz w:val="24"/>
        </w:rPr>
        <w:t>D ô v o d o v á  s p r á v a</w:t>
      </w:r>
    </w:p>
    <w:p w14:paraId="25E87E87" w14:textId="77777777" w:rsidR="00AA197C" w:rsidRPr="00AA197C" w:rsidRDefault="00AA197C" w:rsidP="00AA197C">
      <w:pPr>
        <w:rPr>
          <w:rFonts w:ascii="Times New Roman" w:hAnsi="Times New Roman"/>
          <w:b/>
          <w:sz w:val="24"/>
        </w:rPr>
      </w:pPr>
      <w:r w:rsidRPr="00AA197C">
        <w:rPr>
          <w:rFonts w:ascii="Times New Roman" w:hAnsi="Times New Roman"/>
          <w:b/>
          <w:sz w:val="24"/>
        </w:rPr>
        <w:t>A.</w:t>
      </w:r>
      <w:r w:rsidRPr="00AA197C">
        <w:rPr>
          <w:rFonts w:ascii="Times New Roman" w:hAnsi="Times New Roman"/>
          <w:b/>
          <w:sz w:val="24"/>
        </w:rPr>
        <w:tab/>
        <w:t>Všeobecná časť</w:t>
      </w:r>
    </w:p>
    <w:p w14:paraId="482C53C0" w14:textId="09CDAB96"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 xml:space="preserve">Návrh zákona, ktorým sa mení a dopĺňa zákon č. 595/2003 Z. z. o dani z príjmov v znení neskorších predpisov (ďalej len „zákon o dani z príjmov“), predkladá na rokovanie Národnej rady Slovenskej republiky </w:t>
      </w:r>
      <w:r w:rsidR="00427B24">
        <w:rPr>
          <w:rFonts w:ascii="Times New Roman" w:hAnsi="Times New Roman"/>
          <w:bCs/>
          <w:sz w:val="24"/>
        </w:rPr>
        <w:t xml:space="preserve">skupina </w:t>
      </w:r>
      <w:r w:rsidRPr="00AA197C">
        <w:rPr>
          <w:rFonts w:ascii="Times New Roman" w:hAnsi="Times New Roman"/>
          <w:bCs/>
          <w:sz w:val="24"/>
        </w:rPr>
        <w:t xml:space="preserve">Národnej rady Slovenskej republiky </w:t>
      </w:r>
      <w:r w:rsidR="00427B24">
        <w:rPr>
          <w:rFonts w:ascii="Times New Roman" w:hAnsi="Times New Roman"/>
          <w:bCs/>
          <w:sz w:val="24"/>
        </w:rPr>
        <w:t>z poslaneckého klubu Sloboda a Solidarita</w:t>
      </w:r>
      <w:r w:rsidRPr="00AA197C">
        <w:rPr>
          <w:rFonts w:ascii="Times New Roman" w:hAnsi="Times New Roman"/>
          <w:bCs/>
          <w:sz w:val="24"/>
        </w:rPr>
        <w:t>.</w:t>
      </w:r>
    </w:p>
    <w:p w14:paraId="777A85D4"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Cieľom návrhu zákona je zásadné zjednodušenie daňového systému prostredníctvom zavedenia (takmer) jednotnej základnej sadzby dane z príjmov vo výške 19 % pre fyzické osoby aj právnické osoby. Tento krok predstavuje výrazné priblíženie sa k princípu tzv. rovnej dane, ktorá v minulosti priniesla Slovenskej republike hospodársky úspech a medzinárodné uznanie.</w:t>
      </w:r>
    </w:p>
    <w:p w14:paraId="1A7C3C3D"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 xml:space="preserve">Zároveň sa ponechávajú nižšie sadzby dane, ktoré sú určené výhradne pre menších podnikateľov a osoby s nižšími príjmami. Tieto zvýhodnenia zabezpečujú, aby systém zostal spravodlivý, nebol neprimerane zaťažujúci pre drobné podnikanie a citlivo reflektoval sociálnu situáciu nízkopríjmových skupín. Návrh nemení sadzbu dane z pasívnych príjmov. </w:t>
      </w:r>
    </w:p>
    <w:p w14:paraId="7A1CFBA1"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Slovenská republika stratila v posledných rokoch svoju daňovú konkurencieschopnosť. Zavedenie viacerých pásiem dane z príjmu fyzických osôb a postupné zvyšovanie sadzieb dane pre právnické osoby spôsobilo, že daňový systém je zložitý, neprehľadný a demotivujúci. Súčasná vláda namiesto podpory podnikania neustále vytvára nové prekážky – zavádza dodatočné dane, zvyšuje odvodové zaťaženie a neustále mení pravidlá. Tento prístup ničí podnikateľské prostredie, oslabuje dôveru investorov a odrádza najmä mladých ľudí od zakladania firiem či sebarealizácie podnikaním.</w:t>
      </w:r>
    </w:p>
    <w:p w14:paraId="067F5EF3"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Navrhovaná úprava zavádza rovnú daň, ktorá oproti súčasnému progresívnemu modelu netrestá úspech, ale motivuje k práci a podnikaniu. Transparentný a jednoduchý systém posilní dôveru daňovníkov v spravodlivosť zdaňovania a prispeje k zlepšeniu podnikateľského prostredia. Jednotná sadzba zároveň zvyšuje predvídateľnosť daňovej politiky a posilňuje konkurencieschopnosť Slovenska.</w:t>
      </w:r>
    </w:p>
    <w:p w14:paraId="0AB334EB"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Skúsenosti z obdobia rokov 2004 – 2012 jasne ukázali, že systém založený na princípoch rovnej dane priniesol Slovensku ekonomický rast, prílev investícií a tvorbu pracovných miest. Predkladaný návrh tieto skúsenosti reflektuje a prináša modernizáciu, ktorá je potrebná na to, aby sa Slovenská republika vrátila medzi krajiny s atraktívnym, férovým a predvídateľným daňovým systémom.</w:t>
      </w:r>
    </w:p>
    <w:p w14:paraId="18F6062B"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Predložený návrh zákona bude mať negatívny vplyv na rozpočet verejnej správy, pozitívny vplyv na podnikateľské prostredie, pozitívne sociálne účinky, nebude mať vplyv na informatizáciu spoločnosti, služby verejnej správy pre občana, životné prostredie, manželstvo, rodičovstvo ani rodinu.</w:t>
      </w:r>
    </w:p>
    <w:p w14:paraId="024627C7" w14:textId="77777777" w:rsidR="00AA197C" w:rsidRPr="00AA197C" w:rsidRDefault="00AA197C" w:rsidP="0098049C">
      <w:pPr>
        <w:ind w:firstLine="708"/>
        <w:jc w:val="both"/>
        <w:rPr>
          <w:rFonts w:ascii="Times New Roman" w:hAnsi="Times New Roman"/>
          <w:bCs/>
          <w:sz w:val="24"/>
        </w:rPr>
      </w:pPr>
      <w:r w:rsidRPr="00AA197C">
        <w:rPr>
          <w:rFonts w:ascii="Times New Roman" w:hAnsi="Times New Roman"/>
          <w:bCs/>
          <w:sz w:val="24"/>
        </w:rPr>
        <w:t>Predložený návrh zákona je v súlade s Ústavou Slovenskej republiky, ústavnými zákonmi a ostatnými všeobecne záväznými právnymi predpismi Slovenskej republiky, ako aj s právom Európskej únie.</w:t>
      </w:r>
    </w:p>
    <w:p w14:paraId="5870B5F0" w14:textId="77777777" w:rsidR="00AA197C" w:rsidRDefault="00AA197C" w:rsidP="00AA197C">
      <w:pPr>
        <w:rPr>
          <w:rFonts w:ascii="Times New Roman" w:hAnsi="Times New Roman"/>
          <w:bCs/>
          <w:sz w:val="24"/>
        </w:rPr>
      </w:pPr>
    </w:p>
    <w:p w14:paraId="189DE50A" w14:textId="77777777" w:rsidR="00D452A7" w:rsidRPr="00AA197C" w:rsidRDefault="00D452A7" w:rsidP="00AA197C">
      <w:pPr>
        <w:rPr>
          <w:rFonts w:ascii="Times New Roman" w:hAnsi="Times New Roman"/>
          <w:bCs/>
          <w:sz w:val="24"/>
        </w:rPr>
      </w:pPr>
    </w:p>
    <w:p w14:paraId="6DC66A02" w14:textId="2E5E86B4" w:rsidR="00AA197C" w:rsidRPr="00AA197C" w:rsidRDefault="00AA197C" w:rsidP="00AA197C">
      <w:pPr>
        <w:rPr>
          <w:rFonts w:ascii="Times New Roman" w:hAnsi="Times New Roman"/>
          <w:b/>
          <w:sz w:val="24"/>
        </w:rPr>
      </w:pPr>
      <w:r w:rsidRPr="00AA197C">
        <w:rPr>
          <w:rFonts w:ascii="Times New Roman" w:hAnsi="Times New Roman"/>
          <w:b/>
          <w:sz w:val="24"/>
        </w:rPr>
        <w:lastRenderedPageBreak/>
        <w:t> </w:t>
      </w:r>
      <w:r w:rsidRPr="00AA197C">
        <w:rPr>
          <w:rFonts w:ascii="Times New Roman" w:hAnsi="Times New Roman"/>
          <w:b/>
          <w:sz w:val="24"/>
        </w:rPr>
        <w:t>B.</w:t>
      </w:r>
      <w:r w:rsidRPr="00AA197C">
        <w:rPr>
          <w:rFonts w:ascii="Times New Roman" w:hAnsi="Times New Roman"/>
          <w:b/>
          <w:sz w:val="24"/>
        </w:rPr>
        <w:tab/>
        <w:t>Osobitná časť</w:t>
      </w:r>
    </w:p>
    <w:p w14:paraId="2661CB5F" w14:textId="77777777" w:rsidR="00AA197C" w:rsidRPr="00AA197C" w:rsidRDefault="00AA197C" w:rsidP="00CC6ACC">
      <w:pPr>
        <w:ind w:firstLine="708"/>
        <w:rPr>
          <w:rFonts w:ascii="Times New Roman" w:hAnsi="Times New Roman"/>
          <w:b/>
          <w:sz w:val="24"/>
        </w:rPr>
      </w:pPr>
      <w:r w:rsidRPr="00AA197C">
        <w:rPr>
          <w:rFonts w:ascii="Times New Roman" w:hAnsi="Times New Roman"/>
          <w:b/>
          <w:sz w:val="24"/>
        </w:rPr>
        <w:t xml:space="preserve">K čl. 1 </w:t>
      </w:r>
    </w:p>
    <w:p w14:paraId="41DD0663" w14:textId="77777777" w:rsidR="00AA197C" w:rsidRPr="00AA197C" w:rsidRDefault="00AA197C" w:rsidP="00CC6ACC">
      <w:pPr>
        <w:ind w:firstLine="708"/>
        <w:rPr>
          <w:rFonts w:ascii="Times New Roman" w:hAnsi="Times New Roman"/>
          <w:b/>
          <w:sz w:val="24"/>
        </w:rPr>
      </w:pPr>
      <w:r w:rsidRPr="00AA197C">
        <w:rPr>
          <w:rFonts w:ascii="Times New Roman" w:hAnsi="Times New Roman"/>
          <w:b/>
          <w:sz w:val="24"/>
        </w:rPr>
        <w:t xml:space="preserve">K bodu 1 </w:t>
      </w:r>
    </w:p>
    <w:p w14:paraId="6ECCF243" w14:textId="77777777" w:rsidR="00AA197C" w:rsidRPr="00AA197C" w:rsidRDefault="00AA197C" w:rsidP="00CC6ACC">
      <w:pPr>
        <w:ind w:firstLine="708"/>
        <w:rPr>
          <w:rFonts w:ascii="Times New Roman" w:hAnsi="Times New Roman"/>
          <w:bCs/>
          <w:sz w:val="24"/>
        </w:rPr>
      </w:pPr>
      <w:r w:rsidRPr="00AA197C">
        <w:rPr>
          <w:rFonts w:ascii="Times New Roman" w:hAnsi="Times New Roman"/>
          <w:bCs/>
          <w:sz w:val="24"/>
        </w:rPr>
        <w:t xml:space="preserve">Zavádza sa jednotná sadzba dane pre fyzické osoby zo základu dane zisteného podľa § 4 ods. 1 písm. a) vo výške 19 %, a teda sa ruší rozdielna sadzba dane v závislosti od výšky príjmu. </w:t>
      </w:r>
    </w:p>
    <w:p w14:paraId="39680C0E" w14:textId="77777777" w:rsidR="00AA197C" w:rsidRPr="00AA197C" w:rsidRDefault="00AA197C" w:rsidP="00CC6ACC">
      <w:pPr>
        <w:ind w:firstLine="708"/>
        <w:rPr>
          <w:rFonts w:ascii="Times New Roman" w:hAnsi="Times New Roman"/>
          <w:b/>
          <w:sz w:val="24"/>
        </w:rPr>
      </w:pPr>
      <w:r w:rsidRPr="00AA197C">
        <w:rPr>
          <w:rFonts w:ascii="Times New Roman" w:hAnsi="Times New Roman"/>
          <w:b/>
          <w:sz w:val="24"/>
        </w:rPr>
        <w:t>K bodu 2</w:t>
      </w:r>
    </w:p>
    <w:p w14:paraId="7D37A15D" w14:textId="77777777" w:rsidR="00AA197C" w:rsidRDefault="00AA197C" w:rsidP="00CC6ACC">
      <w:pPr>
        <w:ind w:firstLine="708"/>
        <w:jc w:val="both"/>
        <w:rPr>
          <w:rFonts w:ascii="Times New Roman" w:hAnsi="Times New Roman"/>
          <w:bCs/>
          <w:sz w:val="24"/>
        </w:rPr>
      </w:pPr>
      <w:r w:rsidRPr="00AA197C">
        <w:rPr>
          <w:rFonts w:ascii="Times New Roman" w:hAnsi="Times New Roman"/>
          <w:bCs/>
          <w:sz w:val="24"/>
        </w:rPr>
        <w:t>Zavádza sa jednotná sadzba dane pre fyzické osoby zo základu dane zisteného podľa § 4 ods. 1 písm. a) zníženého o daňovú stratu pre daňovníka, ktorý dosiahol za zdaňovacie obdobie zdaniteľné príjmy (výnosy) podľa § 6 ods. 1 a 2 prevyšujúce sumu 100 000 eur vo výške 19 %, a teda sa ruší rozdielna sadzba dane v závislosti od výšky príjmu.</w:t>
      </w:r>
    </w:p>
    <w:p w14:paraId="711A8A95" w14:textId="5182345C" w:rsidR="002160C1" w:rsidRPr="002160C1" w:rsidRDefault="002160C1" w:rsidP="00CC6ACC">
      <w:pPr>
        <w:ind w:firstLine="708"/>
        <w:jc w:val="both"/>
        <w:rPr>
          <w:rFonts w:ascii="Times New Roman" w:hAnsi="Times New Roman"/>
          <w:b/>
          <w:sz w:val="24"/>
        </w:rPr>
      </w:pPr>
      <w:r w:rsidRPr="002160C1">
        <w:rPr>
          <w:rFonts w:ascii="Times New Roman" w:hAnsi="Times New Roman"/>
          <w:b/>
          <w:sz w:val="24"/>
        </w:rPr>
        <w:t>K bodu 3</w:t>
      </w:r>
    </w:p>
    <w:p w14:paraId="6BF36141" w14:textId="7983449F" w:rsidR="002160C1" w:rsidRPr="00187CBE" w:rsidRDefault="002160C1" w:rsidP="002160C1">
      <w:pPr>
        <w:ind w:firstLine="708"/>
        <w:rPr>
          <w:rFonts w:ascii="Times New Roman" w:hAnsi="Times New Roman"/>
          <w:bCs/>
          <w:sz w:val="24"/>
        </w:rPr>
      </w:pPr>
      <w:r w:rsidRPr="00187CBE">
        <w:rPr>
          <w:rFonts w:ascii="Times New Roman" w:hAnsi="Times New Roman"/>
          <w:bCs/>
          <w:sz w:val="24"/>
        </w:rPr>
        <w:t>Navrhuje sa zníženie sadzby z osobitného základu dane zisteného podľa</w:t>
      </w:r>
      <w:r w:rsidR="00945C1B">
        <w:rPr>
          <w:rFonts w:ascii="Times New Roman" w:hAnsi="Times New Roman"/>
          <w:bCs/>
          <w:sz w:val="24"/>
        </w:rPr>
        <w:t xml:space="preserve"> </w:t>
      </w:r>
      <w:r w:rsidRPr="00187CBE">
        <w:rPr>
          <w:rFonts w:ascii="Times New Roman" w:hAnsi="Times New Roman"/>
          <w:bCs/>
          <w:sz w:val="24"/>
        </w:rPr>
        <w:t xml:space="preserve">§ 51e ods. </w:t>
      </w:r>
      <w:r w:rsidR="00945C1B">
        <w:rPr>
          <w:rFonts w:ascii="Times New Roman" w:hAnsi="Times New Roman"/>
          <w:bCs/>
          <w:sz w:val="24"/>
        </w:rPr>
        <w:t xml:space="preserve">3 písm. b) </w:t>
      </w:r>
      <w:r w:rsidRPr="00187CBE">
        <w:rPr>
          <w:rFonts w:ascii="Times New Roman" w:hAnsi="Times New Roman"/>
          <w:bCs/>
          <w:sz w:val="24"/>
        </w:rPr>
        <w:t>z 35% na 19%.</w:t>
      </w:r>
    </w:p>
    <w:p w14:paraId="74959C84" w14:textId="045A25F2" w:rsidR="00AA197C" w:rsidRPr="00AA197C" w:rsidRDefault="00AA197C" w:rsidP="00CC6ACC">
      <w:pPr>
        <w:ind w:firstLine="708"/>
        <w:rPr>
          <w:rFonts w:ascii="Times New Roman" w:hAnsi="Times New Roman"/>
          <w:b/>
          <w:sz w:val="24"/>
        </w:rPr>
      </w:pPr>
      <w:r w:rsidRPr="00AA197C">
        <w:rPr>
          <w:rFonts w:ascii="Times New Roman" w:hAnsi="Times New Roman"/>
          <w:b/>
          <w:sz w:val="24"/>
        </w:rPr>
        <w:t xml:space="preserve">K bodom </w:t>
      </w:r>
      <w:r w:rsidR="00870D9E">
        <w:rPr>
          <w:rFonts w:ascii="Times New Roman" w:hAnsi="Times New Roman"/>
          <w:b/>
          <w:sz w:val="24"/>
        </w:rPr>
        <w:t>4</w:t>
      </w:r>
      <w:r w:rsidRPr="00AA197C">
        <w:rPr>
          <w:rFonts w:ascii="Times New Roman" w:hAnsi="Times New Roman"/>
          <w:b/>
          <w:sz w:val="24"/>
        </w:rPr>
        <w:t xml:space="preserve"> a </w:t>
      </w:r>
      <w:r w:rsidR="00870D9E">
        <w:rPr>
          <w:rFonts w:ascii="Times New Roman" w:hAnsi="Times New Roman"/>
          <w:b/>
          <w:sz w:val="24"/>
        </w:rPr>
        <w:t>5</w:t>
      </w:r>
      <w:r w:rsidRPr="00AA197C">
        <w:rPr>
          <w:rFonts w:ascii="Times New Roman" w:hAnsi="Times New Roman"/>
          <w:b/>
          <w:sz w:val="24"/>
        </w:rPr>
        <w:t xml:space="preserve"> </w:t>
      </w:r>
    </w:p>
    <w:p w14:paraId="316F40F9" w14:textId="77777777" w:rsidR="00AA197C" w:rsidRPr="00AA197C" w:rsidRDefault="00AA197C" w:rsidP="00CC6ACC">
      <w:pPr>
        <w:ind w:firstLine="708"/>
        <w:jc w:val="both"/>
        <w:rPr>
          <w:rFonts w:ascii="Times New Roman" w:hAnsi="Times New Roman"/>
          <w:bCs/>
          <w:sz w:val="24"/>
        </w:rPr>
      </w:pPr>
      <w:r w:rsidRPr="00AA197C">
        <w:rPr>
          <w:rFonts w:ascii="Times New Roman" w:hAnsi="Times New Roman"/>
          <w:bCs/>
          <w:sz w:val="24"/>
        </w:rPr>
        <w:t>Za účelom podpory podnikania sa ponecháva znížená 10 % sadzba dane pre právnickú osobu-daňovníka, ktorý dosiahol za zdaňovacie obdobie zdaniteľné príjmy (výnosy) neprevyšujúce sumu 100 000 eur, pre všetky ostatné právnické osoby-daňovníkov sa zavádza jednotná 19 % sadzba dane.</w:t>
      </w:r>
    </w:p>
    <w:p w14:paraId="5089B657" w14:textId="4A75C03E" w:rsidR="00181A14" w:rsidRDefault="00181A14" w:rsidP="00CC6ACC">
      <w:pPr>
        <w:ind w:firstLine="708"/>
        <w:rPr>
          <w:rFonts w:ascii="Times New Roman" w:hAnsi="Times New Roman"/>
          <w:b/>
          <w:sz w:val="24"/>
        </w:rPr>
      </w:pPr>
      <w:r>
        <w:rPr>
          <w:rFonts w:ascii="Times New Roman" w:hAnsi="Times New Roman"/>
          <w:b/>
          <w:sz w:val="24"/>
        </w:rPr>
        <w:t xml:space="preserve">K bodu </w:t>
      </w:r>
      <w:r w:rsidR="00870D9E">
        <w:rPr>
          <w:rFonts w:ascii="Times New Roman" w:hAnsi="Times New Roman"/>
          <w:b/>
          <w:sz w:val="24"/>
        </w:rPr>
        <w:t>6</w:t>
      </w:r>
    </w:p>
    <w:p w14:paraId="3E09A3A6" w14:textId="44FE2458" w:rsidR="00BF1BC7" w:rsidRPr="00187CBE" w:rsidRDefault="005A29C4" w:rsidP="00CC6ACC">
      <w:pPr>
        <w:ind w:firstLine="708"/>
        <w:rPr>
          <w:rFonts w:ascii="Times New Roman" w:hAnsi="Times New Roman"/>
          <w:bCs/>
          <w:sz w:val="24"/>
        </w:rPr>
      </w:pPr>
      <w:r w:rsidRPr="00187CBE">
        <w:rPr>
          <w:rFonts w:ascii="Times New Roman" w:hAnsi="Times New Roman"/>
          <w:bCs/>
          <w:sz w:val="24"/>
        </w:rPr>
        <w:t xml:space="preserve">Navrhuje sa </w:t>
      </w:r>
      <w:r w:rsidR="00BC43B2" w:rsidRPr="00187CBE">
        <w:rPr>
          <w:rFonts w:ascii="Times New Roman" w:hAnsi="Times New Roman"/>
          <w:bCs/>
          <w:sz w:val="24"/>
        </w:rPr>
        <w:t xml:space="preserve">zníženie sadzby </w:t>
      </w:r>
      <w:r w:rsidR="00187CBE" w:rsidRPr="00187CBE">
        <w:rPr>
          <w:rFonts w:ascii="Times New Roman" w:hAnsi="Times New Roman"/>
          <w:bCs/>
          <w:sz w:val="24"/>
        </w:rPr>
        <w:t xml:space="preserve">z osobitného základu dane zisteného podľa </w:t>
      </w:r>
      <w:r w:rsidR="00BF1BC7" w:rsidRPr="00187CBE">
        <w:rPr>
          <w:rFonts w:ascii="Times New Roman" w:hAnsi="Times New Roman"/>
          <w:bCs/>
          <w:sz w:val="24"/>
        </w:rPr>
        <w:t xml:space="preserve">§ 51e ods. 4 </w:t>
      </w:r>
      <w:r w:rsidR="00187CBE" w:rsidRPr="00187CBE">
        <w:rPr>
          <w:rFonts w:ascii="Times New Roman" w:hAnsi="Times New Roman"/>
          <w:bCs/>
          <w:sz w:val="24"/>
        </w:rPr>
        <w:t>z 35% na 19%.</w:t>
      </w:r>
    </w:p>
    <w:p w14:paraId="1DC57E36" w14:textId="63B3F2CC" w:rsidR="00AA197C" w:rsidRPr="00AA197C" w:rsidRDefault="00AA197C" w:rsidP="00CC6ACC">
      <w:pPr>
        <w:ind w:firstLine="708"/>
        <w:rPr>
          <w:rFonts w:ascii="Times New Roman" w:hAnsi="Times New Roman"/>
          <w:b/>
          <w:sz w:val="24"/>
        </w:rPr>
      </w:pPr>
      <w:r w:rsidRPr="00AA197C">
        <w:rPr>
          <w:rFonts w:ascii="Times New Roman" w:hAnsi="Times New Roman"/>
          <w:b/>
          <w:sz w:val="24"/>
        </w:rPr>
        <w:t xml:space="preserve">K bodu </w:t>
      </w:r>
      <w:r w:rsidR="00870D9E">
        <w:rPr>
          <w:rFonts w:ascii="Times New Roman" w:hAnsi="Times New Roman"/>
          <w:b/>
          <w:sz w:val="24"/>
        </w:rPr>
        <w:t>7</w:t>
      </w:r>
    </w:p>
    <w:p w14:paraId="39B0620D" w14:textId="77777777" w:rsidR="00AA197C" w:rsidRPr="00AA197C" w:rsidRDefault="00AA197C" w:rsidP="00CC6ACC">
      <w:pPr>
        <w:ind w:firstLine="708"/>
        <w:jc w:val="both"/>
        <w:rPr>
          <w:rFonts w:ascii="Times New Roman" w:hAnsi="Times New Roman"/>
          <w:bCs/>
          <w:sz w:val="24"/>
        </w:rPr>
      </w:pPr>
      <w:r w:rsidRPr="00AA197C">
        <w:rPr>
          <w:rFonts w:ascii="Times New Roman" w:hAnsi="Times New Roman"/>
          <w:bCs/>
          <w:sz w:val="24"/>
        </w:rPr>
        <w:t xml:space="preserve">Za účelom zjednotenia sadzby dane na 19 % (a za ponechania znížených sadzieb dane a neupravovania sadzby dane z pasívnych príjmov) sa znižuje sadzba dane pre právnickú osobu-daňovníka z 21 % na 19 %, pokiaľ ide o osobitný základ dane zistený podľa § 17f ods. 1 a 2 (zdanenie pri presune majetku daňovníka, odchode daňovníka alebo presune podnikateľskej činnosti daňovníka do zahraničia). </w:t>
      </w:r>
    </w:p>
    <w:p w14:paraId="45258286" w14:textId="708DA083" w:rsidR="00AA197C" w:rsidRPr="00AA197C" w:rsidRDefault="00AA197C" w:rsidP="00CC6ACC">
      <w:pPr>
        <w:ind w:firstLine="708"/>
        <w:rPr>
          <w:rFonts w:ascii="Times New Roman" w:hAnsi="Times New Roman"/>
          <w:b/>
          <w:sz w:val="24"/>
        </w:rPr>
      </w:pPr>
      <w:r w:rsidRPr="00AA197C">
        <w:rPr>
          <w:rFonts w:ascii="Times New Roman" w:hAnsi="Times New Roman"/>
          <w:b/>
          <w:sz w:val="24"/>
        </w:rPr>
        <w:t xml:space="preserve">K bodu </w:t>
      </w:r>
      <w:r w:rsidR="00870D9E">
        <w:rPr>
          <w:rFonts w:ascii="Times New Roman" w:hAnsi="Times New Roman"/>
          <w:b/>
          <w:sz w:val="24"/>
        </w:rPr>
        <w:t>8</w:t>
      </w:r>
    </w:p>
    <w:p w14:paraId="55A407C9" w14:textId="77777777" w:rsidR="00AA197C" w:rsidRPr="00AA197C" w:rsidRDefault="00AA197C" w:rsidP="00CC6ACC">
      <w:pPr>
        <w:ind w:firstLine="708"/>
        <w:jc w:val="both"/>
        <w:rPr>
          <w:rFonts w:ascii="Times New Roman" w:hAnsi="Times New Roman"/>
          <w:bCs/>
          <w:sz w:val="24"/>
        </w:rPr>
      </w:pPr>
      <w:r w:rsidRPr="00AA197C">
        <w:rPr>
          <w:rFonts w:ascii="Times New Roman" w:hAnsi="Times New Roman"/>
          <w:bCs/>
          <w:sz w:val="24"/>
        </w:rPr>
        <w:t>Navrhuje sa prechodné ustanovenie, podľa ktorého sa znížené sadzby prvýkrát uplatnia v zdaňovacom období, ktoré sa začína najskôr 1. januárom 2026.</w:t>
      </w:r>
    </w:p>
    <w:p w14:paraId="6BEFF0AF" w14:textId="77777777" w:rsidR="00AA197C" w:rsidRPr="00AA197C" w:rsidRDefault="00AA197C" w:rsidP="00CC6ACC">
      <w:pPr>
        <w:ind w:firstLine="708"/>
        <w:rPr>
          <w:rFonts w:ascii="Times New Roman" w:hAnsi="Times New Roman"/>
          <w:b/>
          <w:sz w:val="24"/>
        </w:rPr>
      </w:pPr>
      <w:r w:rsidRPr="00AA197C">
        <w:rPr>
          <w:rFonts w:ascii="Times New Roman" w:hAnsi="Times New Roman"/>
          <w:b/>
          <w:sz w:val="24"/>
        </w:rPr>
        <w:t>K čl. II</w:t>
      </w:r>
    </w:p>
    <w:p w14:paraId="42A53CDF" w14:textId="3D2937D6" w:rsidR="002A1BE6" w:rsidRPr="00CC6ACC" w:rsidRDefault="00AA197C" w:rsidP="00CC6ACC">
      <w:pPr>
        <w:ind w:firstLine="708"/>
        <w:rPr>
          <w:bCs/>
        </w:rPr>
      </w:pPr>
      <w:r w:rsidRPr="00CC6ACC">
        <w:rPr>
          <w:rFonts w:ascii="Times New Roman" w:hAnsi="Times New Roman"/>
          <w:bCs/>
          <w:sz w:val="24"/>
        </w:rPr>
        <w:t>Účinnosť navrhovanej úpravy sa navrhuje od 1. januára 2026.</w:t>
      </w:r>
    </w:p>
    <w:sectPr w:rsidR="002A1BE6" w:rsidRPr="00CC6ACC">
      <w:footerReference w:type="default" r:id="rId7"/>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2B37" w14:textId="77777777" w:rsidR="00206A14" w:rsidRDefault="00206A14">
      <w:pPr>
        <w:spacing w:line="240" w:lineRule="auto"/>
      </w:pPr>
      <w:r>
        <w:separator/>
      </w:r>
    </w:p>
  </w:endnote>
  <w:endnote w:type="continuationSeparator" w:id="0">
    <w:p w14:paraId="53A3AD39" w14:textId="77777777" w:rsidR="00206A14" w:rsidRDefault="00206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C7D6" w14:textId="19E731A2" w:rsidR="008776B1" w:rsidRDefault="00CC3ED2">
    <w:pPr>
      <w:pStyle w:val="Pta"/>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16522F">
      <w:rPr>
        <w:rFonts w:ascii="Times New Roman" w:hAnsi="Times New Roman"/>
        <w:noProof/>
        <w:sz w:val="24"/>
      </w:rPr>
      <w:t>4</w:t>
    </w:r>
    <w:r>
      <w:rPr>
        <w:rFonts w:ascii="Times New Roman" w:hAnsi="Times New Roman"/>
        <w:sz w:val="24"/>
      </w:rPr>
      <w:fldChar w:fldCharType="end"/>
    </w:r>
  </w:p>
  <w:p w14:paraId="08AAC7D7" w14:textId="77777777" w:rsidR="008776B1" w:rsidRDefault="008776B1">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1970" w14:textId="77777777" w:rsidR="00206A14" w:rsidRDefault="00206A14">
      <w:pPr>
        <w:spacing w:after="0"/>
      </w:pPr>
      <w:r>
        <w:separator/>
      </w:r>
    </w:p>
  </w:footnote>
  <w:footnote w:type="continuationSeparator" w:id="0">
    <w:p w14:paraId="17230513" w14:textId="77777777" w:rsidR="00206A14" w:rsidRDefault="00206A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846A6"/>
    <w:multiLevelType w:val="multilevel"/>
    <w:tmpl w:val="5E9846A6"/>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869271D"/>
    <w:multiLevelType w:val="multilevel"/>
    <w:tmpl w:val="5E9846A6"/>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79F90E2D"/>
    <w:multiLevelType w:val="hybridMultilevel"/>
    <w:tmpl w:val="9A10C02C"/>
    <w:lvl w:ilvl="0" w:tplc="70283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96778789">
    <w:abstractNumId w:val="0"/>
  </w:num>
  <w:num w:numId="2" w16cid:durableId="394667135">
    <w:abstractNumId w:val="1"/>
  </w:num>
  <w:num w:numId="3" w16cid:durableId="1049449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0D"/>
    <w:rsid w:val="0004018E"/>
    <w:rsid w:val="000711F0"/>
    <w:rsid w:val="000B3A0D"/>
    <w:rsid w:val="000C5A8E"/>
    <w:rsid w:val="000D0CE8"/>
    <w:rsid w:val="000F7656"/>
    <w:rsid w:val="00100470"/>
    <w:rsid w:val="00130001"/>
    <w:rsid w:val="00137170"/>
    <w:rsid w:val="0016522F"/>
    <w:rsid w:val="00181A14"/>
    <w:rsid w:val="00187CBE"/>
    <w:rsid w:val="001A6832"/>
    <w:rsid w:val="001E2520"/>
    <w:rsid w:val="00206A14"/>
    <w:rsid w:val="0021076E"/>
    <w:rsid w:val="002160C1"/>
    <w:rsid w:val="002431FF"/>
    <w:rsid w:val="00257A5D"/>
    <w:rsid w:val="00275C76"/>
    <w:rsid w:val="002A1BE6"/>
    <w:rsid w:val="002B0BE5"/>
    <w:rsid w:val="002D191B"/>
    <w:rsid w:val="002E4AC7"/>
    <w:rsid w:val="00314307"/>
    <w:rsid w:val="00324DD0"/>
    <w:rsid w:val="00330B6F"/>
    <w:rsid w:val="00353025"/>
    <w:rsid w:val="00360876"/>
    <w:rsid w:val="00365558"/>
    <w:rsid w:val="00366BE1"/>
    <w:rsid w:val="00395D48"/>
    <w:rsid w:val="003C5668"/>
    <w:rsid w:val="003D5B5D"/>
    <w:rsid w:val="003D6C0D"/>
    <w:rsid w:val="003E7391"/>
    <w:rsid w:val="003F5E47"/>
    <w:rsid w:val="00427B24"/>
    <w:rsid w:val="004337A1"/>
    <w:rsid w:val="00434CC8"/>
    <w:rsid w:val="00440C3A"/>
    <w:rsid w:val="00451490"/>
    <w:rsid w:val="004917FD"/>
    <w:rsid w:val="004C0974"/>
    <w:rsid w:val="004E18C1"/>
    <w:rsid w:val="004F75B0"/>
    <w:rsid w:val="0054220F"/>
    <w:rsid w:val="00557AE2"/>
    <w:rsid w:val="00585302"/>
    <w:rsid w:val="00591CAC"/>
    <w:rsid w:val="005A29C4"/>
    <w:rsid w:val="005D6B9B"/>
    <w:rsid w:val="005E0C24"/>
    <w:rsid w:val="00605976"/>
    <w:rsid w:val="0060631D"/>
    <w:rsid w:val="006334FD"/>
    <w:rsid w:val="00650103"/>
    <w:rsid w:val="00681BF2"/>
    <w:rsid w:val="006B6348"/>
    <w:rsid w:val="006C0BAC"/>
    <w:rsid w:val="006D5B05"/>
    <w:rsid w:val="006F0D52"/>
    <w:rsid w:val="006F3BCB"/>
    <w:rsid w:val="00703C35"/>
    <w:rsid w:val="00724559"/>
    <w:rsid w:val="00751ED4"/>
    <w:rsid w:val="00761BB7"/>
    <w:rsid w:val="007938C9"/>
    <w:rsid w:val="007A7B7B"/>
    <w:rsid w:val="007D489F"/>
    <w:rsid w:val="0080412A"/>
    <w:rsid w:val="008241F2"/>
    <w:rsid w:val="0086417B"/>
    <w:rsid w:val="00870D9E"/>
    <w:rsid w:val="008776B1"/>
    <w:rsid w:val="008D50E1"/>
    <w:rsid w:val="00903C79"/>
    <w:rsid w:val="009210ED"/>
    <w:rsid w:val="0092605B"/>
    <w:rsid w:val="00945C1B"/>
    <w:rsid w:val="00951774"/>
    <w:rsid w:val="00952FC3"/>
    <w:rsid w:val="00966D9A"/>
    <w:rsid w:val="0098049C"/>
    <w:rsid w:val="00980A05"/>
    <w:rsid w:val="009820C2"/>
    <w:rsid w:val="00995D17"/>
    <w:rsid w:val="00996D5B"/>
    <w:rsid w:val="009C149C"/>
    <w:rsid w:val="009E5DAE"/>
    <w:rsid w:val="00A00338"/>
    <w:rsid w:val="00A1343B"/>
    <w:rsid w:val="00A44ACE"/>
    <w:rsid w:val="00A62134"/>
    <w:rsid w:val="00A6707C"/>
    <w:rsid w:val="00A839C2"/>
    <w:rsid w:val="00A96560"/>
    <w:rsid w:val="00AA197C"/>
    <w:rsid w:val="00AA55C3"/>
    <w:rsid w:val="00BC21E2"/>
    <w:rsid w:val="00BC43B2"/>
    <w:rsid w:val="00BC555A"/>
    <w:rsid w:val="00BD59E6"/>
    <w:rsid w:val="00BE555A"/>
    <w:rsid w:val="00BF1BC7"/>
    <w:rsid w:val="00C20A8C"/>
    <w:rsid w:val="00C51475"/>
    <w:rsid w:val="00C55B54"/>
    <w:rsid w:val="00C61F6D"/>
    <w:rsid w:val="00C71A56"/>
    <w:rsid w:val="00C77573"/>
    <w:rsid w:val="00CA2771"/>
    <w:rsid w:val="00CB5161"/>
    <w:rsid w:val="00CC3ED2"/>
    <w:rsid w:val="00CC6ACC"/>
    <w:rsid w:val="00CE1F31"/>
    <w:rsid w:val="00CF1E93"/>
    <w:rsid w:val="00D452A7"/>
    <w:rsid w:val="00D81E2D"/>
    <w:rsid w:val="00D93D89"/>
    <w:rsid w:val="00DE1197"/>
    <w:rsid w:val="00E3032B"/>
    <w:rsid w:val="00EB4704"/>
    <w:rsid w:val="00EE57B2"/>
    <w:rsid w:val="00EE715A"/>
    <w:rsid w:val="00F27D9A"/>
    <w:rsid w:val="00F45A16"/>
    <w:rsid w:val="00F60A6D"/>
    <w:rsid w:val="00F617DD"/>
    <w:rsid w:val="00F73E65"/>
    <w:rsid w:val="00F92A7A"/>
    <w:rsid w:val="00FA3E19"/>
    <w:rsid w:val="00FC783E"/>
    <w:rsid w:val="00FE1AFC"/>
    <w:rsid w:val="00FF5477"/>
    <w:rsid w:val="04A356D8"/>
    <w:rsid w:val="17CE2D1D"/>
    <w:rsid w:val="215B63C6"/>
    <w:rsid w:val="227009AB"/>
    <w:rsid w:val="28EE4234"/>
    <w:rsid w:val="388108C3"/>
    <w:rsid w:val="38F143FA"/>
    <w:rsid w:val="39461F0A"/>
    <w:rsid w:val="41B86DE1"/>
    <w:rsid w:val="69054688"/>
    <w:rsid w:val="6DEB696D"/>
    <w:rsid w:val="6F1D6061"/>
    <w:rsid w:val="7E6A389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AC7A4"/>
  <w15:docId w15:val="{341577A6-3943-4317-84E1-CE2D874D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imes New Roman" w:hAnsiTheme="minorHAns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qFormat/>
    <w:pPr>
      <w:tabs>
        <w:tab w:val="center" w:pos="4536"/>
        <w:tab w:val="right" w:pos="9072"/>
      </w:tabs>
      <w:spacing w:after="0" w:line="240" w:lineRule="auto"/>
    </w:pPr>
  </w:style>
  <w:style w:type="character" w:styleId="Vrazn">
    <w:name w:val="Strong"/>
    <w:basedOn w:val="Predvolenpsmoodseku"/>
    <w:uiPriority w:val="22"/>
    <w:qFormat/>
    <w:rPr>
      <w:b/>
      <w:bCs/>
    </w:rPr>
  </w:style>
  <w:style w:type="paragraph" w:styleId="Odsekzoznamu">
    <w:name w:val="List Paragraph"/>
    <w:basedOn w:val="Normlny"/>
    <w:link w:val="OdsekzoznamuChar"/>
    <w:uiPriority w:val="34"/>
    <w:qFormat/>
    <w:pPr>
      <w:ind w:left="720"/>
      <w:contextualSpacing/>
    </w:pPr>
  </w:style>
  <w:style w:type="character" w:customStyle="1" w:styleId="PtaChar">
    <w:name w:val="Päta Char"/>
    <w:basedOn w:val="Predvolenpsmoodseku"/>
    <w:link w:val="Pta"/>
    <w:uiPriority w:val="99"/>
    <w:qFormat/>
    <w:rPr>
      <w:rFonts w:eastAsia="Times New Roman" w:cs="Times New Roman"/>
    </w:rPr>
  </w:style>
  <w:style w:type="character" w:customStyle="1" w:styleId="OdsekzoznamuChar">
    <w:name w:val="Odsek zoznamu Char"/>
    <w:link w:val="Odsekzoznamu"/>
    <w:uiPriority w:val="34"/>
    <w:qFormat/>
    <w:locked/>
    <w:rPr>
      <w:rFonts w:eastAsia="Times New Roman" w:cs="Times New Roman"/>
    </w:rPr>
  </w:style>
  <w:style w:type="character" w:customStyle="1" w:styleId="awspan">
    <w:name w:val="awspan"/>
    <w:basedOn w:val="Predvolenpsmoodseku"/>
    <w:qFormat/>
  </w:style>
  <w:style w:type="paragraph" w:customStyle="1" w:styleId="title-doc-oj-reference">
    <w:name w:val="title-doc-oj-reference"/>
    <w:basedOn w:val="Normlny"/>
    <w:qFormat/>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basedOn w:val="Predvolenpsmoodseku"/>
    <w:uiPriority w:val="99"/>
    <w:unhideWhenUsed/>
    <w:rsid w:val="00945C1B"/>
    <w:rPr>
      <w:color w:val="0563C1" w:themeColor="hyperlink"/>
      <w:u w:val="single"/>
    </w:rPr>
  </w:style>
  <w:style w:type="character" w:styleId="Nevyrieenzmienka">
    <w:name w:val="Unresolved Mention"/>
    <w:basedOn w:val="Predvolenpsmoodseku"/>
    <w:uiPriority w:val="99"/>
    <w:semiHidden/>
    <w:unhideWhenUsed/>
    <w:rsid w:val="0094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20426">
      <w:bodyDiv w:val="1"/>
      <w:marLeft w:val="0"/>
      <w:marRight w:val="0"/>
      <w:marTop w:val="0"/>
      <w:marBottom w:val="0"/>
      <w:divBdr>
        <w:top w:val="none" w:sz="0" w:space="0" w:color="auto"/>
        <w:left w:val="none" w:sz="0" w:space="0" w:color="auto"/>
        <w:bottom w:val="none" w:sz="0" w:space="0" w:color="auto"/>
        <w:right w:val="none" w:sz="0" w:space="0" w:color="auto"/>
      </w:divBdr>
    </w:div>
    <w:div w:id="195297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684</Words>
  <Characters>3877</Characters>
  <Application>Microsoft Office Word</Application>
  <DocSecurity>0</DocSecurity>
  <Lines>74</Lines>
  <Paragraphs>34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Kolíková, Mária</dc:creator>
  <cp:lastModifiedBy>Andrej Pitonak</cp:lastModifiedBy>
  <cp:revision>40</cp:revision>
  <cp:lastPrinted>2023-04-13T12:57:00Z</cp:lastPrinted>
  <dcterms:created xsi:type="dcterms:W3CDTF">2024-11-08T12:17:00Z</dcterms:created>
  <dcterms:modified xsi:type="dcterms:W3CDTF">2025-08-22T11:12:00Z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857206B142DD4C1C8CA3D6F3A346C51F_12</vt:lpwstr>
  </property>
  <property fmtid="{D5CDD505-2E9C-101B-9397-08002B2CF9AE}" pid="4" name="GrammarlyDocumentId">
    <vt:lpwstr>440ab93d-c0f0-4997-a807-5b7fe275bbd0</vt:lpwstr>
  </property>
</Properties>
</file>