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711F5E0" w:rsidR="00386510" w:rsidRPr="00D95ECA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D95ECA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D95EC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D95ECA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CFA9F12" w14:textId="129753F2" w:rsidR="004D7D42" w:rsidRPr="00D95ECA" w:rsidRDefault="00E04FD2" w:rsidP="00F632D4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bookmarkStart w:id="0" w:name="_Hlk112060754"/>
      <w:bookmarkStart w:id="1" w:name="_Hlk118722197"/>
      <w:r w:rsidRPr="00D95ECA">
        <w:rPr>
          <w:rFonts w:ascii="Palatino Linotype" w:eastAsia="Times New Roman" w:hAnsi="Palatino Linotype" w:cs="Times New Roman"/>
        </w:rPr>
        <w:t>Návrh zákona</w:t>
      </w:r>
      <w:bookmarkEnd w:id="0"/>
      <w:r w:rsidR="004D7D42" w:rsidRPr="00D95ECA">
        <w:rPr>
          <w:rFonts w:ascii="Palatino Linotype" w:eastAsia="Times New Roman" w:hAnsi="Palatino Linotype" w:cs="Times New Roman"/>
        </w:rPr>
        <w:t xml:space="preserve">, ktorým sa </w:t>
      </w:r>
      <w:r w:rsidRPr="00D95ECA">
        <w:rPr>
          <w:rFonts w:ascii="Palatino Linotype" w:eastAsia="Times New Roman" w:hAnsi="Palatino Linotype" w:cs="Times New Roman"/>
        </w:rPr>
        <w:t xml:space="preserve">dopĺňa zákon </w:t>
      </w:r>
      <w:r w:rsidR="004D7D42" w:rsidRPr="00D95ECA">
        <w:rPr>
          <w:rFonts w:ascii="Palatino Linotype" w:eastAsia="Times New Roman" w:hAnsi="Palatino Linotype" w:cs="Times New Roman"/>
        </w:rPr>
        <w:t>č. 30/2019 Z. z.</w:t>
      </w:r>
      <w:r w:rsidR="008153C3" w:rsidRPr="00D95ECA">
        <w:rPr>
          <w:rFonts w:ascii="Palatino Linotype" w:eastAsia="Times New Roman" w:hAnsi="Palatino Linotype" w:cs="Times New Roman"/>
        </w:rPr>
        <w:t xml:space="preserve"> o hazardných hrách a o zmene a doplnení niektorých zákonov </w:t>
      </w:r>
      <w:r w:rsidRPr="00D95ECA">
        <w:rPr>
          <w:rFonts w:ascii="Palatino Linotype" w:eastAsia="Times New Roman" w:hAnsi="Palatino Linotype" w:cs="Times New Roman"/>
        </w:rPr>
        <w:t xml:space="preserve">(ďalej len „návrh zákona“) </w:t>
      </w:r>
      <w:r w:rsidR="006F7B9F" w:rsidRPr="00D95ECA">
        <w:rPr>
          <w:rFonts w:ascii="Palatino Linotype" w:eastAsia="Times New Roman" w:hAnsi="Palatino Linotype" w:cs="Times New Roman"/>
        </w:rPr>
        <w:t>predklad</w:t>
      </w:r>
      <w:r w:rsidRPr="00D95ECA">
        <w:rPr>
          <w:rFonts w:ascii="Palatino Linotype" w:eastAsia="Times New Roman" w:hAnsi="Palatino Linotype" w:cs="Times New Roman"/>
        </w:rPr>
        <w:t>ajú</w:t>
      </w:r>
      <w:r w:rsidR="00AE0A03" w:rsidRPr="00D95ECA">
        <w:rPr>
          <w:rFonts w:ascii="Palatino Linotype" w:eastAsia="Times New Roman" w:hAnsi="Palatino Linotype" w:cs="Times New Roman"/>
        </w:rPr>
        <w:t xml:space="preserve"> poslan</w:t>
      </w:r>
      <w:r w:rsidRPr="00D95ECA">
        <w:rPr>
          <w:rFonts w:ascii="Palatino Linotype" w:eastAsia="Times New Roman" w:hAnsi="Palatino Linotype" w:cs="Times New Roman"/>
        </w:rPr>
        <w:t>ci</w:t>
      </w:r>
      <w:r w:rsidR="006F7B9F" w:rsidRPr="00D95ECA">
        <w:rPr>
          <w:rFonts w:ascii="Palatino Linotype" w:eastAsia="Times New Roman" w:hAnsi="Palatino Linotype" w:cs="Times New Roman"/>
        </w:rPr>
        <w:t xml:space="preserve"> Národnej rady Slovenskej republiky</w:t>
      </w:r>
      <w:r w:rsidR="00922152" w:rsidRPr="00D95ECA">
        <w:rPr>
          <w:rFonts w:ascii="Palatino Linotype" w:eastAsia="Times New Roman" w:hAnsi="Palatino Linotype" w:cs="Times New Roman"/>
        </w:rPr>
        <w:t xml:space="preserve"> </w:t>
      </w:r>
      <w:r w:rsidR="00BA0A65" w:rsidRPr="00D95ECA">
        <w:rPr>
          <w:rFonts w:ascii="Palatino Linotype" w:eastAsia="Times New Roman" w:hAnsi="Palatino Linotype" w:cs="Times New Roman"/>
        </w:rPr>
        <w:t>Marián ČAUČÍK</w:t>
      </w:r>
      <w:r w:rsidRPr="00D95ECA">
        <w:rPr>
          <w:rFonts w:ascii="Palatino Linotype" w:eastAsia="Times New Roman" w:hAnsi="Palatino Linotype" w:cs="Times New Roman"/>
        </w:rPr>
        <w:t xml:space="preserve">, </w:t>
      </w:r>
      <w:r w:rsidR="008153C3" w:rsidRPr="00D95ECA">
        <w:rPr>
          <w:rFonts w:ascii="Palatino Linotype" w:eastAsia="Times New Roman" w:hAnsi="Palatino Linotype" w:cs="Times New Roman"/>
        </w:rPr>
        <w:t>Andrea TURČANOVÁ, Branislav ŠKR</w:t>
      </w:r>
      <w:r w:rsidR="00D40EB7" w:rsidRPr="00D95ECA">
        <w:rPr>
          <w:rFonts w:ascii="Palatino Linotype" w:eastAsia="Times New Roman" w:hAnsi="Palatino Linotype" w:cs="Times New Roman"/>
        </w:rPr>
        <w:t>I</w:t>
      </w:r>
      <w:r w:rsidR="008153C3" w:rsidRPr="00D95ECA">
        <w:rPr>
          <w:rFonts w:ascii="Palatino Linotype" w:eastAsia="Times New Roman" w:hAnsi="Palatino Linotype" w:cs="Times New Roman"/>
        </w:rPr>
        <w:t>PEK</w:t>
      </w:r>
      <w:r w:rsidR="00D40EB7" w:rsidRPr="00D95ECA">
        <w:rPr>
          <w:rFonts w:ascii="Palatino Linotype" w:eastAsia="Times New Roman" w:hAnsi="Palatino Linotype" w:cs="Times New Roman"/>
        </w:rPr>
        <w:t>, Peter STACHURA</w:t>
      </w:r>
      <w:r w:rsidR="008153C3" w:rsidRPr="00D95ECA">
        <w:rPr>
          <w:rFonts w:ascii="Palatino Linotype" w:eastAsia="Times New Roman" w:hAnsi="Palatino Linotype" w:cs="Times New Roman"/>
        </w:rPr>
        <w:t xml:space="preserve"> </w:t>
      </w:r>
      <w:r w:rsidRPr="00D95ECA">
        <w:rPr>
          <w:rFonts w:ascii="Palatino Linotype" w:eastAsia="Times New Roman" w:hAnsi="Palatino Linotype" w:cs="Times New Roman"/>
        </w:rPr>
        <w:t>a</w:t>
      </w:r>
      <w:r w:rsidR="008153C3" w:rsidRPr="00D95ECA">
        <w:rPr>
          <w:rFonts w:ascii="Palatino Linotype" w:eastAsia="Times New Roman" w:hAnsi="Palatino Linotype" w:cs="Times New Roman"/>
        </w:rPr>
        <w:t> Jozef HAJKO</w:t>
      </w:r>
      <w:r w:rsidR="004D7D42" w:rsidRPr="00D95ECA">
        <w:rPr>
          <w:rFonts w:ascii="Palatino Linotype" w:eastAsia="Times New Roman" w:hAnsi="Palatino Linotype" w:cs="Times New Roman"/>
        </w:rPr>
        <w:t>.</w:t>
      </w:r>
    </w:p>
    <w:p w14:paraId="53E19995" w14:textId="314293B4" w:rsidR="00F632D4" w:rsidRPr="00D95ECA" w:rsidRDefault="004D7D42" w:rsidP="00F632D4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  <w:r w:rsidRPr="00D95ECA">
        <w:rPr>
          <w:rFonts w:ascii="Palatino Linotype" w:eastAsia="Times New Roman" w:hAnsi="Palatino Linotype" w:cs="Times New Roman"/>
        </w:rPr>
        <w:t>Navrhovaná úprava</w:t>
      </w:r>
      <w:r w:rsidR="00F632D4" w:rsidRPr="00D95ECA">
        <w:rPr>
          <w:rFonts w:ascii="Palatino Linotype" w:eastAsia="Times New Roman" w:hAnsi="Palatino Linotype" w:cs="Times New Roman"/>
        </w:rPr>
        <w:t xml:space="preserve"> obsahuje opatreni</w:t>
      </w:r>
      <w:r w:rsidR="00D40EB7" w:rsidRPr="00D95ECA">
        <w:rPr>
          <w:rFonts w:ascii="Palatino Linotype" w:eastAsia="Times New Roman" w:hAnsi="Palatino Linotype" w:cs="Times New Roman"/>
        </w:rPr>
        <w:t>e</w:t>
      </w:r>
      <w:r w:rsidR="00F632D4" w:rsidRPr="00D95ECA">
        <w:rPr>
          <w:rFonts w:ascii="Palatino Linotype" w:eastAsia="Times New Roman" w:hAnsi="Palatino Linotype" w:cs="Times New Roman"/>
        </w:rPr>
        <w:t xml:space="preserve"> na posilnenie ochrany spotrebiteľov a prevencie patologického hráčstva</w:t>
      </w:r>
      <w:r w:rsidR="00D40EB7" w:rsidRPr="00D95ECA">
        <w:rPr>
          <w:rFonts w:ascii="Palatino Linotype" w:eastAsia="Times New Roman" w:hAnsi="Palatino Linotype" w:cs="Times New Roman"/>
        </w:rPr>
        <w:t xml:space="preserve"> vo forme </w:t>
      </w:r>
      <w:r w:rsidR="00F632D4" w:rsidRPr="00D95ECA">
        <w:rPr>
          <w:rFonts w:ascii="Palatino Linotype" w:eastAsia="Times New Roman" w:hAnsi="Palatino Linotype" w:cs="Times New Roman"/>
        </w:rPr>
        <w:t>zavedeni</w:t>
      </w:r>
      <w:r w:rsidR="00D40EB7" w:rsidRPr="00D95ECA">
        <w:rPr>
          <w:rFonts w:ascii="Palatino Linotype" w:eastAsia="Times New Roman" w:hAnsi="Palatino Linotype" w:cs="Times New Roman"/>
        </w:rPr>
        <w:t>a</w:t>
      </w:r>
      <w:r w:rsidR="00F632D4" w:rsidRPr="00D95ECA">
        <w:rPr>
          <w:rFonts w:ascii="Palatino Linotype" w:eastAsia="Times New Roman" w:hAnsi="Palatino Linotype" w:cs="Times New Roman"/>
        </w:rPr>
        <w:t xml:space="preserve"> povinnosti prevádzkovateľov hazardných hier zasielať hráčom raz mesačne výpis z hráčskeho konta, ktorý bude obsahovať súhrn vložených finančných prostriedkov, dosiahnutých výhier</w:t>
      </w:r>
      <w:r w:rsidR="00D40EB7" w:rsidRPr="00D95ECA">
        <w:rPr>
          <w:rFonts w:ascii="Palatino Linotype" w:eastAsia="Times New Roman" w:hAnsi="Palatino Linotype" w:cs="Times New Roman"/>
        </w:rPr>
        <w:t>,</w:t>
      </w:r>
      <w:r w:rsidR="00F632D4" w:rsidRPr="00D95ECA">
        <w:rPr>
          <w:rFonts w:ascii="Palatino Linotype" w:eastAsia="Times New Roman" w:hAnsi="Palatino Linotype" w:cs="Times New Roman"/>
        </w:rPr>
        <w:t xml:space="preserve"> čistý rozdiel medzi nimi</w:t>
      </w:r>
      <w:r w:rsidR="00D40EB7" w:rsidRPr="00D95ECA">
        <w:rPr>
          <w:rFonts w:ascii="Palatino Linotype" w:eastAsia="Times New Roman" w:hAnsi="Palatino Linotype" w:cs="Times New Roman"/>
        </w:rPr>
        <w:t xml:space="preserve"> a celkovú sumu vložených finančných prostriedkov od registrácie hráča</w:t>
      </w:r>
      <w:r w:rsidR="00F632D4" w:rsidRPr="00D95ECA">
        <w:rPr>
          <w:rFonts w:ascii="Palatino Linotype" w:eastAsia="Times New Roman" w:hAnsi="Palatino Linotype" w:cs="Times New Roman"/>
        </w:rPr>
        <w:t>.</w:t>
      </w:r>
    </w:p>
    <w:p w14:paraId="406F214F" w14:textId="77777777" w:rsidR="00F632D4" w:rsidRPr="00D95ECA" w:rsidRDefault="00F632D4" w:rsidP="00C95AD7">
      <w:pPr>
        <w:tabs>
          <w:tab w:val="left" w:pos="1095"/>
        </w:tabs>
        <w:spacing w:before="120" w:after="120" w:line="276" w:lineRule="auto"/>
        <w:jc w:val="both"/>
        <w:rPr>
          <w:rFonts w:ascii="Palatino Linotype" w:eastAsia="Times New Roman" w:hAnsi="Palatino Linotype" w:cs="Times New Roman"/>
        </w:rPr>
      </w:pPr>
    </w:p>
    <w:p w14:paraId="660E7A87" w14:textId="1D0CD45F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Ciele návrhu zákona</w:t>
      </w:r>
    </w:p>
    <w:p w14:paraId="32272B02" w14:textId="1EE32DCC" w:rsidR="00F632D4" w:rsidRPr="00D95ECA" w:rsidRDefault="00F632D4" w:rsidP="00D40EB7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Návrh zákona sleduje legitímny cieľ ochrany zdravia obyvateľstva a prevencie závislostí na hazardných hrách prostredníctvom</w:t>
      </w:r>
      <w:r w:rsidR="00D40EB7" w:rsidRPr="00D95ECA">
        <w:rPr>
          <w:rFonts w:ascii="Palatino Linotype" w:hAnsi="Palatino Linotype"/>
          <w:sz w:val="22"/>
          <w:szCs w:val="22"/>
        </w:rPr>
        <w:t xml:space="preserve"> </w:t>
      </w:r>
      <w:r w:rsidRPr="00D95ECA">
        <w:rPr>
          <w:rFonts w:ascii="Palatino Linotype" w:hAnsi="Palatino Linotype"/>
          <w:sz w:val="22"/>
          <w:szCs w:val="22"/>
        </w:rPr>
        <w:t>posilnenia transparentnosti a informovanosti hráčov o ich hernej aktivite (mesačné výpisy).</w:t>
      </w:r>
    </w:p>
    <w:p w14:paraId="09407045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EC5EE9F" w14:textId="0784B5D5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Východiská a právny rámec</w:t>
      </w:r>
    </w:p>
    <w:p w14:paraId="1AD8769B" w14:textId="23175FDA" w:rsidR="0020552B" w:rsidRPr="00D95ECA" w:rsidRDefault="0020552B" w:rsidP="0020552B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Zvyšovanie negatívnych dôsledkov hazardných hier na jednotlivcov a spoločnosť viedlo k rastúcemu dopytu po efektívnejších nástrojoch na obmedzenie vplyvu hazardu. Zákon č. 30/2019 Z. z. výslovne nerieši povinnosť poskytovať hráčom pravidelné finančné výpisy, preto zavedenie povinnosti informovania hráča o stave jeho hráčskeho konta može prispiesť k zniženiu rizika vz</w:t>
      </w:r>
      <w:r w:rsidR="00D95ECA" w:rsidRPr="00D95ECA">
        <w:rPr>
          <w:rFonts w:ascii="Palatino Linotype" w:hAnsi="Palatino Linotype"/>
          <w:sz w:val="22"/>
          <w:szCs w:val="22"/>
        </w:rPr>
        <w:t>ni</w:t>
      </w:r>
      <w:r w:rsidRPr="00D95ECA">
        <w:rPr>
          <w:rFonts w:ascii="Palatino Linotype" w:hAnsi="Palatino Linotype"/>
          <w:sz w:val="22"/>
          <w:szCs w:val="22"/>
        </w:rPr>
        <w:t>ku závislosti na hazadrných hrách. Tento krok je zároveň dôležitým opatrením na zvýšenie dôvery verejnosti v regulačné mechanizmy a zabezpečenie udržateľného a zodpovedného prístupu k hazardným hrám.</w:t>
      </w:r>
    </w:p>
    <w:p w14:paraId="1A60288F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 prípade mesačných výpisov ide o preventívny nástroj, ktorý má hráčom poskytnúť jasný prehľad o ich hazardnej aktivite a podporiť informované rozhodovanie. Podobné mechanizmy sú zavedené v niektorých štátoch EÚ (napr. Švédsko, Dánsko, Holandsko).</w:t>
      </w:r>
    </w:p>
    <w:p w14:paraId="35B8A452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6A95BA5" w14:textId="583CF610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Verejný záujem a ústavný rámec</w:t>
      </w:r>
    </w:p>
    <w:p w14:paraId="7A2D937E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Návrh zákona je v súlade s článkom 40 Ústavy Slovenskej republiky (právo na ochranu zdravia) a článkom 35 ods. 3 Ústavy Slovenskej republiky (možnosť obmedziť podnikateľskú činnosť zákonom, ak je to nevyhnutné na ochranu zdravia, bezpečnosti a mravnosti).</w:t>
      </w:r>
    </w:p>
    <w:p w14:paraId="6FF2A25B" w14:textId="27A76D54" w:rsidR="00F632D4" w:rsidRPr="00D95ECA" w:rsidRDefault="00D40EB7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lastRenderedPageBreak/>
        <w:t xml:space="preserve">Uvedné </w:t>
      </w:r>
      <w:r w:rsidR="00F632D4" w:rsidRPr="00D95ECA">
        <w:rPr>
          <w:rFonts w:ascii="Palatino Linotype" w:hAnsi="Palatino Linotype"/>
          <w:sz w:val="22"/>
          <w:szCs w:val="22"/>
        </w:rPr>
        <w:t>opatreni</w:t>
      </w:r>
      <w:r w:rsidRPr="00D95ECA">
        <w:rPr>
          <w:rFonts w:ascii="Palatino Linotype" w:hAnsi="Palatino Linotype"/>
          <w:sz w:val="22"/>
          <w:szCs w:val="22"/>
        </w:rPr>
        <w:t>e</w:t>
      </w:r>
      <w:r w:rsidR="00F632D4" w:rsidRPr="00D95ECA">
        <w:rPr>
          <w:rFonts w:ascii="Palatino Linotype" w:hAnsi="Palatino Linotype"/>
          <w:sz w:val="22"/>
          <w:szCs w:val="22"/>
        </w:rPr>
        <w:t xml:space="preserve"> </w:t>
      </w:r>
      <w:r w:rsidRPr="00D95ECA">
        <w:rPr>
          <w:rFonts w:ascii="Palatino Linotype" w:hAnsi="Palatino Linotype"/>
          <w:sz w:val="22"/>
          <w:szCs w:val="22"/>
        </w:rPr>
        <w:t>ne</w:t>
      </w:r>
      <w:r w:rsidR="00F632D4" w:rsidRPr="00D95ECA">
        <w:rPr>
          <w:rFonts w:ascii="Palatino Linotype" w:hAnsi="Palatino Linotype"/>
          <w:sz w:val="22"/>
          <w:szCs w:val="22"/>
        </w:rPr>
        <w:t>predstavuj</w:t>
      </w:r>
      <w:r w:rsidRPr="00D95ECA">
        <w:rPr>
          <w:rFonts w:ascii="Palatino Linotype" w:hAnsi="Palatino Linotype"/>
          <w:sz w:val="22"/>
          <w:szCs w:val="22"/>
        </w:rPr>
        <w:t>e</w:t>
      </w:r>
      <w:r w:rsidR="00F632D4" w:rsidRPr="00D95ECA">
        <w:rPr>
          <w:rFonts w:ascii="Palatino Linotype" w:hAnsi="Palatino Linotype"/>
          <w:sz w:val="22"/>
          <w:szCs w:val="22"/>
        </w:rPr>
        <w:t xml:space="preserve"> obmedzenie podnikateľskej slobody prevádzkovateľov hazardných hier – nevylučujú samotné poskytovanie služieb, ale regulujú ich spôsob tak, aby sa minimalizovali negatívne spoločenské dôsledky hazardného hrania.</w:t>
      </w:r>
    </w:p>
    <w:p w14:paraId="4A4B7FE2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D75E0A2" w14:textId="671BCF48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Očakávané prínosy</w:t>
      </w:r>
    </w:p>
    <w:p w14:paraId="5B9410E7" w14:textId="77777777" w:rsidR="00F632D4" w:rsidRPr="00D95ECA" w:rsidRDefault="00F632D4" w:rsidP="00F632D4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posilnenie prevencie a včasného uvedomenia si finančných strát zo strany hráčov,</w:t>
      </w:r>
    </w:p>
    <w:p w14:paraId="2A51D80A" w14:textId="77777777" w:rsidR="00F632D4" w:rsidRPr="00D95ECA" w:rsidRDefault="00F632D4" w:rsidP="00F632D4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zvýšenie transparentnosti a dôvery verejnosti v regulačné mechanizmy,</w:t>
      </w:r>
    </w:p>
    <w:p w14:paraId="1E4206A1" w14:textId="1C52AA09" w:rsidR="00F632D4" w:rsidRPr="00D95ECA" w:rsidRDefault="00F632D4" w:rsidP="00F632D4">
      <w:pPr>
        <w:pStyle w:val="NormalWeb"/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zníženie nákladov spoločnosti spojených s liečbou patologického hráčstva.</w:t>
      </w:r>
    </w:p>
    <w:p w14:paraId="6605088E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A262705" w14:textId="20D9B706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Vplyvy návrhu zákona</w:t>
      </w:r>
    </w:p>
    <w:p w14:paraId="129FCF45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Vplyv na verejné financie: Krátkodobo mierny pokles príjmov z odvodov z hazardných hier, dlhodobo pozitívny efekt v znížení výdavkov na zdravotnú a sociálnu starostlivosť.</w:t>
      </w:r>
    </w:p>
    <w:p w14:paraId="6D792A70" w14:textId="59B84646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Vplyv na podnikateľské prostredie: Zavedenie nových povinností (povinnosť mesačných výpisov), si vyžiadajú úpravy informačných systémov a zmenu marketingových stratégií</w:t>
      </w:r>
      <w:r w:rsidR="00D40EB7" w:rsidRPr="00D95ECA">
        <w:rPr>
          <w:rFonts w:ascii="Palatino Linotype" w:hAnsi="Palatino Linotype"/>
          <w:sz w:val="22"/>
          <w:szCs w:val="22"/>
        </w:rPr>
        <w:t>, ktoré v celkovom finančnom vyjadrení nepredstavuje výrazne zvýšené náklady prevádzkovateľov hazardných hier</w:t>
      </w:r>
      <w:r w:rsidRPr="00D95ECA">
        <w:rPr>
          <w:rFonts w:ascii="Palatino Linotype" w:hAnsi="Palatino Linotype"/>
          <w:sz w:val="22"/>
          <w:szCs w:val="22"/>
        </w:rPr>
        <w:t>.</w:t>
      </w:r>
    </w:p>
    <w:p w14:paraId="1BD800FA" w14:textId="77777777" w:rsidR="00F632D4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Sociálne vplyvy: Výrazne pozitívne, najmä posilnenie ochrany zraniteľných skupín a zníženie rizík vzniku závislosti.</w:t>
      </w:r>
    </w:p>
    <w:p w14:paraId="4073649F" w14:textId="476CA602" w:rsidR="00D16297" w:rsidRPr="00D95ECA" w:rsidRDefault="00F632D4" w:rsidP="00F632D4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/>
          <w:sz w:val="22"/>
          <w:szCs w:val="22"/>
        </w:rPr>
        <w:t>Vplyvy na informatizáciu: Prevádzkovatelia budú musieť upraviť svoje informačné systémy, čo bude mať technický dopad, avšak ide o štandardne zvládnuteľnú úpravu.</w:t>
      </w:r>
    </w:p>
    <w:p w14:paraId="52B5D9F1" w14:textId="77777777" w:rsidR="00D16297" w:rsidRPr="00D95ECA" w:rsidRDefault="00D16297" w:rsidP="00C95AD7">
      <w:pPr>
        <w:pStyle w:val="NormalWeb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0681F57D" w14:textId="0C38DE70" w:rsidR="00B63A0B" w:rsidRPr="00D95ECA" w:rsidRDefault="00B63A0B" w:rsidP="00C95AD7">
      <w:pPr>
        <w:tabs>
          <w:tab w:val="left" w:pos="708"/>
        </w:tabs>
        <w:spacing w:after="120" w:line="276" w:lineRule="auto"/>
        <w:jc w:val="both"/>
        <w:rPr>
          <w:rFonts w:ascii="Palatino Linotype" w:eastAsia="Times New Roman" w:hAnsi="Palatino Linotype" w:cs="Times New Roman"/>
        </w:rPr>
      </w:pPr>
      <w:r w:rsidRPr="00D95ECA">
        <w:rPr>
          <w:rFonts w:ascii="Palatino Linotype" w:eastAsia="Times New Roman" w:hAnsi="Palatino Linotype" w:cs="Times New Roman"/>
        </w:rPr>
        <w:t xml:space="preserve">Návrh zákona </w:t>
      </w:r>
      <w:r w:rsidR="00AB1268" w:rsidRPr="00D95ECA">
        <w:rPr>
          <w:rFonts w:ascii="Palatino Linotype" w:eastAsia="Times New Roman" w:hAnsi="Palatino Linotype" w:cs="Times New Roman"/>
        </w:rPr>
        <w:t xml:space="preserve">má </w:t>
      </w:r>
      <w:r w:rsidR="004E0F11" w:rsidRPr="00D95ECA">
        <w:rPr>
          <w:rFonts w:ascii="Palatino Linotype" w:eastAsia="Times New Roman" w:hAnsi="Palatino Linotype" w:cs="Times New Roman"/>
        </w:rPr>
        <w:t>pozitívne</w:t>
      </w:r>
      <w:r w:rsidRPr="00D95ECA">
        <w:rPr>
          <w:rFonts w:ascii="Palatino Linotype" w:eastAsia="Times New Roman" w:hAnsi="Palatino Linotype" w:cs="Times New Roman"/>
        </w:rPr>
        <w:t xml:space="preserve"> sociálne vplyvy</w:t>
      </w:r>
      <w:r w:rsidR="009276D9" w:rsidRPr="00D95ECA">
        <w:rPr>
          <w:rFonts w:ascii="Palatino Linotype" w:eastAsia="Times New Roman" w:hAnsi="Palatino Linotype" w:cs="Times New Roman"/>
        </w:rPr>
        <w:t xml:space="preserve"> a</w:t>
      </w:r>
      <w:r w:rsidR="004D7D42" w:rsidRPr="00D95ECA">
        <w:rPr>
          <w:rFonts w:ascii="Palatino Linotype" w:eastAsia="Times New Roman" w:hAnsi="Palatino Linotype" w:cs="Times New Roman"/>
        </w:rPr>
        <w:t> pozitívny vplyv na</w:t>
      </w:r>
      <w:r w:rsidR="009276D9" w:rsidRPr="00D95ECA">
        <w:rPr>
          <w:rFonts w:ascii="Palatino Linotype" w:eastAsia="Times New Roman" w:hAnsi="Palatino Linotype" w:cs="Times New Roman"/>
        </w:rPr>
        <w:t xml:space="preserve"> služby verejnej správy pre občana</w:t>
      </w:r>
      <w:r w:rsidR="004D7D42" w:rsidRPr="00D95ECA">
        <w:rPr>
          <w:rFonts w:ascii="Palatino Linotype" w:eastAsia="Times New Roman" w:hAnsi="Palatino Linotype" w:cs="Times New Roman"/>
        </w:rPr>
        <w:t xml:space="preserve"> a na manželstvo, rodičovstvo a rodinu</w:t>
      </w:r>
      <w:r w:rsidR="009B0D93" w:rsidRPr="00D95ECA">
        <w:rPr>
          <w:rFonts w:ascii="Palatino Linotype" w:eastAsia="Times New Roman" w:hAnsi="Palatino Linotype" w:cs="Times New Roman"/>
        </w:rPr>
        <w:t>.</w:t>
      </w:r>
      <w:r w:rsidR="00C02CF5" w:rsidRPr="00D95ECA">
        <w:rPr>
          <w:rFonts w:ascii="Palatino Linotype" w:eastAsia="Times New Roman" w:hAnsi="Palatino Linotype" w:cs="Times New Roman"/>
        </w:rPr>
        <w:t xml:space="preserve"> N</w:t>
      </w:r>
      <w:r w:rsidR="004D7D42" w:rsidRPr="00D95ECA">
        <w:rPr>
          <w:rFonts w:ascii="Palatino Linotype" w:eastAsia="Times New Roman" w:hAnsi="Palatino Linotype" w:cs="Times New Roman"/>
        </w:rPr>
        <w:t xml:space="preserve">ávrh zákona </w:t>
      </w:r>
      <w:r w:rsidR="00DF0474" w:rsidRPr="00D95ECA">
        <w:rPr>
          <w:rFonts w:ascii="Palatino Linotype" w:eastAsia="Times New Roman" w:hAnsi="Palatino Linotype" w:cs="Times New Roman"/>
        </w:rPr>
        <w:t xml:space="preserve">má </w:t>
      </w:r>
      <w:r w:rsidR="004D7D42" w:rsidRPr="00D95ECA">
        <w:rPr>
          <w:rFonts w:ascii="Palatino Linotype" w:eastAsia="Times New Roman" w:hAnsi="Palatino Linotype" w:cs="Times New Roman"/>
        </w:rPr>
        <w:t>mierne negatívny vplyv na úzky segment p</w:t>
      </w:r>
      <w:r w:rsidR="00195FF4" w:rsidRPr="00D95ECA">
        <w:rPr>
          <w:rFonts w:ascii="Palatino Linotype" w:eastAsia="Times New Roman" w:hAnsi="Palatino Linotype" w:cs="Times New Roman"/>
        </w:rPr>
        <w:t>odnikateľské</w:t>
      </w:r>
      <w:r w:rsidR="004D7D42" w:rsidRPr="00D95ECA">
        <w:rPr>
          <w:rFonts w:ascii="Palatino Linotype" w:eastAsia="Times New Roman" w:hAnsi="Palatino Linotype" w:cs="Times New Roman"/>
        </w:rPr>
        <w:t>ho prostredia</w:t>
      </w:r>
      <w:r w:rsidR="00195FF4" w:rsidRPr="00D95ECA">
        <w:rPr>
          <w:rFonts w:ascii="Palatino Linotype" w:eastAsia="Times New Roman" w:hAnsi="Palatino Linotype" w:cs="Times New Roman"/>
        </w:rPr>
        <w:t xml:space="preserve">, </w:t>
      </w:r>
      <w:r w:rsidR="004D7D42" w:rsidRPr="00D95ECA">
        <w:rPr>
          <w:rFonts w:ascii="Palatino Linotype" w:eastAsia="Times New Roman" w:hAnsi="Palatino Linotype" w:cs="Times New Roman"/>
        </w:rPr>
        <w:t>krátkodobo negatívny no stredno-a dlhodobo pozitívny vplyv na rozpočet verejnej správy a žiaden vplyv na</w:t>
      </w:r>
      <w:r w:rsidRPr="00D95ECA">
        <w:rPr>
          <w:rFonts w:ascii="Palatino Linotype" w:eastAsia="Times New Roman" w:hAnsi="Palatino Linotype" w:cs="Times New Roman"/>
        </w:rPr>
        <w:t xml:space="preserve"> informatizáciu spoločnosti</w:t>
      </w:r>
      <w:r w:rsidR="00E579F6" w:rsidRPr="00D95ECA">
        <w:rPr>
          <w:rFonts w:ascii="Palatino Linotype" w:eastAsia="Times New Roman" w:hAnsi="Palatino Linotype" w:cs="Times New Roman"/>
        </w:rPr>
        <w:t xml:space="preserve"> a</w:t>
      </w:r>
      <w:r w:rsidRPr="00D95ECA">
        <w:rPr>
          <w:rFonts w:ascii="Palatino Linotype" w:eastAsia="Times New Roman" w:hAnsi="Palatino Linotype" w:cs="Times New Roman"/>
        </w:rPr>
        <w:t xml:space="preserve"> životné  prostredie. </w:t>
      </w:r>
    </w:p>
    <w:p w14:paraId="6DD14886" w14:textId="6884E81F" w:rsidR="009A375B" w:rsidRPr="00D95ECA" w:rsidRDefault="009A375B" w:rsidP="00C95AD7">
      <w:pPr>
        <w:shd w:val="clear" w:color="auto" w:fill="FFFFFF"/>
        <w:spacing w:after="120" w:line="276" w:lineRule="auto"/>
        <w:jc w:val="both"/>
        <w:rPr>
          <w:rFonts w:ascii="Palatino Linotype" w:eastAsia="Times New Roman" w:hAnsi="Palatino Linotype" w:cs="Open Sans"/>
        </w:rPr>
      </w:pPr>
      <w:r w:rsidRPr="00D95ECA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</w:t>
      </w:r>
      <w:r w:rsidR="00AE0A03" w:rsidRPr="00D95ECA">
        <w:rPr>
          <w:rFonts w:ascii="Palatino Linotype" w:eastAsia="Times New Roman" w:hAnsi="Palatino Linotype" w:cs="Times New Roman"/>
        </w:rPr>
        <w:t>uvami a medzinárodnými dokument</w:t>
      </w:r>
      <w:r w:rsidRPr="00D95ECA">
        <w:rPr>
          <w:rFonts w:ascii="Palatino Linotype" w:eastAsia="Times New Roman" w:hAnsi="Palatino Linotype" w:cs="Times New Roman"/>
        </w:rPr>
        <w:t>mi, ktorými je Slovenská republika viazaná, zákonmi a s právom Európskej únie.</w:t>
      </w:r>
    </w:p>
    <w:bookmarkEnd w:id="1"/>
    <w:p w14:paraId="237E7756" w14:textId="77777777" w:rsidR="00A77F33" w:rsidRPr="00D95ECA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0518D10C" w14:textId="77777777" w:rsidR="00C95AD7" w:rsidRPr="00D95ECA" w:rsidRDefault="00C95AD7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7AF567A" w14:textId="77777777" w:rsidR="00F632D4" w:rsidRPr="00D95ECA" w:rsidRDefault="00F632D4">
      <w:pPr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br w:type="page"/>
      </w:r>
    </w:p>
    <w:p w14:paraId="0000000E" w14:textId="5B4F2E48" w:rsidR="00386510" w:rsidRPr="00D95EC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lastRenderedPageBreak/>
        <w:t>B. OSOBITNÁ ČASŤ</w:t>
      </w:r>
    </w:p>
    <w:p w14:paraId="55DAC92C" w14:textId="77777777" w:rsidR="006833D9" w:rsidRPr="00D95ECA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D95ECA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34C2BB14" w14:textId="641E5A89" w:rsidR="00C24F12" w:rsidRPr="00D95ECA" w:rsidRDefault="00C24F12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  <w:u w:val="single"/>
        </w:rPr>
      </w:pPr>
      <w:r w:rsidRPr="00D95ECA">
        <w:rPr>
          <w:rFonts w:ascii="Palatino Linotype" w:eastAsia="Times New Roman" w:hAnsi="Palatino Linotype" w:cs="Times New Roman"/>
          <w:color w:val="000000"/>
          <w:u w:val="single"/>
        </w:rPr>
        <w:t>K čl. I (§ 14 ods. 2</w:t>
      </w:r>
      <w:r w:rsidR="00F632D4" w:rsidRPr="00D95ECA">
        <w:rPr>
          <w:rFonts w:ascii="Palatino Linotype" w:eastAsia="Times New Roman" w:hAnsi="Palatino Linotype" w:cs="Times New Roman"/>
          <w:color w:val="000000"/>
          <w:u w:val="single"/>
        </w:rPr>
        <w:t>3 a 24</w:t>
      </w:r>
      <w:r w:rsidRPr="00D95ECA">
        <w:rPr>
          <w:rFonts w:ascii="Palatino Linotype" w:eastAsia="Times New Roman" w:hAnsi="Palatino Linotype" w:cs="Times New Roman"/>
          <w:color w:val="000000"/>
          <w:u w:val="single"/>
        </w:rPr>
        <w:t>)</w:t>
      </w:r>
    </w:p>
    <w:p w14:paraId="005050BD" w14:textId="451F783F" w:rsidR="00C24F12" w:rsidRPr="00D95ECA" w:rsidRDefault="00F632D4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D95ECA">
        <w:rPr>
          <w:rFonts w:ascii="Palatino Linotype" w:eastAsia="Times New Roman" w:hAnsi="Palatino Linotype" w:cs="Times New Roman"/>
          <w:color w:val="000000"/>
        </w:rPr>
        <w:t>Prevádzkovateľ hazardnej hry je povinný raz mesačne zaslať hráčovi výpis z jeho hráčskeho konta, ktorý obsahuje prehľad vkladov</w:t>
      </w:r>
      <w:r w:rsidR="0020552B" w:rsidRPr="00D95ECA">
        <w:rPr>
          <w:rFonts w:ascii="Palatino Linotype" w:eastAsia="Times New Roman" w:hAnsi="Palatino Linotype" w:cs="Times New Roman"/>
          <w:color w:val="000000"/>
        </w:rPr>
        <w:t xml:space="preserve"> (za daný kalendárny mesiac a za čas od registrácie hráča)</w:t>
      </w:r>
      <w:r w:rsidRPr="00D95ECA">
        <w:rPr>
          <w:rFonts w:ascii="Palatino Linotype" w:eastAsia="Times New Roman" w:hAnsi="Palatino Linotype" w:cs="Times New Roman"/>
          <w:color w:val="000000"/>
        </w:rPr>
        <w:t>, výhier a čistého rozdielu. Výpis musí byť prehľadný a doplnený o</w:t>
      </w:r>
      <w:r w:rsidR="0020552B" w:rsidRPr="00D95ECA">
        <w:rPr>
          <w:rFonts w:ascii="Palatino Linotype" w:eastAsia="Times New Roman" w:hAnsi="Palatino Linotype" w:cs="Times New Roman"/>
          <w:color w:val="000000"/>
        </w:rPr>
        <w:t xml:space="preserve"> zvýraznené </w:t>
      </w:r>
      <w:r w:rsidRPr="00D95ECA">
        <w:rPr>
          <w:rFonts w:ascii="Palatino Linotype" w:eastAsia="Times New Roman" w:hAnsi="Palatino Linotype" w:cs="Times New Roman"/>
          <w:color w:val="000000"/>
        </w:rPr>
        <w:t>upozornenie na riziká hazardu a kontakty na odbornú pomoc. Úprava zabezpečí, aby hráči mali jasný prehľad o svojej finančnej bilancii, čo podporí ich zodpovedné rozhodovanie.</w:t>
      </w:r>
    </w:p>
    <w:p w14:paraId="24361B75" w14:textId="77777777" w:rsidR="00C24F12" w:rsidRPr="00D95ECA" w:rsidRDefault="00C24F12" w:rsidP="00C24F12">
      <w:pPr>
        <w:tabs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D95ECA">
        <w:rPr>
          <w:rFonts w:ascii="Palatino Linotype" w:eastAsia="Times New Roman" w:hAnsi="Palatino Linotype" w:cs="Times New Roman"/>
          <w:b/>
          <w:color w:val="000000"/>
        </w:rPr>
        <w:t>K čl. II</w:t>
      </w:r>
    </w:p>
    <w:p w14:paraId="69D05910" w14:textId="1517AF48" w:rsidR="00E04FD2" w:rsidRPr="00D95ECA" w:rsidRDefault="00C24F12" w:rsidP="00C24F12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  <w:r w:rsidRPr="00D95ECA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D95ECA">
        <w:rPr>
          <w:rFonts w:ascii="Palatino Linotype" w:eastAsia="Times New Roman" w:hAnsi="Palatino Linotype" w:cs="Times New Roman"/>
        </w:rPr>
        <w:t xml:space="preserve"> od 1. januára 2026</w:t>
      </w:r>
      <w:r w:rsidRPr="00D95ECA">
        <w:rPr>
          <w:rFonts w:ascii="Palatino Linotype" w:eastAsia="Times New Roman" w:hAnsi="Palatino Linotype" w:cs="Times New Roman"/>
          <w:color w:val="000000"/>
        </w:rPr>
        <w:t>, aby sa prechodnou lehotou ustanovilo dostatočne dlhé prechodné obdobie na zosúladenie podmienok prevádzkovania hazardných hier so zákonom, aby sa minimalizovali negatívne hospodárske dopady na prevádzkovateľov a zároveň zabezpečila rýchla účinnosť opatrenia.</w:t>
      </w:r>
    </w:p>
    <w:p w14:paraId="0000002A" w14:textId="77777777" w:rsidR="00386510" w:rsidRPr="00D95ECA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D95ECA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Pr="00D95EC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 w:rsidRPr="00D95ECA"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D95ECA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D95ECA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D95ECA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D95ECA">
        <w:rPr>
          <w:rFonts w:ascii="Palatino Linotype" w:hAnsi="Palatino Linotype" w:cs="Book Antiqua"/>
          <w:sz w:val="22"/>
          <w:szCs w:val="22"/>
        </w:rPr>
        <w:t xml:space="preserve"> </w:t>
      </w:r>
      <w:r w:rsidRPr="00D95EC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D95ECA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D95ECA">
        <w:rPr>
          <w:rFonts w:ascii="Palatino Linotype" w:hAnsi="Palatino Linotype" w:cs="Book Antiqua"/>
          <w:sz w:val="22"/>
          <w:szCs w:val="22"/>
        </w:rPr>
        <w:t> </w:t>
      </w:r>
    </w:p>
    <w:p w14:paraId="09D308FF" w14:textId="2C73D51F" w:rsidR="000C622B" w:rsidRPr="00D95ECA" w:rsidRDefault="003B2158" w:rsidP="000C622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D95ECA">
        <w:rPr>
          <w:rFonts w:ascii="Palatino Linotype" w:hAnsi="Palatino Linotype" w:cs="Book Antiqua"/>
          <w:b/>
          <w:bCs/>
        </w:rPr>
        <w:t>1. Navrhovateľ zákona:</w:t>
      </w:r>
      <w:r w:rsidRPr="00D95ECA">
        <w:rPr>
          <w:rFonts w:ascii="Palatino Linotype" w:hAnsi="Palatino Linotype" w:cs="Book Antiqua"/>
        </w:rPr>
        <w:t xml:space="preserve"> </w:t>
      </w:r>
      <w:r w:rsidR="00AE0A03" w:rsidRPr="00D95ECA">
        <w:rPr>
          <w:rFonts w:ascii="Palatino Linotype" w:hAnsi="Palatino Linotype" w:cs="Book Antiqua"/>
        </w:rPr>
        <w:t>poslan</w:t>
      </w:r>
      <w:r w:rsidR="006B5026" w:rsidRPr="00D95ECA">
        <w:rPr>
          <w:rFonts w:ascii="Palatino Linotype" w:hAnsi="Palatino Linotype" w:cs="Book Antiqua"/>
        </w:rPr>
        <w:t>ci</w:t>
      </w:r>
      <w:r w:rsidR="00BA0A65" w:rsidRPr="00D95ECA">
        <w:rPr>
          <w:rFonts w:ascii="Palatino Linotype" w:hAnsi="Palatino Linotype" w:cs="Book Antiqua"/>
        </w:rPr>
        <w:t xml:space="preserve"> </w:t>
      </w:r>
      <w:r w:rsidR="00802C5B" w:rsidRPr="00D95ECA">
        <w:rPr>
          <w:rFonts w:ascii="Palatino Linotype" w:hAnsi="Palatino Linotype"/>
        </w:rPr>
        <w:t>Národnej rady Slovenskej republiky</w:t>
      </w:r>
      <w:r w:rsidR="00CC77C3" w:rsidRPr="00D95ECA">
        <w:rPr>
          <w:rFonts w:ascii="Palatino Linotype" w:hAnsi="Palatino Linotype"/>
        </w:rPr>
        <w:t xml:space="preserve"> Marián ČAUČÍK</w:t>
      </w:r>
      <w:r w:rsidR="000C622B" w:rsidRPr="00D95ECA">
        <w:rPr>
          <w:rFonts w:ascii="Palatino Linotype" w:hAnsi="Palatino Linotype"/>
        </w:rPr>
        <w:t xml:space="preserve">, </w:t>
      </w:r>
      <w:r w:rsidR="00E441FF" w:rsidRPr="00D95ECA">
        <w:rPr>
          <w:rFonts w:ascii="Palatino Linotype" w:eastAsia="Times New Roman" w:hAnsi="Palatino Linotype" w:cs="Times New Roman"/>
        </w:rPr>
        <w:t>Andrea TURČANOVÁ, Branislav ŠKR</w:t>
      </w:r>
      <w:r w:rsidR="002F05E1" w:rsidRPr="00D95ECA">
        <w:rPr>
          <w:rFonts w:ascii="Palatino Linotype" w:eastAsia="Times New Roman" w:hAnsi="Palatino Linotype" w:cs="Times New Roman"/>
        </w:rPr>
        <w:t>I</w:t>
      </w:r>
      <w:r w:rsidR="00E441FF" w:rsidRPr="00D95ECA">
        <w:rPr>
          <w:rFonts w:ascii="Palatino Linotype" w:eastAsia="Times New Roman" w:hAnsi="Palatino Linotype" w:cs="Times New Roman"/>
        </w:rPr>
        <w:t>PEK</w:t>
      </w:r>
      <w:r w:rsidR="0020552B" w:rsidRPr="00D95ECA">
        <w:rPr>
          <w:rFonts w:ascii="Palatino Linotype" w:eastAsia="Times New Roman" w:hAnsi="Palatino Linotype" w:cs="Times New Roman"/>
        </w:rPr>
        <w:t>, Peter STACHURA</w:t>
      </w:r>
      <w:r w:rsidR="00E441FF" w:rsidRPr="00D95ECA">
        <w:rPr>
          <w:rFonts w:ascii="Palatino Linotype" w:eastAsia="Times New Roman" w:hAnsi="Palatino Linotype" w:cs="Times New Roman"/>
        </w:rPr>
        <w:t xml:space="preserve"> a Jozef HAJKO</w:t>
      </w:r>
      <w:r w:rsidR="000C622B" w:rsidRPr="00D95ECA">
        <w:rPr>
          <w:rFonts w:ascii="Palatino Linotype" w:hAnsi="Palatino Linotype"/>
        </w:rPr>
        <w:t>.</w:t>
      </w:r>
    </w:p>
    <w:p w14:paraId="66BBC018" w14:textId="4F65301F" w:rsidR="003B2158" w:rsidRPr="00D95ECA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20906127" w:rsidR="00F5232F" w:rsidRPr="00D95ECA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D95ECA">
        <w:rPr>
          <w:rFonts w:ascii="Palatino Linotype" w:hAnsi="Palatino Linotype" w:cs="Book Antiqua"/>
          <w:b/>
          <w:bCs/>
        </w:rPr>
        <w:t>2. Názov návrhu právneho predpisu:</w:t>
      </w:r>
      <w:r w:rsidRPr="00D95ECA">
        <w:rPr>
          <w:rFonts w:ascii="Palatino Linotype" w:hAnsi="Palatino Linotype" w:cs="Book Antiqua"/>
          <w:b/>
        </w:rPr>
        <w:t xml:space="preserve"> </w:t>
      </w:r>
      <w:r w:rsidR="000C622B" w:rsidRPr="00D95ECA">
        <w:rPr>
          <w:rFonts w:ascii="Palatino Linotype" w:eastAsia="Times New Roman" w:hAnsi="Palatino Linotype" w:cs="Times New Roman"/>
          <w:color w:val="000000"/>
        </w:rPr>
        <w:t xml:space="preserve">  </w:t>
      </w:r>
      <w:r w:rsidR="000C622B" w:rsidRPr="00D95ECA">
        <w:rPr>
          <w:rFonts w:ascii="Palatino Linotype" w:hAnsi="Palatino Linotype"/>
        </w:rPr>
        <w:t xml:space="preserve">návrh </w:t>
      </w:r>
      <w:r w:rsidR="000C622B" w:rsidRPr="00D95ECA">
        <w:rPr>
          <w:rFonts w:ascii="Palatino Linotype" w:hAnsi="Palatino Linotype"/>
          <w:bCs/>
        </w:rPr>
        <w:t xml:space="preserve">zákona, </w:t>
      </w:r>
      <w:r w:rsidR="002F05E1" w:rsidRPr="00D95ECA">
        <w:rPr>
          <w:rFonts w:ascii="Palatino Linotype" w:hAnsi="Palatino Linotype"/>
        </w:rPr>
        <w:t xml:space="preserve">ktorým sa </w:t>
      </w:r>
      <w:r w:rsidR="000C622B" w:rsidRPr="00D95ECA">
        <w:rPr>
          <w:rFonts w:ascii="Palatino Linotype" w:hAnsi="Palatino Linotype"/>
        </w:rPr>
        <w:t xml:space="preserve">dopĺňa zákon </w:t>
      </w:r>
      <w:r w:rsidR="002F05E1" w:rsidRPr="00D95ECA">
        <w:rPr>
          <w:rFonts w:ascii="Palatino Linotype" w:eastAsia="Times New Roman" w:hAnsi="Palatino Linotype" w:cs="Times New Roman"/>
        </w:rPr>
        <w:t>č. 30/2019 Z. z.</w:t>
      </w:r>
      <w:r w:rsidR="00E441FF" w:rsidRPr="00D95ECA">
        <w:rPr>
          <w:rFonts w:ascii="Palatino Linotype" w:eastAsia="Times New Roman" w:hAnsi="Palatino Linotype" w:cs="Times New Roman"/>
        </w:rPr>
        <w:t xml:space="preserve"> o hazardných hrách a o zmene a doplnení niektorých zákonov</w:t>
      </w:r>
      <w:r w:rsidR="000C622B" w:rsidRPr="00D95ECA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D95ECA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D95EC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D95EC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D95EC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D95EC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D95EC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D95ECA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D95EC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D95ECA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D95ECA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D95ECA">
        <w:rPr>
          <w:rFonts w:ascii="Palatino Linotype" w:hAnsi="Palatino Linotype" w:cs="Times New Roman"/>
          <w:b/>
          <w:bCs/>
          <w:color w:val="000000"/>
        </w:rPr>
        <w:t>Vzhľadom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na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to,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že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predmet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návrhu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zákona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nie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je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upravený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v práve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Európskej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únie,</w:t>
      </w:r>
      <w:r w:rsidRPr="00D95EC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D95EC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D95ECA" w:rsidRDefault="009A375B" w:rsidP="00872C88">
      <w:pPr>
        <w:pStyle w:val="NormalWeb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D95ECA" w:rsidRDefault="003B2158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D95ECA" w:rsidRDefault="00A75AE5" w:rsidP="00872C88">
      <w:pPr>
        <w:pStyle w:val="NormalWeb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D95ECA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D95ECA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D95ECA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D95ECA" w:rsidRDefault="00A75AE5" w:rsidP="00A75AE5">
      <w:pPr>
        <w:pStyle w:val="NormalWeb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D95ECA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Pr="00D95ECA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Pr="00D95ECA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Pr="00D95ECA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Pr="00D95ECA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Pr="00D95ECA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8B262" w14:textId="05C2FE7F" w:rsidR="00824413" w:rsidRPr="00D95ECA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D95ECA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D95ECA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D95ECA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D95ECA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D95ECA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D95ECA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D95EC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D95ECA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5C7AACF0" w14:textId="0E4FA7E3" w:rsidR="000B1836" w:rsidRPr="00D95ECA" w:rsidRDefault="000C622B" w:rsidP="00022EE4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color w:val="000000"/>
              </w:rPr>
              <w:t xml:space="preserve">  </w:t>
            </w:r>
            <w:r w:rsidRPr="00D95ECA">
              <w:rPr>
                <w:rFonts w:ascii="Palatino Linotype" w:hAnsi="Palatino Linotype"/>
              </w:rPr>
              <w:t xml:space="preserve">Návrh </w:t>
            </w:r>
            <w:r w:rsidRPr="00D95ECA">
              <w:rPr>
                <w:rFonts w:ascii="Palatino Linotype" w:hAnsi="Palatino Linotype"/>
                <w:bCs/>
              </w:rPr>
              <w:t xml:space="preserve">zákona, </w:t>
            </w:r>
            <w:r w:rsidR="002F05E1" w:rsidRPr="00D95ECA">
              <w:rPr>
                <w:rFonts w:ascii="Palatino Linotype" w:hAnsi="Palatino Linotype"/>
              </w:rPr>
              <w:t xml:space="preserve">ktorým sa </w:t>
            </w:r>
            <w:r w:rsidRPr="00D95ECA">
              <w:rPr>
                <w:rFonts w:ascii="Palatino Linotype" w:hAnsi="Palatino Linotype"/>
              </w:rPr>
              <w:t xml:space="preserve">dopĺňa zákon </w:t>
            </w:r>
            <w:r w:rsidR="00E441FF" w:rsidRPr="00D95ECA">
              <w:rPr>
                <w:rFonts w:ascii="Palatino Linotype" w:eastAsia="Times New Roman" w:hAnsi="Palatino Linotype" w:cs="Times New Roman"/>
              </w:rPr>
              <w:t>č. 30/2019 Z. z. o hazardných hrách a o zmene a doplnení niektorých zákonov</w:t>
            </w:r>
          </w:p>
        </w:tc>
      </w:tr>
      <w:tr w:rsidR="000B1836" w:rsidRPr="00D95ECA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D95ECA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D95ECA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413A9D52" w:rsidR="000B1836" w:rsidRPr="00D95ECA" w:rsidRDefault="000C622B" w:rsidP="000C622B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hAnsi="Palatino Linotype" w:cs="Book Antiqua"/>
              </w:rPr>
              <w:t xml:space="preserve">poslanci </w:t>
            </w:r>
            <w:r w:rsidRPr="00D95ECA">
              <w:rPr>
                <w:rFonts w:ascii="Palatino Linotype" w:hAnsi="Palatino Linotype"/>
              </w:rPr>
              <w:t>Národnej rady Slovenskej republiky Marián ČAUČÍK</w:t>
            </w:r>
            <w:r w:rsidR="00E441FF" w:rsidRPr="00D95ECA">
              <w:rPr>
                <w:rFonts w:ascii="Palatino Linotype" w:eastAsia="Times New Roman" w:hAnsi="Palatino Linotype" w:cs="Times New Roman"/>
              </w:rPr>
              <w:t xml:space="preserve"> </w:t>
            </w:r>
            <w:r w:rsidR="002F05E1" w:rsidRPr="00D95ECA">
              <w:rPr>
                <w:rFonts w:ascii="Palatino Linotype" w:eastAsia="Times New Roman" w:hAnsi="Palatino Linotype" w:cs="Times New Roman"/>
              </w:rPr>
              <w:t>Andrea TURČANOVÁ, Branislav ŠKRI</w:t>
            </w:r>
            <w:r w:rsidR="00E441FF" w:rsidRPr="00D95ECA">
              <w:rPr>
                <w:rFonts w:ascii="Palatino Linotype" w:eastAsia="Times New Roman" w:hAnsi="Palatino Linotype" w:cs="Times New Roman"/>
              </w:rPr>
              <w:t>PEK</w:t>
            </w:r>
            <w:r w:rsidR="0020552B" w:rsidRPr="00D95ECA">
              <w:rPr>
                <w:rFonts w:ascii="Palatino Linotype" w:eastAsia="Times New Roman" w:hAnsi="Palatino Linotype" w:cs="Times New Roman"/>
              </w:rPr>
              <w:t>, Peter STACHURA</w:t>
            </w:r>
            <w:r w:rsidR="00E441FF" w:rsidRPr="00D95ECA">
              <w:rPr>
                <w:rFonts w:ascii="Palatino Linotype" w:eastAsia="Times New Roman" w:hAnsi="Palatino Linotype" w:cs="Times New Roman"/>
              </w:rPr>
              <w:t xml:space="preserve"> a Jozef HAJKO</w:t>
            </w:r>
          </w:p>
        </w:tc>
      </w:tr>
      <w:tr w:rsidR="000B1836" w:rsidRPr="00D95ECA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D95ECA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D95ECA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48B4208B" w:rsidR="000B1836" w:rsidRPr="00D95ECA" w:rsidRDefault="003B07AE" w:rsidP="00E441FF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0B1836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aktuálnej právnej úprav</w:t>
            </w:r>
            <w:r w:rsidR="00022EE4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e zákona o</w:t>
            </w:r>
            <w:r w:rsidR="00E441FF" w:rsidRPr="00D95ECA">
              <w:rPr>
                <w:rFonts w:ascii="Palatino Linotype" w:eastAsia="Times New Roman" w:hAnsi="Palatino Linotype" w:cs="Times New Roman"/>
              </w:rPr>
              <w:t xml:space="preserve"> hazardných hrách</w:t>
            </w:r>
            <w:r w:rsidR="00877CF2" w:rsidRPr="00D95ECA">
              <w:rPr>
                <w:rFonts w:ascii="Palatino Linotype" w:eastAsia="Times New Roman" w:hAnsi="Palatino Linotype" w:cs="Times New Roman"/>
              </w:rPr>
              <w:t xml:space="preserve"> nie </w:t>
            </w:r>
            <w:r w:rsidR="00877CF2" w:rsidRPr="00D95ECA">
              <w:rPr>
                <w:rFonts w:ascii="Palatino Linotype" w:hAnsi="Palatino Linotype"/>
              </w:rPr>
              <w:t>sú upravené povinnosti vo vzťahu k </w:t>
            </w:r>
            <w:r w:rsidR="002F05E1" w:rsidRPr="00D95ECA">
              <w:rPr>
                <w:rFonts w:ascii="Palatino Linotype" w:hAnsi="Palatino Linotype"/>
              </w:rPr>
              <w:t>obmedzeniu marketingových aktiví</w:t>
            </w:r>
            <w:r w:rsidR="00877CF2" w:rsidRPr="00D95ECA">
              <w:rPr>
                <w:rFonts w:ascii="Palatino Linotype" w:hAnsi="Palatino Linotype"/>
              </w:rPr>
              <w:t>t prevádzko</w:t>
            </w:r>
            <w:r w:rsidR="002F05E1" w:rsidRPr="00D95ECA">
              <w:rPr>
                <w:rFonts w:ascii="Palatino Linotype" w:hAnsi="Palatino Linotype"/>
              </w:rPr>
              <w:t>vateľov hazardných hier a oboznamovaniu</w:t>
            </w:r>
            <w:r w:rsidR="00877CF2" w:rsidRPr="00D95ECA">
              <w:rPr>
                <w:rFonts w:ascii="Palatino Linotype" w:hAnsi="Palatino Linotype"/>
              </w:rPr>
              <w:t xml:space="preserve"> jednotlivých hráčov so stavom hráčskeho konta. </w:t>
            </w:r>
          </w:p>
        </w:tc>
      </w:tr>
      <w:tr w:rsidR="000B1836" w:rsidRPr="00D95ECA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D95ECA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259EF" w14:textId="00B220B8" w:rsidR="000B1836" w:rsidRPr="00D95ECA" w:rsidRDefault="00877CF2" w:rsidP="002F05E1">
            <w:pPr>
              <w:jc w:val="both"/>
              <w:rPr>
                <w:rFonts w:ascii="Palatino Linotype" w:eastAsia="Times New Roman" w:hAnsi="Palatino Linotype" w:cs="Times New Roman"/>
                <w:iCs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</w:rPr>
              <w:t>Návrh zákona sleduje legitímny cieľ ochrany zdravia obyvateľstva a prevencie závislostí na h</w:t>
            </w:r>
            <w:r w:rsidR="002F05E1" w:rsidRPr="00D95ECA">
              <w:rPr>
                <w:rFonts w:ascii="Palatino Linotype" w:eastAsia="Times New Roman" w:hAnsi="Palatino Linotype" w:cs="Times New Roman"/>
                <w:iCs/>
              </w:rPr>
              <w:t xml:space="preserve">azardných hrách prostredníctvom </w:t>
            </w:r>
            <w:r w:rsidRPr="00D95ECA">
              <w:rPr>
                <w:rFonts w:ascii="Palatino Linotype" w:eastAsia="Times New Roman" w:hAnsi="Palatino Linotype" w:cs="Times New Roman"/>
                <w:iCs/>
              </w:rPr>
              <w:t>posilnenia transparentnosti a informovanosti hráčov o ich hernej aktivite (mesačné výpisy).</w:t>
            </w:r>
          </w:p>
        </w:tc>
      </w:tr>
      <w:tr w:rsidR="000B1836" w:rsidRPr="00D95ECA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D95ECA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4BEE5EA2" w:rsidR="000B1836" w:rsidRPr="00D95ECA" w:rsidRDefault="000B1836" w:rsidP="00022EE4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20552B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prevádzkovateľov </w:t>
            </w:r>
            <w:r w:rsidR="002F05E1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oprávnených</w:t>
            </w:r>
            <w:r w:rsidR="00877CF2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prevádzkovať hazardné hry na území </w:t>
            </w: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Slovenskej republik</w:t>
            </w:r>
            <w:r w:rsidR="00877CF2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y</w:t>
            </w: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.</w:t>
            </w:r>
          </w:p>
        </w:tc>
      </w:tr>
      <w:tr w:rsidR="000B1836" w:rsidRPr="00D95ECA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D95ECA" w14:paraId="08224EC4" w14:textId="77777777" w:rsidTr="004C0058">
        <w:trPr>
          <w:trHeight w:val="93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018F" w14:textId="7068708B" w:rsidR="000B1836" w:rsidRPr="00D95ECA" w:rsidRDefault="002F05E1" w:rsidP="002F05E1">
            <w:pPr>
              <w:jc w:val="both"/>
              <w:rPr>
                <w:rFonts w:ascii="Palatino Linotype" w:eastAsia="Times New Roman" w:hAnsi="Palatino Linotype" w:cs="Times New Roman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Nulový variant by znamenal prehlbovanie dopadov</w:t>
            </w:r>
            <w:r w:rsidR="004C0058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4C0058" w:rsidRPr="00D95ECA">
              <w:rPr>
                <w:rFonts w:ascii="Palatino Linotype" w:hAnsi="Palatino Linotype"/>
              </w:rPr>
              <w:t>negatívnych spoločenských javov a</w:t>
            </w:r>
            <w:r w:rsidRPr="00D95ECA">
              <w:rPr>
                <w:rFonts w:ascii="Palatino Linotype" w:hAnsi="Palatino Linotype"/>
              </w:rPr>
              <w:t> ďalšiu stagnáciu</w:t>
            </w:r>
            <w:r w:rsidR="004C0058" w:rsidRPr="00D95ECA">
              <w:rPr>
                <w:rFonts w:ascii="Palatino Linotype" w:hAnsi="Palatino Linotype"/>
              </w:rPr>
              <w:t xml:space="preserve">  ochra</w:t>
            </w:r>
            <w:r w:rsidRPr="00D95ECA">
              <w:rPr>
                <w:rFonts w:ascii="Palatino Linotype" w:hAnsi="Palatino Linotype"/>
              </w:rPr>
              <w:t>ny</w:t>
            </w:r>
            <w:r w:rsidR="004C0058" w:rsidRPr="00D95ECA">
              <w:rPr>
                <w:rFonts w:ascii="Palatino Linotype" w:hAnsi="Palatino Linotype"/>
              </w:rPr>
              <w:t xml:space="preserve"> zraniteľných skupín pred škodlivými vplyvmi hazardných hier.</w:t>
            </w:r>
          </w:p>
        </w:tc>
      </w:tr>
      <w:tr w:rsidR="000B1836" w:rsidRPr="00D95ECA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D95ECA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D95ECA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D95ECA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D95ECA" w:rsidRDefault="000B1836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D95ECA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D95EC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D95ECA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D95ECA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1B1E5778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Navrhujeme preskúmanie účinnosti a účelnosti a zároveň vyhodnotenie vplyvov tejt</w:t>
            </w:r>
            <w:r w:rsidR="00022EE4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o právnej úpravy </w:t>
            </w:r>
            <w:r w:rsidR="002F05E1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čo sa týka počtu závislých hráčov, nákladov na ich liečbu a objemu prestávkovaných finančných prostriedkov </w:t>
            </w:r>
            <w:r w:rsidR="00022EE4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po </w:t>
            </w:r>
            <w:r w:rsidR="002F05E1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troch rokoch</w:t>
            </w: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od jej prijatia.</w:t>
            </w:r>
          </w:p>
          <w:p w14:paraId="064EFAAB" w14:textId="3BAC70A1" w:rsidR="000B1836" w:rsidRPr="00D95ECA" w:rsidRDefault="000B1836" w:rsidP="00877CF2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</w:tc>
      </w:tr>
      <w:tr w:rsidR="000B1836" w:rsidRPr="00D95ECA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Vybrané vplyvy materiálu</w:t>
            </w:r>
          </w:p>
        </w:tc>
      </w:tr>
      <w:tr w:rsidR="000B1836" w:rsidRPr="00D95ECA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01017B3D" w:rsidR="000B1836" w:rsidRPr="00D95EC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564F9ABE" w:rsidR="000B1836" w:rsidRPr="00D95EC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58B9D9F7" w:rsidR="000B1836" w:rsidRPr="00D95ECA" w:rsidRDefault="002F05E1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D95EC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D95ECA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D95EC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D95EC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D95ECA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lastRenderedPageBreak/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D95EC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D95EC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D95ECA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D95EC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D95ECA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D95ECA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D95ECA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D95ECA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0C226E80" w:rsidR="000B1836" w:rsidRPr="00D95EC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6978869E" w:rsidR="000B1836" w:rsidRPr="00D95ECA" w:rsidRDefault="004C0058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4512A3F6" w:rsidR="000B1836" w:rsidRPr="00D95ECA" w:rsidRDefault="004C0058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D95EC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D95ECA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D95EC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D95EC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D95ECA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D95ECA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D95EC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D95ECA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D95EC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D95ECA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D95EC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D95ECA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D95EC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D95ECA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4208B" w14:textId="77777777" w:rsidR="000B1836" w:rsidRPr="00D95ECA" w:rsidRDefault="000B1836" w:rsidP="003B7B2C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578E" w14:textId="77777777" w:rsidR="000B1836" w:rsidRPr="00D95EC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9B02" w14:textId="77777777" w:rsidR="000B1836" w:rsidRPr="00D95EC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6CF3" w14:textId="77777777" w:rsidR="000B1836" w:rsidRPr="00D95EC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37C39" w14:textId="77777777" w:rsidR="000B1836" w:rsidRPr="00D95ECA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1574C" w14:textId="77777777" w:rsidR="000B1836" w:rsidRPr="00D95EC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D95ECA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D95ECA" w:rsidRDefault="000B1836" w:rsidP="003B7B2C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A03A00" w14:textId="1594BBBE" w:rsidR="000B1836" w:rsidRPr="00D95EC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E01A4" w14:textId="77777777" w:rsidR="000B1836" w:rsidRPr="00D95ECA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F1E324" w14:textId="76FC0651" w:rsidR="000B1836" w:rsidRPr="00D95ECA" w:rsidRDefault="00022EE4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A3D1DD" w14:textId="77777777" w:rsidR="000B1836" w:rsidRPr="00D95ECA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B6F9CE" w14:textId="77777777" w:rsidR="000B1836" w:rsidRPr="00D95ECA" w:rsidRDefault="000B1836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A2AAE" w14:textId="77777777" w:rsidR="000B1836" w:rsidRPr="00D95ECA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D95ECA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5371E110" w:rsidR="000B1836" w:rsidRPr="00D95EC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D95ECA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62BCBED9" w:rsidR="000B1836" w:rsidRPr="00D95ECA" w:rsidRDefault="002F05E1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D95ECA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D95ECA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D95ECA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D95ECA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D95ECA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F11" w14:textId="05BA1925" w:rsidR="000B1836" w:rsidRPr="00D95ECA" w:rsidRDefault="00124B59" w:rsidP="002F05E1">
            <w:pPr>
              <w:tabs>
                <w:tab w:val="left" w:pos="708"/>
              </w:tabs>
              <w:spacing w:after="120" w:line="276" w:lineRule="auto"/>
              <w:jc w:val="both"/>
              <w:rPr>
                <w:rFonts w:ascii="Palatino Linotype" w:eastAsia="Times New Roman" w:hAnsi="Palatino Linotype" w:cs="Times New Roman"/>
              </w:rPr>
            </w:pPr>
            <w:r w:rsidRPr="00D95ECA">
              <w:rPr>
                <w:rFonts w:ascii="Palatino Linotype" w:eastAsia="Times New Roman" w:hAnsi="Palatino Linotype" w:cs="Times New Roman"/>
              </w:rPr>
              <w:t>Návrh zákona má pozitívne sociálne vplyvy</w:t>
            </w:r>
            <w:r w:rsidR="009276D9" w:rsidRPr="00D95ECA">
              <w:rPr>
                <w:rFonts w:ascii="Palatino Linotype" w:eastAsia="Times New Roman" w:hAnsi="Palatino Linotype" w:cs="Times New Roman"/>
              </w:rPr>
              <w:t xml:space="preserve"> a nepriamo aj pozitívne</w:t>
            </w:r>
            <w:r w:rsidR="0057550C" w:rsidRPr="00D95ECA">
              <w:rPr>
                <w:rFonts w:ascii="Palatino Linotype" w:eastAsia="Times New Roman" w:hAnsi="Palatino Linotype" w:cs="Times New Roman"/>
              </w:rPr>
              <w:t xml:space="preserve"> vplyv</w:t>
            </w:r>
            <w:r w:rsidR="009276D9" w:rsidRPr="00D95ECA">
              <w:rPr>
                <w:rFonts w:ascii="Palatino Linotype" w:eastAsia="Times New Roman" w:hAnsi="Palatino Linotype" w:cs="Times New Roman"/>
              </w:rPr>
              <w:t>y na služby verejnej správy pre občana</w:t>
            </w:r>
            <w:r w:rsidRPr="00D95ECA">
              <w:rPr>
                <w:rFonts w:ascii="Palatino Linotype" w:eastAsia="Times New Roman" w:hAnsi="Palatino Linotype" w:cs="Times New Roman"/>
              </w:rPr>
              <w:t xml:space="preserve">. </w:t>
            </w:r>
            <w:r w:rsidR="002F05E1" w:rsidRPr="00D95ECA">
              <w:rPr>
                <w:rFonts w:ascii="Palatino Linotype" w:eastAsia="Times New Roman" w:hAnsi="Palatino Linotype" w:cs="Times New Roman"/>
              </w:rPr>
              <w:t xml:space="preserve">Návrh zákona má pozitívne sociálne vplyvy a pozitívny vplyv na služby verejnej správy pre občana a na manželstvo, rodičovstvo a rodinu ohľadom predpokladaného nižšieho počtu gamblingom finančne ohrozených rodín. Návrh zákona má mierne negatívny vplyv na úzky segment podnikateľského prostredia, krátkodobo negatívny no strednodobo a dlhodobo pozitívny vplyv na rozpočet verejnej správy, keďže spoločnosť vynaloží podstatne menšie náklady na liečbu menšieho počtu závislých osôb. Navrhovaná úprava vytvorí tlak na robustnejšiu informatizáciu u podnikateľov pôsobiacich v tomto vysokoregulovanom a spoločensky rizikovom odvetví. </w:t>
            </w:r>
          </w:p>
        </w:tc>
      </w:tr>
      <w:tr w:rsidR="000B1836" w:rsidRPr="00D95ECA" w14:paraId="581B5F3A" w14:textId="77777777" w:rsidTr="003B7B2C">
        <w:tc>
          <w:tcPr>
            <w:tcW w:w="9176" w:type="dxa"/>
          </w:tcPr>
          <w:p w14:paraId="5ACBD0F0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D95ECA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D95ECA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D95ECA" w14:paraId="7A21A6CD" w14:textId="77777777" w:rsidTr="003B7B2C">
        <w:tc>
          <w:tcPr>
            <w:tcW w:w="9176" w:type="dxa"/>
          </w:tcPr>
          <w:p w14:paraId="4004258F" w14:textId="77777777" w:rsidR="000B1836" w:rsidRPr="00D95ECA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D95ECA">
              <w:rPr>
                <w:rFonts w:ascii="Palatino Linotype" w:eastAsia="Calibri" w:hAnsi="Palatino Linotype" w:cs="Times New Roman"/>
                <w:b/>
              </w:rPr>
              <w:t>Stanovisko gestorov</w:t>
            </w:r>
          </w:p>
        </w:tc>
      </w:tr>
      <w:tr w:rsidR="000B1836" w:rsidRPr="00D95ECA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119D3CE0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</w:t>
            </w:r>
            <w:r w:rsidR="0020552B"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5B4E4CBD" w:rsidR="000B1836" w:rsidRPr="00D95ECA" w:rsidRDefault="000B1836" w:rsidP="009276D9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D95ECA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</w:t>
            </w:r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5ECA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D95ECA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D95ECA" w:rsidRDefault="000B1836" w:rsidP="003B7B2C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F8FF" w14:textId="77777777" w:rsidR="000B2B86" w:rsidRPr="00D95ECA" w:rsidRDefault="000B2B86" w:rsidP="00C97949">
      <w:pPr>
        <w:spacing w:after="0" w:line="240" w:lineRule="auto"/>
      </w:pPr>
      <w:r w:rsidRPr="00D95ECA">
        <w:separator/>
      </w:r>
    </w:p>
  </w:endnote>
  <w:endnote w:type="continuationSeparator" w:id="0">
    <w:p w14:paraId="274843CE" w14:textId="77777777" w:rsidR="000B2B86" w:rsidRPr="00D95ECA" w:rsidRDefault="000B2B86" w:rsidP="00C97949">
      <w:pPr>
        <w:spacing w:after="0" w:line="240" w:lineRule="auto"/>
      </w:pPr>
      <w:r w:rsidRPr="00D95E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BF00882" w:rsidR="00C97949" w:rsidRPr="00D95ECA" w:rsidRDefault="00C97949">
        <w:pPr>
          <w:pStyle w:val="Footer"/>
          <w:jc w:val="center"/>
        </w:pPr>
        <w:r w:rsidRPr="00D95ECA">
          <w:fldChar w:fldCharType="begin"/>
        </w:r>
        <w:r w:rsidRPr="00D95ECA">
          <w:instrText>PAGE   \* MERGEFORMAT</w:instrText>
        </w:r>
        <w:r w:rsidRPr="00D95ECA">
          <w:fldChar w:fldCharType="separate"/>
        </w:r>
        <w:r w:rsidR="003772D4" w:rsidRPr="00D95ECA">
          <w:t>2</w:t>
        </w:r>
        <w:r w:rsidRPr="00D95ECA">
          <w:fldChar w:fldCharType="end"/>
        </w:r>
      </w:p>
    </w:sdtContent>
  </w:sdt>
  <w:p w14:paraId="4074F35F" w14:textId="77777777" w:rsidR="00C97949" w:rsidRPr="00D95ECA" w:rsidRDefault="00C9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B264" w14:textId="77777777" w:rsidR="000B2B86" w:rsidRPr="00D95ECA" w:rsidRDefault="000B2B86" w:rsidP="00C97949">
      <w:pPr>
        <w:spacing w:after="0" w:line="240" w:lineRule="auto"/>
      </w:pPr>
      <w:r w:rsidRPr="00D95ECA">
        <w:separator/>
      </w:r>
    </w:p>
  </w:footnote>
  <w:footnote w:type="continuationSeparator" w:id="0">
    <w:p w14:paraId="5A296D5D" w14:textId="77777777" w:rsidR="000B2B86" w:rsidRPr="00D95ECA" w:rsidRDefault="000B2B86" w:rsidP="00C97949">
      <w:pPr>
        <w:spacing w:after="0" w:line="240" w:lineRule="auto"/>
      </w:pPr>
      <w:r w:rsidRPr="00D95EC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8D63B61"/>
    <w:multiLevelType w:val="hybridMultilevel"/>
    <w:tmpl w:val="E564E666"/>
    <w:lvl w:ilvl="0" w:tplc="C1EADD28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3971A9C"/>
    <w:multiLevelType w:val="hybridMultilevel"/>
    <w:tmpl w:val="CAB07844"/>
    <w:lvl w:ilvl="0" w:tplc="C19C165A">
      <w:start w:val="81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77B6F"/>
    <w:multiLevelType w:val="multilevel"/>
    <w:tmpl w:val="4E1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3033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152846">
    <w:abstractNumId w:val="4"/>
  </w:num>
  <w:num w:numId="3" w16cid:durableId="967784632">
    <w:abstractNumId w:val="2"/>
  </w:num>
  <w:num w:numId="4" w16cid:durableId="1615744044">
    <w:abstractNumId w:val="6"/>
  </w:num>
  <w:num w:numId="5" w16cid:durableId="1521580565">
    <w:abstractNumId w:val="1"/>
  </w:num>
  <w:num w:numId="6" w16cid:durableId="510950245">
    <w:abstractNumId w:val="8"/>
  </w:num>
  <w:num w:numId="7" w16cid:durableId="953907916">
    <w:abstractNumId w:val="5"/>
  </w:num>
  <w:num w:numId="8" w16cid:durableId="1061170859">
    <w:abstractNumId w:val="3"/>
  </w:num>
  <w:num w:numId="9" w16cid:durableId="6118658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2109"/>
    <w:rsid w:val="00015936"/>
    <w:rsid w:val="00022EE4"/>
    <w:rsid w:val="00023FB8"/>
    <w:rsid w:val="000252FD"/>
    <w:rsid w:val="0004373E"/>
    <w:rsid w:val="00046726"/>
    <w:rsid w:val="00073ED5"/>
    <w:rsid w:val="000B1836"/>
    <w:rsid w:val="000B2B86"/>
    <w:rsid w:val="000C622B"/>
    <w:rsid w:val="000D0E98"/>
    <w:rsid w:val="000D7AAE"/>
    <w:rsid w:val="000E0BA2"/>
    <w:rsid w:val="00124B59"/>
    <w:rsid w:val="001338D5"/>
    <w:rsid w:val="00191F05"/>
    <w:rsid w:val="00195FF4"/>
    <w:rsid w:val="001A3650"/>
    <w:rsid w:val="001A762C"/>
    <w:rsid w:val="001B5702"/>
    <w:rsid w:val="001C7D83"/>
    <w:rsid w:val="001D0220"/>
    <w:rsid w:val="001F02BF"/>
    <w:rsid w:val="0020552B"/>
    <w:rsid w:val="00212ECE"/>
    <w:rsid w:val="00255EB4"/>
    <w:rsid w:val="00263A5E"/>
    <w:rsid w:val="002F05E1"/>
    <w:rsid w:val="00314963"/>
    <w:rsid w:val="0032015D"/>
    <w:rsid w:val="00323127"/>
    <w:rsid w:val="00323776"/>
    <w:rsid w:val="00323CD1"/>
    <w:rsid w:val="00332D23"/>
    <w:rsid w:val="00334D0C"/>
    <w:rsid w:val="00360A1A"/>
    <w:rsid w:val="003772D4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17A49"/>
    <w:rsid w:val="00430AB9"/>
    <w:rsid w:val="004777CE"/>
    <w:rsid w:val="00491E60"/>
    <w:rsid w:val="00494300"/>
    <w:rsid w:val="00495A08"/>
    <w:rsid w:val="004B2AC7"/>
    <w:rsid w:val="004C0058"/>
    <w:rsid w:val="004D4247"/>
    <w:rsid w:val="004D7D42"/>
    <w:rsid w:val="004E0F11"/>
    <w:rsid w:val="004E491F"/>
    <w:rsid w:val="00511344"/>
    <w:rsid w:val="00517DFD"/>
    <w:rsid w:val="0057550C"/>
    <w:rsid w:val="005F0011"/>
    <w:rsid w:val="005F5C4B"/>
    <w:rsid w:val="00632E26"/>
    <w:rsid w:val="006539EC"/>
    <w:rsid w:val="006540D6"/>
    <w:rsid w:val="006606D3"/>
    <w:rsid w:val="00662B02"/>
    <w:rsid w:val="006833D9"/>
    <w:rsid w:val="00687DAD"/>
    <w:rsid w:val="0069020B"/>
    <w:rsid w:val="006B5026"/>
    <w:rsid w:val="006D1C1F"/>
    <w:rsid w:val="006E1586"/>
    <w:rsid w:val="006F2637"/>
    <w:rsid w:val="006F7B9F"/>
    <w:rsid w:val="00722FF7"/>
    <w:rsid w:val="007253B8"/>
    <w:rsid w:val="007838BE"/>
    <w:rsid w:val="00791118"/>
    <w:rsid w:val="007D4164"/>
    <w:rsid w:val="008003F2"/>
    <w:rsid w:val="00802C5B"/>
    <w:rsid w:val="008153C3"/>
    <w:rsid w:val="00824413"/>
    <w:rsid w:val="008279A2"/>
    <w:rsid w:val="00840629"/>
    <w:rsid w:val="00844FFC"/>
    <w:rsid w:val="00861111"/>
    <w:rsid w:val="00872C88"/>
    <w:rsid w:val="008736B2"/>
    <w:rsid w:val="008756DD"/>
    <w:rsid w:val="00877CF2"/>
    <w:rsid w:val="008B1E22"/>
    <w:rsid w:val="008C18CD"/>
    <w:rsid w:val="00911A32"/>
    <w:rsid w:val="0092111D"/>
    <w:rsid w:val="00922152"/>
    <w:rsid w:val="009276D9"/>
    <w:rsid w:val="009301E4"/>
    <w:rsid w:val="0093231F"/>
    <w:rsid w:val="00962AEC"/>
    <w:rsid w:val="00964F40"/>
    <w:rsid w:val="00983F2C"/>
    <w:rsid w:val="0099219C"/>
    <w:rsid w:val="00993083"/>
    <w:rsid w:val="009A375B"/>
    <w:rsid w:val="009B0D93"/>
    <w:rsid w:val="009D60D8"/>
    <w:rsid w:val="00A10234"/>
    <w:rsid w:val="00A11232"/>
    <w:rsid w:val="00A12E27"/>
    <w:rsid w:val="00A51A9F"/>
    <w:rsid w:val="00A75AE5"/>
    <w:rsid w:val="00A76493"/>
    <w:rsid w:val="00A77F33"/>
    <w:rsid w:val="00A94421"/>
    <w:rsid w:val="00AB1268"/>
    <w:rsid w:val="00AE0A03"/>
    <w:rsid w:val="00AE1574"/>
    <w:rsid w:val="00AF0B6F"/>
    <w:rsid w:val="00B06908"/>
    <w:rsid w:val="00B14A4C"/>
    <w:rsid w:val="00B16A7A"/>
    <w:rsid w:val="00B16F89"/>
    <w:rsid w:val="00B33B15"/>
    <w:rsid w:val="00B359B8"/>
    <w:rsid w:val="00B576F5"/>
    <w:rsid w:val="00B63A0B"/>
    <w:rsid w:val="00B76A1E"/>
    <w:rsid w:val="00BA0A65"/>
    <w:rsid w:val="00BB6162"/>
    <w:rsid w:val="00BB6AD9"/>
    <w:rsid w:val="00BC4D1D"/>
    <w:rsid w:val="00BF73EB"/>
    <w:rsid w:val="00C02CF5"/>
    <w:rsid w:val="00C1796F"/>
    <w:rsid w:val="00C24F12"/>
    <w:rsid w:val="00C27E0B"/>
    <w:rsid w:val="00C4043A"/>
    <w:rsid w:val="00C45583"/>
    <w:rsid w:val="00C50256"/>
    <w:rsid w:val="00C71033"/>
    <w:rsid w:val="00C73239"/>
    <w:rsid w:val="00C82282"/>
    <w:rsid w:val="00C95AD7"/>
    <w:rsid w:val="00C97949"/>
    <w:rsid w:val="00CA1C34"/>
    <w:rsid w:val="00CB050B"/>
    <w:rsid w:val="00CC08C0"/>
    <w:rsid w:val="00CC77C3"/>
    <w:rsid w:val="00D04475"/>
    <w:rsid w:val="00D12CA7"/>
    <w:rsid w:val="00D16297"/>
    <w:rsid w:val="00D311BE"/>
    <w:rsid w:val="00D40EB7"/>
    <w:rsid w:val="00D53140"/>
    <w:rsid w:val="00D6657D"/>
    <w:rsid w:val="00D753D0"/>
    <w:rsid w:val="00D77E2C"/>
    <w:rsid w:val="00D95ECA"/>
    <w:rsid w:val="00DA7765"/>
    <w:rsid w:val="00DF0474"/>
    <w:rsid w:val="00DF0CE7"/>
    <w:rsid w:val="00DF1BCB"/>
    <w:rsid w:val="00DF2B12"/>
    <w:rsid w:val="00E01463"/>
    <w:rsid w:val="00E01592"/>
    <w:rsid w:val="00E04FD2"/>
    <w:rsid w:val="00E064DE"/>
    <w:rsid w:val="00E22E81"/>
    <w:rsid w:val="00E27B2F"/>
    <w:rsid w:val="00E4327A"/>
    <w:rsid w:val="00E441FF"/>
    <w:rsid w:val="00E579F6"/>
    <w:rsid w:val="00E74B8A"/>
    <w:rsid w:val="00E76879"/>
    <w:rsid w:val="00EB20F0"/>
    <w:rsid w:val="00ED6DB9"/>
    <w:rsid w:val="00EE4BF0"/>
    <w:rsid w:val="00F069B1"/>
    <w:rsid w:val="00F5232F"/>
    <w:rsid w:val="00F6079B"/>
    <w:rsid w:val="00F632D4"/>
    <w:rsid w:val="00F63406"/>
    <w:rsid w:val="00F70678"/>
    <w:rsid w:val="00F71E63"/>
    <w:rsid w:val="00F77280"/>
    <w:rsid w:val="00F82401"/>
    <w:rsid w:val="00F87FA8"/>
    <w:rsid w:val="00F95639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aliases w:val="webb"/>
    <w:basedOn w:val="Normal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al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DefaultParagraphFont"/>
    <w:rsid w:val="003B2158"/>
  </w:style>
  <w:style w:type="paragraph" w:styleId="ListParagraph">
    <w:name w:val="List Paragraph"/>
    <w:basedOn w:val="Normal"/>
    <w:uiPriority w:val="34"/>
    <w:qFormat/>
    <w:rsid w:val="00387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49"/>
  </w:style>
  <w:style w:type="character" w:styleId="Hyperlink">
    <w:name w:val="Hyperlink"/>
    <w:basedOn w:val="DefaultParagraphFont"/>
    <w:uiPriority w:val="99"/>
    <w:semiHidden/>
    <w:unhideWhenUsed/>
    <w:rsid w:val="00B1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TableNormal"/>
    <w:next w:val="TableGrid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7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1367</Words>
  <Characters>7798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4</cp:revision>
  <cp:lastPrinted>2024-01-10T13:55:00Z</cp:lastPrinted>
  <dcterms:created xsi:type="dcterms:W3CDTF">2025-08-20T14:15:00Z</dcterms:created>
  <dcterms:modified xsi:type="dcterms:W3CDTF">2025-08-22T07:22:00Z</dcterms:modified>
</cp:coreProperties>
</file>