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mallCaps w:val="1"/>
          <w:sz w:val="24"/>
          <w:szCs w:val="24"/>
          <w:highlight w:val="white"/>
        </w:rPr>
      </w:pPr>
      <w:r w:rsidDel="00000000" w:rsidR="00000000" w:rsidRPr="00000000">
        <w:rPr>
          <w:rFonts w:ascii="Times New Roman" w:cs="Times New Roman" w:eastAsia="Times New Roman" w:hAnsi="Times New Roman"/>
          <w:b w:val="1"/>
          <w:smallCaps w:val="1"/>
          <w:sz w:val="24"/>
          <w:szCs w:val="24"/>
          <w:highlight w:val="white"/>
          <w:rtl w:val="0"/>
        </w:rPr>
        <w:t xml:space="preserve">DÔVODOVÁ SPRÁVA</w:t>
      </w:r>
    </w:p>
    <w:p w:rsidR="00000000" w:rsidDel="00000000" w:rsidP="00000000" w:rsidRDefault="00000000" w:rsidRPr="00000000" w14:paraId="00000002">
      <w:pPr>
        <w:spacing w:after="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Všeobecná časť</w:t>
      </w:r>
    </w:p>
    <w:p w:rsidR="00000000" w:rsidDel="00000000" w:rsidP="00000000" w:rsidRDefault="00000000" w:rsidRPr="00000000" w14:paraId="00000004">
      <w:pPr>
        <w:spacing w:after="0" w:line="276" w:lineRule="auto"/>
        <w:ind w:firstLine="56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spacing w:after="0" w:line="276"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Poslankyne Lucia Plaváková a Zuzana Mesterová predkladajú na rokovanie Národnej rady Slovenskej republiky návrh zákona, ktorým sa mení a dopĺňa zákon č. 180/2014 Z. z. o podmienkach výkonu volebného práva a o zmene a doplnení niektorých zákonov v znení neskorších predpisov (ďalej len „návrh zákona“).</w:t>
      </w:r>
    </w:p>
    <w:p w:rsidR="00000000" w:rsidDel="00000000" w:rsidP="00000000" w:rsidRDefault="00000000" w:rsidRPr="00000000" w14:paraId="00000006">
      <w:pPr>
        <w:spacing w:after="0" w:line="276" w:lineRule="auto"/>
        <w:ind w:firstLine="56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spacing w:after="0" w:line="276"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Cieľom návrhu zákona je zabezpečenie výkonu volebného práva v prezidentských voľbách aj pre slovenských občanov a občianky žijúcich v zahraničí. Voľba zo zahraničia je už dnes zabezpečená vo voľbách do Národnej rady Slovenskej republiky, a to poštou. Táto forma sa však vzhľadom na dvojkolovú voľbu prezidenta či prezidentky Slovenskej republiky zabezpečuje pre tieto voľby ťažšie. Preto navrhujeme, aby voľba zo zahraničia bola umožnená prostredníctvom volebných miestností zriadených ministerstvom zahraničných vecí na zastupiteľských úradoch Slovenskej republiky. </w:t>
      </w:r>
    </w:p>
    <w:p w:rsidR="00000000" w:rsidDel="00000000" w:rsidP="00000000" w:rsidRDefault="00000000" w:rsidRPr="00000000" w14:paraId="00000008">
      <w:pPr>
        <w:spacing w:after="0" w:line="276" w:lineRule="auto"/>
        <w:ind w:firstLine="56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after="0" w:line="276"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Slováci a Slovenky žijúci v zahraničí dlhodobo apelujú na zabezpečenie možnosti voliť aj v prezidentských voľbách. Záujem Slovákov a Sloveniek vo voľbách zo zahraničia </w:t>
      </w:r>
      <w:r w:rsidDel="00000000" w:rsidR="00000000" w:rsidRPr="00000000">
        <w:rPr>
          <w:rFonts w:ascii="Times New Roman" w:cs="Times New Roman" w:eastAsia="Times New Roman" w:hAnsi="Times New Roman"/>
          <w:sz w:val="24"/>
          <w:szCs w:val="24"/>
          <w:highlight w:val="white"/>
          <w:rtl w:val="0"/>
        </w:rPr>
        <w:t xml:space="preserve">narastá </w:t>
      </w:r>
      <w:r w:rsidDel="00000000" w:rsidR="00000000" w:rsidRPr="00000000">
        <w:rPr>
          <w:rFonts w:ascii="Times New Roman" w:cs="Times New Roman" w:eastAsia="Times New Roman" w:hAnsi="Times New Roman"/>
          <w:sz w:val="24"/>
          <w:szCs w:val="24"/>
          <w:highlight w:val="white"/>
          <w:rtl w:val="0"/>
        </w:rPr>
        <w:t xml:space="preserve">a v posledných parlamentných voľbách prejavili rekordný záujem. O možnosť hlasovať poštou požiadalo 72 993 Slovákov a Sloveniek z viac ako 130 krajín. V parlamentných voľbách nakoniec odoslalo svoj hlas 58 779 voličov a voličiek (80,5 % zaregistrovaných). Počet odoslaných hlasov zo zahraničia v porovnaní so 48 925 odoslanými v roku 2020 vzrástol o 20,1 %. Hlasy zo zahraničia tvorili 1,95 % z celkového počtu platných hlasov. Z krajín s najväčším počtom hlasov: Česká republika (23 486), Spojené kráľovstvo (6 238), Nemecko (5 546); v prvej desiatke sú aj Rakúsko, Švajčiarsko, Holandsko, USA, Írsko, Belgicko a Francúzsko.</w:t>
      </w:r>
    </w:p>
    <w:p w:rsidR="00000000" w:rsidDel="00000000" w:rsidP="00000000" w:rsidRDefault="00000000" w:rsidRPr="00000000" w14:paraId="0000000A">
      <w:pPr>
        <w:spacing w:after="0"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after="0" w:line="276"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Podľa článku 101 ods. 1 a čl. 102 ods. 1 písm. a) Ústavy SR prezident reprezentuje Slovenskú republiku navonok. V rámci výkonu tejto svojej právomoci sa počas svojich zahraničných ciest zvyčajne stretáva aj so Slovákmi a Slovenkami žijúcimi v zahraničí. O to paradoxnejšie je, že práve títo občania a občianky majú obmedzenú možnosť voliť prezidenta či prezidentku Slovenskej republiky. Cieľom nášho návrhu je odstrániť tento nežiaduci stav, ktorý obmedzuje výkon volebného práva pre slovenských občanov a občianky žijúcich v zahraničí. </w:t>
      </w:r>
    </w:p>
    <w:p w:rsidR="00000000" w:rsidDel="00000000" w:rsidP="00000000" w:rsidRDefault="00000000" w:rsidRPr="00000000" w14:paraId="0000000C">
      <w:pPr>
        <w:spacing w:after="0"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after="0" w:line="276"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Predložený návrh zákona je v  súlade s  Ústavou Slovenskej republiky, ústavnými zákonmi a ostatnými všeobecne záväznými právnymi predpismi Slovenskej republiky, medzinárodnými zmluvami a inými medzinárodnými dokumentami, ktorými je Slovenská republika viazaná, ako aj s právom Európskej únie.</w:t>
      </w:r>
    </w:p>
    <w:p w:rsidR="00000000" w:rsidDel="00000000" w:rsidP="00000000" w:rsidRDefault="00000000" w:rsidRPr="00000000" w14:paraId="0000000E">
      <w:pPr>
        <w:spacing w:after="0" w:line="276" w:lineRule="auto"/>
        <w:ind w:firstLine="56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after="0" w:line="276" w:lineRule="auto"/>
        <w:ind w:firstLine="567"/>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Osobitná časť</w:t>
      </w:r>
    </w:p>
    <w:p w:rsidR="00000000" w:rsidDel="00000000" w:rsidP="00000000" w:rsidRDefault="00000000" w:rsidRPr="00000000" w14:paraId="00000012">
      <w:pPr>
        <w:spacing w:after="0" w:line="276" w:lineRule="auto"/>
        <w:jc w:val="both"/>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Čl. I</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1 a 2 </w:t>
      </w:r>
      <w:r w:rsidDel="00000000" w:rsidR="00000000" w:rsidRPr="00000000">
        <w:rPr>
          <w:rFonts w:ascii="Times New Roman" w:cs="Times New Roman" w:eastAsia="Times New Roman" w:hAnsi="Times New Roman"/>
          <w:sz w:val="24"/>
          <w:szCs w:val="24"/>
          <w:highlight w:val="white"/>
          <w:rtl w:val="0"/>
        </w:rPr>
        <w:t xml:space="preserve">[§ 8 ods. 1 a 2]</w:t>
      </w:r>
    </w:p>
    <w:p w:rsidR="00000000" w:rsidDel="00000000" w:rsidP="00000000" w:rsidRDefault="00000000" w:rsidRPr="00000000" w14:paraId="00000015">
      <w:pPr>
        <w:spacing w:after="0" w:line="276"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Zakotvuje sa právomoc ministerstva zahraničných vecí a európskych záležitostí Slovenskej republiky zriaďovať volebné okrsky a určovať volebné miestnosti v lehote uvedenej v rozhodnutí o vyhlásení volieb. V záujme zabezpečenia informovanosti voličov a voličiek v zahraničí sa tiež zakotvuje informačná povinnosť ministerstva zahraničných vecí a európskych záležitostí Slovenskej republiky. Ministerstvo zahraničných vecí a európskych záležitostí Slovenskej republiky má povinnosť najneskôr v posledný deň lehoty uvedenej v rozhodnutí o vyhlásení volieb zverejniť na svojom webovom sídle informáciu o utvorení volebných okrskov s vymedzením ich územného obvodu a informáciu o určení volebných miestností.</w:t>
      </w:r>
    </w:p>
    <w:p w:rsidR="00000000" w:rsidDel="00000000" w:rsidP="00000000" w:rsidRDefault="00000000" w:rsidRPr="00000000" w14:paraId="00000016">
      <w:pPr>
        <w:spacing w:after="0" w:line="276" w:lineRule="auto"/>
        <w:ind w:firstLine="708"/>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3 </w:t>
      </w:r>
      <w:r w:rsidDel="00000000" w:rsidR="00000000" w:rsidRPr="00000000">
        <w:rPr>
          <w:rFonts w:ascii="Times New Roman" w:cs="Times New Roman" w:eastAsia="Times New Roman" w:hAnsi="Times New Roman"/>
          <w:sz w:val="24"/>
          <w:szCs w:val="24"/>
          <w:highlight w:val="white"/>
          <w:rtl w:val="0"/>
        </w:rPr>
        <w:t xml:space="preserve">[§ 11c]</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Ustanovuje sa právomoc Ministerstva zahraničných vecí a európskych záležitostí Slovenskej republiky utvoriť a spravovať informačný systém s osobitným zoznamom voličov a voličiek pre účely voľby prezidenta Slovenskej republiky mimo územia Slovenskej republiky.</w:t>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4 </w:t>
      </w:r>
      <w:r w:rsidDel="00000000" w:rsidR="00000000" w:rsidRPr="00000000">
        <w:rPr>
          <w:rFonts w:ascii="Times New Roman" w:cs="Times New Roman" w:eastAsia="Times New Roman" w:hAnsi="Times New Roman"/>
          <w:sz w:val="24"/>
          <w:szCs w:val="24"/>
          <w:highlight w:val="white"/>
          <w:rtl w:val="0"/>
        </w:rPr>
        <w:t xml:space="preserve">[§ 12a]</w:t>
      </w:r>
    </w:p>
    <w:p w:rsidR="00000000" w:rsidDel="00000000" w:rsidP="00000000" w:rsidRDefault="00000000" w:rsidRPr="00000000" w14:paraId="0000001A">
      <w:pPr>
        <w:spacing w:after="0" w:line="276"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Dopĺňajú sa nové ustanovenia, ktoré upravujú výkon volebného práva mimo územia Slovenskej republiky vo voľbách prezidenta Slovenskej republiky. Predmetné ustanovenia § 12a zakotvujú splnomocňovacie ustanovenie, podľa ktorého právomoci okresných úradov či obcí podľa zákona pre účely výkonu volebného práva v zahraničí v prezidentských voľbách vykonáva ministerstvo zahraničných vecí. Zakotvuje sa tiež spôsob vytvárania volebných komisií.</w:t>
      </w:r>
    </w:p>
    <w:p w:rsidR="00000000" w:rsidDel="00000000" w:rsidP="00000000" w:rsidRDefault="00000000" w:rsidRPr="00000000" w14:paraId="0000001B">
      <w:pPr>
        <w:spacing w:after="0"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5 </w:t>
      </w:r>
      <w:r w:rsidDel="00000000" w:rsidR="00000000" w:rsidRPr="00000000">
        <w:rPr>
          <w:rFonts w:ascii="Times New Roman" w:cs="Times New Roman" w:eastAsia="Times New Roman" w:hAnsi="Times New Roman"/>
          <w:sz w:val="24"/>
          <w:szCs w:val="24"/>
          <w:highlight w:val="white"/>
          <w:rtl w:val="0"/>
        </w:rPr>
        <w:t xml:space="preserve">[§ 15 ods. 8]</w:t>
      </w:r>
    </w:p>
    <w:p w:rsidR="00000000" w:rsidDel="00000000" w:rsidP="00000000" w:rsidRDefault="00000000" w:rsidRPr="00000000" w14:paraId="0000001D">
      <w:pPr>
        <w:spacing w:after="0" w:line="276"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Zakotvuje sa právomoc ministerstva zahraničných vecí a európskych záležitostí Slovenskej republiky ako odborného a administratívneho útvaru štátnej komisie.</w:t>
      </w:r>
    </w:p>
    <w:p w:rsidR="00000000" w:rsidDel="00000000" w:rsidP="00000000" w:rsidRDefault="00000000" w:rsidRPr="00000000" w14:paraId="0000001E">
      <w:pPr>
        <w:spacing w:after="0"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6 </w:t>
      </w:r>
      <w:r w:rsidDel="00000000" w:rsidR="00000000" w:rsidRPr="00000000">
        <w:rPr>
          <w:rFonts w:ascii="Times New Roman" w:cs="Times New Roman" w:eastAsia="Times New Roman" w:hAnsi="Times New Roman"/>
          <w:sz w:val="24"/>
          <w:szCs w:val="24"/>
          <w:highlight w:val="white"/>
          <w:rtl w:val="0"/>
        </w:rPr>
        <w:t xml:space="preserve">[§ 21 ods. 5]</w:t>
      </w:r>
    </w:p>
    <w:p w:rsidR="00000000" w:rsidDel="00000000" w:rsidP="00000000" w:rsidRDefault="00000000" w:rsidRPr="00000000" w14:paraId="00000020">
      <w:pPr>
        <w:spacing w:after="0" w:line="276"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Stanovuje sa všeobecná informačná povinnosť ministerstva zahraničných vecí a európskych záležitostí Slovenskej republiky pre účely informovania voličov a voličiek nachádzajúcich sa mimo územia Slovenskej republiky. Informačnú povinnosť ministerstvo plní prostredníctvom svojho webového sídla. </w:t>
      </w:r>
    </w:p>
    <w:p w:rsidR="00000000" w:rsidDel="00000000" w:rsidP="00000000" w:rsidRDefault="00000000" w:rsidRPr="00000000" w14:paraId="00000021">
      <w:pPr>
        <w:spacing w:after="0" w:line="276"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7 </w:t>
      </w:r>
      <w:r w:rsidDel="00000000" w:rsidR="00000000" w:rsidRPr="00000000">
        <w:rPr>
          <w:rFonts w:ascii="Times New Roman" w:cs="Times New Roman" w:eastAsia="Times New Roman" w:hAnsi="Times New Roman"/>
          <w:sz w:val="24"/>
          <w:szCs w:val="24"/>
          <w:highlight w:val="white"/>
          <w:rtl w:val="0"/>
        </w:rPr>
        <w:t xml:space="preserve">[§ 36 ods. 6]</w:t>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Zakotvuje sa splnomocňovacie ustanovenie, podľa ktorého nároky členov a členiek volebných komisií mimo územia Slovenskej republiky určuje Ministerstvo zahraničných vecí a európskych záležitostí </w:t>
      </w:r>
      <w:r w:rsidDel="00000000" w:rsidR="00000000" w:rsidRPr="00000000">
        <w:rPr>
          <w:rFonts w:ascii="Times New Roman" w:cs="Times New Roman" w:eastAsia="Times New Roman" w:hAnsi="Times New Roman"/>
          <w:sz w:val="24"/>
          <w:szCs w:val="24"/>
          <w:highlight w:val="white"/>
          <w:rtl w:val="0"/>
        </w:rPr>
        <w:t xml:space="preserve">Slovenskej republiky </w:t>
      </w:r>
      <w:r w:rsidDel="00000000" w:rsidR="00000000" w:rsidRPr="00000000">
        <w:rPr>
          <w:rFonts w:ascii="Times New Roman" w:cs="Times New Roman" w:eastAsia="Times New Roman" w:hAnsi="Times New Roman"/>
          <w:sz w:val="24"/>
          <w:szCs w:val="24"/>
          <w:highlight w:val="white"/>
          <w:rtl w:val="0"/>
        </w:rPr>
        <w:t xml:space="preserve">všeobecne záväzným právnym predpisom.</w:t>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8 </w:t>
      </w:r>
      <w:r w:rsidDel="00000000" w:rsidR="00000000" w:rsidRPr="00000000">
        <w:rPr>
          <w:rFonts w:ascii="Times New Roman" w:cs="Times New Roman" w:eastAsia="Times New Roman" w:hAnsi="Times New Roman"/>
          <w:sz w:val="24"/>
          <w:szCs w:val="24"/>
          <w:highlight w:val="white"/>
          <w:rtl w:val="0"/>
        </w:rPr>
        <w:t xml:space="preserve">[§ 37 ods. 3]</w:t>
      </w:r>
    </w:p>
    <w:p w:rsidR="00000000" w:rsidDel="00000000" w:rsidP="00000000" w:rsidRDefault="00000000" w:rsidRPr="00000000" w14:paraId="00000025">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Ustanovuje sa, že ak Ministerstvo zahraničných vecí a európskych záležitostí Slovenskej republiky určilo podľa § 12a ods. 7 jeden alebo viacero subjektov, ktoré na území iného štátu plnia v mene ministerstva úlohy namiesto ministerstvo, usmerňuje tieto subjekty ministerstvo, a to vo veciach prípravy, vykonania a zisťovania výsledkov volieb.</w:t>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9 </w:t>
      </w:r>
      <w:r w:rsidDel="00000000" w:rsidR="00000000" w:rsidRPr="00000000">
        <w:rPr>
          <w:rFonts w:ascii="Times New Roman" w:cs="Times New Roman" w:eastAsia="Times New Roman" w:hAnsi="Times New Roman"/>
          <w:sz w:val="24"/>
          <w:szCs w:val="24"/>
          <w:highlight w:val="white"/>
          <w:rtl w:val="0"/>
        </w:rPr>
        <w:t xml:space="preserve">[§ 39 ods. 1]</w:t>
      </w:r>
    </w:p>
    <w:p w:rsidR="00000000" w:rsidDel="00000000" w:rsidP="00000000" w:rsidRDefault="00000000" w:rsidRPr="00000000" w14:paraId="00000027">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 účely volieb vykonávaných v zahraničí sa zakotvuje povinnosť odovzdať príslušné volebné dokumenty ministerstvu vnútra.</w:t>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10 </w:t>
      </w:r>
      <w:r w:rsidDel="00000000" w:rsidR="00000000" w:rsidRPr="00000000">
        <w:rPr>
          <w:rFonts w:ascii="Times New Roman" w:cs="Times New Roman" w:eastAsia="Times New Roman" w:hAnsi="Times New Roman"/>
          <w:sz w:val="24"/>
          <w:szCs w:val="24"/>
          <w:highlight w:val="white"/>
          <w:rtl w:val="0"/>
        </w:rPr>
        <w:t xml:space="preserve">[§ 99]</w:t>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Zakotvujú sa základné ustanovenia týkajúce sa osobitného zoznamu voličov a voličiek pre účely vykonávania volebného práva v zahraničí v prezidentských voľbách. Do osobitného zoznam sa volič alebo volička zapisuje na základe vlastnej žiadosti o voľbu v zahraničí. Žiadosť možno podať v listinnej forme alebo elektronicky.</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bodu 11 </w:t>
      </w:r>
      <w:r w:rsidDel="00000000" w:rsidR="00000000" w:rsidRPr="00000000">
        <w:rPr>
          <w:rFonts w:ascii="Times New Roman" w:cs="Times New Roman" w:eastAsia="Times New Roman" w:hAnsi="Times New Roman"/>
          <w:sz w:val="24"/>
          <w:szCs w:val="24"/>
          <w:highlight w:val="white"/>
          <w:rtl w:val="0"/>
        </w:rPr>
        <w:t xml:space="preserve">[§ 107a]</w:t>
      </w:r>
    </w:p>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Upravuje sa spôsob vykonania hlasovania v zahraničí. Volič alebo volička sa vo volebnej miestnosti preukazuje cestovným dokladom vydaným Slovenskou republikou.</w:t>
      </w:r>
    </w:p>
    <w:p w:rsidR="00000000" w:rsidDel="00000000" w:rsidP="00000000" w:rsidRDefault="00000000" w:rsidRPr="00000000" w14:paraId="0000002C">
      <w:pPr>
        <w:spacing w:after="0" w:line="276" w:lineRule="auto"/>
        <w:ind w:firstLine="708"/>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D">
      <w:pPr>
        <w:spacing w:after="0" w:line="276"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K Čl. II</w:t>
      </w:r>
    </w:p>
    <w:p w:rsidR="00000000" w:rsidDel="00000000" w:rsidP="00000000" w:rsidRDefault="00000000" w:rsidRPr="00000000" w14:paraId="0000002E">
      <w:pPr>
        <w:spacing w:after="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F">
      <w:pPr>
        <w:spacing w:line="27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 ohľadom na predpokladaný priebeh legislatívneho procesu sa navrhuje nadobudnutie účinnosti od 1. januára 2026.</w:t>
      </w:r>
    </w:p>
    <w:p w:rsidR="00000000" w:rsidDel="00000000" w:rsidP="00000000" w:rsidRDefault="00000000" w:rsidRPr="00000000" w14:paraId="00000030">
      <w:pPr>
        <w:spacing w:after="0" w:line="276" w:lineRule="auto"/>
        <w:ind w:firstLine="708"/>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spacing w:after="0" w:line="276" w:lineRule="auto"/>
        <w:ind w:firstLine="708"/>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32">
      <w:pPr>
        <w:spacing w:after="0" w:line="276" w:lineRule="auto"/>
        <w:ind w:firstLine="708"/>
        <w:jc w:val="center"/>
        <w:rPr>
          <w:rFonts w:ascii="Times New Roman" w:cs="Times New Roman" w:eastAsia="Times New Roman" w:hAnsi="Times New Roman"/>
          <w:sz w:val="24"/>
          <w:szCs w:val="24"/>
          <w:highlight w:val="white"/>
        </w:rPr>
      </w:pPr>
      <w:r w:rsidDel="00000000" w:rsidR="00000000" w:rsidRPr="00000000">
        <w:rPr>
          <w:rtl w:val="0"/>
        </w:rPr>
      </w:r>
    </w:p>
    <w:sectPr>
      <w:footerReference r:id="rId7" w:type="default"/>
      <w:pgSz w:h="16838" w:w="11906" w:orient="portrait"/>
      <w:pgMar w:bottom="1418" w:top="1418" w:left="1418" w:right="1418" w:header="510"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paragraph" w:styleId="Hlavika">
    <w:name w:val="header"/>
    <w:basedOn w:val="Normlny"/>
    <w:link w:val="HlavikaChar"/>
    <w:uiPriority w:val="99"/>
    <w:unhideWhenUsed w:val="1"/>
    <w:rsid w:val="00C53414"/>
    <w:pPr>
      <w:tabs>
        <w:tab w:val="center" w:pos="4536"/>
        <w:tab w:val="right" w:pos="9072"/>
      </w:tabs>
      <w:spacing w:after="0" w:line="240" w:lineRule="auto"/>
    </w:pPr>
  </w:style>
  <w:style w:type="character" w:styleId="HlavikaChar" w:customStyle="1">
    <w:name w:val="Hlavička Char"/>
    <w:basedOn w:val="Predvolenpsmoodseku"/>
    <w:link w:val="Hlavika"/>
    <w:uiPriority w:val="99"/>
    <w:rsid w:val="00C53414"/>
  </w:style>
  <w:style w:type="paragraph" w:styleId="Pta">
    <w:name w:val="footer"/>
    <w:basedOn w:val="Normlny"/>
    <w:link w:val="PtaChar"/>
    <w:uiPriority w:val="99"/>
    <w:unhideWhenUsed w:val="1"/>
    <w:rsid w:val="00C53414"/>
    <w:pPr>
      <w:tabs>
        <w:tab w:val="center" w:pos="4536"/>
        <w:tab w:val="right" w:pos="9072"/>
      </w:tabs>
      <w:spacing w:after="0" w:line="240" w:lineRule="auto"/>
    </w:pPr>
  </w:style>
  <w:style w:type="character" w:styleId="PtaChar" w:customStyle="1">
    <w:name w:val="Päta Char"/>
    <w:basedOn w:val="Predvolenpsmoodseku"/>
    <w:link w:val="Pta"/>
    <w:uiPriority w:val="99"/>
    <w:rsid w:val="00C53414"/>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val="1"/>
    <w:rsid w:val="00C53414"/>
    <w:pPr>
      <w:ind w:left="720"/>
      <w:contextualSpacing w:val="1"/>
    </w:pPr>
    <w:rPr>
      <w:rFonts w:cs="Times New Roman" w:eastAsia="Times New Roman"/>
    </w:rPr>
  </w:style>
  <w:style w:type="character" w:styleId="OdsekzoznamuChar" w:customStyle="1">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val="1"/>
    <w:locked w:val="1"/>
    <w:rsid w:val="00C53414"/>
    <w:rPr>
      <w:rFonts w:cs="Times New Roman" w:eastAsia="Times New Roman"/>
    </w:rPr>
  </w:style>
  <w:style w:type="paragraph" w:styleId="Default" w:customStyle="1">
    <w:name w:val="Default"/>
    <w:rsid w:val="00CE6E58"/>
    <w:pPr>
      <w:autoSpaceDE w:val="0"/>
      <w:autoSpaceDN w:val="0"/>
      <w:adjustRightInd w:val="0"/>
      <w:spacing w:after="0" w:line="240" w:lineRule="auto"/>
    </w:pPr>
    <w:rPr>
      <w:rFonts w:ascii="Times New Roman" w:cs="Times New Roman" w:eastAsia="Times New Roman" w:hAnsi="Times New Roman"/>
      <w:color w:val="000000"/>
      <w:sz w:val="24"/>
      <w:szCs w:val="24"/>
      <w:lang w:eastAsia="sk-SK"/>
    </w:rPr>
  </w:style>
  <w:style w:type="paragraph" w:styleId="Normlnywebov">
    <w:name w:val="Normal (Web)"/>
    <w:basedOn w:val="Normlny"/>
    <w:uiPriority w:val="99"/>
    <w:rsid w:val="00347CE5"/>
    <w:pPr>
      <w:spacing w:after="100" w:afterAutospacing="1" w:before="100" w:beforeAutospacing="1" w:line="240" w:lineRule="auto"/>
    </w:pPr>
    <w:rPr>
      <w:rFonts w:ascii="Times New Roman" w:cs="Times New Roman" w:eastAsia="Times New Roman" w:hAnsi="Times New Roman"/>
      <w:sz w:val="24"/>
      <w:szCs w:val="24"/>
      <w:lang w:eastAsia="sk-SK"/>
    </w:rPr>
  </w:style>
  <w:style w:type="paragraph" w:styleId="Zkladntext">
    <w:name w:val="Body Text"/>
    <w:basedOn w:val="Normlny"/>
    <w:link w:val="ZkladntextChar"/>
    <w:uiPriority w:val="99"/>
    <w:semiHidden w:val="1"/>
    <w:unhideWhenUsed w:val="1"/>
    <w:rsid w:val="00347CE5"/>
    <w:pPr>
      <w:spacing w:after="120" w:line="240" w:lineRule="auto"/>
    </w:pPr>
    <w:rPr>
      <w:rFonts w:ascii="Calibri" w:cs="Calibri" w:eastAsia="Calibri" w:hAnsi="Calibri"/>
      <w:sz w:val="24"/>
      <w:szCs w:val="24"/>
      <w:lang w:eastAsia="sk-SK"/>
    </w:rPr>
  </w:style>
  <w:style w:type="character" w:styleId="ZkladntextChar" w:customStyle="1">
    <w:name w:val="Základný text Char"/>
    <w:basedOn w:val="Predvolenpsmoodseku"/>
    <w:link w:val="Zkladntext"/>
    <w:uiPriority w:val="99"/>
    <w:semiHidden w:val="1"/>
    <w:rsid w:val="00347CE5"/>
    <w:rPr>
      <w:rFonts w:ascii="Calibri" w:cs="Calibri" w:eastAsia="Calibri" w:hAnsi="Calibri"/>
      <w:sz w:val="24"/>
      <w:szCs w:val="24"/>
      <w:lang w:eastAsia="sk-SK"/>
    </w:rPr>
  </w:style>
  <w:style w:type="paragraph" w:styleId="Zkladntext2">
    <w:name w:val="Body Text 2"/>
    <w:basedOn w:val="Normlny"/>
    <w:link w:val="Zkladntext2Char"/>
    <w:uiPriority w:val="99"/>
    <w:semiHidden w:val="1"/>
    <w:unhideWhenUsed w:val="1"/>
    <w:rsid w:val="00347CE5"/>
    <w:pPr>
      <w:spacing w:after="120" w:line="480" w:lineRule="auto"/>
    </w:pPr>
    <w:rPr>
      <w:rFonts w:ascii="Times New Roman" w:cs="Times New Roman" w:eastAsia="Calibri" w:hAnsi="Times New Roman"/>
      <w:sz w:val="24"/>
      <w:szCs w:val="24"/>
      <w:lang w:eastAsia="sk-SK" w:val="en-US"/>
    </w:rPr>
  </w:style>
  <w:style w:type="character" w:styleId="Zkladntext2Char" w:customStyle="1">
    <w:name w:val="Základný text 2 Char"/>
    <w:basedOn w:val="Predvolenpsmoodseku"/>
    <w:link w:val="Zkladntext2"/>
    <w:uiPriority w:val="99"/>
    <w:semiHidden w:val="1"/>
    <w:rsid w:val="00347CE5"/>
    <w:rPr>
      <w:rFonts w:ascii="Times New Roman" w:cs="Times New Roman" w:eastAsia="Calibri" w:hAnsi="Times New Roman"/>
      <w:sz w:val="24"/>
      <w:szCs w:val="24"/>
      <w:lang w:eastAsia="sk-SK" w:val="en-US"/>
    </w:rPr>
  </w:style>
  <w:style w:type="paragraph" w:styleId="Standard" w:customStyle="1">
    <w:name w:val="Standard"/>
    <w:rsid w:val="00347CE5"/>
    <w:pPr>
      <w:suppressAutoHyphens w:val="1"/>
      <w:autoSpaceDN w:val="0"/>
      <w:spacing w:after="0" w:before="255" w:line="264" w:lineRule="auto"/>
      <w:textAlignment w:val="baseline"/>
    </w:pPr>
    <w:rPr>
      <w:rFonts w:ascii="Alegreya" w:cs="Alegreya" w:eastAsia="Alegreya" w:hAnsi="Alegreya"/>
      <w:kern w:val="3"/>
      <w:szCs w:val="24"/>
      <w:lang w:eastAsia="zh-CN"/>
    </w:rPr>
  </w:style>
  <w:style w:type="paragraph" w:styleId="Textpoznmkypodiarou">
    <w:name w:val="footnote text"/>
    <w:basedOn w:val="Normlny"/>
    <w:link w:val="TextpoznmkypodiarouChar"/>
    <w:uiPriority w:val="99"/>
    <w:semiHidden w:val="1"/>
    <w:unhideWhenUsed w:val="1"/>
    <w:rsid w:val="00570C1D"/>
    <w:pPr>
      <w:spacing w:after="0" w:line="240" w:lineRule="auto"/>
    </w:pPr>
    <w:rPr>
      <w:sz w:val="20"/>
      <w:szCs w:val="20"/>
    </w:rPr>
  </w:style>
  <w:style w:type="character" w:styleId="TextpoznmkypodiarouChar" w:customStyle="1">
    <w:name w:val="Text poznámky pod čiarou Char"/>
    <w:basedOn w:val="Predvolenpsmoodseku"/>
    <w:link w:val="Textpoznmkypodiarou"/>
    <w:uiPriority w:val="99"/>
    <w:semiHidden w:val="1"/>
    <w:rsid w:val="00570C1D"/>
    <w:rPr>
      <w:sz w:val="20"/>
      <w:szCs w:val="20"/>
    </w:rPr>
  </w:style>
  <w:style w:type="character" w:styleId="Odkaznapoznmkupodiarou">
    <w:name w:val="footnote reference"/>
    <w:basedOn w:val="Predvolenpsmoodseku"/>
    <w:uiPriority w:val="99"/>
    <w:semiHidden w:val="1"/>
    <w:unhideWhenUsed w:val="1"/>
    <w:rsid w:val="00570C1D"/>
    <w:rPr>
      <w:vertAlign w:val="superscript"/>
    </w:rPr>
  </w:style>
  <w:style w:type="character" w:styleId="Odkaznakomentr">
    <w:name w:val="annotation reference"/>
    <w:basedOn w:val="Predvolenpsmoodseku"/>
    <w:uiPriority w:val="99"/>
    <w:semiHidden w:val="1"/>
    <w:unhideWhenUsed w:val="1"/>
    <w:rsid w:val="000F43D6"/>
    <w:rPr>
      <w:sz w:val="16"/>
      <w:szCs w:val="16"/>
    </w:rPr>
  </w:style>
  <w:style w:type="paragraph" w:styleId="Textkomentra">
    <w:name w:val="annotation text"/>
    <w:basedOn w:val="Normlny"/>
    <w:link w:val="TextkomentraChar"/>
    <w:uiPriority w:val="99"/>
    <w:semiHidden w:val="1"/>
    <w:unhideWhenUsed w:val="1"/>
    <w:rsid w:val="000F43D6"/>
    <w:pPr>
      <w:spacing w:line="240" w:lineRule="auto"/>
    </w:pPr>
    <w:rPr>
      <w:sz w:val="20"/>
      <w:szCs w:val="20"/>
    </w:rPr>
  </w:style>
  <w:style w:type="character" w:styleId="TextkomentraChar" w:customStyle="1">
    <w:name w:val="Text komentára Char"/>
    <w:basedOn w:val="Predvolenpsmoodseku"/>
    <w:link w:val="Textkomentra"/>
    <w:uiPriority w:val="99"/>
    <w:semiHidden w:val="1"/>
    <w:rsid w:val="000F43D6"/>
    <w:rPr>
      <w:sz w:val="20"/>
      <w:szCs w:val="20"/>
    </w:rPr>
  </w:style>
  <w:style w:type="paragraph" w:styleId="Predmetkomentra">
    <w:name w:val="annotation subject"/>
    <w:basedOn w:val="Textkomentra"/>
    <w:next w:val="Textkomentra"/>
    <w:link w:val="PredmetkomentraChar"/>
    <w:uiPriority w:val="99"/>
    <w:semiHidden w:val="1"/>
    <w:unhideWhenUsed w:val="1"/>
    <w:rsid w:val="000F43D6"/>
    <w:rPr>
      <w:b w:val="1"/>
      <w:bCs w:val="1"/>
    </w:rPr>
  </w:style>
  <w:style w:type="character" w:styleId="PredmetkomentraChar" w:customStyle="1">
    <w:name w:val="Predmet komentára Char"/>
    <w:basedOn w:val="TextkomentraChar"/>
    <w:link w:val="Predmetkomentra"/>
    <w:uiPriority w:val="99"/>
    <w:semiHidden w:val="1"/>
    <w:rsid w:val="000F43D6"/>
    <w:rPr>
      <w:b w:val="1"/>
      <w:bCs w:val="1"/>
      <w:sz w:val="20"/>
      <w:szCs w:val="20"/>
    </w:rPr>
  </w:style>
  <w:style w:type="paragraph" w:styleId="Textbubliny">
    <w:name w:val="Balloon Text"/>
    <w:basedOn w:val="Normlny"/>
    <w:link w:val="TextbublinyChar"/>
    <w:uiPriority w:val="99"/>
    <w:semiHidden w:val="1"/>
    <w:unhideWhenUsed w:val="1"/>
    <w:rsid w:val="000F43D6"/>
    <w:pPr>
      <w:spacing w:after="0" w:line="240" w:lineRule="auto"/>
    </w:pPr>
    <w:rPr>
      <w:rFonts w:ascii="Segoe UI" w:cs="Segoe UI" w:hAnsi="Segoe UI"/>
      <w:sz w:val="18"/>
      <w:szCs w:val="18"/>
    </w:rPr>
  </w:style>
  <w:style w:type="character" w:styleId="TextbublinyChar" w:customStyle="1">
    <w:name w:val="Text bubliny Char"/>
    <w:basedOn w:val="Predvolenpsmoodseku"/>
    <w:link w:val="Textbubliny"/>
    <w:uiPriority w:val="99"/>
    <w:semiHidden w:val="1"/>
    <w:rsid w:val="000F43D6"/>
    <w:rPr>
      <w:rFonts w:ascii="Segoe UI" w:cs="Segoe UI" w:hAnsi="Segoe UI"/>
      <w:sz w:val="18"/>
      <w:szCs w:val="18"/>
    </w:rPr>
  </w:style>
  <w:style w:type="character" w:styleId="Hypertextovprepojenie">
    <w:name w:val="Hyperlink"/>
    <w:basedOn w:val="Predvolenpsmoodseku"/>
    <w:uiPriority w:val="99"/>
    <w:unhideWhenUsed w:val="1"/>
    <w:rsid w:val="00A765EA"/>
    <w:rPr>
      <w:color w:val="0000ff"/>
      <w:u w:val="single"/>
    </w:rPr>
  </w:style>
  <w:style w:type="character" w:styleId="UnresolvedMention" w:customStyle="1">
    <w:name w:val="Unresolved Mention"/>
    <w:basedOn w:val="Predvolenpsmoodseku"/>
    <w:uiPriority w:val="99"/>
    <w:semiHidden w:val="1"/>
    <w:unhideWhenUsed w:val="1"/>
    <w:rsid w:val="00297A53"/>
    <w:rPr>
      <w:color w:val="605e5c"/>
      <w:shd w:color="auto" w:fill="e1dfdd" w:val="clear"/>
    </w:rPr>
  </w:style>
  <w:style w:type="character" w:styleId="cf01" w:customStyle="1">
    <w:name w:val="cf01"/>
    <w:basedOn w:val="Predvolenpsmoodseku"/>
    <w:rsid w:val="004F33DF"/>
    <w:rPr>
      <w:rFonts w:ascii="Segoe UI" w:cs="Segoe UI" w:hAnsi="Segoe UI" w:hint="default"/>
      <w:sz w:val="18"/>
      <w:szCs w:val="18"/>
    </w:rPr>
  </w:style>
  <w:style w:type="paragraph" w:styleId="Revzia">
    <w:name w:val="Revision"/>
    <w:hidden w:val="1"/>
    <w:uiPriority w:val="99"/>
    <w:semiHidden w:val="1"/>
    <w:rsid w:val="000C2B66"/>
    <w:pPr>
      <w:spacing w:after="0" w:line="240" w:lineRule="auto"/>
    </w:pPr>
  </w:style>
  <w:style w:type="character" w:styleId="Zstupntext">
    <w:name w:val="Placeholder Text"/>
    <w:uiPriority w:val="99"/>
    <w:semiHidden w:val="1"/>
    <w:rsid w:val="00355649"/>
    <w:rPr>
      <w:rFonts w:ascii="Times New Roman" w:hAnsi="Times New Roman"/>
      <w:color w:val="80808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RKfgUP1Wu4zUSfz4jcj7rmk4A==">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2023-12-06T14:03:00Z</dcterms:created>
</cp:coreProperties>
</file>