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jc w:val="center"/>
        <w:rPr/>
      </w:pPr>
      <w:r w:rsidDel="00000000" w:rsidR="00000000" w:rsidRPr="00000000">
        <w:rPr>
          <w:b w:val="1"/>
          <w:rtl w:val="0"/>
        </w:rPr>
        <w:t xml:space="preserve">IX.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volebné obdobie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...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</w:t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ZÁKON</w:t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z .............. 202</w:t>
      </w:r>
      <w:r w:rsidDel="00000000" w:rsidR="00000000" w:rsidRPr="00000000">
        <w:rPr>
          <w:highlight w:val="white"/>
          <w:rtl w:val="0"/>
        </w:rPr>
        <w:t xml:space="preserve">5</w:t>
      </w:r>
      <w:r w:rsidDel="00000000" w:rsidR="00000000" w:rsidRPr="00000000">
        <w:rPr>
          <w:color w:val="000000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0B">
      <w:pPr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color w:val="000000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ktorým sa mení a dopĺňa zákon č. 300/2005 Z. z. Trestný zákon v znení neskorších predpisov a o doplnení zákona č. 301/2005 Z. z. Trestný poriadok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567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Čl. I</w:t>
      </w:r>
    </w:p>
    <w:p w:rsidR="00000000" w:rsidDel="00000000" w:rsidP="00000000" w:rsidRDefault="00000000" w:rsidRPr="00000000" w14:paraId="00000011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567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Zákon č. 300/2005 Z. z. Trestný zákon v znení zákona </w:t>
      </w:r>
      <w:r w:rsidDel="00000000" w:rsidR="00000000" w:rsidRPr="00000000">
        <w:rPr>
          <w:rtl w:val="0"/>
        </w:rPr>
        <w:t xml:space="preserve">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 288/2020 Z. z., zákona č. 312/2020 Z. z., zákona č. 236/2021 Z. z., zákona č. 357/2021 Z. z., zákona č. 105/2022 Z. z., zákona č. 111/2022 Z. z., zákona č. 117/2023 Z. z., nálezu Ústavného súdu Slovenskej republiky č. 402/2023 Z. z., zákona č. 40/2024 Z. z., uznesenia Ústavného súdu Slovenskej republiky č. 41/2024 Z. z., zákona č. 47/2024 Z. z., zákona č. 214/2024 Z. z., nálezu Ústavného súdu Slovenskej republiky č. 215/2024 Z. z., zákona č. 248/2024 Z. z., nálezu Ústavného súdu Slovenskej republiky č. 341/2024 Z. z., zákona č. 353/2024 Z. z., zákona č. 363/2024 Z. z., zákona č. 23/2025 Z. z., zákona č. 150/2025 Z. z. a zákona č. 157/2025 Z. z. </w:t>
      </w:r>
      <w:r w:rsidDel="00000000" w:rsidR="00000000" w:rsidRPr="00000000">
        <w:rPr>
          <w:rtl w:val="0"/>
        </w:rPr>
        <w:t xml:space="preserve"> sa mení a dopĺňa takto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 § 37 písm. n) sa vypúšťa slovo „alebo“.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 § 37 písm. o) sa na konci bodka nahrádza čiarkou a pripája sa slovo „alebo“.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§ 37 sa dopĺňa písmenom p), </w:t>
      </w:r>
      <w:r w:rsidDel="00000000" w:rsidR="00000000" w:rsidRPr="00000000">
        <w:rPr>
          <w:rtl w:val="0"/>
        </w:rPr>
        <w:t xml:space="preserve">ktoré </w:t>
      </w:r>
      <w:r w:rsidDel="00000000" w:rsidR="00000000" w:rsidRPr="00000000">
        <w:rPr>
          <w:rtl w:val="0"/>
        </w:rPr>
        <w:t xml:space="preserve">znie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„p) spáchal trestný čin v prítomnosti dieťaťa.“.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 </w:t>
      </w:r>
    </w:p>
    <w:p w:rsidR="00000000" w:rsidDel="00000000" w:rsidP="00000000" w:rsidRDefault="00000000" w:rsidRPr="00000000" w14:paraId="0000001D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Zákon č. 301/2005 Z. z.  Trestný poriadok v znení zákona </w:t>
      </w:r>
      <w:r w:rsidDel="00000000" w:rsidR="00000000" w:rsidRPr="00000000">
        <w:rPr>
          <w:rtl w:val="0"/>
        </w:rPr>
        <w:t xml:space="preserve"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 č. 307/2014 Z. z., zákona č. 353/2014 Z. z., zákona č. 78/2015 Z. z., nálezu Ústavného súdu Slovenskej republiky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z., zákona 161/2018 Z. z., zákona č. 314/2018 Z. z., zákona č. 321/2018 Z. z., zákona č. 3/2019 Z. z., zákona č. 6/2019 Z. z., zákona č. 35/2019 Z. z., zákona č. 54/2019 Z. z., zákona č. 214/2019 Z. z., zákona č. 231/2019 Z. z., zákona č. 312/2020 Z. z., zákona č. 423/2020 Z. z., zákona č. 308/2021 Z. z., zákona č. 432/2021 Z. z., zákona č. 150/2022 Z. z., zákona č. 340/2022 Z. z., zákona č. 398/2022 Z. z., zákona č. 49/2023 Z. z., zákona č. 111/2023 Z. z., zákona č. 192/2023 Z. z., </w:t>
      </w:r>
      <w:r w:rsidDel="00000000" w:rsidR="00000000" w:rsidRPr="00000000">
        <w:rPr>
          <w:rtl w:val="0"/>
        </w:rPr>
        <w:t xml:space="preserve"> zákona č. 40/2024 Z. z., zákona č. 353/2024 Z. z., zákona č. 248/2024 Z. z. a zákona č. 150/2025 Z. z. sa dopĺňa takto: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V § 46 ods. 1 sa za prvú vetu vkladá nová druhá veta, ktorá znie: „Poškodeným je aj dieťa, v ktorého prítomnosti došlo k </w:t>
      </w:r>
      <w:r w:rsidDel="00000000" w:rsidR="00000000" w:rsidRPr="00000000">
        <w:rPr>
          <w:rtl w:val="0"/>
        </w:rPr>
        <w:t xml:space="preserve">spáchaniu trestného činu</w:t>
      </w:r>
      <w:r w:rsidDel="00000000" w:rsidR="00000000" w:rsidRPr="00000000">
        <w:rPr>
          <w:rtl w:val="0"/>
        </w:rPr>
        <w:t xml:space="preserve"> podľa prvej, druhej, tretej, deviatej a dvanástej hlavy osobitnej časti Trestného zákona.“.</w:t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III </w:t>
      </w:r>
    </w:p>
    <w:p w:rsidR="00000000" w:rsidDel="00000000" w:rsidP="00000000" w:rsidRDefault="00000000" w:rsidRPr="00000000" w14:paraId="00000021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  <w:t xml:space="preserve">Tento zákon nadobúda účinnosť 1. januára 2026.</w:t>
      </w:r>
    </w:p>
    <w:p w:rsidR="00000000" w:rsidDel="00000000" w:rsidP="00000000" w:rsidRDefault="00000000" w:rsidRPr="00000000" w14:paraId="00000022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jc w:val="center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6">
    <w:name w:val="heading 6"/>
    <w:basedOn w:val="Normal"/>
    <w:next w:val="Normal"/>
    <w:pPr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lavika">
    <w:name w:val="header"/>
    <w:basedOn w:val="Normlny"/>
    <w:link w:val="HlavikaChar"/>
    <w:uiPriority w:val="99"/>
    <w:unhideWhenUsed w:val="1"/>
    <w:rsid w:val="00F21D45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F21D45"/>
  </w:style>
  <w:style w:type="paragraph" w:styleId="Pta">
    <w:name w:val="footer"/>
    <w:basedOn w:val="Normlny"/>
    <w:link w:val="PtaChar"/>
    <w:uiPriority w:val="99"/>
    <w:unhideWhenUsed w:val="1"/>
    <w:rsid w:val="00F21D45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F21D4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/3dEcg7QrFslL1uNlA5ldVBWFQ==">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2023-11-20T10:11:00Z</dcterms:created>
</cp:coreProperties>
</file>