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0554" w14:textId="77777777" w:rsidR="008B25A6" w:rsidRPr="00A64D2D" w:rsidRDefault="008B25A6" w:rsidP="00C91CF5">
      <w:pPr>
        <w:widowControl/>
        <w:spacing w:after="120"/>
        <w:jc w:val="both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14:paraId="26534A33" w14:textId="77777777" w:rsidR="008B25A6" w:rsidRPr="00A64D2D" w:rsidRDefault="008B25A6" w:rsidP="00C91CF5">
      <w:pPr>
        <w:widowControl/>
        <w:spacing w:after="120"/>
        <w:jc w:val="both"/>
        <w:rPr>
          <w:color w:val="000000"/>
        </w:rPr>
      </w:pPr>
    </w:p>
    <w:p w14:paraId="64524278" w14:textId="77777777" w:rsidR="008B25A6" w:rsidRPr="00A64D2D" w:rsidRDefault="008B25A6" w:rsidP="00C91CF5">
      <w:pPr>
        <w:widowControl/>
        <w:spacing w:after="120"/>
        <w:jc w:val="both"/>
        <w:rPr>
          <w:color w:val="000000"/>
        </w:rPr>
      </w:pPr>
    </w:p>
    <w:p w14:paraId="42CCDB6C" w14:textId="77777777" w:rsidR="008B25A6" w:rsidRPr="00A64D2D" w:rsidRDefault="005F2793" w:rsidP="00C91CF5">
      <w:pPr>
        <w:widowControl/>
        <w:spacing w:after="120"/>
        <w:jc w:val="both"/>
        <w:rPr>
          <w:b/>
          <w:color w:val="000000"/>
        </w:rPr>
      </w:pPr>
      <w:r>
        <w:rPr>
          <w:b/>
          <w:color w:val="000000"/>
        </w:rPr>
        <w:t>B</w:t>
      </w:r>
      <w:r w:rsidR="008B25A6" w:rsidRPr="00A64D2D">
        <w:rPr>
          <w:b/>
          <w:color w:val="000000"/>
        </w:rPr>
        <w:t xml:space="preserve">. </w:t>
      </w:r>
      <w:r>
        <w:rPr>
          <w:b/>
          <w:color w:val="000000"/>
        </w:rPr>
        <w:t>Osobitná časť</w:t>
      </w:r>
    </w:p>
    <w:p w14:paraId="480A924E" w14:textId="77777777" w:rsidR="008B25A6" w:rsidRPr="00A64D2D" w:rsidRDefault="008B25A6" w:rsidP="00C91CF5">
      <w:pPr>
        <w:widowControl/>
        <w:spacing w:after="120"/>
        <w:jc w:val="both"/>
        <w:rPr>
          <w:color w:val="000000"/>
        </w:rPr>
      </w:pPr>
    </w:p>
    <w:p w14:paraId="589B8C88" w14:textId="27599CB1" w:rsidR="00C0489E" w:rsidRDefault="005F2793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K bodom 1, 2, </w:t>
      </w:r>
      <w:r w:rsidR="007567E4">
        <w:rPr>
          <w:rStyle w:val="Zstupntext"/>
          <w:rFonts w:cs="Calibri"/>
          <w:b/>
          <w:bCs/>
          <w:color w:val="000000"/>
        </w:rPr>
        <w:t>5</w:t>
      </w:r>
      <w:r w:rsidR="003E4B54">
        <w:rPr>
          <w:rStyle w:val="Zstupntext"/>
          <w:rFonts w:cs="Calibri"/>
          <w:b/>
          <w:bCs/>
          <w:color w:val="000000"/>
        </w:rPr>
        <w:t xml:space="preserve">, </w:t>
      </w:r>
      <w:r w:rsidR="00EA0FEE">
        <w:rPr>
          <w:rStyle w:val="Zstupntext"/>
          <w:rFonts w:cs="Calibri"/>
          <w:b/>
          <w:bCs/>
          <w:color w:val="000000"/>
        </w:rPr>
        <w:t xml:space="preserve">6, 18, 24, </w:t>
      </w:r>
      <w:r w:rsidR="00B601A5">
        <w:rPr>
          <w:rStyle w:val="Zstupntext"/>
          <w:rFonts w:cs="Calibri"/>
          <w:b/>
          <w:bCs/>
          <w:color w:val="000000"/>
        </w:rPr>
        <w:t xml:space="preserve">35 až 37, </w:t>
      </w:r>
      <w:r w:rsidR="00BF5340">
        <w:rPr>
          <w:rStyle w:val="Zstupntext"/>
          <w:rFonts w:cs="Calibri"/>
          <w:b/>
          <w:bCs/>
          <w:color w:val="000000"/>
        </w:rPr>
        <w:t>54,</w:t>
      </w:r>
      <w:r w:rsidR="005D69E8">
        <w:rPr>
          <w:rStyle w:val="Zstupntext"/>
          <w:rFonts w:cs="Calibri"/>
          <w:b/>
          <w:bCs/>
          <w:color w:val="000000"/>
        </w:rPr>
        <w:t xml:space="preserve"> </w:t>
      </w:r>
      <w:r w:rsidR="00B601A5">
        <w:rPr>
          <w:rStyle w:val="Zstupntext"/>
          <w:rFonts w:cs="Calibri"/>
          <w:b/>
          <w:bCs/>
          <w:color w:val="000000"/>
        </w:rPr>
        <w:t>5</w:t>
      </w:r>
      <w:r w:rsidR="00D816CF">
        <w:rPr>
          <w:rStyle w:val="Zstupntext"/>
          <w:rFonts w:cs="Calibri"/>
          <w:b/>
          <w:bCs/>
          <w:color w:val="000000"/>
        </w:rPr>
        <w:t>8</w:t>
      </w:r>
      <w:r w:rsidR="00B601A5">
        <w:rPr>
          <w:rStyle w:val="Zstupntext"/>
          <w:rFonts w:cs="Calibri"/>
          <w:b/>
          <w:bCs/>
          <w:color w:val="000000"/>
        </w:rPr>
        <w:t>, 6</w:t>
      </w:r>
      <w:r w:rsidR="00D40915">
        <w:rPr>
          <w:rStyle w:val="Zstupntext"/>
          <w:rFonts w:cs="Calibri"/>
          <w:b/>
          <w:bCs/>
          <w:color w:val="000000"/>
        </w:rPr>
        <w:t>9</w:t>
      </w:r>
      <w:r w:rsidR="00B601A5">
        <w:rPr>
          <w:rStyle w:val="Zstupntext"/>
          <w:rFonts w:cs="Calibri"/>
          <w:b/>
          <w:bCs/>
          <w:color w:val="000000"/>
        </w:rPr>
        <w:t xml:space="preserve"> a </w:t>
      </w:r>
      <w:r w:rsidR="00D40915">
        <w:rPr>
          <w:rStyle w:val="Zstupntext"/>
          <w:rFonts w:cs="Calibri"/>
          <w:b/>
          <w:bCs/>
          <w:color w:val="000000"/>
        </w:rPr>
        <w:t>70</w:t>
      </w:r>
      <w:r w:rsidR="00EA0FEE">
        <w:rPr>
          <w:rStyle w:val="Zstupntext"/>
          <w:rFonts w:cs="Calibri"/>
          <w:b/>
          <w:bCs/>
          <w:color w:val="000000"/>
        </w:rPr>
        <w:t xml:space="preserve">         </w:t>
      </w:r>
    </w:p>
    <w:p w14:paraId="626B2135" w14:textId="77777777" w:rsidR="005F2793" w:rsidRDefault="005F2793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Reaguje sa na </w:t>
      </w:r>
      <w:r w:rsidR="00C2036C">
        <w:rPr>
          <w:rStyle w:val="Zstupntext"/>
          <w:rFonts w:cs="Calibri"/>
          <w:color w:val="000000"/>
        </w:rPr>
        <w:t xml:space="preserve">paralelne pripravovanú </w:t>
      </w:r>
      <w:r>
        <w:rPr>
          <w:rStyle w:val="Zstupntext"/>
          <w:rFonts w:cs="Calibri"/>
          <w:color w:val="000000"/>
        </w:rPr>
        <w:t>novelu školského zákona, kde sa zavádza stredná priemyselná škola ako samostatný druh strednej školy namiesto pôvodného typu strednej školy. Z tohto dôvodu je ju potrebné priradiť k všetkým inštitútom spojených so strednými odbornými školami v zákone o odbornom vzdelávaní a príprave.</w:t>
      </w:r>
    </w:p>
    <w:p w14:paraId="42E5EC5C" w14:textId="77777777" w:rsidR="005F2793" w:rsidRDefault="005F2793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3</w:t>
      </w:r>
    </w:p>
    <w:p w14:paraId="09A953CD" w14:textId="6C03C1A2" w:rsidR="005F2793" w:rsidRDefault="005F2793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Zavádza sa nový zmluvný vzťah medzi </w:t>
      </w:r>
      <w:r w:rsidR="00A44065">
        <w:rPr>
          <w:rStyle w:val="Zstupntext"/>
          <w:rFonts w:cs="Calibri"/>
          <w:color w:val="000000"/>
        </w:rPr>
        <w:t xml:space="preserve">strednou odbornou školou alebo </w:t>
      </w:r>
      <w:r>
        <w:rPr>
          <w:rStyle w:val="Zstupntext"/>
          <w:rFonts w:cs="Calibri"/>
          <w:color w:val="000000"/>
        </w:rPr>
        <w:t xml:space="preserve">strednou priemyselnou školou a vysokou školou </w:t>
      </w:r>
      <w:r w:rsidR="00C2036C">
        <w:rPr>
          <w:rStyle w:val="Zstupntext"/>
          <w:rFonts w:cs="Calibri"/>
          <w:color w:val="000000"/>
        </w:rPr>
        <w:t>na účel</w:t>
      </w:r>
      <w:r>
        <w:rPr>
          <w:rStyle w:val="Zstupntext"/>
          <w:rFonts w:cs="Calibri"/>
          <w:color w:val="000000"/>
        </w:rPr>
        <w:t xml:space="preserve"> poskytovania praktického vyučovania formou odbornej stáže. Je potrebné upraviť vzájomné práva a povinnosti zmluvných strán novým druhom zmluvy z dôvodu, že ide o úplne nový druh praktického vyučovania.</w:t>
      </w:r>
      <w:r w:rsidR="00A267E4">
        <w:rPr>
          <w:rStyle w:val="Zstupntext"/>
          <w:rFonts w:cs="Calibri"/>
          <w:color w:val="000000"/>
        </w:rPr>
        <w:t xml:space="preserve"> </w:t>
      </w:r>
    </w:p>
    <w:p w14:paraId="400092CD" w14:textId="77777777" w:rsidR="003F5EC8" w:rsidRPr="003F5EC8" w:rsidRDefault="003F5EC8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4</w:t>
      </w:r>
    </w:p>
    <w:p w14:paraId="710C8635" w14:textId="62918ABD" w:rsidR="003F5EC8" w:rsidRDefault="00D816CF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Doplnenie subjektov, ktoré spolupracujú na koordinácii odborného vzdelávania a prípravy.</w:t>
      </w:r>
    </w:p>
    <w:p w14:paraId="088580E4" w14:textId="77777777" w:rsidR="005F2793" w:rsidRPr="00DB4191" w:rsidRDefault="00DB4191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DB4191">
        <w:rPr>
          <w:rStyle w:val="Zstupntext"/>
          <w:rFonts w:cs="Calibri"/>
          <w:b/>
          <w:bCs/>
          <w:color w:val="000000"/>
        </w:rPr>
        <w:t xml:space="preserve">K bodu </w:t>
      </w:r>
      <w:r w:rsidR="003F5EC8">
        <w:rPr>
          <w:rStyle w:val="Zstupntext"/>
          <w:rFonts w:cs="Calibri"/>
          <w:b/>
          <w:bCs/>
          <w:color w:val="000000"/>
        </w:rPr>
        <w:t>7</w:t>
      </w:r>
    </w:p>
    <w:p w14:paraId="04AE5205" w14:textId="77777777" w:rsidR="00DB4191" w:rsidRDefault="00DB419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Rozširuj</w:t>
      </w:r>
      <w:r w:rsidR="00225F21">
        <w:rPr>
          <w:rStyle w:val="Zstupntext"/>
          <w:rFonts w:cs="Calibri"/>
          <w:color w:val="000000"/>
        </w:rPr>
        <w:t>ú sa</w:t>
      </w:r>
      <w:r>
        <w:rPr>
          <w:rStyle w:val="Zstupntext"/>
          <w:rFonts w:cs="Calibri"/>
          <w:color w:val="000000"/>
        </w:rPr>
        <w:t xml:space="preserve"> form</w:t>
      </w:r>
      <w:r w:rsidR="00225F21">
        <w:rPr>
          <w:rStyle w:val="Zstupntext"/>
          <w:rFonts w:cs="Calibri"/>
          <w:color w:val="000000"/>
        </w:rPr>
        <w:t>y</w:t>
      </w:r>
      <w:r>
        <w:rPr>
          <w:rStyle w:val="Zstupntext"/>
          <w:rFonts w:cs="Calibri"/>
          <w:color w:val="000000"/>
        </w:rPr>
        <w:t xml:space="preserve"> praktického vyučovania o odbornú stáž medzi strednou priemyselnou školou a vysokou školou a o digitálnu odbornú prax, ktorá predstavuje novú formu praktického vyučovania v rámci systému duálneho vzdelávania alebo praktického vyučovania na pracovisku zamestnávateľa. Nové formy praktického vyučovania vychádzajú z odporúčaní Európskej komisie a OECD.</w:t>
      </w:r>
    </w:p>
    <w:p w14:paraId="2E8D3D38" w14:textId="77777777" w:rsidR="00DB4191" w:rsidRDefault="00DB4191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</w:t>
      </w:r>
      <w:r w:rsidR="003F5EC8">
        <w:rPr>
          <w:rStyle w:val="Zstupntext"/>
          <w:rFonts w:cs="Calibri"/>
          <w:b/>
          <w:bCs/>
          <w:color w:val="000000"/>
        </w:rPr>
        <w:t> </w:t>
      </w:r>
      <w:r>
        <w:rPr>
          <w:rStyle w:val="Zstupntext"/>
          <w:rFonts w:cs="Calibri"/>
          <w:b/>
          <w:bCs/>
          <w:color w:val="000000"/>
        </w:rPr>
        <w:t>bodu</w:t>
      </w:r>
      <w:r w:rsidR="003F5EC8">
        <w:rPr>
          <w:rStyle w:val="Zstupntext"/>
          <w:rFonts w:cs="Calibri"/>
          <w:b/>
          <w:bCs/>
          <w:color w:val="000000"/>
        </w:rPr>
        <w:t xml:space="preserve"> 8</w:t>
      </w:r>
    </w:p>
    <w:p w14:paraId="7B72580B" w14:textId="77777777" w:rsidR="00DB4191" w:rsidRDefault="00DB419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Odborná stáž aj digitálna odborná prax sa </w:t>
      </w:r>
      <w:r w:rsidR="00225F21">
        <w:rPr>
          <w:rStyle w:val="Zstupntext"/>
          <w:rFonts w:cs="Calibri"/>
          <w:color w:val="000000"/>
        </w:rPr>
        <w:t xml:space="preserve">budú </w:t>
      </w:r>
      <w:r>
        <w:rPr>
          <w:rStyle w:val="Zstupntext"/>
          <w:rFonts w:cs="Calibri"/>
          <w:color w:val="000000"/>
        </w:rPr>
        <w:t>organiz</w:t>
      </w:r>
      <w:r w:rsidR="00225F21">
        <w:rPr>
          <w:rStyle w:val="Zstupntext"/>
          <w:rFonts w:cs="Calibri"/>
          <w:color w:val="000000"/>
        </w:rPr>
        <w:t>ovať</w:t>
      </w:r>
      <w:r>
        <w:rPr>
          <w:rStyle w:val="Zstupntext"/>
          <w:rFonts w:cs="Calibri"/>
          <w:color w:val="000000"/>
        </w:rPr>
        <w:t xml:space="preserve"> ako odborné vyučovacie predmety, pričom sa určuje, že odbornú stáž vykonávajú žiaci pod vedením vysokoškolského učiteľa, vzhľadom na to, že sa realizuje na vysokej škole. Digitálna odborná prax sa </w:t>
      </w:r>
      <w:r w:rsidR="00D3091A">
        <w:rPr>
          <w:rStyle w:val="Zstupntext"/>
          <w:rFonts w:cs="Calibri"/>
          <w:color w:val="000000"/>
        </w:rPr>
        <w:t xml:space="preserve">bude </w:t>
      </w:r>
      <w:r>
        <w:rPr>
          <w:rStyle w:val="Zstupntext"/>
          <w:rFonts w:cs="Calibri"/>
          <w:color w:val="000000"/>
        </w:rPr>
        <w:t xml:space="preserve">vykonávať pod vedením učiteľa odborných vyučovacích predmetov, inštruktora alebo hlavného inštruktora, vzhľadom na skutočnosť, že </w:t>
      </w:r>
      <w:r w:rsidR="00D3091A">
        <w:rPr>
          <w:rStyle w:val="Zstupntext"/>
          <w:rFonts w:cs="Calibri"/>
          <w:color w:val="000000"/>
        </w:rPr>
        <w:t>ju bude možné</w:t>
      </w:r>
      <w:r>
        <w:rPr>
          <w:rStyle w:val="Zstupntext"/>
          <w:rFonts w:cs="Calibri"/>
          <w:color w:val="000000"/>
        </w:rPr>
        <w:t xml:space="preserve"> vykonávať v škole ako aj u zamestnávateľa. </w:t>
      </w:r>
    </w:p>
    <w:p w14:paraId="6CA8A1DE" w14:textId="13B5BD49" w:rsidR="00DB4191" w:rsidRDefault="00DB4191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DB4191">
        <w:rPr>
          <w:rStyle w:val="Zstupntext"/>
          <w:rFonts w:cs="Calibri"/>
          <w:b/>
          <w:bCs/>
          <w:color w:val="000000"/>
        </w:rPr>
        <w:t>K bod</w:t>
      </w:r>
      <w:r w:rsidR="003F5EC8">
        <w:rPr>
          <w:rStyle w:val="Zstupntext"/>
          <w:rFonts w:cs="Calibri"/>
          <w:b/>
          <w:bCs/>
          <w:color w:val="000000"/>
        </w:rPr>
        <w:t>om</w:t>
      </w:r>
      <w:r w:rsidRPr="00DB4191">
        <w:rPr>
          <w:rStyle w:val="Zstupntext"/>
          <w:rFonts w:cs="Calibri"/>
          <w:b/>
          <w:bCs/>
          <w:color w:val="000000"/>
        </w:rPr>
        <w:t xml:space="preserve"> </w:t>
      </w:r>
      <w:r w:rsidR="003F5EC8">
        <w:rPr>
          <w:rStyle w:val="Zstupntext"/>
          <w:rFonts w:cs="Calibri"/>
          <w:b/>
          <w:bCs/>
          <w:color w:val="000000"/>
        </w:rPr>
        <w:t>9</w:t>
      </w:r>
      <w:r w:rsidR="000A1B5A">
        <w:rPr>
          <w:rStyle w:val="Zstupntext"/>
          <w:rFonts w:cs="Calibri"/>
          <w:b/>
          <w:bCs/>
          <w:color w:val="000000"/>
        </w:rPr>
        <w:t xml:space="preserve">, </w:t>
      </w:r>
      <w:r w:rsidR="007567E4">
        <w:rPr>
          <w:rStyle w:val="Zstupntext"/>
          <w:rFonts w:cs="Calibri"/>
          <w:b/>
          <w:bCs/>
          <w:color w:val="000000"/>
        </w:rPr>
        <w:t>1</w:t>
      </w:r>
      <w:r w:rsidR="003F5EC8">
        <w:rPr>
          <w:rStyle w:val="Zstupntext"/>
          <w:rFonts w:cs="Calibri"/>
          <w:b/>
          <w:bCs/>
          <w:color w:val="000000"/>
        </w:rPr>
        <w:t>6</w:t>
      </w:r>
      <w:r w:rsidR="007567E4">
        <w:rPr>
          <w:rStyle w:val="Zstupntext"/>
          <w:rFonts w:cs="Calibri"/>
          <w:b/>
          <w:bCs/>
          <w:color w:val="000000"/>
        </w:rPr>
        <w:t xml:space="preserve"> </w:t>
      </w:r>
      <w:r w:rsidR="0082700E">
        <w:rPr>
          <w:rStyle w:val="Zstupntext"/>
          <w:rFonts w:cs="Calibri"/>
          <w:b/>
          <w:bCs/>
          <w:color w:val="000000"/>
        </w:rPr>
        <w:t xml:space="preserve">a </w:t>
      </w:r>
      <w:r w:rsidR="003F5EC8">
        <w:rPr>
          <w:rStyle w:val="Zstupntext"/>
          <w:rFonts w:cs="Calibri"/>
          <w:b/>
          <w:bCs/>
          <w:color w:val="000000"/>
        </w:rPr>
        <w:t>7</w:t>
      </w:r>
      <w:r w:rsidR="00A267E4">
        <w:rPr>
          <w:rStyle w:val="Zstupntext"/>
          <w:rFonts w:cs="Calibri"/>
          <w:b/>
          <w:bCs/>
          <w:color w:val="000000"/>
        </w:rPr>
        <w:t>4</w:t>
      </w:r>
    </w:p>
    <w:p w14:paraId="1C56B5DD" w14:textId="77777777" w:rsidR="00DB4191" w:rsidRDefault="00DB419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Dochádza k úprave terminológie učiteľ odborných vyučovacích predmetov z</w:t>
      </w:r>
      <w:r w:rsidR="00944941">
        <w:rPr>
          <w:rStyle w:val="Zstupntext"/>
          <w:rFonts w:cs="Calibri"/>
          <w:color w:val="000000"/>
        </w:rPr>
        <w:t> v nadväznosti na paralelne predkladanú novelu</w:t>
      </w:r>
      <w:r>
        <w:rPr>
          <w:rStyle w:val="Zstupntext"/>
          <w:rFonts w:cs="Calibri"/>
          <w:color w:val="000000"/>
        </w:rPr>
        <w:t xml:space="preserve"> zákona č. 138/2019 Z. z. o pedagogických zamestnancoch a odborných zamestnancoch. </w:t>
      </w:r>
    </w:p>
    <w:p w14:paraId="458BAEA2" w14:textId="77777777" w:rsidR="00DB4191" w:rsidRPr="00DB4191" w:rsidRDefault="00DB4191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DB4191">
        <w:rPr>
          <w:rStyle w:val="Zstupntext"/>
          <w:rFonts w:cs="Calibri"/>
          <w:b/>
          <w:bCs/>
          <w:color w:val="000000"/>
        </w:rPr>
        <w:t xml:space="preserve">K bodu </w:t>
      </w:r>
      <w:r w:rsidR="003F5EC8">
        <w:rPr>
          <w:rStyle w:val="Zstupntext"/>
          <w:rFonts w:cs="Calibri"/>
          <w:b/>
          <w:bCs/>
          <w:color w:val="000000"/>
        </w:rPr>
        <w:t>10</w:t>
      </w:r>
    </w:p>
    <w:p w14:paraId="1AB76468" w14:textId="77777777" w:rsidR="00DB4191" w:rsidRDefault="000375AE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Pri</w:t>
      </w:r>
      <w:r w:rsidR="00C65E5D">
        <w:rPr>
          <w:rStyle w:val="Zstupntext"/>
          <w:rFonts w:cs="Calibri"/>
          <w:color w:val="000000"/>
        </w:rPr>
        <w:t xml:space="preserve"> odbornej stáži </w:t>
      </w:r>
      <w:r>
        <w:rPr>
          <w:rStyle w:val="Zstupntext"/>
          <w:rFonts w:cs="Calibri"/>
          <w:color w:val="000000"/>
        </w:rPr>
        <w:t xml:space="preserve">sa zohľadňuje, že </w:t>
      </w:r>
      <w:r w:rsidR="00C65E5D">
        <w:rPr>
          <w:rStyle w:val="Zstupntext"/>
          <w:rFonts w:cs="Calibri"/>
          <w:color w:val="000000"/>
        </w:rPr>
        <w:t xml:space="preserve">žiaci vykonávajú iba cvičnú prácu, keďže nie sú u zamestnávateľa, ale na vysokej škole. Pri digitálnej odbornej praxi je možné vykonávať aj </w:t>
      </w:r>
      <w:r>
        <w:rPr>
          <w:rStyle w:val="Zstupntext"/>
          <w:rFonts w:cs="Calibri"/>
          <w:color w:val="000000"/>
        </w:rPr>
        <w:t xml:space="preserve">cvičnú aj </w:t>
      </w:r>
      <w:r w:rsidR="00C65E5D">
        <w:rPr>
          <w:rStyle w:val="Zstupntext"/>
          <w:rFonts w:cs="Calibri"/>
          <w:color w:val="000000"/>
        </w:rPr>
        <w:t xml:space="preserve">produktívnu prácu, keďže môžu žiaci pôsobiť u zamestnávateľov. </w:t>
      </w:r>
    </w:p>
    <w:p w14:paraId="08939E4F" w14:textId="77777777" w:rsidR="00C65E5D" w:rsidRPr="00C65E5D" w:rsidRDefault="00C65E5D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65E5D">
        <w:rPr>
          <w:rStyle w:val="Zstupntext"/>
          <w:rFonts w:cs="Calibri"/>
          <w:b/>
          <w:bCs/>
          <w:color w:val="000000"/>
        </w:rPr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1</w:t>
      </w:r>
      <w:r w:rsidR="003F5EC8">
        <w:rPr>
          <w:rStyle w:val="Zstupntext"/>
          <w:rFonts w:cs="Calibri"/>
          <w:b/>
          <w:bCs/>
          <w:color w:val="000000"/>
        </w:rPr>
        <w:t>1</w:t>
      </w:r>
    </w:p>
    <w:p w14:paraId="222CFCD7" w14:textId="77777777" w:rsidR="00C65E5D" w:rsidRDefault="00C65E5D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lastRenderedPageBreak/>
        <w:t>Definuje sa miesto výkonu praktického vyučovania v rámci nových foriem. Pri odbornej stáži je to priestor kde sa uskutočňuje vysokoškolské vzdelávanie</w:t>
      </w:r>
      <w:r w:rsidR="00090F30">
        <w:rPr>
          <w:rStyle w:val="Zstupntext"/>
          <w:rFonts w:cs="Calibri"/>
          <w:color w:val="000000"/>
        </w:rPr>
        <w:t xml:space="preserve"> (nielen budova vysokej školy, ale napr. aj externé laboratóriá)</w:t>
      </w:r>
      <w:r>
        <w:rPr>
          <w:rStyle w:val="Zstupntext"/>
          <w:rFonts w:cs="Calibri"/>
          <w:color w:val="000000"/>
        </w:rPr>
        <w:t xml:space="preserve">, pri digitálnej odbornej stáži sú to pracoviská praktického vyučovania, pracoviská zamestnávateľa a osobitné prevádzky a podmienky naviazané na skupinu odborov vzdelávania 25 Informačné a sieťové technológie. </w:t>
      </w:r>
    </w:p>
    <w:p w14:paraId="32EC8A2A" w14:textId="77777777" w:rsidR="00C65E5D" w:rsidRDefault="00C65E5D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1</w:t>
      </w:r>
      <w:r w:rsidR="003F5EC8">
        <w:rPr>
          <w:rStyle w:val="Zstupntext"/>
          <w:rFonts w:cs="Calibri"/>
          <w:b/>
          <w:bCs/>
          <w:color w:val="000000"/>
        </w:rPr>
        <w:t>2</w:t>
      </w:r>
    </w:p>
    <w:p w14:paraId="377D40BB" w14:textId="77777777" w:rsidR="00C65E5D" w:rsidRPr="00C65E5D" w:rsidRDefault="00C65E5D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Legislatívno-technická úprava.</w:t>
      </w:r>
    </w:p>
    <w:p w14:paraId="5B2906BF" w14:textId="77777777" w:rsidR="00C65E5D" w:rsidRDefault="00C65E5D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1</w:t>
      </w:r>
      <w:r w:rsidR="003F5EC8">
        <w:rPr>
          <w:rStyle w:val="Zstupntext"/>
          <w:rFonts w:cs="Calibri"/>
          <w:b/>
          <w:bCs/>
          <w:color w:val="000000"/>
        </w:rPr>
        <w:t>3</w:t>
      </w:r>
    </w:p>
    <w:p w14:paraId="4FF4ABCC" w14:textId="77777777" w:rsidR="00C65E5D" w:rsidRDefault="00C65E5D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Dopĺňa sa možnosť absolvovať prax žiakov aj na tzv. zdieľaných pracoviskách u zamestnávateľov, s ktorými má zamestnávateľ pôsobiaci v systéme duálneho vzdelávania nejakú formu zmluvného vzťahu. Napr. objednávka, faktúra, zmluva, dohoda. Ide o odvetvia priemyslu a služieb, napr. stavebníctvo, poľnohospodárstvo, kde podniky majú viacero prevádzok a zákaziek, ktoré musia obsluhovať. Z dôvodu flexibility sa zavádza takáto možnosť pre zamestnávateľov posúvať žiakov na prax na ďalšie pracoviská pri zachovaní si zodpovednosti za týchto žiakov. </w:t>
      </w:r>
    </w:p>
    <w:p w14:paraId="786F85DA" w14:textId="77777777" w:rsidR="00C65E5D" w:rsidRDefault="00C65E5D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65E5D">
        <w:rPr>
          <w:rStyle w:val="Zstupntext"/>
          <w:rFonts w:cs="Calibri"/>
          <w:b/>
          <w:bCs/>
          <w:color w:val="000000"/>
        </w:rPr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1</w:t>
      </w:r>
      <w:r w:rsidR="003F5EC8">
        <w:rPr>
          <w:rStyle w:val="Zstupntext"/>
          <w:rFonts w:cs="Calibri"/>
          <w:b/>
          <w:bCs/>
          <w:color w:val="000000"/>
        </w:rPr>
        <w:t>4</w:t>
      </w:r>
    </w:p>
    <w:p w14:paraId="696EE6BE" w14:textId="14588121" w:rsidR="003F5EC8" w:rsidRPr="006554DF" w:rsidRDefault="006554DF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6554DF">
        <w:rPr>
          <w:rStyle w:val="Zstupntext"/>
          <w:rFonts w:cs="Calibri"/>
          <w:color w:val="000000"/>
        </w:rPr>
        <w:t xml:space="preserve">Vymedzenie priestorov, v ktorých sa nemôže poskytovať praktické vyučovanie v systéme duálneho vzdelávania na stredných zdravotníckych školách. </w:t>
      </w:r>
    </w:p>
    <w:p w14:paraId="5E96EC40" w14:textId="77777777" w:rsidR="003F5EC8" w:rsidRDefault="003F5EC8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bodu 15</w:t>
      </w:r>
    </w:p>
    <w:p w14:paraId="5EF23C4C" w14:textId="77777777" w:rsidR="00C65E5D" w:rsidRDefault="00CD790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Zjednodušuje sa administrácia registrácie a nahlasovania dielní ako integrálnych súčastí stredných škôl, čím sa vylučuje ich alternatívne zaraďovanie ako elokované pracoviská. Dochádza k znižovaniu administratívnej záťaže pre školy a zriaďovateľov. </w:t>
      </w:r>
    </w:p>
    <w:p w14:paraId="0E0022C7" w14:textId="77777777" w:rsidR="00CD7900" w:rsidRDefault="00CD790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D7900">
        <w:rPr>
          <w:rStyle w:val="Zstupntext"/>
          <w:rFonts w:cs="Calibri"/>
          <w:b/>
          <w:bCs/>
          <w:color w:val="000000"/>
        </w:rPr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1</w:t>
      </w:r>
      <w:r w:rsidR="00CD216E">
        <w:rPr>
          <w:rStyle w:val="Zstupntext"/>
          <w:rFonts w:cs="Calibri"/>
          <w:b/>
          <w:bCs/>
          <w:color w:val="000000"/>
        </w:rPr>
        <w:t>7</w:t>
      </w:r>
      <w:r w:rsidR="007567E4">
        <w:rPr>
          <w:rStyle w:val="Zstupntext"/>
          <w:rFonts w:cs="Calibri"/>
          <w:b/>
          <w:bCs/>
          <w:color w:val="000000"/>
        </w:rPr>
        <w:t xml:space="preserve"> </w:t>
      </w:r>
      <w:r w:rsidR="00F0707E">
        <w:rPr>
          <w:rStyle w:val="Zstupntext"/>
          <w:rFonts w:cs="Calibri"/>
          <w:b/>
          <w:bCs/>
          <w:color w:val="000000"/>
        </w:rPr>
        <w:t xml:space="preserve">a </w:t>
      </w:r>
      <w:r w:rsidR="003F5EC8">
        <w:rPr>
          <w:rStyle w:val="Zstupntext"/>
          <w:rFonts w:cs="Calibri"/>
          <w:b/>
          <w:bCs/>
          <w:color w:val="000000"/>
        </w:rPr>
        <w:t>23</w:t>
      </w:r>
    </w:p>
    <w:p w14:paraId="3642E6BD" w14:textId="77777777" w:rsidR="00CD7900" w:rsidRDefault="00CD790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Legislatívno-technická úprava</w:t>
      </w:r>
      <w:r w:rsidR="005428CE">
        <w:rPr>
          <w:rStyle w:val="Zstupntext"/>
          <w:rFonts w:cs="Calibri"/>
          <w:color w:val="000000"/>
        </w:rPr>
        <w:t>, keďže klasifikácia je jedným zo spôsobov hodnotenia</w:t>
      </w:r>
      <w:r>
        <w:rPr>
          <w:rStyle w:val="Zstupntext"/>
          <w:rFonts w:cs="Calibri"/>
          <w:color w:val="000000"/>
        </w:rPr>
        <w:t>.</w:t>
      </w:r>
    </w:p>
    <w:p w14:paraId="3F9AAE36" w14:textId="77777777" w:rsid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 w:rsidRPr="00CD216E">
        <w:rPr>
          <w:rStyle w:val="Zstupntext"/>
          <w:rFonts w:cs="Calibri"/>
          <w:b/>
          <w:color w:val="000000"/>
        </w:rPr>
        <w:t>K bodu 19</w:t>
      </w:r>
    </w:p>
    <w:p w14:paraId="0265A54F" w14:textId="5020576D" w:rsidR="00CD216E" w:rsidRPr="00972342" w:rsidRDefault="006554DF" w:rsidP="00C91CF5">
      <w:pPr>
        <w:widowControl/>
        <w:spacing w:after="120"/>
        <w:jc w:val="both"/>
        <w:rPr>
          <w:rStyle w:val="Zstupntext"/>
          <w:rFonts w:cs="Calibri"/>
          <w:bCs/>
          <w:color w:val="000000"/>
        </w:rPr>
      </w:pPr>
      <w:r w:rsidRPr="006554DF">
        <w:rPr>
          <w:rStyle w:val="Zstupntext"/>
          <w:rFonts w:cs="Calibri"/>
          <w:bCs/>
          <w:color w:val="000000"/>
        </w:rPr>
        <w:t>Úprava vzhľadom na bod 4.</w:t>
      </w:r>
    </w:p>
    <w:p w14:paraId="10837EDA" w14:textId="77777777" w:rsidR="00CD7900" w:rsidRDefault="00CD790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K bodu </w:t>
      </w:r>
      <w:r w:rsidR="00CD216E">
        <w:rPr>
          <w:rStyle w:val="Zstupntext"/>
          <w:rFonts w:cs="Calibri"/>
          <w:b/>
          <w:bCs/>
          <w:color w:val="000000"/>
        </w:rPr>
        <w:t>20</w:t>
      </w:r>
    </w:p>
    <w:p w14:paraId="1FA618B0" w14:textId="77777777" w:rsidR="001F1F91" w:rsidRDefault="00CD790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Dochádza k znižovaniu administratívnej záťaže Rady vlády pre odborné vzdelávanie a prípravu. Ide o schvaľovanie procesných náležitostí v koordinácii odborného vzdelávania a prípravy, pričom je oveľa efektívnejšie ponechať rozhodovanie a komisiách na Rade zamestnávateľov pre odborné vzdelávanie a prípravu spolu so stavovskými a profesijnými organizáciami.</w:t>
      </w:r>
    </w:p>
    <w:p w14:paraId="420DD7DA" w14:textId="77777777" w:rsidR="00CD7900" w:rsidRDefault="001F1F91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 w:rsidRPr="00B04E39">
        <w:rPr>
          <w:rStyle w:val="Zstupntext"/>
          <w:rFonts w:cs="Calibri"/>
          <w:b/>
          <w:color w:val="000000"/>
        </w:rPr>
        <w:t xml:space="preserve">K bodu </w:t>
      </w:r>
      <w:r w:rsidR="00CD216E">
        <w:rPr>
          <w:rStyle w:val="Zstupntext"/>
          <w:rFonts w:cs="Calibri"/>
          <w:b/>
          <w:color w:val="000000"/>
        </w:rPr>
        <w:t>21</w:t>
      </w:r>
    </w:p>
    <w:p w14:paraId="281E9DB7" w14:textId="77777777" w:rsidR="001F1F91" w:rsidRDefault="001F1F9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1F1F91">
        <w:rPr>
          <w:rStyle w:val="Zstupntext"/>
          <w:rFonts w:cs="Calibri"/>
          <w:color w:val="000000"/>
        </w:rPr>
        <w:t>Technická úprava v nadväznosti na paralelne predkladaný nový zákon o školskej správe, v ktorom sa sieť škôl a školských zariadení nahrádza registrom škôl a školských zariadení.</w:t>
      </w:r>
    </w:p>
    <w:p w14:paraId="2A269E51" w14:textId="77777777" w:rsidR="007E5903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22</w:t>
      </w:r>
    </w:p>
    <w:p w14:paraId="305D901B" w14:textId="51D5DD8B" w:rsidR="007E5903" w:rsidRPr="007E5903" w:rsidRDefault="006554DF" w:rsidP="00C91CF5">
      <w:pPr>
        <w:widowControl/>
        <w:spacing w:after="120"/>
        <w:jc w:val="both"/>
        <w:rPr>
          <w:rStyle w:val="Zstupntext"/>
          <w:rFonts w:cs="Calibri"/>
          <w:bCs/>
          <w:color w:val="000000"/>
        </w:rPr>
      </w:pPr>
      <w:r w:rsidRPr="007E5903">
        <w:rPr>
          <w:rStyle w:val="Zstupntext"/>
          <w:rFonts w:cs="Calibri"/>
          <w:bCs/>
          <w:color w:val="000000"/>
        </w:rPr>
        <w:t xml:space="preserve">Dopĺňa sa úprava učebnej zmluvy </w:t>
      </w:r>
      <w:r w:rsidR="007E5903" w:rsidRPr="007E5903">
        <w:rPr>
          <w:rStyle w:val="Zstupntext"/>
          <w:rFonts w:cs="Calibri"/>
          <w:bCs/>
          <w:color w:val="000000"/>
        </w:rPr>
        <w:t>pre s nižším stredným vzdelaním a nižším stredným odborným vzdelaním, nastúpil do druhého ročníka učebného odboru stredného odborného vzdelávania</w:t>
      </w:r>
      <w:r w:rsidR="00254775">
        <w:rPr>
          <w:rStyle w:val="Zstupntext"/>
          <w:rFonts w:cs="Calibri"/>
          <w:bCs/>
          <w:color w:val="000000"/>
        </w:rPr>
        <w:t>. Ide o špecifický prípad, kedy je možné v rámci priepustnosti systému začať štúdium v 2. ročníku SŠ v učebnom odbore (H odbor).</w:t>
      </w:r>
      <w:r w:rsidR="007E5903" w:rsidRPr="007E5903">
        <w:rPr>
          <w:rStyle w:val="Zstupntext"/>
          <w:rFonts w:cs="Calibri"/>
          <w:bCs/>
          <w:color w:val="000000"/>
        </w:rPr>
        <w:t xml:space="preserve"> </w:t>
      </w:r>
    </w:p>
    <w:p w14:paraId="78FAAD7D" w14:textId="21896E6A" w:rsidR="00CD7900" w:rsidRPr="00CD7900" w:rsidRDefault="00CD790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D7900">
        <w:rPr>
          <w:rStyle w:val="Zstupntext"/>
          <w:rFonts w:cs="Calibri"/>
          <w:b/>
          <w:bCs/>
          <w:color w:val="000000"/>
        </w:rPr>
        <w:lastRenderedPageBreak/>
        <w:t xml:space="preserve">K bodu </w:t>
      </w:r>
      <w:r w:rsidR="007567E4">
        <w:rPr>
          <w:rStyle w:val="Zstupntext"/>
          <w:rFonts w:cs="Calibri"/>
          <w:b/>
          <w:bCs/>
          <w:color w:val="000000"/>
        </w:rPr>
        <w:t>2</w:t>
      </w:r>
      <w:r w:rsidR="00CD216E">
        <w:rPr>
          <w:rStyle w:val="Zstupntext"/>
          <w:rFonts w:cs="Calibri"/>
          <w:b/>
          <w:bCs/>
          <w:color w:val="000000"/>
        </w:rPr>
        <w:t>5</w:t>
      </w:r>
    </w:p>
    <w:p w14:paraId="43DE809B" w14:textId="77777777" w:rsidR="00CD7900" w:rsidRDefault="00CD790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Z dôvodu efektívnejšej kontroly systému duálneho vzdelávania ako aj následnej prípadnej kontroly a spolupráce so Štátnou školskou inšpekciou sú zamestnávatelia povinní každoročne odovzdávať príslušných stavovským a profesijným organizáciám potrebné údaje v rozsahu v súlad s reguláciou ochrany osobných údajov. </w:t>
      </w:r>
    </w:p>
    <w:p w14:paraId="49F89F3D" w14:textId="77777777" w:rsidR="007567E4" w:rsidRDefault="007567E4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bodu 2</w:t>
      </w:r>
      <w:r w:rsidR="00CD216E">
        <w:rPr>
          <w:rStyle w:val="Zstupntext"/>
          <w:rFonts w:cs="Calibri"/>
          <w:b/>
          <w:bCs/>
          <w:color w:val="000000"/>
        </w:rPr>
        <w:t>6</w:t>
      </w:r>
    </w:p>
    <w:p w14:paraId="6201B456" w14:textId="77777777" w:rsidR="007567E4" w:rsidRDefault="007567E4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Legislatívno-technická úprava</w:t>
      </w:r>
      <w:r w:rsidR="0081157C">
        <w:rPr>
          <w:rStyle w:val="Zstupntext"/>
          <w:rFonts w:cs="Calibri"/>
          <w:color w:val="000000"/>
        </w:rPr>
        <w:t>.</w:t>
      </w:r>
    </w:p>
    <w:p w14:paraId="76702486" w14:textId="77777777" w:rsid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bodu 27</w:t>
      </w:r>
    </w:p>
    <w:p w14:paraId="2AEFD707" w14:textId="4F8EDB4A" w:rsidR="007E5903" w:rsidRPr="007E5903" w:rsidRDefault="00254775" w:rsidP="007E5903">
      <w:pPr>
        <w:widowControl/>
        <w:spacing w:after="120"/>
        <w:jc w:val="both"/>
        <w:rPr>
          <w:color w:val="000000"/>
        </w:rPr>
      </w:pPr>
      <w:r>
        <w:rPr>
          <w:rStyle w:val="Zstupntext"/>
          <w:rFonts w:cs="Calibri"/>
          <w:color w:val="000000"/>
        </w:rPr>
        <w:t>Valorizácia</w:t>
      </w:r>
      <w:r w:rsidR="007E5903" w:rsidRPr="007E5903">
        <w:rPr>
          <w:rStyle w:val="Zstupntext"/>
          <w:rFonts w:cs="Calibri"/>
          <w:color w:val="000000"/>
        </w:rPr>
        <w:t xml:space="preserve"> príspevku</w:t>
      </w:r>
      <w:r w:rsidR="007E5903" w:rsidRPr="007E5903">
        <w:rPr>
          <w:color w:val="000000"/>
        </w:rPr>
        <w:t xml:space="preserve"> na zabezpečenie praktického vyučovania v systéme duálneho vzdelávania, </w:t>
      </w:r>
      <w:r>
        <w:rPr>
          <w:color w:val="000000"/>
        </w:rPr>
        <w:t xml:space="preserve"> vytvorením automatu, ktorý bude naviazaný na minimálnu mzdu a bude sa každoročne aktualizovať v nadväznosti na jej výšku. Jednotlivé koeficienty reflektujú na osobitné postavenie malých a stredných podnikov ako aj na hodiny poskytovaného praktického vyučovania veľkými podnikmi. </w:t>
      </w:r>
    </w:p>
    <w:p w14:paraId="183BB257" w14:textId="77777777" w:rsidR="00CD7900" w:rsidRPr="00CD7900" w:rsidRDefault="00CD790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D7900">
        <w:rPr>
          <w:rStyle w:val="Zstupntext"/>
          <w:rFonts w:cs="Calibri"/>
          <w:b/>
          <w:bCs/>
          <w:color w:val="000000"/>
        </w:rPr>
        <w:t xml:space="preserve">K bodu </w:t>
      </w:r>
      <w:r w:rsidR="001D14A7">
        <w:rPr>
          <w:rStyle w:val="Zstupntext"/>
          <w:rFonts w:cs="Calibri"/>
          <w:b/>
          <w:bCs/>
          <w:color w:val="000000"/>
        </w:rPr>
        <w:t>2</w:t>
      </w:r>
      <w:r w:rsidR="00CD216E">
        <w:rPr>
          <w:rStyle w:val="Zstupntext"/>
          <w:rFonts w:cs="Calibri"/>
          <w:b/>
          <w:bCs/>
          <w:color w:val="000000"/>
        </w:rPr>
        <w:t>8</w:t>
      </w:r>
    </w:p>
    <w:p w14:paraId="453576D1" w14:textId="77777777" w:rsidR="00CD7900" w:rsidRDefault="00CD790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Poskytovanie príspevku na zabezpečenie praktického vyučovania v systéme duálneho vzdelávania bolo potrebné rozšíriť aj pre potreby agentúrneho zamestnávateľa, teda zamestnávateľa, ktorý poskytuje vzdelávanie aj pre žiakov iných zamestnávateľov v rámci svojej siete, napr. subdodávateľskej. </w:t>
      </w:r>
    </w:p>
    <w:p w14:paraId="2F1C0725" w14:textId="2236895A" w:rsid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29</w:t>
      </w:r>
      <w:r w:rsidR="007E5903">
        <w:rPr>
          <w:rStyle w:val="Zstupntext"/>
          <w:rFonts w:cs="Calibri"/>
          <w:b/>
          <w:color w:val="000000"/>
        </w:rPr>
        <w:t xml:space="preserve"> a 31</w:t>
      </w:r>
    </w:p>
    <w:p w14:paraId="614ADA66" w14:textId="1B8E5C0F" w:rsidR="00CD216E" w:rsidRPr="007E5903" w:rsidRDefault="007E5903" w:rsidP="00C91CF5">
      <w:pPr>
        <w:widowControl/>
        <w:spacing w:after="120"/>
        <w:jc w:val="both"/>
        <w:rPr>
          <w:rStyle w:val="Zstupntext"/>
          <w:rFonts w:cs="Calibri"/>
          <w:bCs/>
          <w:color w:val="000000"/>
        </w:rPr>
      </w:pPr>
      <w:r w:rsidRPr="007E5903">
        <w:rPr>
          <w:rStyle w:val="Zstupntext"/>
          <w:rFonts w:cs="Calibri"/>
          <w:bCs/>
          <w:color w:val="000000"/>
        </w:rPr>
        <w:t>Dopĺňa sa úprava splnenia kvalifikačných predpokladov pre inštruktora a hlavného inštruktora, ktorý poskytuje praktické vyučovanie na pracovisku zamestnávateľa vzhľadom na vstup stredných zdravotníckych škôl do systému duálneho vzdelávania.</w:t>
      </w:r>
    </w:p>
    <w:p w14:paraId="0FA97198" w14:textId="77777777" w:rsid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30</w:t>
      </w:r>
    </w:p>
    <w:p w14:paraId="72779554" w14:textId="39170735" w:rsidR="00CD216E" w:rsidRPr="007E5903" w:rsidRDefault="007E5903" w:rsidP="00C91CF5">
      <w:pPr>
        <w:widowControl/>
        <w:spacing w:after="120"/>
        <w:jc w:val="both"/>
        <w:rPr>
          <w:rStyle w:val="Zstupntext"/>
          <w:rFonts w:cs="Calibri"/>
          <w:bCs/>
          <w:color w:val="000000"/>
        </w:rPr>
      </w:pPr>
      <w:r w:rsidRPr="007E5903">
        <w:rPr>
          <w:rStyle w:val="Zstupntext"/>
          <w:rFonts w:cs="Calibri"/>
          <w:bCs/>
          <w:color w:val="000000"/>
        </w:rPr>
        <w:t>Doplnenie ustanovenia o spracovaní údajov vzhľadom na evidenciu potvrdení o</w:t>
      </w:r>
      <w:r w:rsidRPr="007E5903">
        <w:rPr>
          <w:bCs/>
          <w:color w:val="000000"/>
        </w:rPr>
        <w:t> absolvovaní prípravy hlavného inštruktora vydané príslušnou stavovskou organizáciou alebo príslušnou profesijnou organizáciou.</w:t>
      </w:r>
    </w:p>
    <w:p w14:paraId="12B9C9BC" w14:textId="77777777" w:rsidR="00CD216E" w:rsidRP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</w:p>
    <w:p w14:paraId="7C7CF70D" w14:textId="77777777" w:rsidR="00CD7900" w:rsidRPr="00CD7900" w:rsidRDefault="00CD790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D7900">
        <w:rPr>
          <w:rStyle w:val="Zstupntext"/>
          <w:rFonts w:cs="Calibri"/>
          <w:b/>
          <w:bCs/>
          <w:color w:val="000000"/>
        </w:rPr>
        <w:t>K bod</w:t>
      </w:r>
      <w:r w:rsidR="00DC109C">
        <w:rPr>
          <w:rStyle w:val="Zstupntext"/>
          <w:rFonts w:cs="Calibri"/>
          <w:b/>
          <w:bCs/>
          <w:color w:val="000000"/>
        </w:rPr>
        <w:t>om</w:t>
      </w:r>
      <w:r w:rsidRPr="00CD7900">
        <w:rPr>
          <w:rStyle w:val="Zstupntext"/>
          <w:rFonts w:cs="Calibri"/>
          <w:b/>
          <w:bCs/>
          <w:color w:val="000000"/>
        </w:rPr>
        <w:t xml:space="preserve"> </w:t>
      </w:r>
      <w:r w:rsidR="00CD216E">
        <w:rPr>
          <w:rStyle w:val="Zstupntext"/>
          <w:rFonts w:cs="Calibri"/>
          <w:b/>
          <w:bCs/>
          <w:color w:val="000000"/>
        </w:rPr>
        <w:t>32</w:t>
      </w:r>
      <w:r w:rsidR="001D14A7">
        <w:rPr>
          <w:rStyle w:val="Zstupntext"/>
          <w:rFonts w:cs="Calibri"/>
          <w:b/>
          <w:bCs/>
          <w:color w:val="000000"/>
        </w:rPr>
        <w:t xml:space="preserve"> </w:t>
      </w:r>
      <w:r w:rsidR="00DC109C">
        <w:rPr>
          <w:rStyle w:val="Zstupntext"/>
          <w:rFonts w:cs="Calibri"/>
          <w:b/>
          <w:bCs/>
          <w:color w:val="000000"/>
        </w:rPr>
        <w:t xml:space="preserve">a </w:t>
      </w:r>
      <w:r w:rsidR="00CD216E">
        <w:rPr>
          <w:rStyle w:val="Zstupntext"/>
          <w:rFonts w:cs="Calibri"/>
          <w:b/>
          <w:bCs/>
          <w:color w:val="000000"/>
        </w:rPr>
        <w:t>3</w:t>
      </w:r>
      <w:r w:rsidR="001D14A7">
        <w:rPr>
          <w:rStyle w:val="Zstupntext"/>
          <w:rFonts w:cs="Calibri"/>
          <w:b/>
          <w:bCs/>
          <w:color w:val="000000"/>
        </w:rPr>
        <w:t>8</w:t>
      </w:r>
    </w:p>
    <w:p w14:paraId="611EB20B" w14:textId="63552B89" w:rsidR="009746E0" w:rsidRDefault="00504E24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Zavádza sa úplne nový druh praktického vyučovania. Nová</w:t>
      </w:r>
      <w:r w:rsidRPr="00504E24">
        <w:rPr>
          <w:rStyle w:val="Zstupntext"/>
          <w:rFonts w:cs="Calibri"/>
          <w:color w:val="000000"/>
        </w:rPr>
        <w:t xml:space="preserve"> form</w:t>
      </w:r>
      <w:r>
        <w:rPr>
          <w:rStyle w:val="Zstupntext"/>
          <w:rFonts w:cs="Calibri"/>
          <w:color w:val="000000"/>
        </w:rPr>
        <w:t>a</w:t>
      </w:r>
      <w:r w:rsidRPr="00504E24">
        <w:rPr>
          <w:rStyle w:val="Zstupntext"/>
          <w:rFonts w:cs="Calibri"/>
          <w:color w:val="000000"/>
        </w:rPr>
        <w:t xml:space="preserve"> praktického vyučovania </w:t>
      </w:r>
      <w:r>
        <w:rPr>
          <w:rStyle w:val="Zstupntext"/>
          <w:rFonts w:cs="Calibri"/>
          <w:color w:val="000000"/>
        </w:rPr>
        <w:t xml:space="preserve">formou odbornej stáže </w:t>
      </w:r>
      <w:r w:rsidRPr="00504E24">
        <w:rPr>
          <w:rStyle w:val="Zstupntext"/>
          <w:rFonts w:cs="Calibri"/>
          <w:color w:val="000000"/>
        </w:rPr>
        <w:t xml:space="preserve">pre </w:t>
      </w:r>
      <w:r w:rsidR="007A3C49">
        <w:rPr>
          <w:rStyle w:val="Zstupntext"/>
          <w:rFonts w:cs="Calibri"/>
          <w:color w:val="000000"/>
        </w:rPr>
        <w:t xml:space="preserve">stredné odborné školy a </w:t>
      </w:r>
      <w:r w:rsidRPr="00504E24">
        <w:rPr>
          <w:rStyle w:val="Zstupntext"/>
          <w:rFonts w:cs="Calibri"/>
          <w:color w:val="000000"/>
        </w:rPr>
        <w:t>stredné priemyselné školy Praktické vyučovanie môže prebiehať aj prostredníctvom praxe žiakov priamo na vysokých školách v oblastiach, ktoré súvisia s odborom vzdelávania, ktorí študujú na strednej škole.</w:t>
      </w:r>
      <w:r>
        <w:rPr>
          <w:rStyle w:val="Zstupntext"/>
          <w:rFonts w:cs="Calibri"/>
          <w:color w:val="000000"/>
        </w:rPr>
        <w:t xml:space="preserve"> </w:t>
      </w:r>
    </w:p>
    <w:p w14:paraId="71A147CE" w14:textId="1FDA5258" w:rsidR="00CD7900" w:rsidRDefault="00504E24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Túto formu praktického vyučovania je potrebné regulovať prostredníctvom nového druhu zmluvy medzi</w:t>
      </w:r>
      <w:r w:rsidR="007A3C49">
        <w:rPr>
          <w:rStyle w:val="Zstupntext"/>
          <w:rFonts w:cs="Calibri"/>
          <w:color w:val="000000"/>
        </w:rPr>
        <w:t xml:space="preserve"> strednou odbornou školou alebo</w:t>
      </w:r>
      <w:r>
        <w:rPr>
          <w:rStyle w:val="Zstupntext"/>
          <w:rFonts w:cs="Calibri"/>
          <w:color w:val="000000"/>
        </w:rPr>
        <w:t xml:space="preserve"> strednou priemyselnou školou a vysokou školou, kde budú základné náležitosti na reguláciu vzájomných práv a povinností. Odborná stáž sa bude vykonávať pod vedením vysokoškolského učiteľa a realizuje sa formou cvičnej práce. Nové formy praktického vyučovania sú reakciou na odporúčania na nové trendy vo vzdelávaní zo strany Európskej komisie a OECD. </w:t>
      </w:r>
    </w:p>
    <w:p w14:paraId="54454E86" w14:textId="77777777" w:rsidR="00254775" w:rsidRDefault="00254775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p w14:paraId="6370B133" w14:textId="558B3348" w:rsidR="00254775" w:rsidRDefault="00254775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lastRenderedPageBreak/>
        <w:t xml:space="preserve">Rozdiel v odbornej stáži medzi strednou odbornou školou a strednou priemyselnou školou spočíva  tom, že na SPŠ sa odborná stáž poskytuje v študijných odboroch, ktorých absolvovaním žiak získa úplné stredné odborné vzdelanie s praktickým vyučovaním formou odbornej praxe a vo vyššom odbornom vzdelávaní, zatiaľ čo v prípade SOŠ ide iba o vyššie odborné vzdelávanie. </w:t>
      </w:r>
    </w:p>
    <w:p w14:paraId="534C94AF" w14:textId="154DEB48" w:rsid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33</w:t>
      </w:r>
    </w:p>
    <w:p w14:paraId="3BF0D850" w14:textId="495D604B" w:rsidR="00CD216E" w:rsidRPr="007A3C49" w:rsidRDefault="007A3C49" w:rsidP="00C91CF5">
      <w:pPr>
        <w:widowControl/>
        <w:spacing w:after="120"/>
        <w:jc w:val="both"/>
        <w:rPr>
          <w:rStyle w:val="Zstupntext"/>
          <w:rFonts w:cs="Calibri"/>
          <w:bCs/>
          <w:color w:val="000000"/>
        </w:rPr>
      </w:pPr>
      <w:r w:rsidRPr="007A3C49">
        <w:rPr>
          <w:rStyle w:val="Zstupntext"/>
          <w:rFonts w:cs="Calibri"/>
          <w:bCs/>
          <w:color w:val="000000"/>
        </w:rPr>
        <w:t>Precizovanie podmienok, ktoré zamestnávateľ musí splniť, aby mohol používať označenie nadpodnikové vzdelávacie centrum</w:t>
      </w:r>
      <w:r w:rsidR="00254775">
        <w:rPr>
          <w:rStyle w:val="Zstupntext"/>
          <w:rFonts w:cs="Calibri"/>
          <w:bCs/>
          <w:color w:val="000000"/>
        </w:rPr>
        <w:t xml:space="preserve"> aj v nadväznosti na nový zákon o vzdelávaní dospelých. </w:t>
      </w:r>
    </w:p>
    <w:p w14:paraId="4791EFA5" w14:textId="270A08FB" w:rsidR="007A3C49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34</w:t>
      </w:r>
    </w:p>
    <w:p w14:paraId="4C31F240" w14:textId="5E240614" w:rsidR="007A3C49" w:rsidRPr="007A3C49" w:rsidRDefault="007A3C49" w:rsidP="00C91CF5">
      <w:pPr>
        <w:widowControl/>
        <w:spacing w:after="120"/>
        <w:jc w:val="both"/>
        <w:rPr>
          <w:rStyle w:val="Zstupntext"/>
          <w:rFonts w:cs="Calibri"/>
          <w:bCs/>
          <w:color w:val="000000"/>
        </w:rPr>
      </w:pPr>
      <w:r w:rsidRPr="007A3C49">
        <w:rPr>
          <w:rStyle w:val="Zstupntext"/>
          <w:rFonts w:cs="Calibri"/>
          <w:bCs/>
          <w:color w:val="000000"/>
        </w:rPr>
        <w:t>Ustanovenie možnosti vzniku záujmového združenia zamestnávateľov, ktorý môžu popri svojom názve používať označenie nadpodnikové vzdelávacie centrum.</w:t>
      </w:r>
    </w:p>
    <w:p w14:paraId="5869EAAA" w14:textId="77777777" w:rsidR="00504E24" w:rsidRPr="00504E24" w:rsidRDefault="00504E24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504E24">
        <w:rPr>
          <w:rStyle w:val="Zstupntext"/>
          <w:rFonts w:cs="Calibri"/>
          <w:b/>
          <w:bCs/>
          <w:color w:val="000000"/>
        </w:rPr>
        <w:t>K </w:t>
      </w:r>
      <w:r w:rsidR="00902CA3" w:rsidRPr="00504E24">
        <w:rPr>
          <w:rStyle w:val="Zstupntext"/>
          <w:rFonts w:cs="Calibri"/>
          <w:b/>
          <w:bCs/>
          <w:color w:val="000000"/>
        </w:rPr>
        <w:t>bod</w:t>
      </w:r>
      <w:r w:rsidR="00902CA3">
        <w:rPr>
          <w:rStyle w:val="Zstupntext"/>
          <w:rFonts w:cs="Calibri"/>
          <w:b/>
          <w:bCs/>
          <w:color w:val="000000"/>
        </w:rPr>
        <w:t>om</w:t>
      </w:r>
      <w:r w:rsidR="00902CA3" w:rsidRPr="00504E24">
        <w:rPr>
          <w:rStyle w:val="Zstupntext"/>
          <w:rFonts w:cs="Calibri"/>
          <w:b/>
          <w:bCs/>
          <w:color w:val="000000"/>
        </w:rPr>
        <w:t xml:space="preserve"> </w:t>
      </w:r>
      <w:r w:rsidR="00CD216E">
        <w:rPr>
          <w:rStyle w:val="Zstupntext"/>
          <w:rFonts w:cs="Calibri"/>
          <w:b/>
          <w:bCs/>
          <w:color w:val="000000"/>
        </w:rPr>
        <w:t>39</w:t>
      </w:r>
      <w:r w:rsidR="001D14A7">
        <w:rPr>
          <w:rStyle w:val="Zstupntext"/>
          <w:rFonts w:cs="Calibri"/>
          <w:b/>
          <w:bCs/>
          <w:color w:val="000000"/>
        </w:rPr>
        <w:t xml:space="preserve"> </w:t>
      </w:r>
      <w:r>
        <w:rPr>
          <w:rStyle w:val="Zstupntext"/>
          <w:rFonts w:cs="Calibri"/>
          <w:b/>
          <w:bCs/>
          <w:color w:val="000000"/>
        </w:rPr>
        <w:t xml:space="preserve">a </w:t>
      </w:r>
      <w:r w:rsidR="00CD216E">
        <w:rPr>
          <w:rStyle w:val="Zstupntext"/>
          <w:rFonts w:cs="Calibri"/>
          <w:b/>
          <w:bCs/>
          <w:color w:val="000000"/>
        </w:rPr>
        <w:t>4</w:t>
      </w:r>
      <w:r w:rsidR="001D14A7">
        <w:rPr>
          <w:rStyle w:val="Zstupntext"/>
          <w:rFonts w:cs="Calibri"/>
          <w:b/>
          <w:bCs/>
          <w:color w:val="000000"/>
        </w:rPr>
        <w:t>0</w:t>
      </w:r>
    </w:p>
    <w:p w14:paraId="725C5D03" w14:textId="77777777" w:rsidR="00504E24" w:rsidRPr="00504E24" w:rsidRDefault="00504E24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504E24">
        <w:rPr>
          <w:rStyle w:val="Zstupntext"/>
          <w:rFonts w:cs="Calibri"/>
          <w:color w:val="000000"/>
        </w:rPr>
        <w:t xml:space="preserve">Centrum excelentnosti odborného vzdelávania a prípravy (ďalej </w:t>
      </w:r>
      <w:r w:rsidR="003F5BF8">
        <w:rPr>
          <w:rStyle w:val="Zstupntext"/>
          <w:rFonts w:cs="Calibri"/>
          <w:color w:val="000000"/>
        </w:rPr>
        <w:t>len</w:t>
      </w:r>
      <w:r w:rsidR="003F5BF8" w:rsidRPr="00504E24">
        <w:rPr>
          <w:rStyle w:val="Zstupntext"/>
          <w:rFonts w:cs="Calibri"/>
          <w:color w:val="000000"/>
        </w:rPr>
        <w:t xml:space="preserve"> </w:t>
      </w:r>
      <w:r w:rsidRPr="00504E24">
        <w:rPr>
          <w:rStyle w:val="Zstupntext"/>
          <w:rFonts w:cs="Calibri"/>
          <w:color w:val="000000"/>
        </w:rPr>
        <w:t xml:space="preserve">„CEOVP“) je poskytovateľom odborného vzdelávania a prípravy (ďalej </w:t>
      </w:r>
      <w:r w:rsidR="003F5BF8">
        <w:rPr>
          <w:rStyle w:val="Zstupntext"/>
          <w:rFonts w:cs="Calibri"/>
          <w:color w:val="000000"/>
        </w:rPr>
        <w:t>len</w:t>
      </w:r>
      <w:r w:rsidR="003F5BF8" w:rsidRPr="00504E24">
        <w:rPr>
          <w:rStyle w:val="Zstupntext"/>
          <w:rFonts w:cs="Calibri"/>
          <w:color w:val="000000"/>
        </w:rPr>
        <w:t xml:space="preserve"> </w:t>
      </w:r>
      <w:r w:rsidRPr="00504E24">
        <w:rPr>
          <w:rStyle w:val="Zstupntext"/>
          <w:rFonts w:cs="Calibri"/>
          <w:color w:val="000000"/>
        </w:rPr>
        <w:t>„OVP“) pre región, subregión alebo sektor v postavení strednej odbornej školy. Zameriava sa na dosahovanie excelentných výsledkov v oblasti, ktoré sú kľúčové pre úspech v procese prípravy pracovnej sily vo formálnom alebo neformálnom vzdelávaní. Vytvára partnerský ekosystém v oblasti OVP a komplexnú sieť vzájomne závislých vzťahov medzi kľúčovými aktérmi v oblasti OVP ktoré navzájom spolupracujú.</w:t>
      </w:r>
      <w:r>
        <w:rPr>
          <w:rStyle w:val="Zstupntext"/>
          <w:rFonts w:cs="Calibri"/>
          <w:color w:val="000000"/>
        </w:rPr>
        <w:t xml:space="preserve"> </w:t>
      </w:r>
    </w:p>
    <w:p w14:paraId="5C693373" w14:textId="77777777" w:rsidR="00504E24" w:rsidRPr="00504E24" w:rsidRDefault="009746E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Ustanovenia zákona</w:t>
      </w:r>
      <w:r w:rsidR="00504E24" w:rsidRPr="00504E24">
        <w:rPr>
          <w:rStyle w:val="Zstupntext"/>
          <w:rFonts w:cs="Calibri"/>
          <w:color w:val="000000"/>
        </w:rPr>
        <w:t xml:space="preserve"> definuj</w:t>
      </w:r>
      <w:r>
        <w:rPr>
          <w:rStyle w:val="Zstupntext"/>
          <w:rFonts w:cs="Calibri"/>
          <w:color w:val="000000"/>
        </w:rPr>
        <w:t>e</w:t>
      </w:r>
      <w:r w:rsidR="00504E24" w:rsidRPr="00504E24">
        <w:rPr>
          <w:rStyle w:val="Zstupntext"/>
          <w:rFonts w:cs="Calibri"/>
          <w:color w:val="000000"/>
        </w:rPr>
        <w:t xml:space="preserve"> minimálne požiadavky, ktoré musí </w:t>
      </w:r>
      <w:r w:rsidR="00A65F07">
        <w:rPr>
          <w:rStyle w:val="Zstupntext"/>
          <w:rFonts w:cs="Calibri"/>
          <w:color w:val="000000"/>
        </w:rPr>
        <w:t xml:space="preserve">stredná </w:t>
      </w:r>
      <w:r w:rsidR="00504E24" w:rsidRPr="00504E24">
        <w:rPr>
          <w:rStyle w:val="Zstupntext"/>
          <w:rFonts w:cs="Calibri"/>
          <w:color w:val="000000"/>
        </w:rPr>
        <w:t>odborná škola</w:t>
      </w:r>
      <w:r>
        <w:rPr>
          <w:rStyle w:val="Zstupntext"/>
          <w:rFonts w:cs="Calibri"/>
          <w:color w:val="000000"/>
        </w:rPr>
        <w:t xml:space="preserve"> alebo stredná priemyselná škola</w:t>
      </w:r>
      <w:r w:rsidR="00504E24" w:rsidRPr="00504E24">
        <w:rPr>
          <w:rStyle w:val="Zstupntext"/>
          <w:rFonts w:cs="Calibri"/>
          <w:color w:val="000000"/>
        </w:rPr>
        <w:t xml:space="preserve">, ktorá sa uchádza o udelenie označenie CEOVP splniť. Jedným z predpokladov pre udelenie </w:t>
      </w:r>
      <w:r w:rsidR="007D55CC">
        <w:rPr>
          <w:rStyle w:val="Zstupntext"/>
          <w:rFonts w:cs="Calibri"/>
          <w:color w:val="000000"/>
        </w:rPr>
        <w:t xml:space="preserve">oprávnenia používať </w:t>
      </w:r>
      <w:r w:rsidR="00504E24" w:rsidRPr="00504E24">
        <w:rPr>
          <w:rStyle w:val="Zstupntext"/>
          <w:rFonts w:cs="Calibri"/>
          <w:color w:val="000000"/>
        </w:rPr>
        <w:t>označeni</w:t>
      </w:r>
      <w:r w:rsidR="007D55CC">
        <w:rPr>
          <w:rStyle w:val="Zstupntext"/>
          <w:rFonts w:cs="Calibri"/>
          <w:color w:val="000000"/>
        </w:rPr>
        <w:t>e</w:t>
      </w:r>
      <w:r w:rsidR="00504E24" w:rsidRPr="00504E24">
        <w:rPr>
          <w:rStyle w:val="Zstupntext"/>
          <w:rFonts w:cs="Calibri"/>
          <w:color w:val="000000"/>
        </w:rPr>
        <w:t xml:space="preserve"> CEOVP je minimálny počet žiakov </w:t>
      </w:r>
      <w:r w:rsidR="00503B6A">
        <w:rPr>
          <w:rStyle w:val="Zstupntext"/>
          <w:rFonts w:cs="Calibri"/>
          <w:color w:val="000000"/>
        </w:rPr>
        <w:t xml:space="preserve">(400 žiakov) </w:t>
      </w:r>
      <w:r w:rsidR="00504E24" w:rsidRPr="00504E24">
        <w:rPr>
          <w:rStyle w:val="Zstupntext"/>
          <w:rFonts w:cs="Calibri"/>
          <w:color w:val="000000"/>
        </w:rPr>
        <w:t xml:space="preserve">či vyváženosť odborov vzdelávania. Škola, preukazuje </w:t>
      </w:r>
      <w:r w:rsidR="00503B6A">
        <w:rPr>
          <w:rStyle w:val="Zstupntext"/>
          <w:rFonts w:cs="Calibri"/>
          <w:color w:val="000000"/>
        </w:rPr>
        <w:t xml:space="preserve">90 % </w:t>
      </w:r>
      <w:r w:rsidR="00504E24" w:rsidRPr="00504E24">
        <w:rPr>
          <w:rStyle w:val="Zstupntext"/>
          <w:rFonts w:cs="Calibri"/>
          <w:color w:val="000000"/>
        </w:rPr>
        <w:t>čistotu sektorového zamerania a to najmä v kontexte spájania žiakov z rôznych odborov vzdelávania do spoločných tried.</w:t>
      </w:r>
    </w:p>
    <w:p w14:paraId="4AE7AA41" w14:textId="77777777" w:rsidR="00504E24" w:rsidRPr="00504E24" w:rsidRDefault="00504E24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504E24">
        <w:rPr>
          <w:rStyle w:val="Zstupntext"/>
          <w:rFonts w:cs="Calibri"/>
          <w:color w:val="000000"/>
        </w:rPr>
        <w:t>Okrem toho sa predpokladá vydanie vnútorného predpisu zo strany stavovských organizácií a profesijných organizácií, ktoré môžu definovať ďalšie kritériá, ktoré musí stredná odborná škola, ktorá má záujem o udelenie označenia CEOVP splniť.</w:t>
      </w:r>
      <w:r w:rsidR="00503B6A">
        <w:rPr>
          <w:rStyle w:val="Zstupntext"/>
          <w:rFonts w:cs="Calibri"/>
          <w:color w:val="000000"/>
        </w:rPr>
        <w:t xml:space="preserve"> Zároveň CEOVP má s príslušnými stavovskými a profesijnými organizáciami spolupracovať, pričom spolupráca sa očakáva aj so zahraničnými partnermi OVP.</w:t>
      </w:r>
    </w:p>
    <w:p w14:paraId="347B5389" w14:textId="77777777" w:rsidR="00504E24" w:rsidRDefault="00504E24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504E24">
        <w:rPr>
          <w:rStyle w:val="Zstupntext"/>
          <w:rFonts w:cs="Calibri"/>
          <w:color w:val="000000"/>
        </w:rPr>
        <w:t>Označenie CEOVP udeľuje ministerstvo školstva, ktoré rozhoduje na základe návrhu príslušnej stavovskej organizácie alebo profesijnej organizácie a so súhlasom rady zamestnávateľov. Postup udelenia oprávnenia používať označenie CEOVP je z procesného hľadiska upravený v štatúte, ktorý vydáva príslušná stavovská organizácia alebo profesijná organizácia po prerokovaní v rade zamestnávateľov.</w:t>
      </w:r>
      <w:r w:rsidR="008C5E0E">
        <w:rPr>
          <w:rStyle w:val="Zstupntext"/>
          <w:rFonts w:cs="Calibri"/>
          <w:color w:val="000000"/>
        </w:rPr>
        <w:t xml:space="preserve"> Vytvorenie CEOVP vychádza aj z </w:t>
      </w:r>
      <w:r w:rsidR="008C5E0E" w:rsidRPr="008C5E0E">
        <w:rPr>
          <w:rStyle w:val="Zstupntext"/>
          <w:rFonts w:cs="Calibri"/>
          <w:color w:val="000000"/>
        </w:rPr>
        <w:t>predpoklad</w:t>
      </w:r>
      <w:r w:rsidR="008C5E0E">
        <w:rPr>
          <w:rStyle w:val="Zstupntext"/>
          <w:rFonts w:cs="Calibri"/>
          <w:color w:val="000000"/>
        </w:rPr>
        <w:t>ov</w:t>
      </w:r>
      <w:r w:rsidR="008C5E0E" w:rsidRPr="008C5E0E">
        <w:rPr>
          <w:rStyle w:val="Zstupntext"/>
          <w:rFonts w:cs="Calibri"/>
          <w:color w:val="000000"/>
        </w:rPr>
        <w:t xml:space="preserve"> na naplnenie Modelu a metodiky CEOVP </w:t>
      </w:r>
      <w:r w:rsidR="008C5E0E">
        <w:rPr>
          <w:rStyle w:val="Zstupntext"/>
          <w:rFonts w:cs="Calibri"/>
          <w:color w:val="000000"/>
        </w:rPr>
        <w:t>na základe</w:t>
      </w:r>
      <w:r w:rsidR="008C5E0E" w:rsidRPr="008C5E0E">
        <w:rPr>
          <w:rStyle w:val="Zstupntext"/>
          <w:rFonts w:cs="Calibri"/>
          <w:color w:val="000000"/>
        </w:rPr>
        <w:t xml:space="preserve"> odporúčaní </w:t>
      </w:r>
      <w:r w:rsidR="008C5E0E">
        <w:rPr>
          <w:rStyle w:val="Zstupntext"/>
          <w:rFonts w:cs="Calibri"/>
          <w:color w:val="000000"/>
        </w:rPr>
        <w:t xml:space="preserve">Európskej únie </w:t>
      </w:r>
      <w:r w:rsidR="008C5E0E" w:rsidRPr="008C5E0E">
        <w:rPr>
          <w:rStyle w:val="Zstupntext"/>
          <w:rFonts w:cs="Calibri"/>
          <w:color w:val="000000"/>
        </w:rPr>
        <w:t>v jednotlivých oblastiach excelentnosti</w:t>
      </w:r>
      <w:r w:rsidR="008C5E0E">
        <w:rPr>
          <w:rStyle w:val="Zstupntext"/>
          <w:rFonts w:cs="Calibri"/>
          <w:color w:val="000000"/>
        </w:rPr>
        <w:t>.</w:t>
      </w:r>
    </w:p>
    <w:p w14:paraId="7A407307" w14:textId="77777777" w:rsidR="009746E0" w:rsidRDefault="009746E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Zároveň sa </w:t>
      </w:r>
      <w:r w:rsidR="00EA5C74">
        <w:rPr>
          <w:rStyle w:val="Zstupntext"/>
          <w:rFonts w:cs="Calibri"/>
          <w:color w:val="000000"/>
        </w:rPr>
        <w:t xml:space="preserve">s odloženou </w:t>
      </w:r>
      <w:r w:rsidR="009F5349">
        <w:rPr>
          <w:rStyle w:val="Zstupntext"/>
          <w:rFonts w:cs="Calibri"/>
          <w:color w:val="000000"/>
        </w:rPr>
        <w:t xml:space="preserve">účinnosťou </w:t>
      </w:r>
      <w:r>
        <w:rPr>
          <w:rStyle w:val="Zstupntext"/>
          <w:rFonts w:cs="Calibri"/>
          <w:color w:val="000000"/>
        </w:rPr>
        <w:t xml:space="preserve">rušia pôvodné Centrá odborného vzdelávania a prípravy, ktorých bolo </w:t>
      </w:r>
      <w:r w:rsidR="000D096F">
        <w:rPr>
          <w:rStyle w:val="Zstupntext"/>
          <w:rFonts w:cs="Calibri"/>
          <w:color w:val="000000"/>
        </w:rPr>
        <w:t xml:space="preserve">viac ako </w:t>
      </w:r>
      <w:r>
        <w:rPr>
          <w:rStyle w:val="Zstupntext"/>
          <w:rFonts w:cs="Calibri"/>
          <w:color w:val="000000"/>
        </w:rPr>
        <w:t xml:space="preserve">100 a nespĺňali poslanie, na ktoré boli primárne určené, a to zabezpečiť vysoký štandard kvality odborného vzdelávania a prípravy podľa európskych parametrov. </w:t>
      </w:r>
    </w:p>
    <w:p w14:paraId="1589BF98" w14:textId="1E43E900" w:rsidR="009746E0" w:rsidRPr="009746E0" w:rsidRDefault="009746E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9746E0">
        <w:rPr>
          <w:rStyle w:val="Zstupntext"/>
          <w:rFonts w:cs="Calibri"/>
          <w:b/>
          <w:bCs/>
          <w:color w:val="000000"/>
        </w:rPr>
        <w:t xml:space="preserve">K bodom </w:t>
      </w:r>
      <w:r w:rsidR="00CD216E">
        <w:rPr>
          <w:rStyle w:val="Zstupntext"/>
          <w:rFonts w:cs="Calibri"/>
          <w:b/>
          <w:bCs/>
          <w:color w:val="000000"/>
        </w:rPr>
        <w:t>4</w:t>
      </w:r>
      <w:r w:rsidR="001D14A7">
        <w:rPr>
          <w:rStyle w:val="Zstupntext"/>
          <w:rFonts w:cs="Calibri"/>
          <w:b/>
          <w:bCs/>
          <w:color w:val="000000"/>
        </w:rPr>
        <w:t>1</w:t>
      </w:r>
      <w:r w:rsidR="00CC6FF4">
        <w:rPr>
          <w:rStyle w:val="Zstupntext"/>
          <w:rFonts w:cs="Calibri"/>
          <w:b/>
          <w:bCs/>
          <w:color w:val="000000"/>
        </w:rPr>
        <w:t>,</w:t>
      </w:r>
      <w:r w:rsidR="00CD216E">
        <w:rPr>
          <w:rStyle w:val="Zstupntext"/>
          <w:rFonts w:cs="Calibri"/>
          <w:b/>
          <w:bCs/>
          <w:color w:val="000000"/>
        </w:rPr>
        <w:t xml:space="preserve"> 4</w:t>
      </w:r>
      <w:r w:rsidR="001D14A7">
        <w:rPr>
          <w:rStyle w:val="Zstupntext"/>
          <w:rFonts w:cs="Calibri"/>
          <w:b/>
          <w:bCs/>
          <w:color w:val="000000"/>
        </w:rPr>
        <w:t>2</w:t>
      </w:r>
      <w:r w:rsidR="007A3C49">
        <w:rPr>
          <w:rStyle w:val="Zstupntext"/>
          <w:rFonts w:cs="Calibri"/>
          <w:b/>
          <w:bCs/>
          <w:color w:val="000000"/>
        </w:rPr>
        <w:t>, 43</w:t>
      </w:r>
      <w:r w:rsidR="001D14A7">
        <w:rPr>
          <w:rStyle w:val="Zstupntext"/>
          <w:rFonts w:cs="Calibri"/>
          <w:b/>
          <w:bCs/>
          <w:color w:val="000000"/>
        </w:rPr>
        <w:t xml:space="preserve"> </w:t>
      </w:r>
      <w:r w:rsidR="00CC6FF4">
        <w:rPr>
          <w:rStyle w:val="Zstupntext"/>
          <w:rFonts w:cs="Calibri"/>
          <w:b/>
          <w:bCs/>
          <w:color w:val="000000"/>
        </w:rPr>
        <w:t xml:space="preserve">a </w:t>
      </w:r>
      <w:r w:rsidR="00802ECA">
        <w:rPr>
          <w:rStyle w:val="Zstupntext"/>
          <w:rFonts w:cs="Calibri"/>
          <w:b/>
          <w:bCs/>
          <w:color w:val="000000"/>
        </w:rPr>
        <w:t>57</w:t>
      </w:r>
    </w:p>
    <w:p w14:paraId="6087DAFF" w14:textId="77777777" w:rsidR="009746E0" w:rsidRDefault="009746E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Legislatívno-technická úprava</w:t>
      </w:r>
      <w:r w:rsidR="00294D6A">
        <w:rPr>
          <w:rStyle w:val="Zstupntext"/>
          <w:rFonts w:cs="Calibri"/>
          <w:color w:val="000000"/>
        </w:rPr>
        <w:t xml:space="preserve"> s cieľom jednotnej terminológie</w:t>
      </w:r>
      <w:r>
        <w:rPr>
          <w:rStyle w:val="Zstupntext"/>
          <w:rFonts w:cs="Calibri"/>
          <w:color w:val="000000"/>
        </w:rPr>
        <w:t>.</w:t>
      </w:r>
    </w:p>
    <w:p w14:paraId="790258C6" w14:textId="77777777" w:rsidR="00CD216E" w:rsidRPr="00CD216E" w:rsidRDefault="00CD216E" w:rsidP="00C91CF5">
      <w:pPr>
        <w:widowControl/>
        <w:spacing w:after="120"/>
        <w:jc w:val="both"/>
        <w:rPr>
          <w:rStyle w:val="Zstupntext"/>
          <w:rFonts w:cs="Calibri"/>
          <w:b/>
          <w:color w:val="000000"/>
        </w:rPr>
      </w:pPr>
    </w:p>
    <w:p w14:paraId="6A14A1BB" w14:textId="77777777" w:rsidR="009746E0" w:rsidRPr="009746E0" w:rsidRDefault="009746E0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9746E0">
        <w:rPr>
          <w:rStyle w:val="Zstupntext"/>
          <w:rFonts w:cs="Calibri"/>
          <w:b/>
          <w:bCs/>
          <w:color w:val="000000"/>
        </w:rPr>
        <w:lastRenderedPageBreak/>
        <w:t xml:space="preserve">K bodu </w:t>
      </w:r>
      <w:r w:rsidR="00CD216E">
        <w:rPr>
          <w:rStyle w:val="Zstupntext"/>
          <w:rFonts w:cs="Calibri"/>
          <w:b/>
          <w:bCs/>
          <w:color w:val="000000"/>
        </w:rPr>
        <w:t>44</w:t>
      </w:r>
    </w:p>
    <w:p w14:paraId="348D823D" w14:textId="7FCD48A3" w:rsidR="00CD32CE" w:rsidRDefault="000519E4" w:rsidP="00C91CF5">
      <w:pPr>
        <w:widowControl/>
        <w:spacing w:after="120"/>
        <w:jc w:val="both"/>
        <w:rPr>
          <w:color w:val="000000"/>
        </w:rPr>
      </w:pPr>
      <w:r>
        <w:rPr>
          <w:rStyle w:val="Zstupntext"/>
          <w:rFonts w:cs="Calibri"/>
          <w:color w:val="000000"/>
        </w:rPr>
        <w:t>Zavádza sa</w:t>
      </w:r>
      <w:r w:rsidR="009746E0">
        <w:rPr>
          <w:rStyle w:val="Zstupntext"/>
          <w:rFonts w:cs="Calibri"/>
          <w:color w:val="000000"/>
        </w:rPr>
        <w:t xml:space="preserve"> nový inštitút agentúrneho </w:t>
      </w:r>
      <w:r w:rsidR="00B13F9B">
        <w:rPr>
          <w:rStyle w:val="Zstupntext"/>
          <w:rFonts w:cs="Calibri"/>
          <w:color w:val="000000"/>
        </w:rPr>
        <w:t xml:space="preserve">systému </w:t>
      </w:r>
      <w:r w:rsidR="009746E0">
        <w:rPr>
          <w:rStyle w:val="Zstupntext"/>
          <w:rFonts w:cs="Calibri"/>
          <w:color w:val="000000"/>
        </w:rPr>
        <w:t xml:space="preserve">duálneho vzdelávania. </w:t>
      </w:r>
      <w:r w:rsidR="00CD32CE" w:rsidRPr="00CD32CE">
        <w:rPr>
          <w:color w:val="000000"/>
        </w:rPr>
        <w:t xml:space="preserve">Agentúrny systém predstavuje formu kooperatívneho systému duálneho vzdelávania. Cieľom je prispievať a podporovať k rozvoju a implementácii </w:t>
      </w:r>
      <w:r w:rsidR="00CD32CE">
        <w:rPr>
          <w:color w:val="000000"/>
        </w:rPr>
        <w:t>systému duálneho vzdelávania</w:t>
      </w:r>
      <w:r w:rsidR="00CD32CE" w:rsidRPr="00CD32CE">
        <w:rPr>
          <w:color w:val="000000"/>
        </w:rPr>
        <w:t xml:space="preserve"> s dôrazom na zapojenie malých a stredných podnikov. Na agentúrnom systéme duálneho vzdelávania participujú agentúrny zamestnávateľ, hostiteľský zamestnávateľ, stredná odborná škola a žiak.</w:t>
      </w:r>
    </w:p>
    <w:p w14:paraId="33CA28F1" w14:textId="77777777" w:rsidR="00CD32CE" w:rsidRDefault="00CD32CE" w:rsidP="00C91CF5">
      <w:pPr>
        <w:widowControl/>
        <w:spacing w:after="120"/>
        <w:jc w:val="both"/>
        <w:rPr>
          <w:color w:val="000000"/>
        </w:rPr>
      </w:pPr>
      <w:r>
        <w:rPr>
          <w:color w:val="000000"/>
        </w:rPr>
        <w:t>Ide o systém</w:t>
      </w:r>
      <w:r w:rsidRPr="00CD32CE">
        <w:rPr>
          <w:color w:val="000000"/>
        </w:rPr>
        <w:t xml:space="preserve"> </w:t>
      </w:r>
      <w:r>
        <w:rPr>
          <w:color w:val="000000"/>
        </w:rPr>
        <w:t xml:space="preserve">na </w:t>
      </w:r>
      <w:r w:rsidRPr="00CD32CE">
        <w:rPr>
          <w:color w:val="000000"/>
        </w:rPr>
        <w:t>podpor</w:t>
      </w:r>
      <w:r>
        <w:rPr>
          <w:color w:val="000000"/>
        </w:rPr>
        <w:t>u</w:t>
      </w:r>
      <w:r w:rsidRPr="00CD32CE">
        <w:rPr>
          <w:color w:val="000000"/>
        </w:rPr>
        <w:t xml:space="preserve"> zamestnávateľov, ktorí </w:t>
      </w:r>
      <w:r>
        <w:rPr>
          <w:color w:val="000000"/>
        </w:rPr>
        <w:t xml:space="preserve">síce majú záujem mať </w:t>
      </w:r>
      <w:r w:rsidRPr="00CD32CE">
        <w:rPr>
          <w:color w:val="000000"/>
        </w:rPr>
        <w:t>žiaka s učebnou zmluvou, ale nie sú schopní s ním na začiatku štúdia uzatvoriť učebnú zmluvu. Ponúka zamestnávateľom flexibilný spôsob, ako ponúknuť žiakom duálne vzdelávanie ako hostiteľský zamestnávateľ, pričom agentúr</w:t>
      </w:r>
      <w:r>
        <w:rPr>
          <w:color w:val="000000"/>
        </w:rPr>
        <w:t>ny zamestnávateľ</w:t>
      </w:r>
      <w:r w:rsidRPr="00CD32CE">
        <w:rPr>
          <w:color w:val="000000"/>
        </w:rPr>
        <w:t xml:space="preserve"> sa zaoberá celou administratívou, zabezpečením zmluvnej spolupráce so strednou odbornou školou a následne koordináciou poskytovania praktického vyučovania u hostiteľských zamestnávateľov.</w:t>
      </w:r>
    </w:p>
    <w:p w14:paraId="6D9163AA" w14:textId="77777777" w:rsidR="00C65E5D" w:rsidRDefault="009746E0" w:rsidP="00C91CF5">
      <w:pPr>
        <w:widowControl/>
        <w:spacing w:after="120"/>
        <w:jc w:val="both"/>
        <w:rPr>
          <w:color w:val="000000"/>
        </w:rPr>
      </w:pPr>
      <w:r w:rsidRPr="009746E0">
        <w:rPr>
          <w:color w:val="000000"/>
        </w:rPr>
        <w:t>Partnerský (hostiteľský) zamestnávateľ sa venuje iba poskytovaniu praktického vyučovania, a to aj na kratší čas, podľa dohody s</w:t>
      </w:r>
      <w:r w:rsidR="00A821D1">
        <w:rPr>
          <w:color w:val="000000"/>
        </w:rPr>
        <w:t> </w:t>
      </w:r>
      <w:r w:rsidRPr="009746E0">
        <w:rPr>
          <w:color w:val="000000"/>
        </w:rPr>
        <w:t>agentúrou</w:t>
      </w:r>
      <w:r w:rsidR="00A821D1">
        <w:rPr>
          <w:color w:val="000000"/>
        </w:rPr>
        <w:t>, pričom a</w:t>
      </w:r>
      <w:r w:rsidRPr="009746E0">
        <w:rPr>
          <w:color w:val="000000"/>
        </w:rPr>
        <w:t>gentúra môže poskytovať žiakovi praktické vyučovanie u viacerých hostiteľských zamestnávateľov v priebehu štúdia</w:t>
      </w:r>
      <w:r w:rsidR="00A821D1">
        <w:rPr>
          <w:color w:val="000000"/>
        </w:rPr>
        <w:t xml:space="preserve">. </w:t>
      </w:r>
      <w:r w:rsidRPr="009746E0">
        <w:rPr>
          <w:color w:val="000000"/>
        </w:rPr>
        <w:t xml:space="preserve">Kvalita vzdelávania </w:t>
      </w:r>
      <w:r w:rsidR="00A821D1">
        <w:rPr>
          <w:color w:val="000000"/>
        </w:rPr>
        <w:t xml:space="preserve">bude </w:t>
      </w:r>
      <w:r w:rsidRPr="009746E0">
        <w:rPr>
          <w:color w:val="000000"/>
        </w:rPr>
        <w:t xml:space="preserve">zabezpečená cez príslušnú stavovskú </w:t>
      </w:r>
      <w:r w:rsidR="00A821D1">
        <w:rPr>
          <w:color w:val="000000"/>
        </w:rPr>
        <w:t xml:space="preserve">alebo profesijnú </w:t>
      </w:r>
      <w:r w:rsidRPr="009746E0">
        <w:rPr>
          <w:color w:val="000000"/>
        </w:rPr>
        <w:t>organizáciu</w:t>
      </w:r>
      <w:r w:rsidR="00A821D1">
        <w:rPr>
          <w:color w:val="000000"/>
        </w:rPr>
        <w:t xml:space="preserve">. </w:t>
      </w:r>
    </w:p>
    <w:p w14:paraId="7DA960D9" w14:textId="77777777" w:rsidR="00CD32CE" w:rsidRDefault="00CD32CE" w:rsidP="00C91CF5">
      <w:pPr>
        <w:widowControl/>
        <w:spacing w:after="120"/>
        <w:jc w:val="both"/>
        <w:rPr>
          <w:color w:val="000000"/>
        </w:rPr>
      </w:pPr>
      <w:r w:rsidRPr="00CD32CE">
        <w:rPr>
          <w:color w:val="000000"/>
        </w:rPr>
        <w:t>Inštitút agentúrneho systému vznikol na základe požiadaviek aplikačnej praxe a to najmä malých a stredných podnikov, ktorí sa chcú aktívne zapájať do poskytovania praktického vyučovania v systéme duálneho vzdelávania avšak z rôznych dôvodov, nie sú schopní zvládať najmä administratívne záležitosti súvisiace so implementáciu duálneho vzdelávania v podmienkach daného podniku. Pri tvorbe návrhu agentúrneho systému duálneho vzdelávania s</w:t>
      </w:r>
      <w:r>
        <w:rPr>
          <w:color w:val="000000"/>
        </w:rPr>
        <w:t xml:space="preserve">a vychádzalo </w:t>
      </w:r>
      <w:r w:rsidRPr="00CD32CE">
        <w:rPr>
          <w:color w:val="000000"/>
        </w:rPr>
        <w:t xml:space="preserve">aj </w:t>
      </w:r>
      <w:r>
        <w:rPr>
          <w:color w:val="000000"/>
        </w:rPr>
        <w:t xml:space="preserve">z </w:t>
      </w:r>
      <w:r w:rsidRPr="00CD32CE">
        <w:rPr>
          <w:color w:val="000000"/>
        </w:rPr>
        <w:t>príklad</w:t>
      </w:r>
      <w:r>
        <w:rPr>
          <w:color w:val="000000"/>
        </w:rPr>
        <w:t>ov</w:t>
      </w:r>
      <w:r w:rsidRPr="00CD32CE">
        <w:rPr>
          <w:color w:val="000000"/>
        </w:rPr>
        <w:t xml:space="preserve"> zahraničnej praxe (napr. Veľká Británia), kde takéto subjekty existujú a zabezpečujú odborné vzdelávanie žiakov.</w:t>
      </w:r>
    </w:p>
    <w:p w14:paraId="65F55AD8" w14:textId="77777777" w:rsidR="00A821D1" w:rsidRDefault="00CD216E" w:rsidP="00C91CF5">
      <w:pPr>
        <w:widowControl/>
        <w:spacing w:after="120"/>
        <w:jc w:val="both"/>
        <w:rPr>
          <w:b/>
          <w:color w:val="000000"/>
        </w:rPr>
      </w:pPr>
      <w:r>
        <w:rPr>
          <w:b/>
          <w:color w:val="000000"/>
        </w:rPr>
        <w:t>K bodu 45</w:t>
      </w:r>
    </w:p>
    <w:p w14:paraId="10AAED9C" w14:textId="6944A043" w:rsidR="00CD216E" w:rsidRPr="00BF5340" w:rsidRDefault="00BF5340" w:rsidP="00C91CF5">
      <w:pPr>
        <w:widowControl/>
        <w:spacing w:after="120"/>
        <w:jc w:val="both"/>
        <w:rPr>
          <w:bCs/>
          <w:color w:val="000000"/>
        </w:rPr>
      </w:pPr>
      <w:r w:rsidRPr="00BF5340">
        <w:rPr>
          <w:bCs/>
          <w:color w:val="000000"/>
        </w:rPr>
        <w:t>Legislatívno-technická úprava.</w:t>
      </w:r>
    </w:p>
    <w:p w14:paraId="086A24AF" w14:textId="77777777" w:rsidR="00CD216E" w:rsidRDefault="00CD216E" w:rsidP="00C91CF5">
      <w:pPr>
        <w:widowControl/>
        <w:spacing w:after="120"/>
        <w:jc w:val="both"/>
        <w:rPr>
          <w:b/>
          <w:color w:val="000000"/>
        </w:rPr>
      </w:pPr>
      <w:r>
        <w:rPr>
          <w:b/>
          <w:color w:val="000000"/>
        </w:rPr>
        <w:t>K bodu 46</w:t>
      </w:r>
    </w:p>
    <w:p w14:paraId="6B0E0B17" w14:textId="4C8CEB40" w:rsidR="00CD216E" w:rsidRPr="00BF5340" w:rsidRDefault="00BF5340" w:rsidP="00C91CF5">
      <w:pPr>
        <w:widowControl/>
        <w:spacing w:after="120"/>
        <w:jc w:val="both"/>
        <w:rPr>
          <w:bCs/>
          <w:color w:val="000000"/>
        </w:rPr>
      </w:pPr>
      <w:r w:rsidRPr="00BF5340">
        <w:rPr>
          <w:bCs/>
          <w:color w:val="000000"/>
        </w:rPr>
        <w:t>Precizovanie ustanovenia vzhľadom na podnety z aplikačnej praxe.</w:t>
      </w:r>
    </w:p>
    <w:p w14:paraId="14CC5011" w14:textId="77777777" w:rsidR="00CD216E" w:rsidRDefault="00CD216E" w:rsidP="00C91CF5">
      <w:pPr>
        <w:widowControl/>
        <w:spacing w:after="120"/>
        <w:jc w:val="both"/>
        <w:rPr>
          <w:b/>
          <w:color w:val="000000"/>
        </w:rPr>
      </w:pPr>
      <w:r>
        <w:rPr>
          <w:b/>
          <w:color w:val="000000"/>
        </w:rPr>
        <w:t>K bodu 47</w:t>
      </w:r>
    </w:p>
    <w:p w14:paraId="7D28666D" w14:textId="2F52006F" w:rsidR="00CD216E" w:rsidRPr="00BF5340" w:rsidRDefault="00BF5340" w:rsidP="00C91CF5">
      <w:pPr>
        <w:widowControl/>
        <w:spacing w:after="120"/>
        <w:jc w:val="both"/>
        <w:rPr>
          <w:bCs/>
          <w:color w:val="000000"/>
        </w:rPr>
      </w:pPr>
      <w:r w:rsidRPr="00BF5340">
        <w:rPr>
          <w:bCs/>
          <w:color w:val="000000"/>
        </w:rPr>
        <w:t>Legislatívno-technická úprava</w:t>
      </w:r>
      <w:r>
        <w:rPr>
          <w:bCs/>
          <w:color w:val="000000"/>
        </w:rPr>
        <w:t xml:space="preserve"> vzhľadom na presun legislatívnej skratky</w:t>
      </w:r>
      <w:r w:rsidRPr="00BF5340">
        <w:rPr>
          <w:bCs/>
          <w:color w:val="000000"/>
        </w:rPr>
        <w:t>.</w:t>
      </w:r>
    </w:p>
    <w:p w14:paraId="11EE6407" w14:textId="57538738" w:rsidR="00A821D1" w:rsidRPr="00A821D1" w:rsidRDefault="00A821D1" w:rsidP="00C91CF5">
      <w:pPr>
        <w:widowControl/>
        <w:spacing w:after="120"/>
        <w:jc w:val="both"/>
        <w:rPr>
          <w:b/>
          <w:bCs/>
          <w:color w:val="000000"/>
        </w:rPr>
      </w:pPr>
      <w:r w:rsidRPr="00A821D1">
        <w:rPr>
          <w:b/>
          <w:bCs/>
          <w:color w:val="000000"/>
        </w:rPr>
        <w:t xml:space="preserve">K bodu </w:t>
      </w:r>
      <w:r w:rsidR="00BF5340">
        <w:rPr>
          <w:b/>
          <w:bCs/>
          <w:color w:val="000000"/>
        </w:rPr>
        <w:t xml:space="preserve">48 a </w:t>
      </w:r>
      <w:r w:rsidR="00CD216E">
        <w:rPr>
          <w:b/>
          <w:bCs/>
          <w:color w:val="000000"/>
        </w:rPr>
        <w:t>4</w:t>
      </w:r>
      <w:r w:rsidR="00D816CF">
        <w:rPr>
          <w:b/>
          <w:bCs/>
          <w:color w:val="000000"/>
        </w:rPr>
        <w:t>9</w:t>
      </w:r>
    </w:p>
    <w:p w14:paraId="0F25BF9C" w14:textId="740EF9C1" w:rsidR="00BF5340" w:rsidRPr="00BF5340" w:rsidRDefault="00A821D1" w:rsidP="00BF5340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Rozšírenie subjektov koordinácie OVP z dôvodu vzniku nového ministerstva. </w:t>
      </w:r>
    </w:p>
    <w:p w14:paraId="60B67613" w14:textId="664B5BD5" w:rsidR="00814432" w:rsidRDefault="00A821D1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A821D1">
        <w:rPr>
          <w:rStyle w:val="Zstupntext"/>
          <w:rFonts w:cs="Calibri"/>
          <w:b/>
          <w:bCs/>
          <w:color w:val="000000"/>
        </w:rPr>
        <w:t>K bod</w:t>
      </w:r>
      <w:r w:rsidR="00C91CF5">
        <w:rPr>
          <w:rStyle w:val="Zstupntext"/>
          <w:rFonts w:cs="Calibri"/>
          <w:b/>
          <w:bCs/>
          <w:color w:val="000000"/>
        </w:rPr>
        <w:t>om</w:t>
      </w:r>
      <w:r w:rsidRPr="00A821D1">
        <w:rPr>
          <w:rStyle w:val="Zstupntext"/>
          <w:rFonts w:cs="Calibri"/>
          <w:b/>
          <w:bCs/>
          <w:color w:val="000000"/>
        </w:rPr>
        <w:t xml:space="preserve"> </w:t>
      </w:r>
      <w:r w:rsidR="00BF5340">
        <w:rPr>
          <w:rStyle w:val="Zstupntext"/>
          <w:rFonts w:cs="Calibri"/>
          <w:b/>
          <w:bCs/>
          <w:color w:val="000000"/>
        </w:rPr>
        <w:t xml:space="preserve">50 a </w:t>
      </w:r>
      <w:r w:rsidR="00814432">
        <w:rPr>
          <w:rStyle w:val="Zstupntext"/>
          <w:rFonts w:cs="Calibri"/>
          <w:b/>
          <w:bCs/>
          <w:color w:val="000000"/>
        </w:rPr>
        <w:t>5</w:t>
      </w:r>
      <w:r w:rsidR="00D816CF">
        <w:rPr>
          <w:rStyle w:val="Zstupntext"/>
          <w:rFonts w:cs="Calibri"/>
          <w:b/>
          <w:bCs/>
          <w:color w:val="000000"/>
        </w:rPr>
        <w:t>1</w:t>
      </w:r>
      <w:r w:rsidR="001D14A7">
        <w:rPr>
          <w:rStyle w:val="Zstupntext"/>
          <w:rFonts w:cs="Calibri"/>
          <w:b/>
          <w:bCs/>
          <w:color w:val="000000"/>
        </w:rPr>
        <w:t xml:space="preserve"> </w:t>
      </w:r>
    </w:p>
    <w:p w14:paraId="52DC9965" w14:textId="77777777" w:rsidR="00A821D1" w:rsidRDefault="00A821D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Legislatívno-technická úprava.</w:t>
      </w:r>
    </w:p>
    <w:p w14:paraId="73F59BCB" w14:textId="25BBC024" w:rsidR="00814432" w:rsidRDefault="00814432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bodu 5</w:t>
      </w:r>
      <w:r w:rsidR="00BF5340">
        <w:rPr>
          <w:rStyle w:val="Zstupntext"/>
          <w:rFonts w:cs="Calibri"/>
          <w:b/>
          <w:bCs/>
          <w:color w:val="000000"/>
        </w:rPr>
        <w:t>2</w:t>
      </w:r>
    </w:p>
    <w:p w14:paraId="21E0DE0C" w14:textId="2E52147E" w:rsidR="00BF5340" w:rsidRPr="00BF5340" w:rsidRDefault="00BF534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BF5340">
        <w:rPr>
          <w:rStyle w:val="Zstupntext"/>
          <w:rFonts w:cs="Calibri"/>
          <w:color w:val="000000"/>
        </w:rPr>
        <w:t xml:space="preserve">Doplnenie subjektu, ktoré vypracúva v spolupráci s ministerstvom </w:t>
      </w:r>
      <w:r w:rsidRPr="00BF5340">
        <w:rPr>
          <w:color w:val="000000"/>
        </w:rPr>
        <w:t>normatívy materiálno-technického a priestorového zabezpečenia.</w:t>
      </w:r>
    </w:p>
    <w:p w14:paraId="3066AE5D" w14:textId="0ED0F9A4" w:rsidR="00814432" w:rsidRDefault="00D816CF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 K bodu 5</w:t>
      </w:r>
      <w:r w:rsidR="00BF5340">
        <w:rPr>
          <w:rStyle w:val="Zstupntext"/>
          <w:rFonts w:cs="Calibri"/>
          <w:b/>
          <w:bCs/>
          <w:color w:val="000000"/>
        </w:rPr>
        <w:t>3</w:t>
      </w:r>
    </w:p>
    <w:p w14:paraId="3298E4E9" w14:textId="17A4132E" w:rsidR="00BF5340" w:rsidRPr="00BF5340" w:rsidRDefault="00BF5340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  <w:r w:rsidRPr="00BF5340">
        <w:rPr>
          <w:rStyle w:val="Zstupntext"/>
          <w:rFonts w:cs="Calibri"/>
          <w:color w:val="000000"/>
        </w:rPr>
        <w:t>Legislatívno-technická úprava.</w:t>
      </w:r>
    </w:p>
    <w:p w14:paraId="6E3BE3C0" w14:textId="77777777" w:rsidR="00814432" w:rsidRPr="00814432" w:rsidRDefault="00814432" w:rsidP="00C91CF5">
      <w:pPr>
        <w:widowControl/>
        <w:spacing w:after="120"/>
        <w:jc w:val="both"/>
        <w:rPr>
          <w:rStyle w:val="Zstupntext"/>
          <w:rFonts w:cs="Calibri"/>
          <w:b/>
          <w:bCs/>
          <w:color w:val="000000"/>
        </w:rPr>
      </w:pPr>
    </w:p>
    <w:p w14:paraId="0A9D1EE9" w14:textId="27BB1B29" w:rsidR="001D14A7" w:rsidRPr="00B04E39" w:rsidRDefault="001D14A7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</w:t>
      </w:r>
      <w:r w:rsidRPr="00B04E39">
        <w:rPr>
          <w:rStyle w:val="Zstupntext"/>
          <w:rFonts w:cs="Calibri"/>
          <w:b/>
          <w:bCs/>
          <w:color w:val="000000"/>
        </w:rPr>
        <w:t xml:space="preserve">bodu </w:t>
      </w:r>
      <w:r w:rsidR="00814432">
        <w:rPr>
          <w:rStyle w:val="Zstupntext"/>
          <w:rFonts w:cs="Calibri"/>
          <w:b/>
          <w:bCs/>
          <w:color w:val="000000"/>
        </w:rPr>
        <w:t>5</w:t>
      </w:r>
      <w:r w:rsidR="00BF5340">
        <w:rPr>
          <w:rStyle w:val="Zstupntext"/>
          <w:rFonts w:cs="Calibri"/>
          <w:b/>
          <w:bCs/>
          <w:color w:val="000000"/>
        </w:rPr>
        <w:t>5</w:t>
      </w:r>
      <w:r w:rsidR="00814432">
        <w:rPr>
          <w:rStyle w:val="Zstupntext"/>
          <w:rFonts w:cs="Calibri"/>
          <w:b/>
          <w:bCs/>
          <w:color w:val="000000"/>
        </w:rPr>
        <w:t xml:space="preserve"> </w:t>
      </w:r>
    </w:p>
    <w:p w14:paraId="48B78252" w14:textId="77777777" w:rsidR="001D14A7" w:rsidRDefault="001D14A7" w:rsidP="00C91CF5">
      <w:pPr>
        <w:spacing w:after="120"/>
        <w:jc w:val="both"/>
        <w:rPr>
          <w:rStyle w:val="Zstupntext"/>
          <w:rFonts w:cs="Calibri"/>
          <w:bCs/>
          <w:color w:val="000000"/>
        </w:rPr>
      </w:pPr>
      <w:r w:rsidRPr="00B04E39">
        <w:rPr>
          <w:rStyle w:val="Zstupntext"/>
          <w:rFonts w:cs="Calibri"/>
          <w:bCs/>
          <w:color w:val="000000"/>
        </w:rPr>
        <w:t>Ustanovenie súvisí s paralelne pripravovanou novelou školského zákona, konkrétne s elektronizáciou prihlášok na štúdium a možnosťou použitia preferencií. V prípade nemožnosti účasti uchádzača o štúdium na prijímacej skúške na vybranej strednej škole, vo vybranom odbore vzdelávania, je žiaduce zachovať právo žiaka uchádzať sa o štúdium na strednej škole a konať prijímaciu skúšku v inom termíne, ako sú ministerstvom určené oba riadne termíny konania prijímacej skúšky. Pripravovaný algoritmus prijímacieho konania s takouto možnosťou nepracuje, a preto sa navrhuje možnosť navýšenia počtu žiakov o maximálne 3 aj pre takýto prípad. Pojem „závažné dôvody“ vychádza zo znenia § 66 ods. 8 školského zákona. Pojem „jednotné kritériá“ vychádza z § 65 ods. 2 a 3 školského zákona.</w:t>
      </w:r>
    </w:p>
    <w:p w14:paraId="3C9A76F8" w14:textId="2DB8D7AD" w:rsidR="00D40915" w:rsidRPr="00B04E39" w:rsidRDefault="00D40915" w:rsidP="00C91CF5">
      <w:pPr>
        <w:spacing w:after="120"/>
        <w:jc w:val="both"/>
        <w:rPr>
          <w:rStyle w:val="Zstupntext"/>
          <w:rFonts w:cs="Calibri"/>
          <w:bCs/>
          <w:color w:val="000000"/>
        </w:rPr>
      </w:pPr>
      <w:r>
        <w:rPr>
          <w:rStyle w:val="Zstupntext"/>
          <w:rFonts w:cs="Calibri"/>
          <w:bCs/>
          <w:color w:val="000000"/>
        </w:rPr>
        <w:t>Taktiež sa tam dopĺňajú iné dôvody, ktoré vyplynuli z aplikačnej praxe.</w:t>
      </w:r>
    </w:p>
    <w:p w14:paraId="430F6E0A" w14:textId="7C35945F" w:rsidR="00C91CF5" w:rsidRPr="00C91CF5" w:rsidRDefault="00C91CF5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C91CF5">
        <w:rPr>
          <w:rStyle w:val="Zstupntext"/>
          <w:rFonts w:cs="Calibri"/>
          <w:b/>
          <w:bCs/>
          <w:color w:val="000000"/>
        </w:rPr>
        <w:t xml:space="preserve">K bodu </w:t>
      </w:r>
      <w:r w:rsidR="00814432">
        <w:rPr>
          <w:rStyle w:val="Zstupntext"/>
          <w:rFonts w:cs="Calibri"/>
          <w:b/>
          <w:bCs/>
          <w:color w:val="000000"/>
        </w:rPr>
        <w:t>5</w:t>
      </w:r>
      <w:r w:rsidR="00D40915">
        <w:rPr>
          <w:rStyle w:val="Zstupntext"/>
          <w:rFonts w:cs="Calibri"/>
          <w:b/>
          <w:bCs/>
          <w:color w:val="000000"/>
        </w:rPr>
        <w:t>6</w:t>
      </w:r>
    </w:p>
    <w:p w14:paraId="309B7427" w14:textId="4F9F5EEF" w:rsidR="00E72F0D" w:rsidRPr="00802ECA" w:rsidRDefault="003E4B54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V nadväznosti na proces optimalizácie stredných škôl ako aj na potreby aplikačnej praxe bolo potrebné zabezpečiť, aby bolo v prípade spájania, rušenia a zlučovania stredných škôl možné presunúť žiakov formou prestupu na inú strednú školu aj nad rámce už určený plán výkonov.</w:t>
      </w:r>
    </w:p>
    <w:p w14:paraId="56C3C3F3" w14:textId="05497173" w:rsidR="00E72F0D" w:rsidRDefault="00E72F0D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bodu 5</w:t>
      </w:r>
      <w:r w:rsidR="00D816CF">
        <w:rPr>
          <w:rStyle w:val="Zstupntext"/>
          <w:rFonts w:cs="Calibri"/>
          <w:b/>
          <w:bCs/>
          <w:color w:val="000000"/>
        </w:rPr>
        <w:t>9</w:t>
      </w:r>
      <w:r w:rsidR="00802ECA">
        <w:rPr>
          <w:rStyle w:val="Zstupntext"/>
          <w:rFonts w:cs="Calibri"/>
          <w:b/>
          <w:bCs/>
          <w:color w:val="000000"/>
        </w:rPr>
        <w:t xml:space="preserve"> a 60</w:t>
      </w:r>
    </w:p>
    <w:p w14:paraId="6FCB5ECB" w14:textId="56AA8573" w:rsidR="00E72F0D" w:rsidRPr="00D40915" w:rsidRDefault="00D40915" w:rsidP="00C91CF5">
      <w:pPr>
        <w:spacing w:after="120"/>
        <w:jc w:val="both"/>
        <w:rPr>
          <w:rStyle w:val="Zstupntext"/>
          <w:rFonts w:cs="Calibri"/>
          <w:color w:val="000000"/>
        </w:rPr>
      </w:pPr>
      <w:r w:rsidRPr="00D40915">
        <w:rPr>
          <w:rStyle w:val="Zstupntext"/>
          <w:rFonts w:cs="Calibri"/>
          <w:color w:val="000000"/>
        </w:rPr>
        <w:t>Doplnená kompetencia stavovských organizácii a profesijných organizácii.</w:t>
      </w:r>
    </w:p>
    <w:p w14:paraId="680078C5" w14:textId="22305F3D" w:rsidR="003E4B54" w:rsidRPr="003E4B54" w:rsidRDefault="003E4B54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3E4B54">
        <w:rPr>
          <w:rStyle w:val="Zstupntext"/>
          <w:rFonts w:cs="Calibri"/>
          <w:b/>
          <w:bCs/>
          <w:color w:val="000000"/>
        </w:rPr>
        <w:t xml:space="preserve">K bodu </w:t>
      </w:r>
      <w:r w:rsidR="00E72F0D">
        <w:rPr>
          <w:rStyle w:val="Zstupntext"/>
          <w:rFonts w:cs="Calibri"/>
          <w:b/>
          <w:bCs/>
          <w:color w:val="000000"/>
        </w:rPr>
        <w:t>6</w:t>
      </w:r>
      <w:r w:rsidR="00D816CF">
        <w:rPr>
          <w:rStyle w:val="Zstupntext"/>
          <w:rFonts w:cs="Calibri"/>
          <w:b/>
          <w:bCs/>
          <w:color w:val="000000"/>
        </w:rPr>
        <w:t>1</w:t>
      </w:r>
    </w:p>
    <w:p w14:paraId="7526147A" w14:textId="77777777" w:rsidR="003E4B54" w:rsidRDefault="00922552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V nadväznosti na nový § </w:t>
      </w:r>
      <w:r w:rsidR="001A7137">
        <w:rPr>
          <w:rStyle w:val="Zstupntext"/>
          <w:rFonts w:cs="Calibri"/>
          <w:color w:val="000000"/>
        </w:rPr>
        <w:t>2</w:t>
      </w:r>
      <w:r>
        <w:rPr>
          <w:rStyle w:val="Zstupntext"/>
          <w:rFonts w:cs="Calibri"/>
          <w:color w:val="000000"/>
        </w:rPr>
        <w:t>4c sa r</w:t>
      </w:r>
      <w:r w:rsidR="003E4B54">
        <w:rPr>
          <w:rStyle w:val="Zstupntext"/>
          <w:rFonts w:cs="Calibri"/>
          <w:color w:val="000000"/>
        </w:rPr>
        <w:t xml:space="preserve">ozširuje kompetencia stavovských a profesijných organizácií viesť zoznam agentúrnych zamestnávateľov. </w:t>
      </w:r>
    </w:p>
    <w:p w14:paraId="50EC7046" w14:textId="202A24BB" w:rsidR="000C5320" w:rsidRDefault="000C5320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 xml:space="preserve">K bodu </w:t>
      </w:r>
      <w:r w:rsidR="00E72F0D">
        <w:rPr>
          <w:rStyle w:val="Zstupntext"/>
          <w:rFonts w:cs="Calibri"/>
          <w:b/>
          <w:bCs/>
          <w:color w:val="000000"/>
        </w:rPr>
        <w:t>6</w:t>
      </w:r>
      <w:r w:rsidR="00D816CF">
        <w:rPr>
          <w:rStyle w:val="Zstupntext"/>
          <w:rFonts w:cs="Calibri"/>
          <w:b/>
          <w:bCs/>
          <w:color w:val="000000"/>
        </w:rPr>
        <w:t>2</w:t>
      </w:r>
    </w:p>
    <w:p w14:paraId="199C1343" w14:textId="77777777" w:rsidR="000C5320" w:rsidRPr="001527DC" w:rsidRDefault="00420C41" w:rsidP="00C91CF5">
      <w:pPr>
        <w:spacing w:after="120"/>
        <w:jc w:val="both"/>
        <w:rPr>
          <w:rStyle w:val="Zstupntext"/>
          <w:rFonts w:cs="Calibri"/>
          <w:bCs/>
          <w:color w:val="000000"/>
        </w:rPr>
      </w:pPr>
      <w:r w:rsidRPr="001527DC">
        <w:rPr>
          <w:rStyle w:val="Zstupntext"/>
          <w:rFonts w:cs="Calibri"/>
          <w:bCs/>
          <w:color w:val="000000"/>
        </w:rPr>
        <w:t>Technická úprava</w:t>
      </w:r>
      <w:r>
        <w:rPr>
          <w:rStyle w:val="Zstupntext"/>
          <w:rFonts w:cs="Calibri"/>
          <w:bCs/>
          <w:color w:val="000000"/>
        </w:rPr>
        <w:t xml:space="preserve"> v nadväznosti na </w:t>
      </w:r>
      <w:r w:rsidR="00224D4E">
        <w:rPr>
          <w:rStyle w:val="Zstupntext"/>
          <w:rFonts w:cs="Calibri"/>
          <w:bCs/>
          <w:color w:val="000000"/>
        </w:rPr>
        <w:t xml:space="preserve">doplnenie nových odsekov v § </w:t>
      </w:r>
      <w:r>
        <w:rPr>
          <w:rStyle w:val="Zstupntext"/>
          <w:rFonts w:cs="Calibri"/>
          <w:bCs/>
          <w:color w:val="000000"/>
        </w:rPr>
        <w:t>21.</w:t>
      </w:r>
    </w:p>
    <w:p w14:paraId="139B9F0D" w14:textId="4326CBD8" w:rsidR="003E4B54" w:rsidRPr="003E4B54" w:rsidRDefault="003E4B54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3E4B54">
        <w:rPr>
          <w:rStyle w:val="Zstupntext"/>
          <w:rFonts w:cs="Calibri"/>
          <w:b/>
          <w:bCs/>
          <w:color w:val="000000"/>
        </w:rPr>
        <w:t xml:space="preserve">K bodu </w:t>
      </w:r>
      <w:r w:rsidR="00E72F0D">
        <w:rPr>
          <w:rStyle w:val="Zstupntext"/>
          <w:rFonts w:cs="Calibri"/>
          <w:b/>
          <w:bCs/>
          <w:color w:val="000000"/>
        </w:rPr>
        <w:t>6</w:t>
      </w:r>
      <w:r w:rsidR="00D816CF">
        <w:rPr>
          <w:rStyle w:val="Zstupntext"/>
          <w:rFonts w:cs="Calibri"/>
          <w:b/>
          <w:bCs/>
          <w:color w:val="000000"/>
        </w:rPr>
        <w:t>3</w:t>
      </w:r>
    </w:p>
    <w:p w14:paraId="05786865" w14:textId="6D91FD00" w:rsidR="003E4B54" w:rsidRDefault="003E4B54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Legislatívno-technická úprava. </w:t>
      </w:r>
    </w:p>
    <w:p w14:paraId="77499C11" w14:textId="0330231E" w:rsidR="003E4B54" w:rsidRPr="003E4B54" w:rsidRDefault="003E4B54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3E4B54">
        <w:rPr>
          <w:rStyle w:val="Zstupntext"/>
          <w:rFonts w:cs="Calibri"/>
          <w:b/>
          <w:bCs/>
          <w:color w:val="000000"/>
        </w:rPr>
        <w:t xml:space="preserve">K bodu </w:t>
      </w:r>
      <w:r w:rsidR="00E72F0D">
        <w:rPr>
          <w:rStyle w:val="Zstupntext"/>
          <w:rFonts w:cs="Calibri"/>
          <w:b/>
          <w:bCs/>
          <w:color w:val="000000"/>
        </w:rPr>
        <w:t>6</w:t>
      </w:r>
      <w:r w:rsidR="00D816CF">
        <w:rPr>
          <w:rStyle w:val="Zstupntext"/>
          <w:rFonts w:cs="Calibri"/>
          <w:b/>
          <w:bCs/>
          <w:color w:val="000000"/>
        </w:rPr>
        <w:t>4</w:t>
      </w:r>
    </w:p>
    <w:p w14:paraId="5DF52CEA" w14:textId="77777777" w:rsidR="003E4B54" w:rsidRDefault="003E4B54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Predmetné ustanovenie zvyšuje flexibilitu pre žiakov v systéme duálneho vzdelávania dopĺňať si praktické vyučovanie aj počas letných prázdnin z dôvodu, že napr. nestíhajú, majú zlé </w:t>
      </w:r>
      <w:r w:rsidR="000F1376">
        <w:rPr>
          <w:rStyle w:val="Zstupntext"/>
          <w:rFonts w:cs="Calibri"/>
          <w:color w:val="000000"/>
        </w:rPr>
        <w:t xml:space="preserve">hodnotenie </w:t>
      </w:r>
      <w:r>
        <w:rPr>
          <w:rStyle w:val="Zstupntext"/>
          <w:rFonts w:cs="Calibri"/>
          <w:color w:val="000000"/>
        </w:rPr>
        <w:t xml:space="preserve">alebo boli počas školského roka vážne chorí. Ide o preventívne opatrenie na zamedzenie predčasného ukončenia štúdia na strednej škole. </w:t>
      </w:r>
    </w:p>
    <w:p w14:paraId="21C8E6D9" w14:textId="241B688E" w:rsidR="00E72F0D" w:rsidRDefault="00E72F0D" w:rsidP="00C91CF5">
      <w:pPr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6</w:t>
      </w:r>
      <w:r w:rsidR="00D816CF">
        <w:rPr>
          <w:rStyle w:val="Zstupntext"/>
          <w:rFonts w:cs="Calibri"/>
          <w:b/>
          <w:color w:val="000000"/>
        </w:rPr>
        <w:t>5</w:t>
      </w:r>
    </w:p>
    <w:p w14:paraId="334CE481" w14:textId="31BC78C9" w:rsidR="00E72F0D" w:rsidRPr="00D40915" w:rsidRDefault="00D40915" w:rsidP="00C91CF5">
      <w:pPr>
        <w:spacing w:after="120"/>
        <w:jc w:val="both"/>
        <w:rPr>
          <w:rStyle w:val="Zstupntext"/>
          <w:rFonts w:cs="Calibri"/>
          <w:bCs/>
          <w:color w:val="000000"/>
        </w:rPr>
      </w:pPr>
      <w:r w:rsidRPr="00D40915">
        <w:rPr>
          <w:rStyle w:val="Zstupntext"/>
          <w:rFonts w:cs="Calibri"/>
          <w:bCs/>
          <w:color w:val="000000"/>
        </w:rPr>
        <w:t>Na základe požiadavky ministerstva vnútra Slovenskej republiky doplnené poskytovanie praktického vyučovania aj na policajnom útvare.</w:t>
      </w:r>
    </w:p>
    <w:p w14:paraId="27E70241" w14:textId="2F3DEB41" w:rsidR="00C229C9" w:rsidRDefault="00C229C9" w:rsidP="00C91CF5">
      <w:pPr>
        <w:spacing w:after="120"/>
        <w:jc w:val="both"/>
        <w:rPr>
          <w:rStyle w:val="Zstupntext"/>
          <w:rFonts w:cs="Calibri"/>
          <w:b/>
          <w:color w:val="000000"/>
        </w:rPr>
      </w:pPr>
      <w:r>
        <w:rPr>
          <w:rStyle w:val="Zstupntext"/>
          <w:rFonts w:cs="Calibri"/>
          <w:b/>
          <w:color w:val="000000"/>
        </w:rPr>
        <w:t>K bodu 6</w:t>
      </w:r>
      <w:r w:rsidR="00D816CF">
        <w:rPr>
          <w:rStyle w:val="Zstupntext"/>
          <w:rFonts w:cs="Calibri"/>
          <w:b/>
          <w:color w:val="000000"/>
        </w:rPr>
        <w:t>6</w:t>
      </w:r>
    </w:p>
    <w:p w14:paraId="644E45D6" w14:textId="08A4653A" w:rsidR="00E72F0D" w:rsidRPr="00D40915" w:rsidRDefault="00D40915" w:rsidP="00C91CF5">
      <w:pPr>
        <w:spacing w:after="120"/>
        <w:jc w:val="both"/>
        <w:rPr>
          <w:rStyle w:val="Zstupntext"/>
          <w:rFonts w:cs="Calibri"/>
          <w:bCs/>
          <w:color w:val="000000"/>
        </w:rPr>
      </w:pPr>
      <w:r w:rsidRPr="00D40915">
        <w:rPr>
          <w:rStyle w:val="Zstupntext"/>
          <w:rFonts w:cs="Calibri"/>
          <w:bCs/>
          <w:color w:val="000000"/>
        </w:rPr>
        <w:t>Precizovanie ustanovenia</w:t>
      </w:r>
      <w:r>
        <w:rPr>
          <w:rStyle w:val="Zstupntext"/>
          <w:rFonts w:cs="Calibri"/>
          <w:bCs/>
          <w:color w:val="000000"/>
        </w:rPr>
        <w:t xml:space="preserve"> vzhľadom na požiadavky aplikačnej praxe.</w:t>
      </w:r>
    </w:p>
    <w:p w14:paraId="29DA14DC" w14:textId="2018DC68" w:rsidR="003E4B54" w:rsidRDefault="003E4B54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3E4B54">
        <w:rPr>
          <w:rStyle w:val="Zstupntext"/>
          <w:rFonts w:cs="Calibri"/>
          <w:b/>
          <w:bCs/>
          <w:color w:val="000000"/>
        </w:rPr>
        <w:t>K bod</w:t>
      </w:r>
      <w:r w:rsidR="000A1B5A">
        <w:rPr>
          <w:rStyle w:val="Zstupntext"/>
          <w:rFonts w:cs="Calibri"/>
          <w:b/>
          <w:bCs/>
          <w:color w:val="000000"/>
        </w:rPr>
        <w:t>om</w:t>
      </w:r>
      <w:r w:rsidRPr="003E4B54">
        <w:rPr>
          <w:rStyle w:val="Zstupntext"/>
          <w:rFonts w:cs="Calibri"/>
          <w:b/>
          <w:bCs/>
          <w:color w:val="000000"/>
        </w:rPr>
        <w:t xml:space="preserve"> </w:t>
      </w:r>
      <w:r w:rsidR="00E72F0D">
        <w:rPr>
          <w:rStyle w:val="Zstupntext"/>
          <w:rFonts w:cs="Calibri"/>
          <w:b/>
          <w:bCs/>
          <w:color w:val="000000"/>
        </w:rPr>
        <w:t>6</w:t>
      </w:r>
      <w:r w:rsidR="00D816CF">
        <w:rPr>
          <w:rStyle w:val="Zstupntext"/>
          <w:rFonts w:cs="Calibri"/>
          <w:b/>
          <w:bCs/>
          <w:color w:val="000000"/>
        </w:rPr>
        <w:t>7</w:t>
      </w:r>
      <w:r w:rsidR="006808D2">
        <w:rPr>
          <w:rStyle w:val="Zstupntext"/>
          <w:rFonts w:cs="Calibri"/>
          <w:b/>
          <w:bCs/>
          <w:color w:val="000000"/>
        </w:rPr>
        <w:t xml:space="preserve"> </w:t>
      </w:r>
      <w:r w:rsidR="000A1B5A">
        <w:rPr>
          <w:rStyle w:val="Zstupntext"/>
          <w:rFonts w:cs="Calibri"/>
          <w:b/>
          <w:bCs/>
          <w:color w:val="000000"/>
        </w:rPr>
        <w:t>a </w:t>
      </w:r>
      <w:r w:rsidR="00E72F0D">
        <w:rPr>
          <w:rStyle w:val="Zstupntext"/>
          <w:rFonts w:cs="Calibri"/>
          <w:b/>
          <w:bCs/>
          <w:color w:val="000000"/>
        </w:rPr>
        <w:t>7</w:t>
      </w:r>
      <w:r w:rsidR="00D40915">
        <w:rPr>
          <w:rStyle w:val="Zstupntext"/>
          <w:rFonts w:cs="Calibri"/>
          <w:b/>
          <w:bCs/>
          <w:color w:val="000000"/>
        </w:rPr>
        <w:t>2</w:t>
      </w:r>
    </w:p>
    <w:p w14:paraId="2E5F07E7" w14:textId="77777777" w:rsidR="000A1B5A" w:rsidRDefault="000A1B5A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Zavádza sa možnosť pre stredné zdravotnícke školy vstupovať do systému duálneho vzdelávania. </w:t>
      </w:r>
      <w:r>
        <w:rPr>
          <w:rStyle w:val="Zstupntext"/>
          <w:rFonts w:cs="Calibri"/>
          <w:color w:val="000000"/>
        </w:rPr>
        <w:lastRenderedPageBreak/>
        <w:t xml:space="preserve">Ministerstvo zdravotníctva SR určí odbory, ktoré budú môcť vstúpiť do systému duálneho vzdelávania. </w:t>
      </w:r>
    </w:p>
    <w:p w14:paraId="53F2A9A7" w14:textId="150FB173" w:rsidR="00D40915" w:rsidRDefault="00D40915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>
        <w:rPr>
          <w:rStyle w:val="Zstupntext"/>
          <w:rFonts w:cs="Calibri"/>
          <w:b/>
          <w:bCs/>
          <w:color w:val="000000"/>
        </w:rPr>
        <w:t>K bodu 68</w:t>
      </w:r>
    </w:p>
    <w:p w14:paraId="6123D5C8" w14:textId="359A548F" w:rsidR="00D40915" w:rsidRPr="004B0C77" w:rsidRDefault="004B0C77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Úprava</w:t>
      </w:r>
      <w:r w:rsidRPr="004B0C77">
        <w:rPr>
          <w:rStyle w:val="Zstupntext"/>
          <w:rFonts w:cs="Calibri"/>
          <w:color w:val="000000"/>
        </w:rPr>
        <w:t xml:space="preserve"> vo vzťahu k poskytovaniu praktického vyučovania v systéme duálneho vzdelávania</w:t>
      </w:r>
      <w:r>
        <w:rPr>
          <w:rStyle w:val="Zstupntext"/>
          <w:rFonts w:cs="Calibri"/>
          <w:color w:val="000000"/>
        </w:rPr>
        <w:t xml:space="preserve"> </w:t>
      </w:r>
      <w:r w:rsidRPr="004B0C77">
        <w:rPr>
          <w:rStyle w:val="Zstupntext"/>
          <w:rFonts w:cs="Calibri"/>
          <w:color w:val="000000"/>
        </w:rPr>
        <w:t>pre stredné priemyselné školy</w:t>
      </w:r>
      <w:r>
        <w:rPr>
          <w:rStyle w:val="Zstupntext"/>
          <w:rFonts w:cs="Calibri"/>
          <w:color w:val="000000"/>
        </w:rPr>
        <w:t>.</w:t>
      </w:r>
      <w:r w:rsidRPr="004B0C77">
        <w:rPr>
          <w:rStyle w:val="Zstupntext"/>
          <w:rFonts w:cs="Calibri"/>
          <w:color w:val="000000"/>
        </w:rPr>
        <w:t xml:space="preserve"> </w:t>
      </w:r>
    </w:p>
    <w:p w14:paraId="0EBEE371" w14:textId="3E3D6258" w:rsidR="000A1B5A" w:rsidRPr="000A1B5A" w:rsidRDefault="000A1B5A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0A1B5A">
        <w:rPr>
          <w:rStyle w:val="Zstupntext"/>
          <w:rFonts w:cs="Calibri"/>
          <w:b/>
          <w:bCs/>
          <w:color w:val="000000"/>
        </w:rPr>
        <w:t xml:space="preserve">K bodu </w:t>
      </w:r>
      <w:r w:rsidR="00D816CF">
        <w:rPr>
          <w:rStyle w:val="Zstupntext"/>
          <w:rFonts w:cs="Calibri"/>
          <w:b/>
          <w:bCs/>
          <w:color w:val="000000"/>
        </w:rPr>
        <w:t>7</w:t>
      </w:r>
      <w:r w:rsidR="00D40915">
        <w:rPr>
          <w:rStyle w:val="Zstupntext"/>
          <w:rFonts w:cs="Calibri"/>
          <w:b/>
          <w:bCs/>
          <w:color w:val="000000"/>
        </w:rPr>
        <w:t>1</w:t>
      </w:r>
    </w:p>
    <w:p w14:paraId="4C281435" w14:textId="77777777" w:rsidR="000A1B5A" w:rsidRDefault="000A1B5A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Definuje sa ohraničenie, dokedy je nutné, aby experimentálne overovanie odborov vzdelávania začalo skutočne prebiehať po jeho schválení ministerstvom. </w:t>
      </w:r>
      <w:r w:rsidRPr="000A1B5A">
        <w:rPr>
          <w:rStyle w:val="Zstupntext"/>
          <w:rFonts w:cs="Calibri"/>
          <w:color w:val="000000"/>
        </w:rPr>
        <w:t>Určenie termínu na začatie experimentálneho overovania</w:t>
      </w:r>
      <w:r>
        <w:rPr>
          <w:rStyle w:val="Zstupntext"/>
          <w:rFonts w:cs="Calibri"/>
          <w:color w:val="000000"/>
        </w:rPr>
        <w:t xml:space="preserve"> sa realizuje aj z dôvodu</w:t>
      </w:r>
      <w:r w:rsidRPr="000A1B5A">
        <w:rPr>
          <w:rStyle w:val="Zstupntext"/>
          <w:rFonts w:cs="Calibri"/>
          <w:color w:val="000000"/>
        </w:rPr>
        <w:t xml:space="preserve"> </w:t>
      </w:r>
      <w:r>
        <w:rPr>
          <w:rStyle w:val="Zstupntext"/>
          <w:rFonts w:cs="Calibri"/>
          <w:color w:val="000000"/>
        </w:rPr>
        <w:t>potreby</w:t>
      </w:r>
      <w:r w:rsidRPr="000A1B5A">
        <w:rPr>
          <w:rStyle w:val="Zstupntext"/>
          <w:rFonts w:cs="Calibri"/>
          <w:color w:val="000000"/>
        </w:rPr>
        <w:t xml:space="preserve"> aktuálnosti obsahu výučby</w:t>
      </w:r>
      <w:r>
        <w:rPr>
          <w:rStyle w:val="Zstupntext"/>
          <w:rFonts w:cs="Calibri"/>
          <w:color w:val="000000"/>
        </w:rPr>
        <w:t xml:space="preserve"> v nadväznosti na potreby trhu práce. </w:t>
      </w:r>
    </w:p>
    <w:p w14:paraId="389C0AE6" w14:textId="5B1B0004" w:rsidR="003B4FE0" w:rsidRPr="00D32AE3" w:rsidRDefault="003B4FE0" w:rsidP="00C91CF5">
      <w:pPr>
        <w:spacing w:after="120"/>
        <w:jc w:val="both"/>
        <w:rPr>
          <w:rStyle w:val="Zstupntext"/>
          <w:rFonts w:cs="Calibri"/>
          <w:b/>
          <w:color w:val="000000"/>
        </w:rPr>
      </w:pPr>
      <w:r w:rsidRPr="00D32AE3">
        <w:rPr>
          <w:rStyle w:val="Zstupntext"/>
          <w:rFonts w:cs="Calibri"/>
          <w:b/>
          <w:color w:val="000000"/>
        </w:rPr>
        <w:t xml:space="preserve">K bodu </w:t>
      </w:r>
      <w:r w:rsidR="00C229C9">
        <w:rPr>
          <w:rStyle w:val="Zstupntext"/>
          <w:rFonts w:cs="Calibri"/>
          <w:b/>
          <w:color w:val="000000"/>
        </w:rPr>
        <w:t>7</w:t>
      </w:r>
      <w:r w:rsidR="00D40915">
        <w:rPr>
          <w:rStyle w:val="Zstupntext"/>
          <w:rFonts w:cs="Calibri"/>
          <w:b/>
          <w:color w:val="000000"/>
        </w:rPr>
        <w:t>3</w:t>
      </w:r>
    </w:p>
    <w:p w14:paraId="555AE4A2" w14:textId="77777777" w:rsidR="003B4FE0" w:rsidRDefault="003B4FE0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V nadväznosti na navrhované zmeny sa upravuje vysporiadanie doterajších právnych vzťahov na plynulý prechod k novej právnej úprave.</w:t>
      </w:r>
    </w:p>
    <w:p w14:paraId="1B01F4D8" w14:textId="77777777" w:rsidR="000A1B5A" w:rsidRDefault="000A1B5A" w:rsidP="00C91CF5">
      <w:pPr>
        <w:spacing w:after="120"/>
        <w:jc w:val="both"/>
        <w:rPr>
          <w:rStyle w:val="Zstupntext"/>
          <w:rFonts w:cs="Calibri"/>
          <w:color w:val="000000"/>
        </w:rPr>
      </w:pPr>
    </w:p>
    <w:p w14:paraId="351ABBB7" w14:textId="77777777" w:rsidR="000A1B5A" w:rsidRPr="000A1B5A" w:rsidRDefault="000A1B5A" w:rsidP="00C91CF5">
      <w:pPr>
        <w:spacing w:after="120"/>
        <w:jc w:val="both"/>
        <w:rPr>
          <w:rStyle w:val="Zstupntext"/>
          <w:rFonts w:cs="Calibri"/>
          <w:b/>
          <w:bCs/>
          <w:color w:val="000000"/>
        </w:rPr>
      </w:pPr>
      <w:r w:rsidRPr="000A1B5A">
        <w:rPr>
          <w:rStyle w:val="Zstupntext"/>
          <w:rFonts w:cs="Calibri"/>
          <w:b/>
          <w:bCs/>
          <w:color w:val="000000"/>
        </w:rPr>
        <w:t>Čl. II</w:t>
      </w:r>
    </w:p>
    <w:p w14:paraId="5DA02CA0" w14:textId="437591FC" w:rsidR="003E4B54" w:rsidRDefault="000A1B5A" w:rsidP="00C91CF5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Tento zákon nadobúda účinnosť k 1. januáru 2026 okrem </w:t>
      </w:r>
      <w:r w:rsidR="005D0D7D">
        <w:rPr>
          <w:rStyle w:val="Zstupntext"/>
          <w:rFonts w:cs="Calibri"/>
          <w:color w:val="000000"/>
        </w:rPr>
        <w:t>bodu, ktorým sa vypúšťa § 24</w:t>
      </w:r>
      <w:r w:rsidR="0076162C">
        <w:rPr>
          <w:rStyle w:val="Zstupntext"/>
          <w:rFonts w:cs="Calibri"/>
          <w:color w:val="000000"/>
        </w:rPr>
        <w:t xml:space="preserve"> a bodu, ktorý nadväzuje na vypustenie § 24, </w:t>
      </w:r>
      <w:r>
        <w:rPr>
          <w:rStyle w:val="Zstupntext"/>
          <w:rFonts w:cs="Calibri"/>
          <w:color w:val="000000"/>
        </w:rPr>
        <w:t xml:space="preserve">ktorý nadobúda účinnosť 1. septembra 2027. </w:t>
      </w:r>
    </w:p>
    <w:p w14:paraId="0A41F8F1" w14:textId="77777777" w:rsidR="003E4B54" w:rsidRDefault="003E4B54" w:rsidP="00C91CF5">
      <w:pPr>
        <w:spacing w:after="120"/>
        <w:jc w:val="both"/>
        <w:rPr>
          <w:rStyle w:val="Zstupntext"/>
          <w:rFonts w:cs="Calibri"/>
          <w:color w:val="000000"/>
        </w:rPr>
      </w:pPr>
    </w:p>
    <w:p w14:paraId="1FF7FEAF" w14:textId="77777777" w:rsidR="00C91CF5" w:rsidRPr="00C91CF5" w:rsidRDefault="00C91CF5" w:rsidP="00C91CF5">
      <w:pPr>
        <w:spacing w:after="120"/>
        <w:jc w:val="both"/>
        <w:rPr>
          <w:rStyle w:val="Zstupntext"/>
          <w:rFonts w:cs="Calibri"/>
          <w:color w:val="000000"/>
        </w:rPr>
      </w:pPr>
    </w:p>
    <w:p w14:paraId="2DB7C1F1" w14:textId="77777777" w:rsidR="005A54DA" w:rsidRDefault="005A54DA" w:rsidP="005A54DA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V Bratislave dňa 20. augusta 2025</w:t>
      </w:r>
    </w:p>
    <w:p w14:paraId="7D98162F" w14:textId="77777777" w:rsidR="005A54DA" w:rsidRDefault="005A54DA" w:rsidP="005A54DA">
      <w:pPr>
        <w:spacing w:after="120"/>
        <w:jc w:val="both"/>
        <w:rPr>
          <w:rStyle w:val="Zstupntext"/>
          <w:rFonts w:cs="Calibri"/>
          <w:color w:val="000000"/>
        </w:rPr>
      </w:pPr>
    </w:p>
    <w:p w14:paraId="4E980EE5" w14:textId="77777777" w:rsidR="005A54DA" w:rsidRPr="00C91CF5" w:rsidRDefault="005A54DA" w:rsidP="005A54DA">
      <w:pPr>
        <w:spacing w:after="120"/>
        <w:jc w:val="both"/>
        <w:rPr>
          <w:rStyle w:val="Zstupntext"/>
          <w:rFonts w:cs="Calibri"/>
          <w:color w:val="000000"/>
        </w:rPr>
      </w:pPr>
    </w:p>
    <w:p w14:paraId="3A8050EA" w14:textId="77777777" w:rsidR="005A54DA" w:rsidRDefault="005A54DA" w:rsidP="005A54DA">
      <w:pPr>
        <w:spacing w:after="1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 </w:t>
      </w:r>
    </w:p>
    <w:p w14:paraId="67AD0629" w14:textId="77777777" w:rsidR="005A54DA" w:rsidRDefault="005A54DA" w:rsidP="005A54DA">
      <w:pPr>
        <w:spacing w:after="120"/>
        <w:jc w:val="both"/>
        <w:rPr>
          <w:rStyle w:val="Zstupntext"/>
          <w:rFonts w:cs="Calibri"/>
          <w:color w:val="000000"/>
        </w:rPr>
      </w:pPr>
    </w:p>
    <w:p w14:paraId="73D234F9" w14:textId="60F13F44" w:rsidR="005A54DA" w:rsidRPr="003E72DA" w:rsidRDefault="005A54DA" w:rsidP="005A54DA">
      <w:pPr>
        <w:spacing w:after="120"/>
        <w:jc w:val="center"/>
        <w:rPr>
          <w:rStyle w:val="Zstupntext"/>
          <w:rFonts w:cs="Calibri"/>
          <w:b/>
          <w:bCs/>
          <w:color w:val="000000"/>
        </w:rPr>
      </w:pPr>
      <w:r w:rsidRPr="003E72DA">
        <w:rPr>
          <w:rStyle w:val="Zstupntext"/>
          <w:rFonts w:cs="Calibri"/>
          <w:b/>
          <w:bCs/>
          <w:color w:val="000000"/>
        </w:rPr>
        <w:t>R</w:t>
      </w:r>
      <w:r w:rsidR="00126927">
        <w:rPr>
          <w:rStyle w:val="Zstupntext"/>
          <w:rFonts w:cs="Calibri"/>
          <w:b/>
          <w:bCs/>
          <w:color w:val="000000"/>
        </w:rPr>
        <w:t>o</w:t>
      </w:r>
      <w:r w:rsidRPr="003E72DA">
        <w:rPr>
          <w:rStyle w:val="Zstupntext"/>
          <w:rFonts w:cs="Calibri"/>
          <w:b/>
          <w:bCs/>
          <w:color w:val="000000"/>
        </w:rPr>
        <w:t>bert Fico</w:t>
      </w:r>
      <w:r>
        <w:rPr>
          <w:rStyle w:val="Zstupntext"/>
          <w:rFonts w:cs="Calibri"/>
          <w:b/>
          <w:bCs/>
          <w:color w:val="000000"/>
        </w:rPr>
        <w:t xml:space="preserve"> v. r.</w:t>
      </w:r>
    </w:p>
    <w:p w14:paraId="62472BBE" w14:textId="77777777" w:rsidR="005A54DA" w:rsidRPr="00A821D1" w:rsidRDefault="005A54DA" w:rsidP="005A54DA">
      <w:pPr>
        <w:widowControl/>
        <w:spacing w:after="120"/>
        <w:jc w:val="center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predseda vlády Slovenskej republiky</w:t>
      </w:r>
    </w:p>
    <w:p w14:paraId="5F65F874" w14:textId="77777777" w:rsidR="005A54DA" w:rsidRDefault="005A54DA" w:rsidP="005A54DA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p w14:paraId="65F97193" w14:textId="77777777" w:rsidR="005A54DA" w:rsidRDefault="005A54DA" w:rsidP="005A54DA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p w14:paraId="2D8702C6" w14:textId="77777777" w:rsidR="005A54DA" w:rsidRDefault="005A54DA" w:rsidP="005A54DA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p w14:paraId="2F822EC3" w14:textId="77777777" w:rsidR="005A54DA" w:rsidRDefault="005A54DA" w:rsidP="005A54DA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p w14:paraId="3048B799" w14:textId="40F6AF35" w:rsidR="005A54DA" w:rsidRPr="003E72DA" w:rsidRDefault="005A54DA" w:rsidP="005A54DA">
      <w:pPr>
        <w:widowControl/>
        <w:spacing w:after="120"/>
        <w:jc w:val="center"/>
        <w:rPr>
          <w:rStyle w:val="Zstupntext"/>
          <w:rFonts w:cs="Calibri"/>
          <w:b/>
          <w:bCs/>
          <w:color w:val="000000"/>
        </w:rPr>
      </w:pPr>
      <w:r w:rsidRPr="003E72DA">
        <w:rPr>
          <w:rStyle w:val="Zstupntext"/>
          <w:rFonts w:cs="Calibri"/>
          <w:b/>
          <w:bCs/>
          <w:color w:val="000000"/>
        </w:rPr>
        <w:t>Tomáš Drucker</w:t>
      </w:r>
      <w:r>
        <w:rPr>
          <w:rStyle w:val="Zstupntext"/>
          <w:rFonts w:cs="Calibri"/>
          <w:b/>
          <w:bCs/>
          <w:color w:val="000000"/>
        </w:rPr>
        <w:t xml:space="preserve"> v. r.</w:t>
      </w:r>
    </w:p>
    <w:p w14:paraId="70B82A5E" w14:textId="77777777" w:rsidR="005A54DA" w:rsidRPr="00DB4191" w:rsidRDefault="005A54DA" w:rsidP="005A54DA">
      <w:pPr>
        <w:widowControl/>
        <w:spacing w:after="120"/>
        <w:jc w:val="center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minister školstva, výskumu, vývoja a mládeže Slovenskej republiky</w:t>
      </w:r>
    </w:p>
    <w:p w14:paraId="07F23DD8" w14:textId="77777777" w:rsidR="00C91CF5" w:rsidRPr="00C91CF5" w:rsidRDefault="00C91CF5" w:rsidP="00C91CF5">
      <w:pPr>
        <w:spacing w:after="120"/>
        <w:jc w:val="both"/>
        <w:rPr>
          <w:rStyle w:val="Zstupntext"/>
          <w:rFonts w:cs="Calibri"/>
          <w:color w:val="000000"/>
        </w:rPr>
      </w:pPr>
    </w:p>
    <w:p w14:paraId="733B38C5" w14:textId="77777777" w:rsidR="00A821D1" w:rsidRPr="00A821D1" w:rsidRDefault="00A821D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p w14:paraId="41FDCB56" w14:textId="77777777" w:rsidR="00DB4191" w:rsidRPr="00DB4191" w:rsidRDefault="00DB4191" w:rsidP="00C91CF5">
      <w:pPr>
        <w:widowControl/>
        <w:spacing w:after="120"/>
        <w:jc w:val="both"/>
        <w:rPr>
          <w:rStyle w:val="Zstupntext"/>
          <w:rFonts w:cs="Calibri"/>
          <w:color w:val="000000"/>
        </w:rPr>
      </w:pPr>
    </w:p>
    <w:sectPr w:rsidR="00DB4191" w:rsidRPr="00DB4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4"/>
    <w:rsid w:val="00024939"/>
    <w:rsid w:val="000375AE"/>
    <w:rsid w:val="000519E4"/>
    <w:rsid w:val="0008266D"/>
    <w:rsid w:val="0008708B"/>
    <w:rsid w:val="00090F30"/>
    <w:rsid w:val="000A1B5A"/>
    <w:rsid w:val="000C5320"/>
    <w:rsid w:val="000D096F"/>
    <w:rsid w:val="000E1265"/>
    <w:rsid w:val="000E21CC"/>
    <w:rsid w:val="000F1376"/>
    <w:rsid w:val="00126927"/>
    <w:rsid w:val="00152628"/>
    <w:rsid w:val="001527DC"/>
    <w:rsid w:val="00163E72"/>
    <w:rsid w:val="001A2F6F"/>
    <w:rsid w:val="001A6001"/>
    <w:rsid w:val="001A7137"/>
    <w:rsid w:val="001C213C"/>
    <w:rsid w:val="001C7939"/>
    <w:rsid w:val="001D14A7"/>
    <w:rsid w:val="001E2F3C"/>
    <w:rsid w:val="001E54A6"/>
    <w:rsid w:val="001F16C1"/>
    <w:rsid w:val="001F1F91"/>
    <w:rsid w:val="001F705F"/>
    <w:rsid w:val="0021125C"/>
    <w:rsid w:val="00224D4E"/>
    <w:rsid w:val="00225F21"/>
    <w:rsid w:val="00235F9B"/>
    <w:rsid w:val="00254775"/>
    <w:rsid w:val="00283995"/>
    <w:rsid w:val="00294D6A"/>
    <w:rsid w:val="002C768C"/>
    <w:rsid w:val="002E5108"/>
    <w:rsid w:val="0031586C"/>
    <w:rsid w:val="003242EE"/>
    <w:rsid w:val="00376216"/>
    <w:rsid w:val="003B4FE0"/>
    <w:rsid w:val="003B7297"/>
    <w:rsid w:val="003D3C95"/>
    <w:rsid w:val="003E4B54"/>
    <w:rsid w:val="003F5BF8"/>
    <w:rsid w:val="003F5EC8"/>
    <w:rsid w:val="00420C41"/>
    <w:rsid w:val="004670C5"/>
    <w:rsid w:val="00493013"/>
    <w:rsid w:val="004B0C77"/>
    <w:rsid w:val="004B36A9"/>
    <w:rsid w:val="00503B6A"/>
    <w:rsid w:val="00504E24"/>
    <w:rsid w:val="0050546D"/>
    <w:rsid w:val="005076C3"/>
    <w:rsid w:val="00516EE1"/>
    <w:rsid w:val="00517ECA"/>
    <w:rsid w:val="005406FB"/>
    <w:rsid w:val="005428CE"/>
    <w:rsid w:val="00551884"/>
    <w:rsid w:val="00552765"/>
    <w:rsid w:val="00560C0D"/>
    <w:rsid w:val="00561501"/>
    <w:rsid w:val="00594704"/>
    <w:rsid w:val="005A1617"/>
    <w:rsid w:val="005A54DA"/>
    <w:rsid w:val="005D0D7D"/>
    <w:rsid w:val="005D69E8"/>
    <w:rsid w:val="005F2793"/>
    <w:rsid w:val="00606825"/>
    <w:rsid w:val="0061307A"/>
    <w:rsid w:val="00615E3D"/>
    <w:rsid w:val="006554DF"/>
    <w:rsid w:val="0066256F"/>
    <w:rsid w:val="00663C28"/>
    <w:rsid w:val="006808D2"/>
    <w:rsid w:val="006866AD"/>
    <w:rsid w:val="00692BE5"/>
    <w:rsid w:val="006B3265"/>
    <w:rsid w:val="006E523A"/>
    <w:rsid w:val="006F4C4F"/>
    <w:rsid w:val="006F794B"/>
    <w:rsid w:val="007028AE"/>
    <w:rsid w:val="007567E4"/>
    <w:rsid w:val="0076162C"/>
    <w:rsid w:val="007646C9"/>
    <w:rsid w:val="00791103"/>
    <w:rsid w:val="007958EF"/>
    <w:rsid w:val="007A3B29"/>
    <w:rsid w:val="007A3C49"/>
    <w:rsid w:val="007B4E1F"/>
    <w:rsid w:val="007C0916"/>
    <w:rsid w:val="007C346A"/>
    <w:rsid w:val="007D55CC"/>
    <w:rsid w:val="007E412D"/>
    <w:rsid w:val="007E5903"/>
    <w:rsid w:val="007F4473"/>
    <w:rsid w:val="00802ECA"/>
    <w:rsid w:val="0081157C"/>
    <w:rsid w:val="00814432"/>
    <w:rsid w:val="008226E6"/>
    <w:rsid w:val="0082700E"/>
    <w:rsid w:val="00881497"/>
    <w:rsid w:val="008A4F17"/>
    <w:rsid w:val="008B153C"/>
    <w:rsid w:val="008B25A6"/>
    <w:rsid w:val="008C5E0E"/>
    <w:rsid w:val="008E1129"/>
    <w:rsid w:val="00902CA3"/>
    <w:rsid w:val="00922552"/>
    <w:rsid w:val="00944941"/>
    <w:rsid w:val="0096522E"/>
    <w:rsid w:val="00972342"/>
    <w:rsid w:val="009746E0"/>
    <w:rsid w:val="00994C93"/>
    <w:rsid w:val="009E27AC"/>
    <w:rsid w:val="009F5349"/>
    <w:rsid w:val="00A134C7"/>
    <w:rsid w:val="00A267E4"/>
    <w:rsid w:val="00A310D1"/>
    <w:rsid w:val="00A44065"/>
    <w:rsid w:val="00A45CB8"/>
    <w:rsid w:val="00A61389"/>
    <w:rsid w:val="00A64D2D"/>
    <w:rsid w:val="00A65F07"/>
    <w:rsid w:val="00A821D1"/>
    <w:rsid w:val="00A936B3"/>
    <w:rsid w:val="00AE26DB"/>
    <w:rsid w:val="00AF000F"/>
    <w:rsid w:val="00B04E39"/>
    <w:rsid w:val="00B1026D"/>
    <w:rsid w:val="00B13F9B"/>
    <w:rsid w:val="00B44CFA"/>
    <w:rsid w:val="00B601A5"/>
    <w:rsid w:val="00B8569A"/>
    <w:rsid w:val="00B8598B"/>
    <w:rsid w:val="00B85E8A"/>
    <w:rsid w:val="00BC5EF5"/>
    <w:rsid w:val="00BD2FA7"/>
    <w:rsid w:val="00BF5340"/>
    <w:rsid w:val="00C0489E"/>
    <w:rsid w:val="00C2036C"/>
    <w:rsid w:val="00C2073F"/>
    <w:rsid w:val="00C229C9"/>
    <w:rsid w:val="00C40B0B"/>
    <w:rsid w:val="00C445F5"/>
    <w:rsid w:val="00C65E5D"/>
    <w:rsid w:val="00C90474"/>
    <w:rsid w:val="00C91CF5"/>
    <w:rsid w:val="00CA28E0"/>
    <w:rsid w:val="00CA4142"/>
    <w:rsid w:val="00CC00C2"/>
    <w:rsid w:val="00CC6FF4"/>
    <w:rsid w:val="00CD216E"/>
    <w:rsid w:val="00CD32CE"/>
    <w:rsid w:val="00CD5A4A"/>
    <w:rsid w:val="00CD7900"/>
    <w:rsid w:val="00CE586A"/>
    <w:rsid w:val="00D3091A"/>
    <w:rsid w:val="00D32AE3"/>
    <w:rsid w:val="00D40915"/>
    <w:rsid w:val="00D60777"/>
    <w:rsid w:val="00D816CF"/>
    <w:rsid w:val="00DB4191"/>
    <w:rsid w:val="00DC109C"/>
    <w:rsid w:val="00DF1780"/>
    <w:rsid w:val="00DF390B"/>
    <w:rsid w:val="00E23680"/>
    <w:rsid w:val="00E72F0D"/>
    <w:rsid w:val="00E83023"/>
    <w:rsid w:val="00E94A79"/>
    <w:rsid w:val="00EA0FEE"/>
    <w:rsid w:val="00EA5C74"/>
    <w:rsid w:val="00EC403A"/>
    <w:rsid w:val="00F054CE"/>
    <w:rsid w:val="00F0707E"/>
    <w:rsid w:val="00F24310"/>
    <w:rsid w:val="00F53263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DFAF5"/>
  <w14:defaultImageDpi w14:val="0"/>
  <w15:docId w15:val="{DCC2488B-5C43-4998-BE57-A0C3C26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A4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1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A4142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1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A414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1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8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2D95-2138-455D-8213-8224626F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Bumberová Veronika</cp:lastModifiedBy>
  <cp:revision>4</cp:revision>
  <dcterms:created xsi:type="dcterms:W3CDTF">2025-08-07T13:30:00Z</dcterms:created>
  <dcterms:modified xsi:type="dcterms:W3CDTF">2025-08-20T08:09:00Z</dcterms:modified>
</cp:coreProperties>
</file>