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44A20451" wp14:editId="168C7E28">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rsidR="00B142E7" w:rsidRPr="001A67A5" w:rsidRDefault="001A67A5" w:rsidP="001A67A5">
      <w:pPr>
        <w:pStyle w:val="Nzov"/>
        <w:ind w:left="142"/>
        <w:jc w:val="center"/>
      </w:pPr>
      <w:r>
        <w:t>návrhu</w:t>
      </w:r>
      <w:r>
        <w:rPr>
          <w:spacing w:val="-6"/>
        </w:rPr>
        <w:t xml:space="preserve"> </w:t>
      </w:r>
      <w:r w:rsidR="00344AB2">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rsidR="001A67A5" w:rsidRDefault="001A67A5">
      <w:pPr>
        <w:pStyle w:val="Zkladntext"/>
        <w:spacing w:before="1"/>
        <w:rPr>
          <w:b/>
        </w:rPr>
      </w:pPr>
    </w:p>
    <w:p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rsidTr="00731AFE">
        <w:trPr>
          <w:trHeight w:val="490"/>
        </w:trPr>
        <w:tc>
          <w:tcPr>
            <w:tcW w:w="6950" w:type="dxa"/>
            <w:gridSpan w:val="3"/>
          </w:tcPr>
          <w:p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rsidTr="00731AFE">
        <w:trPr>
          <w:trHeight w:val="490"/>
        </w:trPr>
        <w:tc>
          <w:tcPr>
            <w:tcW w:w="6950" w:type="dxa"/>
            <w:gridSpan w:val="3"/>
          </w:tcPr>
          <w:p w:rsidR="00A94ED1" w:rsidRPr="00A94ED1" w:rsidRDefault="00D679CC" w:rsidP="00A94ED1">
            <w:pPr>
              <w:pStyle w:val="TableParagraph"/>
              <w:jc w:val="both"/>
              <w:rPr>
                <w:b/>
                <w:sz w:val="20"/>
                <w:szCs w:val="20"/>
              </w:rPr>
            </w:pPr>
            <w:r w:rsidRPr="00947BFA">
              <w:rPr>
                <w:b/>
                <w:bCs/>
                <w:sz w:val="20"/>
                <w:szCs w:val="20"/>
              </w:rPr>
              <w:t>Smernica Európskeho parlamentu a Rady 2011/93/EÚ z 13. decembra 2011 o boji proti sexuálnemu zneužívaniu a sexuálnemu vykorisťovaniu detí a boji proti detskej pornografii, ktorou sa nahrádza rámcové rozhodnutie Rady 2004/68/SVV (Ú. v. EÚ L 335, 17. 12. 2011)</w:t>
            </w:r>
          </w:p>
          <w:p w:rsidR="00843DBE" w:rsidRPr="00F72F32" w:rsidRDefault="00843DBE" w:rsidP="00A94ED1">
            <w:pPr>
              <w:pStyle w:val="TableParagraph"/>
              <w:jc w:val="both"/>
              <w:rPr>
                <w:b/>
                <w:sz w:val="20"/>
                <w:szCs w:val="20"/>
              </w:rPr>
            </w:pPr>
          </w:p>
        </w:tc>
        <w:tc>
          <w:tcPr>
            <w:tcW w:w="9070" w:type="dxa"/>
            <w:gridSpan w:val="7"/>
          </w:tcPr>
          <w:p w:rsidR="001A67A5" w:rsidRDefault="001A67A5" w:rsidP="001A67A5">
            <w:pPr>
              <w:pStyle w:val="TableParagraph"/>
              <w:spacing w:line="259" w:lineRule="auto"/>
              <w:ind w:left="116" w:right="96" w:hanging="10"/>
              <w:jc w:val="both"/>
              <w:rPr>
                <w:b/>
                <w:sz w:val="20"/>
              </w:rPr>
            </w:pPr>
            <w:r>
              <w:rPr>
                <w:b/>
                <w:sz w:val="20"/>
              </w:rPr>
              <w:t xml:space="preserve">Návrh zákona, </w:t>
            </w:r>
            <w:r w:rsidR="00D679CC" w:rsidRPr="00D679CC">
              <w:rPr>
                <w:b/>
                <w:sz w:val="20"/>
              </w:rPr>
              <w:t xml:space="preserve">ktorým sa mení a dopĺňa zákon č. 138/2019 Z. z. o pedagogických zamestnancoch a odborných zamestnancoch a o zmene a doplnení niektorých zákonov v znení neskorších predpisov a ktorým sa menia a dopĺňajú niektoré zákony </w:t>
            </w:r>
          </w:p>
          <w:p w:rsidR="001A67A5" w:rsidRPr="009332C4" w:rsidRDefault="001A67A5">
            <w:pPr>
              <w:pStyle w:val="TableParagraph"/>
              <w:rPr>
                <w:sz w:val="20"/>
                <w:szCs w:val="20"/>
              </w:rPr>
            </w:pPr>
          </w:p>
        </w:tc>
      </w:tr>
      <w:tr w:rsidR="001A67A5" w:rsidRPr="009332C4" w:rsidTr="00E3343C">
        <w:trPr>
          <w:trHeight w:val="490"/>
        </w:trPr>
        <w:tc>
          <w:tcPr>
            <w:tcW w:w="852" w:type="dxa"/>
          </w:tcPr>
          <w:p w:rsidR="001A67A5" w:rsidRPr="001A67A5" w:rsidRDefault="001A67A5" w:rsidP="001A67A5">
            <w:pPr>
              <w:pStyle w:val="TableParagraph"/>
              <w:jc w:val="center"/>
              <w:rPr>
                <w:sz w:val="20"/>
                <w:szCs w:val="20"/>
              </w:rPr>
            </w:pPr>
            <w:r w:rsidRPr="001A67A5">
              <w:rPr>
                <w:sz w:val="20"/>
                <w:szCs w:val="20"/>
              </w:rPr>
              <w:t>1</w:t>
            </w:r>
          </w:p>
        </w:tc>
        <w:tc>
          <w:tcPr>
            <w:tcW w:w="5387" w:type="dxa"/>
          </w:tcPr>
          <w:p w:rsidR="001A67A5" w:rsidRPr="001A67A5" w:rsidRDefault="001A67A5" w:rsidP="001A67A5">
            <w:pPr>
              <w:pStyle w:val="TableParagraph"/>
              <w:jc w:val="center"/>
              <w:rPr>
                <w:sz w:val="20"/>
                <w:szCs w:val="20"/>
              </w:rPr>
            </w:pPr>
            <w:r w:rsidRPr="001A67A5">
              <w:rPr>
                <w:sz w:val="20"/>
                <w:szCs w:val="20"/>
              </w:rPr>
              <w:t>2</w:t>
            </w:r>
          </w:p>
        </w:tc>
        <w:tc>
          <w:tcPr>
            <w:tcW w:w="711" w:type="dxa"/>
          </w:tcPr>
          <w:p w:rsidR="001A67A5" w:rsidRPr="001A67A5" w:rsidRDefault="001A67A5" w:rsidP="001A67A5">
            <w:pPr>
              <w:pStyle w:val="TableParagraph"/>
              <w:jc w:val="center"/>
              <w:rPr>
                <w:sz w:val="20"/>
                <w:szCs w:val="20"/>
              </w:rPr>
            </w:pPr>
            <w:r w:rsidRPr="001A67A5">
              <w:rPr>
                <w:sz w:val="20"/>
                <w:szCs w:val="20"/>
              </w:rPr>
              <w:t>3</w:t>
            </w:r>
          </w:p>
        </w:tc>
        <w:tc>
          <w:tcPr>
            <w:tcW w:w="992" w:type="dxa"/>
          </w:tcPr>
          <w:p w:rsidR="001A67A5" w:rsidRPr="001A67A5" w:rsidRDefault="001A67A5" w:rsidP="001A67A5">
            <w:pPr>
              <w:pStyle w:val="TableParagraph"/>
              <w:jc w:val="center"/>
              <w:rPr>
                <w:sz w:val="20"/>
                <w:szCs w:val="20"/>
              </w:rPr>
            </w:pPr>
            <w:r w:rsidRPr="001A67A5">
              <w:rPr>
                <w:sz w:val="20"/>
                <w:szCs w:val="20"/>
              </w:rPr>
              <w:t>4</w:t>
            </w:r>
          </w:p>
        </w:tc>
        <w:tc>
          <w:tcPr>
            <w:tcW w:w="852" w:type="dxa"/>
          </w:tcPr>
          <w:p w:rsidR="001A67A5" w:rsidRPr="001A67A5" w:rsidRDefault="001A67A5" w:rsidP="001A67A5">
            <w:pPr>
              <w:pStyle w:val="TableParagraph"/>
              <w:jc w:val="center"/>
              <w:rPr>
                <w:sz w:val="20"/>
                <w:szCs w:val="20"/>
              </w:rPr>
            </w:pPr>
            <w:r w:rsidRPr="001A67A5">
              <w:rPr>
                <w:sz w:val="20"/>
                <w:szCs w:val="20"/>
              </w:rPr>
              <w:t>5</w:t>
            </w:r>
          </w:p>
        </w:tc>
        <w:tc>
          <w:tcPr>
            <w:tcW w:w="3826" w:type="dxa"/>
          </w:tcPr>
          <w:p w:rsidR="001A67A5" w:rsidRPr="001A67A5" w:rsidRDefault="001A67A5" w:rsidP="001A67A5">
            <w:pPr>
              <w:pStyle w:val="TableParagraph"/>
              <w:jc w:val="center"/>
              <w:rPr>
                <w:sz w:val="20"/>
                <w:szCs w:val="20"/>
              </w:rPr>
            </w:pPr>
            <w:r w:rsidRPr="001A67A5">
              <w:rPr>
                <w:sz w:val="20"/>
                <w:szCs w:val="20"/>
              </w:rPr>
              <w:t>6</w:t>
            </w:r>
          </w:p>
        </w:tc>
        <w:tc>
          <w:tcPr>
            <w:tcW w:w="993" w:type="dxa"/>
          </w:tcPr>
          <w:p w:rsidR="001A67A5" w:rsidRPr="001A67A5" w:rsidRDefault="001A67A5" w:rsidP="001A67A5">
            <w:pPr>
              <w:pStyle w:val="TableParagraph"/>
              <w:jc w:val="center"/>
              <w:rPr>
                <w:sz w:val="20"/>
                <w:szCs w:val="20"/>
              </w:rPr>
            </w:pPr>
            <w:r w:rsidRPr="001A67A5">
              <w:rPr>
                <w:sz w:val="20"/>
                <w:szCs w:val="20"/>
              </w:rPr>
              <w:t>7</w:t>
            </w:r>
          </w:p>
        </w:tc>
        <w:tc>
          <w:tcPr>
            <w:tcW w:w="849" w:type="dxa"/>
          </w:tcPr>
          <w:p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rsidR="001A67A5" w:rsidRPr="001A67A5" w:rsidRDefault="001A67A5" w:rsidP="001A67A5">
            <w:pPr>
              <w:pStyle w:val="TableParagraph"/>
              <w:jc w:val="center"/>
              <w:rPr>
                <w:sz w:val="20"/>
                <w:szCs w:val="20"/>
              </w:rPr>
            </w:pPr>
            <w:r w:rsidRPr="001A67A5">
              <w:rPr>
                <w:sz w:val="20"/>
                <w:szCs w:val="20"/>
              </w:rPr>
              <w:t>9</w:t>
            </w:r>
          </w:p>
        </w:tc>
        <w:tc>
          <w:tcPr>
            <w:tcW w:w="851" w:type="dxa"/>
          </w:tcPr>
          <w:p w:rsidR="001A67A5" w:rsidRPr="001A67A5" w:rsidRDefault="001A67A5" w:rsidP="001A67A5">
            <w:pPr>
              <w:pStyle w:val="TableParagraph"/>
              <w:jc w:val="center"/>
              <w:rPr>
                <w:sz w:val="20"/>
                <w:szCs w:val="20"/>
              </w:rPr>
            </w:pPr>
            <w:r w:rsidRPr="001A67A5">
              <w:rPr>
                <w:sz w:val="20"/>
                <w:szCs w:val="20"/>
              </w:rPr>
              <w:t>10</w:t>
            </w:r>
          </w:p>
        </w:tc>
      </w:tr>
      <w:tr w:rsidR="001A67A5" w:rsidRPr="009332C4" w:rsidTr="00E3343C">
        <w:trPr>
          <w:trHeight w:val="490"/>
        </w:trPr>
        <w:tc>
          <w:tcPr>
            <w:tcW w:w="852" w:type="dxa"/>
          </w:tcPr>
          <w:p w:rsidR="001A67A5" w:rsidRPr="001A67A5" w:rsidRDefault="001A67A5" w:rsidP="002D35A7">
            <w:pPr>
              <w:pStyle w:val="TableParagraph"/>
              <w:jc w:val="center"/>
              <w:rPr>
                <w:sz w:val="20"/>
                <w:szCs w:val="20"/>
              </w:rPr>
            </w:pPr>
            <w:r w:rsidRPr="001A67A5">
              <w:rPr>
                <w:sz w:val="20"/>
                <w:szCs w:val="20"/>
              </w:rPr>
              <w:t>Článok</w:t>
            </w:r>
          </w:p>
          <w:p w:rsidR="001A67A5" w:rsidRPr="001A67A5" w:rsidRDefault="001A67A5" w:rsidP="002D35A7">
            <w:pPr>
              <w:pStyle w:val="TableParagraph"/>
              <w:jc w:val="center"/>
              <w:rPr>
                <w:sz w:val="20"/>
                <w:szCs w:val="20"/>
              </w:rPr>
            </w:pPr>
            <w:r w:rsidRPr="001A67A5">
              <w:rPr>
                <w:sz w:val="20"/>
                <w:szCs w:val="20"/>
              </w:rPr>
              <w:t>(Č, O,</w:t>
            </w:r>
          </w:p>
          <w:p w:rsidR="001A67A5" w:rsidRPr="00F72F32" w:rsidRDefault="001A67A5" w:rsidP="002D35A7">
            <w:pPr>
              <w:pStyle w:val="TableParagraph"/>
              <w:jc w:val="center"/>
              <w:rPr>
                <w:sz w:val="20"/>
                <w:szCs w:val="20"/>
              </w:rPr>
            </w:pPr>
            <w:r w:rsidRPr="001A67A5">
              <w:rPr>
                <w:sz w:val="20"/>
                <w:szCs w:val="20"/>
              </w:rPr>
              <w:t>V, P)</w:t>
            </w:r>
          </w:p>
        </w:tc>
        <w:tc>
          <w:tcPr>
            <w:tcW w:w="5387" w:type="dxa"/>
          </w:tcPr>
          <w:p w:rsidR="001A67A5" w:rsidRPr="00F72F32" w:rsidRDefault="001A67A5" w:rsidP="002D35A7">
            <w:pPr>
              <w:pStyle w:val="TableParagraph"/>
              <w:jc w:val="center"/>
              <w:rPr>
                <w:sz w:val="20"/>
                <w:szCs w:val="20"/>
              </w:rPr>
            </w:pPr>
            <w:r w:rsidRPr="001A67A5">
              <w:rPr>
                <w:sz w:val="20"/>
                <w:szCs w:val="20"/>
              </w:rPr>
              <w:t>Text</w:t>
            </w:r>
          </w:p>
        </w:tc>
        <w:tc>
          <w:tcPr>
            <w:tcW w:w="711" w:type="dxa"/>
          </w:tcPr>
          <w:p w:rsidR="001A67A5" w:rsidRPr="001A67A5" w:rsidRDefault="001A67A5" w:rsidP="002D35A7">
            <w:pPr>
              <w:pStyle w:val="TableParagraph"/>
              <w:jc w:val="center"/>
              <w:rPr>
                <w:sz w:val="20"/>
                <w:szCs w:val="20"/>
              </w:rPr>
            </w:pPr>
            <w:proofErr w:type="spellStart"/>
            <w:r w:rsidRPr="001A67A5">
              <w:rPr>
                <w:sz w:val="20"/>
                <w:szCs w:val="20"/>
              </w:rPr>
              <w:t>Spôs</w:t>
            </w:r>
            <w:proofErr w:type="spellEnd"/>
          </w:p>
          <w:p w:rsidR="001A67A5" w:rsidRPr="001A67A5" w:rsidRDefault="001A67A5" w:rsidP="002D35A7">
            <w:pPr>
              <w:pStyle w:val="TableParagraph"/>
              <w:jc w:val="center"/>
              <w:rPr>
                <w:sz w:val="20"/>
                <w:szCs w:val="20"/>
              </w:rPr>
            </w:pPr>
            <w:proofErr w:type="spellStart"/>
            <w:r w:rsidRPr="001A67A5">
              <w:rPr>
                <w:sz w:val="20"/>
                <w:szCs w:val="20"/>
              </w:rPr>
              <w:t>ob</w:t>
            </w:r>
            <w:proofErr w:type="spellEnd"/>
          </w:p>
          <w:p w:rsidR="001A67A5" w:rsidRPr="001A67A5" w:rsidRDefault="001A67A5" w:rsidP="002D35A7">
            <w:pPr>
              <w:pStyle w:val="TableParagraph"/>
              <w:jc w:val="center"/>
              <w:rPr>
                <w:sz w:val="20"/>
                <w:szCs w:val="20"/>
              </w:rPr>
            </w:pPr>
            <w:proofErr w:type="spellStart"/>
            <w:r w:rsidRPr="001A67A5">
              <w:rPr>
                <w:sz w:val="20"/>
                <w:szCs w:val="20"/>
              </w:rPr>
              <w:t>trans</w:t>
            </w:r>
            <w:proofErr w:type="spellEnd"/>
          </w:p>
          <w:p w:rsidR="001A67A5" w:rsidRPr="002D35A7" w:rsidRDefault="002D35A7" w:rsidP="002D35A7">
            <w:pPr>
              <w:pStyle w:val="TableParagraph"/>
              <w:jc w:val="center"/>
              <w:rPr>
                <w:sz w:val="20"/>
                <w:szCs w:val="20"/>
              </w:rPr>
            </w:pPr>
            <w:r>
              <w:rPr>
                <w:sz w:val="20"/>
                <w:szCs w:val="20"/>
              </w:rPr>
              <w:t>pozície</w:t>
            </w:r>
          </w:p>
        </w:tc>
        <w:tc>
          <w:tcPr>
            <w:tcW w:w="992" w:type="dxa"/>
          </w:tcPr>
          <w:p w:rsidR="001A67A5" w:rsidRPr="001A67A5" w:rsidRDefault="001A67A5" w:rsidP="002D35A7">
            <w:pPr>
              <w:pStyle w:val="TableParagraph"/>
              <w:jc w:val="center"/>
              <w:rPr>
                <w:sz w:val="20"/>
                <w:szCs w:val="20"/>
              </w:rPr>
            </w:pPr>
            <w:r w:rsidRPr="001A67A5">
              <w:rPr>
                <w:sz w:val="20"/>
                <w:szCs w:val="20"/>
              </w:rPr>
              <w:t>Číslo</w:t>
            </w:r>
          </w:p>
        </w:tc>
        <w:tc>
          <w:tcPr>
            <w:tcW w:w="852" w:type="dxa"/>
          </w:tcPr>
          <w:p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rsidR="001A67A5" w:rsidRPr="00F72F32" w:rsidRDefault="001A67A5" w:rsidP="002D35A7">
            <w:pPr>
              <w:pStyle w:val="TableParagraph"/>
              <w:jc w:val="center"/>
              <w:rPr>
                <w:sz w:val="20"/>
                <w:szCs w:val="20"/>
              </w:rPr>
            </w:pPr>
            <w:r>
              <w:rPr>
                <w:spacing w:val="-4"/>
                <w:sz w:val="20"/>
              </w:rPr>
              <w:t>Text</w:t>
            </w:r>
          </w:p>
        </w:tc>
        <w:tc>
          <w:tcPr>
            <w:tcW w:w="993" w:type="dxa"/>
          </w:tcPr>
          <w:p w:rsidR="001A67A5" w:rsidRPr="002D35A7" w:rsidRDefault="001A67A5" w:rsidP="002D35A7">
            <w:pPr>
              <w:pStyle w:val="TableParagraph"/>
              <w:jc w:val="center"/>
              <w:rPr>
                <w:sz w:val="20"/>
                <w:szCs w:val="20"/>
              </w:rPr>
            </w:pPr>
            <w:r w:rsidRPr="002D35A7">
              <w:rPr>
                <w:spacing w:val="-4"/>
                <w:sz w:val="20"/>
              </w:rPr>
              <w:t>Zhoda</w:t>
            </w:r>
          </w:p>
        </w:tc>
        <w:tc>
          <w:tcPr>
            <w:tcW w:w="849" w:type="dxa"/>
          </w:tcPr>
          <w:p w:rsidR="001A67A5" w:rsidRPr="001A67A5" w:rsidRDefault="001A67A5" w:rsidP="002D35A7">
            <w:pPr>
              <w:pStyle w:val="TableParagraph"/>
              <w:spacing w:line="205" w:lineRule="exact"/>
              <w:ind w:left="109"/>
              <w:jc w:val="center"/>
              <w:rPr>
                <w:sz w:val="20"/>
                <w:szCs w:val="20"/>
              </w:rPr>
            </w:pPr>
            <w:r w:rsidRPr="001A67A5">
              <w:rPr>
                <w:sz w:val="20"/>
                <w:szCs w:val="20"/>
              </w:rPr>
              <w:t>Pozná</w:t>
            </w:r>
          </w:p>
          <w:p w:rsidR="001A67A5" w:rsidRPr="009332C4" w:rsidRDefault="001A67A5" w:rsidP="002D35A7">
            <w:pPr>
              <w:pStyle w:val="TableParagraph"/>
              <w:spacing w:line="205" w:lineRule="exact"/>
              <w:ind w:left="109"/>
              <w:jc w:val="center"/>
              <w:rPr>
                <w:sz w:val="20"/>
                <w:szCs w:val="20"/>
              </w:rPr>
            </w:pPr>
            <w:proofErr w:type="spellStart"/>
            <w:r w:rsidRPr="001A67A5">
              <w:rPr>
                <w:sz w:val="20"/>
                <w:szCs w:val="20"/>
              </w:rPr>
              <w:t>mky</w:t>
            </w:r>
            <w:proofErr w:type="spellEnd"/>
          </w:p>
        </w:tc>
        <w:tc>
          <w:tcPr>
            <w:tcW w:w="707" w:type="dxa"/>
          </w:tcPr>
          <w:p w:rsidR="001A67A5" w:rsidRPr="009332C4" w:rsidRDefault="001A67A5" w:rsidP="002D35A7">
            <w:pPr>
              <w:pStyle w:val="TableParagraph"/>
              <w:jc w:val="center"/>
              <w:rPr>
                <w:sz w:val="20"/>
                <w:szCs w:val="20"/>
              </w:rPr>
            </w:pPr>
            <w:proofErr w:type="spellStart"/>
            <w:r w:rsidRPr="001A67A5">
              <w:rPr>
                <w:sz w:val="20"/>
                <w:szCs w:val="20"/>
              </w:rPr>
              <w:t>Identi</w:t>
            </w:r>
            <w:proofErr w:type="spellEnd"/>
            <w:r w:rsidRPr="001A67A5">
              <w:rPr>
                <w:sz w:val="20"/>
                <w:szCs w:val="20"/>
              </w:rPr>
              <w:t xml:space="preserve"> </w:t>
            </w:r>
            <w:proofErr w:type="spellStart"/>
            <w:r w:rsidRPr="001A67A5">
              <w:rPr>
                <w:sz w:val="20"/>
                <w:szCs w:val="20"/>
              </w:rPr>
              <w:t>fikáci</w:t>
            </w:r>
            <w:proofErr w:type="spellEnd"/>
            <w:r w:rsidRPr="001A67A5">
              <w:rPr>
                <w:sz w:val="20"/>
                <w:szCs w:val="20"/>
              </w:rPr>
              <w:t xml:space="preserve"> a </w:t>
            </w:r>
            <w:proofErr w:type="spellStart"/>
            <w:r w:rsidRPr="001A67A5">
              <w:rPr>
                <w:sz w:val="20"/>
                <w:szCs w:val="20"/>
              </w:rPr>
              <w:t>goldp</w:t>
            </w:r>
            <w:proofErr w:type="spellEnd"/>
            <w:r w:rsidRPr="001A67A5">
              <w:rPr>
                <w:sz w:val="20"/>
                <w:szCs w:val="20"/>
              </w:rPr>
              <w:t xml:space="preserve"> </w:t>
            </w:r>
            <w:proofErr w:type="spellStart"/>
            <w:r w:rsidRPr="001A67A5">
              <w:rPr>
                <w:sz w:val="20"/>
                <w:szCs w:val="20"/>
              </w:rPr>
              <w:t>lating</w:t>
            </w:r>
            <w:proofErr w:type="spellEnd"/>
            <w:r w:rsidRPr="001A67A5">
              <w:rPr>
                <w:sz w:val="20"/>
                <w:szCs w:val="20"/>
              </w:rPr>
              <w:t xml:space="preserve"> u</w:t>
            </w:r>
          </w:p>
        </w:tc>
        <w:tc>
          <w:tcPr>
            <w:tcW w:w="851" w:type="dxa"/>
          </w:tcPr>
          <w:p w:rsidR="001A67A5" w:rsidRPr="001A67A5" w:rsidRDefault="001A67A5" w:rsidP="002D35A7">
            <w:pPr>
              <w:pStyle w:val="TableParagraph"/>
              <w:jc w:val="center"/>
              <w:rPr>
                <w:sz w:val="20"/>
                <w:szCs w:val="20"/>
              </w:rPr>
            </w:pPr>
            <w:proofErr w:type="spellStart"/>
            <w:r w:rsidRPr="001A67A5">
              <w:rPr>
                <w:sz w:val="20"/>
                <w:szCs w:val="20"/>
              </w:rPr>
              <w:t>Identifi</w:t>
            </w:r>
            <w:proofErr w:type="spellEnd"/>
          </w:p>
          <w:p w:rsidR="001A67A5" w:rsidRPr="001A67A5" w:rsidRDefault="001A67A5" w:rsidP="002D35A7">
            <w:pPr>
              <w:pStyle w:val="TableParagraph"/>
              <w:jc w:val="center"/>
              <w:rPr>
                <w:sz w:val="20"/>
                <w:szCs w:val="20"/>
              </w:rPr>
            </w:pPr>
            <w:proofErr w:type="spellStart"/>
            <w:r w:rsidRPr="001A67A5">
              <w:rPr>
                <w:sz w:val="20"/>
                <w:szCs w:val="20"/>
              </w:rPr>
              <w:t>kácia</w:t>
            </w:r>
            <w:proofErr w:type="spellEnd"/>
          </w:p>
          <w:p w:rsidR="001A67A5" w:rsidRPr="001A67A5" w:rsidRDefault="001A67A5" w:rsidP="002D35A7">
            <w:pPr>
              <w:pStyle w:val="TableParagraph"/>
              <w:jc w:val="center"/>
              <w:rPr>
                <w:sz w:val="20"/>
                <w:szCs w:val="20"/>
              </w:rPr>
            </w:pPr>
            <w:r w:rsidRPr="001A67A5">
              <w:rPr>
                <w:sz w:val="20"/>
                <w:szCs w:val="20"/>
              </w:rPr>
              <w:t>oblasti</w:t>
            </w:r>
          </w:p>
          <w:p w:rsidR="001A67A5" w:rsidRPr="001A67A5" w:rsidRDefault="001A67A5" w:rsidP="002D35A7">
            <w:pPr>
              <w:pStyle w:val="TableParagraph"/>
              <w:jc w:val="center"/>
              <w:rPr>
                <w:sz w:val="20"/>
                <w:szCs w:val="20"/>
              </w:rPr>
            </w:pPr>
            <w:proofErr w:type="spellStart"/>
            <w:r w:rsidRPr="001A67A5">
              <w:rPr>
                <w:sz w:val="20"/>
                <w:szCs w:val="20"/>
              </w:rPr>
              <w:t>gold</w:t>
            </w:r>
            <w:proofErr w:type="spellEnd"/>
            <w:r w:rsidRPr="001A67A5">
              <w:rPr>
                <w:sz w:val="20"/>
                <w:szCs w:val="20"/>
              </w:rPr>
              <w:t>-</w:t>
            </w:r>
          </w:p>
          <w:p w:rsidR="001A67A5" w:rsidRPr="001A67A5" w:rsidRDefault="001A67A5" w:rsidP="002D35A7">
            <w:pPr>
              <w:pStyle w:val="TableParagraph"/>
              <w:jc w:val="center"/>
              <w:rPr>
                <w:sz w:val="20"/>
                <w:szCs w:val="20"/>
              </w:rPr>
            </w:pPr>
            <w:proofErr w:type="spellStart"/>
            <w:r w:rsidRPr="001A67A5">
              <w:rPr>
                <w:sz w:val="20"/>
                <w:szCs w:val="20"/>
              </w:rPr>
              <w:t>plating</w:t>
            </w:r>
            <w:proofErr w:type="spellEnd"/>
          </w:p>
          <w:p w:rsidR="001A67A5" w:rsidRPr="001A67A5" w:rsidRDefault="001A67A5" w:rsidP="002D35A7">
            <w:pPr>
              <w:pStyle w:val="TableParagraph"/>
              <w:jc w:val="center"/>
              <w:rPr>
                <w:sz w:val="20"/>
                <w:szCs w:val="20"/>
              </w:rPr>
            </w:pPr>
            <w:r w:rsidRPr="001A67A5">
              <w:rPr>
                <w:sz w:val="20"/>
                <w:szCs w:val="20"/>
              </w:rPr>
              <w:t>u a</w:t>
            </w:r>
          </w:p>
          <w:p w:rsidR="001A67A5" w:rsidRPr="001A67A5" w:rsidRDefault="001A67A5" w:rsidP="002D35A7">
            <w:pPr>
              <w:pStyle w:val="TableParagraph"/>
              <w:jc w:val="center"/>
              <w:rPr>
                <w:sz w:val="20"/>
                <w:szCs w:val="20"/>
              </w:rPr>
            </w:pPr>
            <w:proofErr w:type="spellStart"/>
            <w:r w:rsidRPr="001A67A5">
              <w:rPr>
                <w:sz w:val="20"/>
                <w:szCs w:val="20"/>
              </w:rPr>
              <w:t>vyjadre</w:t>
            </w:r>
            <w:proofErr w:type="spellEnd"/>
          </w:p>
          <w:p w:rsidR="001A67A5" w:rsidRPr="001A67A5" w:rsidRDefault="001A67A5" w:rsidP="002D35A7">
            <w:pPr>
              <w:pStyle w:val="TableParagraph"/>
              <w:jc w:val="center"/>
              <w:rPr>
                <w:sz w:val="20"/>
                <w:szCs w:val="20"/>
              </w:rPr>
            </w:pPr>
            <w:r w:rsidRPr="001A67A5">
              <w:rPr>
                <w:sz w:val="20"/>
                <w:szCs w:val="20"/>
              </w:rPr>
              <w:t>nie k</w:t>
            </w:r>
          </w:p>
          <w:p w:rsidR="001A67A5" w:rsidRPr="001A67A5" w:rsidRDefault="001A67A5" w:rsidP="002D35A7">
            <w:pPr>
              <w:pStyle w:val="TableParagraph"/>
              <w:jc w:val="center"/>
              <w:rPr>
                <w:sz w:val="20"/>
                <w:szCs w:val="20"/>
              </w:rPr>
            </w:pPr>
            <w:proofErr w:type="spellStart"/>
            <w:r w:rsidRPr="001A67A5">
              <w:rPr>
                <w:sz w:val="20"/>
                <w:szCs w:val="20"/>
              </w:rPr>
              <w:t>opodsta</w:t>
            </w:r>
            <w:proofErr w:type="spellEnd"/>
          </w:p>
          <w:p w:rsidR="001A67A5" w:rsidRPr="001A67A5" w:rsidRDefault="001A67A5" w:rsidP="002D35A7">
            <w:pPr>
              <w:pStyle w:val="TableParagraph"/>
              <w:jc w:val="center"/>
              <w:rPr>
                <w:sz w:val="20"/>
                <w:szCs w:val="20"/>
              </w:rPr>
            </w:pPr>
            <w:proofErr w:type="spellStart"/>
            <w:r w:rsidRPr="001A67A5">
              <w:rPr>
                <w:sz w:val="20"/>
                <w:szCs w:val="20"/>
              </w:rPr>
              <w:t>tnenosti</w:t>
            </w:r>
            <w:proofErr w:type="spellEnd"/>
          </w:p>
          <w:p w:rsidR="001A67A5" w:rsidRPr="001A67A5" w:rsidRDefault="001A67A5" w:rsidP="002D35A7">
            <w:pPr>
              <w:pStyle w:val="TableParagraph"/>
              <w:jc w:val="center"/>
              <w:rPr>
                <w:sz w:val="20"/>
                <w:szCs w:val="20"/>
              </w:rPr>
            </w:pPr>
            <w:proofErr w:type="spellStart"/>
            <w:r w:rsidRPr="001A67A5">
              <w:rPr>
                <w:sz w:val="20"/>
                <w:szCs w:val="20"/>
              </w:rPr>
              <w:t>goldpla</w:t>
            </w:r>
            <w:proofErr w:type="spellEnd"/>
          </w:p>
          <w:p w:rsidR="001A67A5" w:rsidRPr="009332C4" w:rsidRDefault="001A67A5" w:rsidP="002D35A7">
            <w:pPr>
              <w:pStyle w:val="TableParagraph"/>
              <w:jc w:val="center"/>
              <w:rPr>
                <w:sz w:val="20"/>
                <w:szCs w:val="20"/>
              </w:rPr>
            </w:pPr>
            <w:proofErr w:type="spellStart"/>
            <w:r w:rsidRPr="001A67A5">
              <w:rPr>
                <w:sz w:val="20"/>
                <w:szCs w:val="20"/>
              </w:rPr>
              <w:t>tingu</w:t>
            </w:r>
            <w:proofErr w:type="spellEnd"/>
            <w:r w:rsidRPr="001A67A5">
              <w:rPr>
                <w:sz w:val="20"/>
                <w:szCs w:val="20"/>
              </w:rPr>
              <w:t>*</w:t>
            </w:r>
          </w:p>
        </w:tc>
      </w:tr>
      <w:tr w:rsidR="00B142E7" w:rsidRPr="009332C4" w:rsidTr="00E3343C">
        <w:trPr>
          <w:trHeight w:val="490"/>
        </w:trPr>
        <w:tc>
          <w:tcPr>
            <w:tcW w:w="852" w:type="dxa"/>
          </w:tcPr>
          <w:p w:rsidR="00B142E7" w:rsidRPr="009332C4" w:rsidRDefault="00D679CC" w:rsidP="00F72F32">
            <w:pPr>
              <w:pStyle w:val="TableParagraph"/>
              <w:rPr>
                <w:sz w:val="20"/>
                <w:szCs w:val="20"/>
              </w:rPr>
            </w:pPr>
            <w:r w:rsidRPr="00947BFA">
              <w:rPr>
                <w:sz w:val="20"/>
                <w:szCs w:val="20"/>
              </w:rPr>
              <w:t>Č: 10</w:t>
            </w:r>
          </w:p>
        </w:tc>
        <w:tc>
          <w:tcPr>
            <w:tcW w:w="5387" w:type="dxa"/>
          </w:tcPr>
          <w:p w:rsidR="00D679CC" w:rsidRPr="00947BFA" w:rsidRDefault="00D679CC" w:rsidP="00D679CC">
            <w:pPr>
              <w:adjustRightInd w:val="0"/>
              <w:jc w:val="both"/>
              <w:rPr>
                <w:rFonts w:eastAsia="EUAlbertina-Regular-Identity-H"/>
                <w:sz w:val="20"/>
                <w:szCs w:val="20"/>
              </w:rPr>
            </w:pPr>
            <w:r w:rsidRPr="00947BFA">
              <w:rPr>
                <w:rFonts w:eastAsia="EUAlbertina-Regular-Identity-H"/>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D679CC" w:rsidRPr="00947BFA" w:rsidRDefault="00D679CC" w:rsidP="00D679CC">
            <w:pPr>
              <w:adjustRightInd w:val="0"/>
              <w:jc w:val="both"/>
              <w:rPr>
                <w:rFonts w:eastAsia="EUAlbertina-Regular-Identity-H"/>
                <w:sz w:val="20"/>
                <w:szCs w:val="20"/>
              </w:rPr>
            </w:pPr>
          </w:p>
          <w:p w:rsidR="0017490A" w:rsidRPr="009332C4" w:rsidRDefault="00D679CC" w:rsidP="00D679CC">
            <w:pPr>
              <w:pStyle w:val="TableParagraph"/>
              <w:rPr>
                <w:sz w:val="20"/>
                <w:szCs w:val="20"/>
              </w:rPr>
            </w:pPr>
            <w:r w:rsidRPr="00947BFA">
              <w:rPr>
                <w:rFonts w:eastAsia="EUAlbertina-Regular-Identity-H"/>
                <w:sz w:val="20"/>
                <w:szCs w:val="20"/>
              </w:rPr>
              <w:t xml:space="preserve">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w:t>
            </w:r>
            <w:r w:rsidRPr="00947BFA">
              <w:rPr>
                <w:rFonts w:eastAsia="EUAlbertina-Regular-Identity-H"/>
                <w:sz w:val="20"/>
                <w:szCs w:val="20"/>
              </w:rPr>
              <w:lastRenderedPageBreak/>
              <w:t>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tc>
        <w:tc>
          <w:tcPr>
            <w:tcW w:w="711" w:type="dxa"/>
          </w:tcPr>
          <w:p w:rsidR="00B142E7" w:rsidRPr="00F72F32" w:rsidRDefault="00F72F32" w:rsidP="00F72F32">
            <w:pPr>
              <w:pStyle w:val="TableParagraph"/>
              <w:jc w:val="center"/>
              <w:rPr>
                <w:b/>
                <w:sz w:val="20"/>
                <w:szCs w:val="20"/>
              </w:rPr>
            </w:pPr>
            <w:r w:rsidRPr="00F72F32">
              <w:rPr>
                <w:b/>
                <w:sz w:val="20"/>
                <w:szCs w:val="20"/>
              </w:rPr>
              <w:lastRenderedPageBreak/>
              <w:t>N</w:t>
            </w:r>
          </w:p>
        </w:tc>
        <w:tc>
          <w:tcPr>
            <w:tcW w:w="992" w:type="dxa"/>
          </w:tcPr>
          <w:p w:rsidR="00D679CC" w:rsidRPr="00947BFA" w:rsidRDefault="00D679CC" w:rsidP="00D679CC">
            <w:pPr>
              <w:pStyle w:val="Normlny0"/>
              <w:jc w:val="center"/>
            </w:pPr>
            <w:r w:rsidRPr="00947BFA">
              <w:t>Zákon č. .../202</w:t>
            </w:r>
            <w:r>
              <w:t>5</w:t>
            </w:r>
            <w:r w:rsidRPr="00947BFA">
              <w:t xml:space="preserve"> Z. z.</w:t>
            </w:r>
          </w:p>
          <w:p w:rsidR="00F72F32" w:rsidRPr="009332C4" w:rsidRDefault="00F72F32" w:rsidP="00F72F32">
            <w:pPr>
              <w:pStyle w:val="TableParagraph"/>
              <w:jc w:val="center"/>
              <w:rPr>
                <w:sz w:val="20"/>
                <w:szCs w:val="20"/>
              </w:rPr>
            </w:pPr>
          </w:p>
        </w:tc>
        <w:tc>
          <w:tcPr>
            <w:tcW w:w="852" w:type="dxa"/>
          </w:tcPr>
          <w:p w:rsidR="00D679CC" w:rsidRPr="00947BFA" w:rsidRDefault="00D679CC" w:rsidP="00D679CC">
            <w:pPr>
              <w:pStyle w:val="Normlny0"/>
              <w:jc w:val="center"/>
            </w:pPr>
            <w:r w:rsidRPr="00947BFA">
              <w:t>§ 9</w:t>
            </w:r>
          </w:p>
          <w:p w:rsidR="00D679CC" w:rsidRPr="00947BFA" w:rsidRDefault="00D679CC" w:rsidP="00D679CC">
            <w:pPr>
              <w:pStyle w:val="Normlny0"/>
              <w:jc w:val="center"/>
            </w:pPr>
            <w:r w:rsidRPr="00947BFA">
              <w:t>O: 1</w:t>
            </w:r>
          </w:p>
          <w:p w:rsidR="00D679CC" w:rsidRPr="00947BFA" w:rsidRDefault="00D679CC" w:rsidP="00D679CC">
            <w:pPr>
              <w:pStyle w:val="Normlny0"/>
              <w:jc w:val="center"/>
            </w:pPr>
            <w:r w:rsidRPr="00947BFA">
              <w:t>P: b)</w:t>
            </w:r>
          </w:p>
          <w:p w:rsidR="00D679CC" w:rsidRPr="00947BFA" w:rsidRDefault="00D679CC" w:rsidP="00D679CC">
            <w:pPr>
              <w:pStyle w:val="Normlny0"/>
              <w:jc w:val="center"/>
            </w:pPr>
          </w:p>
          <w:p w:rsidR="00E54530" w:rsidRDefault="00E54530" w:rsidP="00D679CC">
            <w:pPr>
              <w:pStyle w:val="Normlny0"/>
              <w:jc w:val="center"/>
            </w:pPr>
          </w:p>
          <w:p w:rsidR="00D679CC" w:rsidRPr="00947BFA" w:rsidRDefault="00D679CC" w:rsidP="00D679CC">
            <w:pPr>
              <w:pStyle w:val="Normlny0"/>
              <w:jc w:val="center"/>
            </w:pPr>
            <w:r w:rsidRPr="00947BFA">
              <w:t>§ 9</w:t>
            </w:r>
          </w:p>
          <w:p w:rsidR="00D679CC" w:rsidRPr="00947BFA" w:rsidRDefault="00D679CC" w:rsidP="00D679CC">
            <w:pPr>
              <w:pStyle w:val="Normlny0"/>
              <w:jc w:val="center"/>
            </w:pPr>
            <w:r w:rsidRPr="00947BFA">
              <w:t>O: 4</w:t>
            </w:r>
          </w:p>
          <w:p w:rsidR="00D679CC" w:rsidRPr="00947BFA" w:rsidRDefault="00D679CC" w:rsidP="00D679CC">
            <w:pPr>
              <w:pStyle w:val="Normlny0"/>
              <w:jc w:val="center"/>
            </w:pPr>
          </w:p>
          <w:p w:rsidR="00D679CC" w:rsidRPr="00947BFA" w:rsidRDefault="00D679CC" w:rsidP="00D679CC">
            <w:pPr>
              <w:pStyle w:val="Normlny0"/>
              <w:jc w:val="center"/>
            </w:pPr>
          </w:p>
          <w:p w:rsidR="00E54530" w:rsidRDefault="00E54530" w:rsidP="00D679CC">
            <w:pPr>
              <w:pStyle w:val="Normlny0"/>
              <w:jc w:val="center"/>
            </w:pPr>
          </w:p>
          <w:p w:rsidR="00D679CC" w:rsidRPr="00947BFA" w:rsidRDefault="00D679CC" w:rsidP="00D679CC">
            <w:pPr>
              <w:pStyle w:val="Normlny0"/>
              <w:jc w:val="center"/>
            </w:pPr>
            <w:r w:rsidRPr="00947BFA">
              <w:t>§ 15</w:t>
            </w:r>
          </w:p>
          <w:p w:rsidR="00D679CC" w:rsidRPr="00947BFA" w:rsidRDefault="00D679CC" w:rsidP="00D679CC">
            <w:pPr>
              <w:pStyle w:val="Normlny0"/>
              <w:jc w:val="center"/>
            </w:pPr>
            <w:r w:rsidRPr="00947BFA">
              <w:t xml:space="preserve">O: 1 až 7 </w:t>
            </w: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D679CC" w:rsidRPr="00947BFA" w:rsidRDefault="00D679CC" w:rsidP="00D679CC">
            <w:pPr>
              <w:pStyle w:val="Normlny0"/>
              <w:jc w:val="center"/>
            </w:pPr>
            <w:r w:rsidRPr="00947BFA">
              <w:t>§ 15a</w:t>
            </w:r>
          </w:p>
          <w:p w:rsidR="00D679CC" w:rsidRPr="00947BFA" w:rsidRDefault="00D679CC" w:rsidP="00D679CC">
            <w:pPr>
              <w:pStyle w:val="Normlny0"/>
              <w:jc w:val="center"/>
            </w:pPr>
            <w:r w:rsidRPr="00947BFA">
              <w:t xml:space="preserve">O: 1 až </w:t>
            </w:r>
            <w:r w:rsidR="00C410E1">
              <w:t>8</w:t>
            </w: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2D2C49" w:rsidRDefault="002D2C49"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C410E1" w:rsidRDefault="00C410E1" w:rsidP="00D679CC">
            <w:pPr>
              <w:pStyle w:val="Normlny0"/>
              <w:jc w:val="center"/>
            </w:pPr>
          </w:p>
          <w:p w:rsidR="00D679CC" w:rsidRPr="00947BFA" w:rsidRDefault="00D679CC" w:rsidP="00D679CC">
            <w:pPr>
              <w:pStyle w:val="Normlny0"/>
              <w:jc w:val="center"/>
            </w:pPr>
            <w:r w:rsidRPr="00947BFA">
              <w:t>§ 15b</w:t>
            </w:r>
          </w:p>
          <w:p w:rsidR="00D679CC" w:rsidRPr="00947BFA" w:rsidRDefault="00D679CC" w:rsidP="00D679CC">
            <w:pPr>
              <w:pStyle w:val="Normlny0"/>
              <w:jc w:val="center"/>
            </w:pPr>
            <w:r w:rsidRPr="00947BFA">
              <w:t xml:space="preserve">O: 1 až </w:t>
            </w:r>
            <w:r w:rsidR="00CC733F">
              <w:t>8</w:t>
            </w: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E6C2C" w:rsidRDefault="00CE6C2C" w:rsidP="00D679CC">
            <w:pPr>
              <w:pStyle w:val="Normlny0"/>
              <w:jc w:val="center"/>
            </w:pPr>
          </w:p>
          <w:p w:rsidR="00D679CC" w:rsidRPr="00947BFA" w:rsidRDefault="00D679CC" w:rsidP="00D679CC">
            <w:pPr>
              <w:pStyle w:val="Normlny0"/>
              <w:jc w:val="center"/>
            </w:pPr>
            <w:r w:rsidRPr="00947BFA">
              <w:t>§ 90b</w:t>
            </w:r>
          </w:p>
          <w:p w:rsidR="00D679CC" w:rsidRDefault="00D679CC" w:rsidP="00D679CC">
            <w:pPr>
              <w:pStyle w:val="Normlny0"/>
              <w:jc w:val="center"/>
            </w:pPr>
            <w:r w:rsidRPr="00947BFA">
              <w:t>O: 1 až 6</w:t>
            </w: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Default="00CC733F" w:rsidP="00D679CC">
            <w:pPr>
              <w:pStyle w:val="Normlny0"/>
              <w:jc w:val="center"/>
            </w:pPr>
          </w:p>
          <w:p w:rsidR="00CC733F" w:rsidRPr="00947BFA" w:rsidRDefault="00CC733F" w:rsidP="00CC733F">
            <w:pPr>
              <w:pStyle w:val="Normlny0"/>
              <w:jc w:val="center"/>
            </w:pPr>
            <w:r w:rsidRPr="00947BFA">
              <w:t>§ 90</w:t>
            </w:r>
            <w:r>
              <w:t>h</w:t>
            </w:r>
          </w:p>
          <w:p w:rsidR="00CC733F" w:rsidRPr="00947BFA" w:rsidRDefault="00CC733F" w:rsidP="00CC733F">
            <w:pPr>
              <w:pStyle w:val="Normlny0"/>
              <w:jc w:val="center"/>
            </w:pPr>
            <w:r w:rsidRPr="00947BFA">
              <w:t xml:space="preserve">O: 1 a </w:t>
            </w:r>
            <w:r>
              <w:t>2</w:t>
            </w:r>
          </w:p>
          <w:p w:rsidR="00CC733F" w:rsidRPr="00947BFA" w:rsidRDefault="00CC733F"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D679CC" w:rsidRPr="00947BFA" w:rsidRDefault="00D679CC" w:rsidP="00D679CC">
            <w:pPr>
              <w:pStyle w:val="Normlny0"/>
              <w:jc w:val="center"/>
            </w:pPr>
          </w:p>
          <w:p w:rsidR="00843DBE" w:rsidRPr="009332C4" w:rsidRDefault="00843DBE" w:rsidP="00F72F32">
            <w:pPr>
              <w:pStyle w:val="TableParagraph"/>
              <w:rPr>
                <w:sz w:val="20"/>
                <w:szCs w:val="20"/>
              </w:rPr>
            </w:pPr>
          </w:p>
        </w:tc>
        <w:tc>
          <w:tcPr>
            <w:tcW w:w="3826" w:type="dxa"/>
          </w:tcPr>
          <w:p w:rsidR="00D679CC" w:rsidRPr="00947BFA" w:rsidRDefault="00D679CC" w:rsidP="00D679CC">
            <w:pPr>
              <w:jc w:val="both"/>
              <w:rPr>
                <w:sz w:val="20"/>
                <w:szCs w:val="20"/>
              </w:rPr>
            </w:pPr>
            <w:r w:rsidRPr="00947BFA">
              <w:rPr>
                <w:sz w:val="20"/>
                <w:szCs w:val="20"/>
              </w:rPr>
              <w:lastRenderedPageBreak/>
              <w:t>(1) Predpoklady na výkon pracovnej činnosti sú:</w:t>
            </w:r>
          </w:p>
          <w:p w:rsidR="00D679CC" w:rsidRPr="00947BFA" w:rsidRDefault="00D679CC" w:rsidP="00D679CC">
            <w:pPr>
              <w:jc w:val="both"/>
              <w:rPr>
                <w:sz w:val="20"/>
                <w:szCs w:val="20"/>
              </w:rPr>
            </w:pPr>
            <w:r w:rsidRPr="00947BFA">
              <w:rPr>
                <w:sz w:val="20"/>
                <w:szCs w:val="20"/>
              </w:rPr>
              <w:t>b) bezúhonnosť</w:t>
            </w:r>
          </w:p>
          <w:p w:rsidR="00D679CC" w:rsidRPr="00947BFA" w:rsidRDefault="00D679CC" w:rsidP="00D679CC">
            <w:pPr>
              <w:jc w:val="both"/>
              <w:rPr>
                <w:sz w:val="20"/>
                <w:szCs w:val="20"/>
              </w:rPr>
            </w:pPr>
          </w:p>
          <w:p w:rsidR="00D679CC" w:rsidRPr="00947BFA" w:rsidRDefault="00D679CC" w:rsidP="00D679CC">
            <w:pPr>
              <w:jc w:val="both"/>
              <w:rPr>
                <w:sz w:val="20"/>
                <w:szCs w:val="20"/>
              </w:rPr>
            </w:pPr>
          </w:p>
          <w:p w:rsidR="00D679CC" w:rsidRPr="00947BFA" w:rsidRDefault="00D679CC" w:rsidP="00D679CC">
            <w:pPr>
              <w:jc w:val="both"/>
              <w:rPr>
                <w:sz w:val="20"/>
                <w:szCs w:val="20"/>
              </w:rPr>
            </w:pPr>
            <w:r w:rsidRPr="00947BFA">
              <w:rPr>
                <w:sz w:val="20"/>
                <w:szCs w:val="20"/>
              </w:rPr>
              <w:t xml:space="preserve">(4) Predpoklady na výkon pracovnej činnosti musí pedagogický zamestnanec a odborný zamestnanec spĺňať po celý čas výkonu pracovnej činnosti. </w:t>
            </w:r>
          </w:p>
          <w:p w:rsidR="00D679CC" w:rsidRPr="00947BFA" w:rsidRDefault="00D679CC" w:rsidP="00D679CC">
            <w:pPr>
              <w:jc w:val="both"/>
              <w:rPr>
                <w:sz w:val="20"/>
                <w:szCs w:val="20"/>
              </w:rPr>
            </w:pPr>
          </w:p>
          <w:p w:rsidR="00D679CC" w:rsidRPr="00947BFA" w:rsidRDefault="00D679CC" w:rsidP="00D679CC">
            <w:pPr>
              <w:pStyle w:val="Normlny0"/>
              <w:jc w:val="both"/>
            </w:pPr>
            <w:r w:rsidRPr="00947BFA">
              <w:t>(1) Za bezúhonného sa nepovažuje ten, kto bol právoplatne odsúdený za úmyselný trestný čin.</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(2) Ak ide o trestný čin obchodovania s ľuďmi, </w:t>
            </w:r>
            <w:r w:rsidRPr="00947BFA">
              <w:lastRenderedPageBreak/>
              <w:t>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odsúdenie za taký trestný čin zahladené alebo na ktorého sa hľadí, ako keby nebol za taký trestný čin odsúdený.</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(3) Bezúhonnosť sa preukazuje </w:t>
            </w:r>
            <w:r w:rsidR="002D2C49" w:rsidRPr="00406A04">
              <w:rPr>
                <w:color w:val="000000" w:themeColor="text1"/>
              </w:rPr>
              <w:t>výpis</w:t>
            </w:r>
            <w:r w:rsidR="002D2C49">
              <w:rPr>
                <w:color w:val="000000" w:themeColor="text1"/>
              </w:rPr>
              <w:t>om</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002D2C49" w:rsidRPr="00947BFA">
              <w:t xml:space="preserve"> </w:t>
            </w:r>
            <w:r w:rsidRPr="00947BFA">
              <w:t>18) nie starším ako tri mesiace.</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(4) Ak ide o cudzinca, bezúhonnosť sa preukazuje dokladom o bezúhonnosti obdobným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002D2C49" w:rsidRPr="00947BFA">
              <w:t xml:space="preserve"> </w:t>
            </w:r>
            <w:r w:rsidRPr="00947BFA">
              <w:t>vydaným príslušným orgánom štátu, ktorého je štátnym príslušníkom, alebo príslušným orgánom štátu jeho trvalého pobytu alebo obvyklého pobytu, nie starším ako tri mesiace predloženým zamestnávateľovi spolu s jeho úradne osvedčeným prekladom do slovenského jazyka.</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(5) </w:t>
            </w:r>
            <w:r w:rsidRPr="00163AF0">
              <w:t xml:space="preserve">U pedagogického zamestnanca a odborného zamestnanca zariadenia sociálnoprávnej ochrany detí a sociálnej kurately, ktoré vykonáva opatrenia na základe </w:t>
            </w:r>
            <w:bookmarkStart w:id="0" w:name="_Hlk63671938"/>
            <w:r w:rsidRPr="00163AF0">
              <w:t>akreditácie Ministerstva práce, sociálnych vecí a rodiny Slovenskej republiky</w:t>
            </w:r>
            <w:bookmarkEnd w:id="0"/>
            <w:r w:rsidRPr="00163AF0">
              <w:t>, sa bezúhonnosť posudzuje a preukazuje podľa osobitného predpisu</w:t>
            </w:r>
            <w:r w:rsidRPr="00947BFA">
              <w:t>.19)</w:t>
            </w:r>
          </w:p>
          <w:p w:rsidR="00D679CC" w:rsidRPr="00947BFA" w:rsidRDefault="00D679CC" w:rsidP="00D679CC">
            <w:pPr>
              <w:pStyle w:val="Normlny0"/>
              <w:jc w:val="both"/>
            </w:pPr>
          </w:p>
          <w:p w:rsidR="00D679CC" w:rsidRPr="00947BFA" w:rsidRDefault="00D679CC" w:rsidP="00D679CC">
            <w:pPr>
              <w:pStyle w:val="Normlny0"/>
              <w:jc w:val="both"/>
            </w:pPr>
            <w:r w:rsidRPr="00947BFA">
              <w:t>(6) Pedagogický zamestnanec školy zriadenej ministerstvom vnútra, ktorý je v služobnom pomere, preukazuje bezúhonnosť podľa osobitných predpisov.4)</w:t>
            </w:r>
          </w:p>
          <w:p w:rsidR="00D679CC" w:rsidRPr="00947BFA" w:rsidRDefault="00D679CC" w:rsidP="00D679CC">
            <w:pPr>
              <w:pStyle w:val="Normlny0"/>
              <w:jc w:val="both"/>
            </w:pPr>
          </w:p>
          <w:p w:rsidR="00D679CC" w:rsidRPr="00947BFA" w:rsidRDefault="00D679CC" w:rsidP="00D679CC">
            <w:pPr>
              <w:pStyle w:val="Normlny0"/>
              <w:jc w:val="both"/>
            </w:pPr>
            <w:r w:rsidRPr="00947BFA">
              <w:t>(7) Zamestnávateľ overuje spĺňanie predpokladu bezúhonnosti v centrálnom registri.</w:t>
            </w:r>
          </w:p>
          <w:p w:rsidR="00D679CC" w:rsidRPr="00947BFA" w:rsidRDefault="00D679CC" w:rsidP="00D679CC">
            <w:pPr>
              <w:pStyle w:val="Normlny0"/>
              <w:jc w:val="both"/>
            </w:pPr>
          </w:p>
          <w:p w:rsidR="00D679CC" w:rsidRPr="00947BFA" w:rsidRDefault="00D679CC" w:rsidP="00D679CC">
            <w:pPr>
              <w:pStyle w:val="Normlny0"/>
              <w:jc w:val="both"/>
            </w:pPr>
            <w:r w:rsidRPr="00947BFA">
              <w:t>Poznámky pod čiarou k odkazom 4, 18 a 19 znejú:</w:t>
            </w:r>
          </w:p>
          <w:p w:rsidR="00D679CC" w:rsidRPr="00947BFA" w:rsidRDefault="00D679CC" w:rsidP="00D679CC">
            <w:pPr>
              <w:pStyle w:val="Normlny0"/>
              <w:jc w:val="both"/>
            </w:pPr>
            <w:r w:rsidRPr="00947BFA">
              <w:t>4) Zákon č. 73/1998 Z. z. o štátnej službe príslušníkov Policajného zboru, Slovenskej informačnej služby, Zboru väzenskej a justičnej stráže Slovenskej republiky a Železničnej polície v znení neskorších predpisov.</w:t>
            </w:r>
          </w:p>
          <w:p w:rsidR="00D679CC" w:rsidRPr="00947BFA" w:rsidRDefault="00D679CC" w:rsidP="00D679CC">
            <w:pPr>
              <w:pStyle w:val="Normlny0"/>
              <w:jc w:val="both"/>
            </w:pPr>
            <w:r w:rsidRPr="00947BFA">
              <w:t xml:space="preserve"> Zákon č. 315/2001 Z. z. o Hasičskom a záchrannom zbore v znení neskorších predpisov.</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18) </w:t>
            </w:r>
            <w:r w:rsidR="002D2C49">
              <w:rPr>
                <w:color w:val="000000" w:themeColor="text1"/>
              </w:rPr>
              <w:t xml:space="preserve">§ 15 zákona č. 192/2023 Z. z. </w:t>
            </w:r>
            <w:r w:rsidR="002D2C49" w:rsidRPr="007C3534">
              <w:rPr>
                <w:color w:val="000000" w:themeColor="text1"/>
              </w:rPr>
              <w:t>o registri trestov a o zmene a doplnení niektorých zákonov</w:t>
            </w:r>
            <w:r w:rsidRPr="00947BFA">
              <w:t>.</w:t>
            </w:r>
          </w:p>
          <w:p w:rsidR="00D679CC" w:rsidRPr="00947BFA" w:rsidRDefault="00D679CC" w:rsidP="00D679CC">
            <w:pPr>
              <w:pStyle w:val="Normlny0"/>
              <w:jc w:val="both"/>
            </w:pPr>
          </w:p>
          <w:p w:rsidR="00D679CC" w:rsidRPr="00947BFA" w:rsidRDefault="00D679CC" w:rsidP="00D679CC">
            <w:pPr>
              <w:pStyle w:val="Normlny0"/>
              <w:jc w:val="both"/>
            </w:pPr>
            <w:r w:rsidRPr="00947BFA">
              <w:t>19) § 79 ods. 1 písm. d) a ods. 4 zákona č. 305/2005 Z. z. v znení neskorších predpisov.</w:t>
            </w:r>
          </w:p>
          <w:p w:rsidR="00D679CC" w:rsidRPr="00947BFA" w:rsidRDefault="00D679CC" w:rsidP="00D679CC">
            <w:pPr>
              <w:pStyle w:val="Normlny0"/>
              <w:jc w:val="both"/>
            </w:pPr>
          </w:p>
          <w:p w:rsidR="00D679CC" w:rsidRPr="00947BFA" w:rsidRDefault="00D679CC" w:rsidP="00D679CC">
            <w:pPr>
              <w:pStyle w:val="Normlny0"/>
              <w:jc w:val="both"/>
            </w:pPr>
            <w:r w:rsidRPr="00947BFA">
              <w:t>(1) Úspešný uchádzač o výkon pracovnej činnosti pedagogického zamestnanca alebo odborného zamestnanca (ďalej len „úspešný uchádzač“) preukazuje bezúhonnosť v</w:t>
            </w:r>
          </w:p>
          <w:p w:rsidR="00D679CC" w:rsidRPr="00947BFA" w:rsidRDefault="00D679CC" w:rsidP="00D679CC">
            <w:pPr>
              <w:pStyle w:val="Normlny0"/>
              <w:jc w:val="both"/>
            </w:pPr>
            <w:r w:rsidRPr="00947BFA">
              <w:t>a)</w:t>
            </w:r>
            <w:r w:rsidR="002D2C49">
              <w:t xml:space="preserve"> </w:t>
            </w:r>
            <w:r w:rsidRPr="00947BFA">
              <w:t xml:space="preserve">prvom pracovnoprávnom vzťahu, v ktorom bude vykonávať pracovnú činnosť pedagogického zamestnanca alebo odborného zamestnanca, </w:t>
            </w:r>
          </w:p>
          <w:p w:rsidR="00D679CC" w:rsidRPr="00947BFA" w:rsidRDefault="00D679CC" w:rsidP="00D679CC">
            <w:pPr>
              <w:pStyle w:val="Normlny0"/>
              <w:jc w:val="both"/>
            </w:pPr>
            <w:r w:rsidRPr="00947BFA">
              <w:t>b)</w:t>
            </w:r>
            <w:r w:rsidR="002D2C49">
              <w:t xml:space="preserve"> </w:t>
            </w:r>
            <w:r w:rsidRPr="00947BFA">
              <w:t>pracovnoprávnom vzťahu, v ktorom bude vykonávať pracovnú činnosť pedagogického zamestnanca alebo odborného zamestnanca a pred ktorým nevykonával pracovnú činnosť pedagogického zamestnanca alebo odborného zamestnanca počas najmenej troch po sebe nasledujúcich rokov,</w:t>
            </w:r>
          </w:p>
          <w:p w:rsidR="00D679CC" w:rsidRPr="00947BFA" w:rsidRDefault="00D679CC" w:rsidP="00D679CC">
            <w:pPr>
              <w:pStyle w:val="Normlny0"/>
              <w:jc w:val="both"/>
            </w:pPr>
            <w:r w:rsidRPr="00947BFA">
              <w:t>c)</w:t>
            </w:r>
            <w:r w:rsidR="002D2C49">
              <w:t xml:space="preserve"> </w:t>
            </w:r>
            <w:r w:rsidRPr="00947BFA">
              <w:t xml:space="preserve">pracovnoprávnom vzťahu, v ktorom bude </w:t>
            </w:r>
            <w:r w:rsidRPr="00947BFA">
              <w:lastRenderedPageBreak/>
              <w:t>vykonávať pracovnú činnosť pedagogického zamestnanca alebo odborného zamestnanca v škole alebo v školskom zariadení a pred ktorým vykonával pracovnú činnosť pedagogického zamestnanca alebo odborného zamestnanca v zariadení sociálnej pomoci, alebo</w:t>
            </w:r>
          </w:p>
          <w:p w:rsidR="00D679CC" w:rsidRPr="00947BFA" w:rsidRDefault="00D679CC" w:rsidP="00D679CC">
            <w:pPr>
              <w:pStyle w:val="Normlny0"/>
              <w:jc w:val="both"/>
            </w:pPr>
            <w:r w:rsidRPr="00947BFA">
              <w:t>d)</w:t>
            </w:r>
            <w:r w:rsidR="002D2C49">
              <w:t xml:space="preserve"> </w:t>
            </w:r>
            <w:r w:rsidRPr="00947BFA">
              <w:t>pracovnoprávnom vzťahu, v ktorom bude vykonávať pracovnú činnosť pedagogického zamestnanca alebo odborného zamestnanca v škole alebo v školskom zariadení a pred ktorým vykonával v služobnom pomere pracovnú činnosť pedagogického zamestnanca v škole zriadenej ministerstvom vnútra.</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(2) </w:t>
            </w:r>
            <w:r w:rsidR="00CE6C2C">
              <w:t>Pedagogický zamestnanec alebo odborný zamestnanec</w:t>
            </w:r>
            <w:r w:rsidRPr="00947BFA">
              <w:t xml:space="preserve"> poskytne na účel preukázania bezúhonnosti najneskôr do 30 dní po uzavretí pracovnoprávneho vzťahu regionálnemu úradu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(3) Údaje podľa odseku 2 zašle regionálny úrad do siedmich dní od ich poskytnutia v elektronickej podobe prostredníctvom elektronickej komunikácie Generálnej prokuratúre Slovenskej republiky na vydanie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Regionálny úrad po zaslaní oznámenia zamestnávateľovi, či </w:t>
            </w:r>
            <w:r w:rsidR="00C410E1">
              <w:rPr>
                <w:color w:val="000000" w:themeColor="text1"/>
              </w:rPr>
              <w:t>pedagogický zamestnanec alebo odborný zamestnanec</w:t>
            </w:r>
            <w:r w:rsidR="00C410E1" w:rsidRPr="00947BFA">
              <w:t xml:space="preserve"> </w:t>
            </w:r>
            <w:r w:rsidRPr="00947BFA">
              <w:t xml:space="preserve">spĺňa predpoklad bezúhonnosti alebo nespĺňa predpoklad bezúhonnosti, bezodkladne zlikviduje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(4) Úspešný uchádzač, ktorý nastupuje do pracovnoprávneho vzťahu k viacerým zamestnávateľom, určí jedného zamestnávateľa, ktorému regionálny úrad </w:t>
            </w:r>
            <w:r w:rsidRPr="00947BFA">
              <w:lastRenderedPageBreak/>
              <w:t xml:space="preserve">oznámi skutočnosť, či úspešný uchádzač spĺňa predpoklad bezúhonnosti alebo nespĺňa predpoklad bezúhonnosti. Ďalší zamestnávateľ overí splnenie predpokladu bezúhonnosti v centrálnom registri. </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(5) Regionálny úrad na základe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oznámi zamestnávateľovi do 30 dní odo dňa doručenia </w:t>
            </w:r>
            <w:r w:rsidR="00C410E1" w:rsidRPr="00406A04">
              <w:rPr>
                <w:color w:val="000000" w:themeColor="text1"/>
              </w:rPr>
              <w:t>výpis</w:t>
            </w:r>
            <w:r w:rsidR="00C410E1">
              <w:rPr>
                <w:color w:val="000000" w:themeColor="text1"/>
              </w:rPr>
              <w:t>u</w:t>
            </w:r>
            <w:r w:rsidR="00C410E1" w:rsidRPr="00406A04">
              <w:rPr>
                <w:color w:val="000000" w:themeColor="text1"/>
              </w:rPr>
              <w:t xml:space="preserve"> z registra trestov pre prácu s deťmi a</w:t>
            </w:r>
            <w:r w:rsidR="00C410E1">
              <w:rPr>
                <w:color w:val="000000" w:themeColor="text1"/>
              </w:rPr>
              <w:t> </w:t>
            </w:r>
            <w:r w:rsidR="00C410E1" w:rsidRPr="00406A04">
              <w:rPr>
                <w:color w:val="000000" w:themeColor="text1"/>
              </w:rPr>
              <w:t>mládežou</w:t>
            </w:r>
            <w:r w:rsidR="00C410E1" w:rsidRPr="00947BFA">
              <w:t xml:space="preserve"> </w:t>
            </w:r>
            <w:r w:rsidRPr="00947BFA">
              <w:t xml:space="preserve">skutočnosť, či </w:t>
            </w:r>
            <w:r w:rsidR="00C410E1">
              <w:rPr>
                <w:color w:val="000000" w:themeColor="text1"/>
              </w:rPr>
              <w:t>pedagogický zamestnanec alebo odborný zamestnanec</w:t>
            </w:r>
            <w:r w:rsidRPr="00947BFA">
              <w:t xml:space="preserve"> spĺňa predpoklad bezúhonnosti alebo nespĺňa predpoklad bezúhonnosti; regionálny úrad obsah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zamestnávateľovi neoznamuje. Regionálny úrad po zaslaní oznámenia bezodkladne zlikviduje príslušný </w:t>
            </w:r>
            <w:r w:rsidR="002D2C49" w:rsidRPr="00406A04">
              <w:rPr>
                <w:color w:val="000000" w:themeColor="text1"/>
              </w:rPr>
              <w:t>výpis z registra trestov pre prácu s deťmi a</w:t>
            </w:r>
            <w:r w:rsidR="002D2C49">
              <w:rPr>
                <w:color w:val="000000" w:themeColor="text1"/>
              </w:rPr>
              <w:t> </w:t>
            </w:r>
            <w:r w:rsidR="002D2C49" w:rsidRPr="00406A04">
              <w:rPr>
                <w:color w:val="000000" w:themeColor="text1"/>
              </w:rPr>
              <w:t>mládežou</w:t>
            </w:r>
            <w:r w:rsidRPr="00947BFA">
              <w:t>.</w:t>
            </w:r>
            <w:r w:rsidR="00C410E1">
              <w:t xml:space="preserve"> </w:t>
            </w:r>
            <w:bookmarkStart w:id="1" w:name="_Hlk198629040"/>
            <w:bookmarkStart w:id="2" w:name="_Hlk200097691"/>
            <w:r w:rsidR="00CE6C2C">
              <w:rPr>
                <w:color w:val="000000" w:themeColor="text1"/>
              </w:rPr>
              <w:t xml:space="preserve">Ak oznámenie </w:t>
            </w:r>
            <w:r w:rsidR="00CE6C2C" w:rsidRPr="00206DFD">
              <w:rPr>
                <w:color w:val="000000" w:themeColor="text1"/>
              </w:rPr>
              <w:t xml:space="preserve">regionálneho úradu </w:t>
            </w:r>
            <w:r w:rsidR="00CE6C2C">
              <w:rPr>
                <w:color w:val="000000" w:themeColor="text1"/>
              </w:rPr>
              <w:t xml:space="preserve">obsahuje informáciu, </w:t>
            </w:r>
            <w:r w:rsidR="00CE6C2C" w:rsidRPr="00517A2F">
              <w:rPr>
                <w:color w:val="000000" w:themeColor="text1"/>
              </w:rPr>
              <w:t>že pedagogický zamestnanec alebo odborný zamestnanec nespĺňa predpoklad bezúhonnosti,</w:t>
            </w:r>
            <w:r w:rsidR="00CE6C2C">
              <w:rPr>
                <w:color w:val="000000" w:themeColor="text1"/>
              </w:rPr>
              <w:t xml:space="preserve"> a pedagogický zamestnanec alebo odborný zamestnanec nepodá voči oznámeniu </w:t>
            </w:r>
            <w:r w:rsidR="00CE6C2C" w:rsidRPr="00206DFD">
              <w:rPr>
                <w:color w:val="000000" w:themeColor="text1"/>
              </w:rPr>
              <w:t xml:space="preserve">regionálneho úradu </w:t>
            </w:r>
            <w:r w:rsidR="00CE6C2C">
              <w:rPr>
                <w:color w:val="000000" w:themeColor="text1"/>
              </w:rPr>
              <w:t>námietku v lehote podľa odseku 6,</w:t>
            </w:r>
            <w:r w:rsidR="00CE6C2C" w:rsidRPr="00517A2F">
              <w:rPr>
                <w:color w:val="000000" w:themeColor="text1"/>
              </w:rPr>
              <w:t xml:space="preserve"> pracovný pomer</w:t>
            </w:r>
            <w:bookmarkEnd w:id="1"/>
            <w:r w:rsidR="00CE6C2C">
              <w:rPr>
                <w:color w:val="000000" w:themeColor="text1"/>
              </w:rPr>
              <w:t xml:space="preserve"> sa končí najneskôr uplynutím kalendárneho mesiaca, </w:t>
            </w:r>
            <w:r w:rsidR="00CE6C2C" w:rsidRPr="00CE6C2C">
              <w:rPr>
                <w:color w:val="000000" w:themeColor="text1"/>
              </w:rPr>
              <w:t>v ktorom bolo doručené oznámenie o nesplnení predpokladu bezúhonnosti.</w:t>
            </w:r>
            <w:bookmarkEnd w:id="2"/>
          </w:p>
          <w:p w:rsidR="00D679CC" w:rsidRPr="00947BFA" w:rsidRDefault="00D679CC" w:rsidP="00D679CC">
            <w:pPr>
              <w:pStyle w:val="Normlny0"/>
              <w:jc w:val="both"/>
            </w:pPr>
          </w:p>
          <w:p w:rsidR="00D679CC" w:rsidRDefault="00D679CC" w:rsidP="00D679CC">
            <w:pPr>
              <w:pStyle w:val="Normlny0"/>
              <w:jc w:val="both"/>
              <w:rPr>
                <w:color w:val="000000" w:themeColor="text1"/>
              </w:rPr>
            </w:pPr>
            <w:r w:rsidRPr="00947BFA">
              <w:t xml:space="preserve">(6) </w:t>
            </w:r>
            <w:r w:rsidR="00C410E1">
              <w:rPr>
                <w:color w:val="000000" w:themeColor="text1"/>
              </w:rPr>
              <w:t>Pedagogický zamestnanec alebo odborný zamestnanec</w:t>
            </w:r>
            <w:r w:rsidR="00C410E1" w:rsidRPr="00947BFA">
              <w:t xml:space="preserve"> </w:t>
            </w:r>
            <w:r w:rsidRPr="00947BFA">
              <w:t xml:space="preserve">môže podať voči oznámeniu regionálneho úradu o nesplnení predpokladu bezúhonnosti ministerstvu školstva námietku do 10 dní odo dňa doručenia oznámenia o nesplnení predpokladu bezúhonnosti. Ministerstvo školstva námietku vyhodnotí na základe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w:t>
            </w:r>
            <w:r w:rsidR="00C410E1">
              <w:rPr>
                <w:color w:val="000000" w:themeColor="text1"/>
              </w:rPr>
              <w:t xml:space="preserve">Pedagogický zamestnanec </w:t>
            </w:r>
            <w:r w:rsidR="00C410E1">
              <w:rPr>
                <w:color w:val="000000" w:themeColor="text1"/>
              </w:rPr>
              <w:lastRenderedPageBreak/>
              <w:t>alebo odborný zamestnanec</w:t>
            </w:r>
            <w:r w:rsidR="00C410E1" w:rsidRPr="00947BFA">
              <w:t xml:space="preserve"> </w:t>
            </w:r>
            <w:r w:rsidRPr="00947BFA">
              <w:t xml:space="preserve">poskytne ministerstvu školstva na účel vyhodnotenia námietky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Ministerstvo školstva zašle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xml:space="preserve"> Generálnej prokuratúre Slovenskej republiky do 30 dní odo dňa doručenia námietky.  Ministerstvo školstva do 30 dní odo dňa doručenia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002D2C49" w:rsidRPr="00947BFA">
              <w:t xml:space="preserve"> </w:t>
            </w:r>
            <w:r w:rsidRPr="00947BFA">
              <w:t xml:space="preserve">námietku vyhodnotí a výsledok vyhodnotenia námietky písomne oznámi </w:t>
            </w:r>
            <w:r w:rsidR="00C410E1">
              <w:rPr>
                <w:color w:val="000000" w:themeColor="text1"/>
              </w:rPr>
              <w:t>pedagogickému zamestnancovi alebo odbornému zamestnancovi</w:t>
            </w:r>
            <w:r w:rsidR="00C410E1" w:rsidRPr="00947BFA">
              <w:t xml:space="preserve"> </w:t>
            </w:r>
            <w:r w:rsidRPr="00947BFA">
              <w:t xml:space="preserve">a zamestnávateľovi. Vyhodnotenie námietky obsahuje informáciu, či </w:t>
            </w:r>
            <w:r w:rsidR="00C410E1">
              <w:rPr>
                <w:color w:val="000000" w:themeColor="text1"/>
              </w:rPr>
              <w:t>pedagogický zamestnanec alebo odborný zamestnanec</w:t>
            </w:r>
            <w:r w:rsidR="00C410E1" w:rsidRPr="00947BFA">
              <w:t xml:space="preserve"> </w:t>
            </w:r>
            <w:r w:rsidRPr="00947BFA">
              <w:t xml:space="preserve">spĺňa predpoklad bezúhonnosti alebo nespĺňa predpoklad bezúhonnosti; ministerstvo školstva obsah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002D2C49" w:rsidRPr="00947BFA">
              <w:t xml:space="preserve"> </w:t>
            </w:r>
            <w:r w:rsidRPr="00947BFA">
              <w:t xml:space="preserve">neoznamuje. Ministerstvo školstva po zaslaní výsledku vyhodnotenia námietky bezodkladne zlikviduje príslušný </w:t>
            </w:r>
            <w:r w:rsidR="002D2C49" w:rsidRPr="00406A04">
              <w:rPr>
                <w:color w:val="000000" w:themeColor="text1"/>
              </w:rPr>
              <w:t>výpis z registra trestov pre prácu s deťmi a</w:t>
            </w:r>
            <w:r w:rsidR="002D2C49">
              <w:rPr>
                <w:color w:val="000000" w:themeColor="text1"/>
              </w:rPr>
              <w:t> </w:t>
            </w:r>
            <w:r w:rsidR="002D2C49" w:rsidRPr="00406A04">
              <w:rPr>
                <w:color w:val="000000" w:themeColor="text1"/>
              </w:rPr>
              <w:t>mládežou</w:t>
            </w:r>
            <w:r w:rsidR="002D2C49" w:rsidRPr="00947BFA">
              <w:t xml:space="preserve"> </w:t>
            </w:r>
            <w:r w:rsidRPr="00947BFA">
              <w:t xml:space="preserve">a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w:t>
            </w:r>
            <w:r w:rsidR="00C410E1">
              <w:t xml:space="preserve"> </w:t>
            </w:r>
            <w:bookmarkStart w:id="3" w:name="_Hlk198629053"/>
            <w:bookmarkStart w:id="4" w:name="_Hlk200097703"/>
            <w:r w:rsidR="00CE6C2C" w:rsidRPr="00517A2F">
              <w:rPr>
                <w:color w:val="000000" w:themeColor="text1"/>
              </w:rPr>
              <w:t xml:space="preserve">Ak vyhodnotenie námietky obsahuje informáciu, že pedagogický zamestnanec alebo odborný zamestnanec nespĺňa predpoklad bezúhonnosti, </w:t>
            </w:r>
            <w:r w:rsidR="00CE6C2C" w:rsidRPr="003A1FB7">
              <w:rPr>
                <w:color w:val="000000" w:themeColor="text1"/>
              </w:rPr>
              <w:t xml:space="preserve">nepovažuje sa na účely tohto zákona za bezúhonného </w:t>
            </w:r>
            <w:r w:rsidR="00CE6C2C">
              <w:rPr>
                <w:color w:val="000000" w:themeColor="text1"/>
              </w:rPr>
              <w:t xml:space="preserve">a </w:t>
            </w:r>
            <w:r w:rsidR="00CE6C2C" w:rsidRPr="00517A2F">
              <w:rPr>
                <w:color w:val="000000" w:themeColor="text1"/>
              </w:rPr>
              <w:t>pracovný pomer</w:t>
            </w:r>
            <w:r w:rsidR="00CE6C2C">
              <w:rPr>
                <w:color w:val="000000" w:themeColor="text1"/>
              </w:rPr>
              <w:t xml:space="preserve"> sa končí najneskôr uplynutím kalendárneho mesiaca, </w:t>
            </w:r>
            <w:bookmarkEnd w:id="3"/>
            <w:r w:rsidR="00CE6C2C" w:rsidRPr="00847787">
              <w:rPr>
                <w:color w:val="000000" w:themeColor="text1"/>
              </w:rPr>
              <w:t xml:space="preserve">v ktorom </w:t>
            </w:r>
            <w:r w:rsidR="00CE6C2C">
              <w:rPr>
                <w:color w:val="000000" w:themeColor="text1"/>
              </w:rPr>
              <w:t>bolo doručené vyhodnotenie námietky obsahujúce oznámenie o nesplnení predpokladu bezúhonnosti</w:t>
            </w:r>
            <w:bookmarkEnd w:id="4"/>
            <w:r w:rsidR="00CE6C2C">
              <w:rPr>
                <w:color w:val="000000" w:themeColor="text1"/>
              </w:rPr>
              <w:t>.</w:t>
            </w:r>
          </w:p>
          <w:p w:rsidR="00C410E1" w:rsidRDefault="00C410E1" w:rsidP="00D679CC">
            <w:pPr>
              <w:pStyle w:val="Normlny0"/>
              <w:jc w:val="both"/>
            </w:pPr>
          </w:p>
          <w:p w:rsidR="00C410E1" w:rsidRPr="00947BFA" w:rsidRDefault="00C410E1" w:rsidP="00D679CC">
            <w:pPr>
              <w:pStyle w:val="Normlny0"/>
              <w:jc w:val="both"/>
            </w:pPr>
            <w:r w:rsidRPr="00C410E1">
              <w:t>(7) Ak pedagogický zamestnanec alebo odborný zamestnanec podá voči oznámeniu regionálneho úradu o nesplnení predpokladu bezúhonnosti námietku</w:t>
            </w:r>
            <w:r w:rsidR="00CE6C2C">
              <w:t xml:space="preserve"> podľa odseku 6</w:t>
            </w:r>
            <w:r w:rsidRPr="00C410E1">
              <w:t xml:space="preserve">, </w:t>
            </w:r>
            <w:r w:rsidRPr="00C410E1">
              <w:lastRenderedPageBreak/>
              <w:t>informuje o tom zamestnávateľa; zamestnávateľ nepostupuje podľa odseku 5.</w:t>
            </w:r>
          </w:p>
          <w:p w:rsidR="00D679CC" w:rsidRPr="00947BFA" w:rsidRDefault="00D679CC" w:rsidP="00D679CC">
            <w:pPr>
              <w:pStyle w:val="Normlny0"/>
              <w:jc w:val="both"/>
            </w:pPr>
          </w:p>
          <w:p w:rsidR="00D679CC" w:rsidRPr="00947BFA" w:rsidRDefault="00D679CC" w:rsidP="00D679CC">
            <w:pPr>
              <w:pStyle w:val="Normlny0"/>
              <w:jc w:val="both"/>
            </w:pPr>
            <w:r w:rsidRPr="00947BFA">
              <w:t>(</w:t>
            </w:r>
            <w:r w:rsidR="00C410E1">
              <w:t>8</w:t>
            </w:r>
            <w:r w:rsidRPr="00947BFA">
              <w:t xml:space="preserve">) Uchádzač o výkon pracovnej činnosti pedagogického zamestnanca alebo odborného zamestnanca preukazuje čestným vyhlásením </w:t>
            </w:r>
          </w:p>
          <w:p w:rsidR="00D679CC" w:rsidRPr="00947BFA" w:rsidRDefault="00D679CC" w:rsidP="00D679CC">
            <w:pPr>
              <w:pStyle w:val="Normlny0"/>
              <w:jc w:val="both"/>
            </w:pPr>
            <w:r w:rsidRPr="00947BFA">
              <w:t>a) bezúhonnosť,</w:t>
            </w:r>
          </w:p>
          <w:p w:rsidR="00D679CC" w:rsidRPr="00947BFA" w:rsidRDefault="00D679CC" w:rsidP="00D679CC">
            <w:pPr>
              <w:pStyle w:val="Normlny0"/>
              <w:jc w:val="both"/>
            </w:pPr>
            <w:r w:rsidRPr="00947BFA">
              <w:t>b) skutočnosť, že voči jeho osobe nie je vznesené obvinenie, a</w:t>
            </w:r>
          </w:p>
          <w:p w:rsidR="00D679CC" w:rsidRPr="00947BFA" w:rsidRDefault="00D679CC" w:rsidP="00D679CC">
            <w:pPr>
              <w:pStyle w:val="Normlny0"/>
              <w:jc w:val="both"/>
            </w:pPr>
            <w:r w:rsidRPr="00947BFA">
              <w:t>c) skutočnosť, že na jeho osobu nie je podaná obžaloba.</w:t>
            </w:r>
          </w:p>
          <w:p w:rsidR="00D679CC" w:rsidRPr="00947BFA" w:rsidRDefault="00D679CC" w:rsidP="00D679CC">
            <w:pPr>
              <w:pStyle w:val="Normlny0"/>
              <w:jc w:val="both"/>
            </w:pPr>
          </w:p>
          <w:p w:rsidR="00D679CC" w:rsidRPr="00947BFA" w:rsidRDefault="00D679CC" w:rsidP="00D679CC">
            <w:pPr>
              <w:pStyle w:val="Normlny0"/>
              <w:jc w:val="both"/>
            </w:pPr>
          </w:p>
          <w:p w:rsidR="00D679CC" w:rsidRPr="00947BFA" w:rsidRDefault="00D679CC" w:rsidP="00D679CC">
            <w:pPr>
              <w:pStyle w:val="Normlny0"/>
              <w:jc w:val="both"/>
            </w:pPr>
            <w:r w:rsidRPr="00947BFA">
              <w:t>(1) Pedagogický zamestnanec alebo odborný zamestnanec je povinný oznámiť zamestnávateľovi vznesenie obvinenia voči jeho osobe vo veci spáchania trestného činu podľa § 15 ods. 1 v lehote do desiatich dní odo dňa doručenia uznesenia o vznesení obvinenia.</w:t>
            </w:r>
          </w:p>
          <w:p w:rsidR="00D679CC" w:rsidRPr="00947BFA" w:rsidRDefault="00D679CC" w:rsidP="00D679CC">
            <w:pPr>
              <w:pStyle w:val="Normlny0"/>
              <w:jc w:val="both"/>
            </w:pPr>
          </w:p>
          <w:p w:rsidR="00D679CC" w:rsidRPr="00947BFA" w:rsidRDefault="00D679CC" w:rsidP="00D679CC">
            <w:pPr>
              <w:pStyle w:val="Normlny0"/>
              <w:jc w:val="both"/>
            </w:pPr>
            <w:r w:rsidRPr="00947BFA">
              <w:t>(2) Zamestnávateľ až do právoplatného rozhodnutia súdu môže pozastaviť výkon pracovnej činnosti pedagogickému zamestnancovi alebo odbornému zamestnancovi, ktorý oznámil vznesenie obvinenia voči jeho osobe podľa odseku 1, alebo ak sa zamestnávateľ inak dozvie o vznesení obvinenia voči pedagogickému zamestnancovi alebo odbornému zamestnancovi vo veci spáchania trestného činu podľa § 15 ods. 1.</w:t>
            </w:r>
          </w:p>
          <w:p w:rsidR="00D679CC" w:rsidRPr="00947BFA" w:rsidRDefault="00D679CC" w:rsidP="00D679CC">
            <w:pPr>
              <w:pStyle w:val="Normlny0"/>
              <w:jc w:val="both"/>
            </w:pPr>
          </w:p>
          <w:p w:rsidR="00D679CC" w:rsidRPr="00947BFA" w:rsidRDefault="00D679CC" w:rsidP="00D679CC">
            <w:pPr>
              <w:pStyle w:val="Normlny0"/>
              <w:jc w:val="both"/>
            </w:pPr>
            <w:r w:rsidRPr="00947BFA">
              <w:t>(3) Pedagogický zamestnanec alebo odborný zamestnanec je povinný oznámiť zamestnávateľovi podanie obžaloby na jeho osobu vo veci spáchania trestného činu podľa § 15 ods. 1 v lehote do desiatich dní odo dňa doručenia podania obžaloby.</w:t>
            </w:r>
          </w:p>
          <w:p w:rsidR="00D679CC" w:rsidRPr="00947BFA" w:rsidRDefault="00D679CC" w:rsidP="00D679CC">
            <w:pPr>
              <w:pStyle w:val="Normlny0"/>
              <w:jc w:val="both"/>
            </w:pPr>
          </w:p>
          <w:p w:rsidR="00D679CC" w:rsidRPr="00947BFA" w:rsidRDefault="00D679CC" w:rsidP="00D679CC">
            <w:pPr>
              <w:pStyle w:val="Normlny0"/>
              <w:jc w:val="both"/>
            </w:pPr>
            <w:r w:rsidRPr="00947BFA">
              <w:t xml:space="preserve">(4) Zamestnávateľ až do právoplatného </w:t>
            </w:r>
            <w:r w:rsidRPr="00947BFA">
              <w:lastRenderedPageBreak/>
              <w:t>rozhodnutia súdu pozastaví výkon pracovnej činnosti pedagogickému zamestnancovi alebo odbornému zamestnancovi, ktorý oznámil podanie obžaloby na jeho osobu podľa odseku 3, alebo ak sa zamestnávateľ inak dozvie o podaní obžaloby na pedagogického zamestnanca alebo odborného zamestnanca vo veci spáchania trestného činu podľa § 15 ods. 1.</w:t>
            </w:r>
          </w:p>
          <w:p w:rsidR="00D679CC" w:rsidRPr="00947BFA" w:rsidRDefault="00D679CC" w:rsidP="00D679CC">
            <w:pPr>
              <w:pStyle w:val="Normlny0"/>
              <w:jc w:val="both"/>
            </w:pPr>
          </w:p>
          <w:p w:rsidR="00D679CC" w:rsidRPr="00947BFA" w:rsidRDefault="00D679CC" w:rsidP="00D679CC">
            <w:pPr>
              <w:pStyle w:val="Normlny0"/>
              <w:jc w:val="both"/>
            </w:pPr>
            <w:r w:rsidRPr="00947BFA">
              <w:t>(5) Počas pozastavenia výkonu pracovnej činnosti patrí pedagogickému zamestnancovi alebo odbornému zamestnancovi 50 % funkčného platu, ktorý by mu patril, ak by mu nebol pozastavený výkon pracovnej činnosti, najmenej však vo výške minimálnej mzdy.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w:t>
            </w:r>
          </w:p>
          <w:p w:rsidR="00D679CC" w:rsidRPr="00947BFA" w:rsidRDefault="00D679CC" w:rsidP="00D679CC">
            <w:pPr>
              <w:pStyle w:val="Normlny0"/>
              <w:jc w:val="both"/>
            </w:pPr>
          </w:p>
          <w:p w:rsidR="00D679CC" w:rsidRDefault="00D679CC" w:rsidP="00D679CC">
            <w:pPr>
              <w:pStyle w:val="Normlny0"/>
              <w:jc w:val="both"/>
            </w:pPr>
            <w:r w:rsidRPr="00947BFA">
              <w:t>(</w:t>
            </w:r>
            <w:r>
              <w:t>6</w:t>
            </w:r>
            <w:r w:rsidRPr="00947BFA">
              <w:t xml:space="preserve">) Ak pominuli dôvody straty bezúhonnosti, fyzická osoba poskytne na účel preukázania bezúhonnosti regionálnemu úradu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Pri preukazovaní predpokladu bezúhonnosti sa postupuje podľa § 15a ods. 3 až 6.</w:t>
            </w:r>
          </w:p>
          <w:p w:rsidR="00CC733F" w:rsidRDefault="00CC733F" w:rsidP="00D679CC">
            <w:pPr>
              <w:pStyle w:val="Normlny0"/>
              <w:jc w:val="both"/>
            </w:pPr>
          </w:p>
          <w:p w:rsidR="00CC733F" w:rsidRPr="00947BFA" w:rsidRDefault="00CC733F" w:rsidP="00D679CC">
            <w:pPr>
              <w:pStyle w:val="Normlny0"/>
              <w:jc w:val="both"/>
            </w:pPr>
            <w:r w:rsidRPr="00CC733F">
              <w:t xml:space="preserve">(7) </w:t>
            </w:r>
            <w:r w:rsidR="00CE6C2C" w:rsidRPr="00847787">
              <w:rPr>
                <w:color w:val="000000" w:themeColor="text1"/>
              </w:rPr>
              <w:t xml:space="preserve">Ak bol pedagogický zamestnanec alebo odborný zamestnanec právoplatne odsúdený za úmyselný trestný čin, </w:t>
            </w:r>
            <w:r w:rsidR="00CE6C2C">
              <w:rPr>
                <w:color w:val="000000" w:themeColor="text1"/>
              </w:rPr>
              <w:t xml:space="preserve">pracovný pomer sa končí </w:t>
            </w:r>
            <w:r w:rsidR="00CE6C2C">
              <w:rPr>
                <w:color w:val="000000" w:themeColor="text1"/>
              </w:rPr>
              <w:lastRenderedPageBreak/>
              <w:t xml:space="preserve">najneskôr uplynutím kalendárneho mesiaca, v ktorom sa o tejto skutočnosti zamestnávateľ dozvedel. </w:t>
            </w:r>
          </w:p>
          <w:p w:rsidR="00D679CC" w:rsidRPr="00947BFA" w:rsidRDefault="00D679CC" w:rsidP="00D679CC">
            <w:pPr>
              <w:pStyle w:val="Normlny0"/>
              <w:jc w:val="both"/>
            </w:pPr>
            <w:bookmarkStart w:id="5" w:name="_GoBack"/>
            <w:bookmarkEnd w:id="5"/>
          </w:p>
          <w:p w:rsidR="00D679CC" w:rsidRPr="00947BFA" w:rsidRDefault="00D679CC" w:rsidP="00D679CC">
            <w:pPr>
              <w:pStyle w:val="Normlny0"/>
              <w:jc w:val="both"/>
            </w:pPr>
            <w:r w:rsidRPr="00947BFA">
              <w:t>(</w:t>
            </w:r>
            <w:r w:rsidR="00CC733F">
              <w:t>8</w:t>
            </w:r>
            <w:r w:rsidRPr="00947BFA">
              <w:t xml:space="preserve">) Ak pedagogický zamestnanec alebo odborný zamestnanec neposkytne na účel preukázania bezúhonnosti údaje potrebné na vyžiadanie </w:t>
            </w:r>
            <w:r w:rsidR="002D2C49" w:rsidRPr="00406A04">
              <w:rPr>
                <w:color w:val="000000" w:themeColor="text1"/>
              </w:rPr>
              <w:t>výpis</w:t>
            </w:r>
            <w:r w:rsidR="002D2C49">
              <w:rPr>
                <w:color w:val="000000" w:themeColor="text1"/>
              </w:rPr>
              <w:t>u</w:t>
            </w:r>
            <w:r w:rsidR="002D2C49" w:rsidRPr="00406A04">
              <w:rPr>
                <w:color w:val="000000" w:themeColor="text1"/>
              </w:rPr>
              <w:t xml:space="preserve"> z registra trestov pre prácu s deťmi a</w:t>
            </w:r>
            <w:r w:rsidR="002D2C49">
              <w:rPr>
                <w:color w:val="000000" w:themeColor="text1"/>
              </w:rPr>
              <w:t> </w:t>
            </w:r>
            <w:r w:rsidR="002D2C49" w:rsidRPr="00406A04">
              <w:rPr>
                <w:color w:val="000000" w:themeColor="text1"/>
              </w:rPr>
              <w:t>mládežou</w:t>
            </w:r>
            <w:r w:rsidRPr="00947BFA">
              <w:t>, nepovažuje sa na účely tohto zákona za bezúhonného</w:t>
            </w:r>
            <w:r w:rsidR="00CC733F" w:rsidRPr="00DC552F">
              <w:rPr>
                <w:color w:val="000000" w:themeColor="text1"/>
              </w:rPr>
              <w:t xml:space="preserve"> </w:t>
            </w:r>
            <w:bookmarkStart w:id="6" w:name="_Hlk198629114"/>
            <w:r w:rsidR="00CE6C2C">
              <w:rPr>
                <w:color w:val="000000" w:themeColor="text1"/>
              </w:rPr>
              <w:t xml:space="preserve">a </w:t>
            </w:r>
            <w:r w:rsidR="00CE6C2C" w:rsidRPr="00DC552F">
              <w:rPr>
                <w:color w:val="000000" w:themeColor="text1"/>
              </w:rPr>
              <w:t>pracovný pomer</w:t>
            </w:r>
            <w:bookmarkEnd w:id="6"/>
            <w:r w:rsidR="00CE6C2C">
              <w:rPr>
                <w:color w:val="000000" w:themeColor="text1"/>
              </w:rPr>
              <w:t xml:space="preserve"> sa končí najneskôr do desiatich dní od uplynutia lehoty podľa § 15a ods. 2.</w:t>
            </w:r>
          </w:p>
          <w:p w:rsidR="00D679CC" w:rsidRPr="00947BFA" w:rsidRDefault="00D679CC" w:rsidP="00D679CC">
            <w:pPr>
              <w:pStyle w:val="Normlny0"/>
              <w:jc w:val="both"/>
            </w:pPr>
          </w:p>
          <w:p w:rsidR="00D679CC" w:rsidRPr="00947BFA" w:rsidRDefault="00D679CC" w:rsidP="00D679CC">
            <w:pPr>
              <w:pStyle w:val="Normlny0"/>
              <w:jc w:val="both"/>
            </w:pPr>
          </w:p>
          <w:p w:rsidR="00D679CC" w:rsidRPr="00947BFA" w:rsidRDefault="00D679CC" w:rsidP="00D679CC">
            <w:pPr>
              <w:pStyle w:val="Normlny0"/>
              <w:jc w:val="both"/>
            </w:pPr>
            <w:r w:rsidRPr="00947BFA">
              <w:t>(1)</w:t>
            </w:r>
            <w:r w:rsidR="00CC733F">
              <w:t xml:space="preserve"> </w:t>
            </w:r>
            <w:r w:rsidRPr="00947BFA">
              <w:t>Splnenie kvalifikačných predpokladov a splnenie predpokladu bezúhonnosti podľa predpisov účinných do 31. decembra 2021 sa považuje za splnenie kvalifikačných predpokladov a splnenie predpokladu bezúhonnosti podľa predpisov účinných od 1. januára 2022.</w:t>
            </w:r>
          </w:p>
          <w:p w:rsidR="00D679CC" w:rsidRPr="00947BFA" w:rsidRDefault="00D679CC" w:rsidP="00D679CC">
            <w:pPr>
              <w:pStyle w:val="Normlny0"/>
              <w:jc w:val="both"/>
            </w:pPr>
          </w:p>
          <w:p w:rsidR="00D679CC" w:rsidRPr="00947BFA" w:rsidRDefault="00D679CC" w:rsidP="00D679CC">
            <w:pPr>
              <w:pStyle w:val="Normlny0"/>
              <w:jc w:val="both"/>
            </w:pPr>
            <w:r w:rsidRPr="00947BFA">
              <w:t>(2)</w:t>
            </w:r>
            <w:r w:rsidR="00CC733F">
              <w:t xml:space="preserve"> </w:t>
            </w:r>
            <w:r w:rsidRPr="00947BFA">
              <w:t xml:space="preserve">Pedagogický zamestnanec a odborný zamestnanec, ktorý podľa predpisov účinných do  31. decembra 2021 nespĺňa predpoklad bezúhonnosti, môže do 28. februára 2022 poskytnúť regionálnemu úradu údaje potrebné na vyžiadanie odpisu registra trestov na účel preukázania bezúhonnosti podľa predpisov účinných od 1. januára 2022. Regionálny úrad zašle údaje potrebné na vyžiadanie odpisu registra trestov do 31. marca 2022 v elektronickej podobe prostredníctvom elektronickej komunikácie Generálnej prokuratúre Slovenskej republiky na účel vydania odpisu registra trestov.  Generálna prokuratúra Slovenskej republiky poskytne regionálnemu úradu odpis registra trestov do 30 dní odo dňa prijatia údajov potrebných na vyžiadanie odpisu registra trestov. Regionálny </w:t>
            </w:r>
            <w:r w:rsidRPr="00947BFA">
              <w:lastRenderedPageBreak/>
              <w:t xml:space="preserve">úrad do 30 dní odo dňa doručenia odpisu registra trestov oznámi zamestnávateľovi skutočnosť, či pedagogický zamestnanec alebo odborný zamestnanec spĺňa predpoklad bezúhonnosti alebo nespĺňa predpoklad bezúhonnosti podľa predpisov účinných od 1. januára 2022. Regionálny úrad po zaslaní oznámenia bezodkladne zlikviduje príslušný odpis registra trestov a údaje potrebné na vyžiadanie odpisu registra trestov. </w:t>
            </w:r>
          </w:p>
          <w:p w:rsidR="00D679CC" w:rsidRPr="00947BFA" w:rsidRDefault="00D679CC" w:rsidP="00D679CC">
            <w:pPr>
              <w:pStyle w:val="Normlny0"/>
              <w:jc w:val="both"/>
            </w:pPr>
          </w:p>
          <w:p w:rsidR="00D679CC" w:rsidRPr="00947BFA" w:rsidRDefault="00D679CC" w:rsidP="00D679CC">
            <w:pPr>
              <w:pStyle w:val="Normlny0"/>
              <w:jc w:val="both"/>
            </w:pPr>
            <w:r w:rsidRPr="00947BFA">
              <w:t>(3)</w:t>
            </w:r>
            <w:r w:rsidR="00CC733F">
              <w:t xml:space="preserve"> </w:t>
            </w:r>
            <w:r w:rsidRPr="00947BFA">
              <w:t>Ak pedagogický zamestnanec alebo odborný zamestnanec poskytol  údaje potrebné na vyžiadanie odpisu registra trestov do 31. decembra 2021 a okresný úrad v sídle kraja do 31. decembra 2021 neoznámil zamestnávateľovi skutočnosť, či pedagogický zamestnanec alebo odborný zamestnanec spĺňa predpoklad bezúhonnosti alebo nespĺňa predpoklad bezúhonnosti, predpoklad bezúhonnosti posúdi regionálny úrad podľa predpisov účinných od 1. januára 2021; opätovné poskytnutie údajov potrebných na vyžiadanie odpisu registra trestov sa nevyžaduje.</w:t>
            </w:r>
          </w:p>
          <w:p w:rsidR="00D679CC" w:rsidRPr="00947BFA" w:rsidRDefault="00D679CC" w:rsidP="00D679CC">
            <w:pPr>
              <w:pStyle w:val="Normlny0"/>
              <w:jc w:val="both"/>
            </w:pPr>
          </w:p>
          <w:p w:rsidR="00D679CC" w:rsidRPr="00947BFA" w:rsidRDefault="00D679CC" w:rsidP="00D679CC">
            <w:pPr>
              <w:pStyle w:val="Normlny0"/>
              <w:jc w:val="both"/>
            </w:pPr>
            <w:r w:rsidRPr="00947BFA">
              <w:t>(4)</w:t>
            </w:r>
            <w:r w:rsidR="00CC733F">
              <w:t xml:space="preserve"> </w:t>
            </w:r>
            <w:r w:rsidRPr="00947BFA">
              <w:t>Pedagogický zamestnanec alebo odborný zamestnanec môže podať voči oznámeniu regionálneho úradu o nesplnení predpokladu bezúhonnosti podľa odseku 2 alebo odseku 3 ministerstvu školstva do 10 dní odo dňa jeho doručenia námietku, ktorá sa vyhodnotí podľa predpisov účinných od 1. januára 2021.</w:t>
            </w:r>
          </w:p>
          <w:p w:rsidR="00D679CC" w:rsidRPr="00947BFA" w:rsidRDefault="00D679CC" w:rsidP="00D679CC">
            <w:pPr>
              <w:pStyle w:val="Normlny0"/>
              <w:jc w:val="both"/>
            </w:pPr>
          </w:p>
          <w:p w:rsidR="00D679CC" w:rsidRPr="00947BFA" w:rsidRDefault="00D679CC" w:rsidP="00D679CC">
            <w:pPr>
              <w:pStyle w:val="Normlny0"/>
              <w:jc w:val="both"/>
            </w:pPr>
            <w:r w:rsidRPr="00947BFA">
              <w:t>(5)</w:t>
            </w:r>
            <w:r w:rsidR="00CC733F">
              <w:t xml:space="preserve"> </w:t>
            </w:r>
            <w:r w:rsidRPr="00947BFA">
              <w:t xml:space="preserve">Zamestnávateľ pedagogického zamestnanca alebo odborného zamestnanca, ktorému okresný úrad v sídle kraja do 31. decembra 2021 oznámil skutočnosť, či pedagogický zamestnanec alebo odborný zamestnanec spĺňa predpoklad bezúhonnosti alebo nespĺňa </w:t>
            </w:r>
            <w:r w:rsidRPr="00947BFA">
              <w:lastRenderedPageBreak/>
              <w:t>predpoklad bezúhonnosti podľa predpisov účinných do 31. decembra 2021, zapíše do centrálneho registra údaje o bezúhonnosti pedagogického zamestnanca alebo odborného zamestnanca najneskôr do 30. júna 2022.</w:t>
            </w:r>
          </w:p>
          <w:p w:rsidR="00D679CC" w:rsidRPr="00D679CC" w:rsidRDefault="00D679CC" w:rsidP="00D679CC">
            <w:pPr>
              <w:pStyle w:val="Normlny0"/>
              <w:jc w:val="both"/>
              <w:rPr>
                <w:sz w:val="18"/>
              </w:rPr>
            </w:pPr>
          </w:p>
          <w:p w:rsidR="00B142E7" w:rsidRDefault="00D679CC" w:rsidP="00D679CC">
            <w:pPr>
              <w:pStyle w:val="TableParagraph"/>
              <w:rPr>
                <w:sz w:val="20"/>
              </w:rPr>
            </w:pPr>
            <w:r w:rsidRPr="00D679CC">
              <w:rPr>
                <w:sz w:val="20"/>
              </w:rPr>
              <w:t>(6) Úspešný uchádzač, ktorý vykonával pracovnú činnosť pedagogického zamestnanca alebo odborného zamestnanca najdlhšie do 30. septembra 2019 a pred dňom nástupu do práce nevykonával pracovnú činnosť pedagogického zamestnanca alebo odborného zamestnanca počas najviac troch po sebe nasledujúcich rokov, preukazuje bezúhonnosť podľa predpisov účinných od 1. januára 2022.</w:t>
            </w:r>
          </w:p>
          <w:p w:rsidR="00CC733F" w:rsidRDefault="00CC733F" w:rsidP="00D679CC">
            <w:pPr>
              <w:pStyle w:val="TableParagraph"/>
              <w:rPr>
                <w:b/>
                <w:sz w:val="20"/>
                <w:szCs w:val="20"/>
              </w:rPr>
            </w:pPr>
          </w:p>
          <w:p w:rsidR="00CC733F" w:rsidRPr="00CC733F" w:rsidRDefault="00CC733F" w:rsidP="00CC733F">
            <w:pPr>
              <w:pStyle w:val="TableParagraph"/>
              <w:rPr>
                <w:sz w:val="20"/>
                <w:szCs w:val="20"/>
              </w:rPr>
            </w:pPr>
            <w:r w:rsidRPr="00CC733F">
              <w:rPr>
                <w:sz w:val="20"/>
                <w:szCs w:val="20"/>
              </w:rPr>
              <w:t xml:space="preserve">(1) Preukazovanie bezúhonnosti začaté do 31. decembra 2025 sa dokončí podľa predpisov účinných do 31. decembra 2025. </w:t>
            </w:r>
          </w:p>
          <w:p w:rsidR="00CC733F" w:rsidRPr="00CC733F" w:rsidRDefault="00CC733F" w:rsidP="00CC733F">
            <w:pPr>
              <w:pStyle w:val="TableParagraph"/>
              <w:rPr>
                <w:sz w:val="20"/>
                <w:szCs w:val="20"/>
              </w:rPr>
            </w:pPr>
          </w:p>
          <w:p w:rsidR="00CC733F" w:rsidRPr="00A94ED1" w:rsidRDefault="00CC733F" w:rsidP="00CC733F">
            <w:pPr>
              <w:pStyle w:val="TableParagraph"/>
              <w:rPr>
                <w:b/>
                <w:sz w:val="20"/>
                <w:szCs w:val="20"/>
              </w:rPr>
            </w:pPr>
            <w:r w:rsidRPr="00CC733F">
              <w:rPr>
                <w:sz w:val="20"/>
                <w:szCs w:val="20"/>
              </w:rPr>
              <w:t>(2) Preukázanie bezúhonnosti odpisom registra trestov podľa predpisov účinných do 31. decembra 2025 sa považuje za preukázanie bezúhonnosti výpisom z registra trestov pre prácu s deťmi a mládežou podľa predpisov účinných od 1. januára 2026.</w:t>
            </w:r>
          </w:p>
        </w:tc>
        <w:tc>
          <w:tcPr>
            <w:tcW w:w="993" w:type="dxa"/>
          </w:tcPr>
          <w:p w:rsidR="00B142E7" w:rsidRPr="00194BA5" w:rsidRDefault="00194BA5" w:rsidP="00194BA5">
            <w:pPr>
              <w:pStyle w:val="TableParagraph"/>
              <w:jc w:val="center"/>
              <w:rPr>
                <w:b/>
                <w:sz w:val="20"/>
                <w:szCs w:val="20"/>
              </w:rPr>
            </w:pPr>
            <w:r w:rsidRPr="00194BA5">
              <w:rPr>
                <w:b/>
                <w:sz w:val="20"/>
                <w:szCs w:val="20"/>
              </w:rPr>
              <w:lastRenderedPageBreak/>
              <w:t>Ú</w:t>
            </w:r>
          </w:p>
        </w:tc>
        <w:tc>
          <w:tcPr>
            <w:tcW w:w="849" w:type="dxa"/>
          </w:tcPr>
          <w:p w:rsidR="00B142E7" w:rsidRPr="009332C4" w:rsidRDefault="00B142E7">
            <w:pPr>
              <w:pStyle w:val="TableParagraph"/>
              <w:spacing w:line="205" w:lineRule="exact"/>
              <w:ind w:left="109"/>
              <w:rPr>
                <w:sz w:val="20"/>
                <w:szCs w:val="20"/>
              </w:rPr>
            </w:pPr>
          </w:p>
        </w:tc>
        <w:tc>
          <w:tcPr>
            <w:tcW w:w="707" w:type="dxa"/>
          </w:tcPr>
          <w:p w:rsidR="00B142E7" w:rsidRPr="009332C4" w:rsidRDefault="009515B6" w:rsidP="009515B6">
            <w:pPr>
              <w:pStyle w:val="TableParagraph"/>
              <w:jc w:val="center"/>
              <w:rPr>
                <w:sz w:val="20"/>
                <w:szCs w:val="20"/>
              </w:rPr>
            </w:pPr>
            <w:r>
              <w:rPr>
                <w:sz w:val="20"/>
                <w:szCs w:val="20"/>
              </w:rPr>
              <w:t>GP - N</w:t>
            </w:r>
          </w:p>
        </w:tc>
        <w:tc>
          <w:tcPr>
            <w:tcW w:w="851" w:type="dxa"/>
          </w:tcPr>
          <w:p w:rsidR="00B142E7" w:rsidRPr="009332C4" w:rsidRDefault="00B142E7">
            <w:pPr>
              <w:pStyle w:val="TableParagraph"/>
              <w:rPr>
                <w:sz w:val="20"/>
                <w:szCs w:val="20"/>
              </w:rPr>
            </w:pPr>
          </w:p>
        </w:tc>
      </w:tr>
    </w:tbl>
    <w:p w:rsidR="00B142E7" w:rsidRDefault="00A96E56">
      <w:pPr>
        <w:pStyle w:val="Zkladntext"/>
        <w:ind w:left="1116"/>
      </w:pPr>
      <w:r>
        <w:lastRenderedPageBreak/>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proofErr w:type="spellStart"/>
      <w:r>
        <w:t>goldplatingu</w:t>
      </w:r>
      <w:proofErr w:type="spellEnd"/>
      <w:r>
        <w:rPr>
          <w:spacing w:val="-6"/>
        </w:rPr>
        <w:t xml:space="preserve"> </w:t>
      </w:r>
      <w:r>
        <w:t>a</w:t>
      </w:r>
      <w:r>
        <w:rPr>
          <w:spacing w:val="-5"/>
        </w:rPr>
        <w:t xml:space="preserve"> </w:t>
      </w:r>
      <w:r>
        <w:t>jeho</w:t>
      </w:r>
      <w:r>
        <w:rPr>
          <w:spacing w:val="-4"/>
        </w:rPr>
        <w:t xml:space="preserve"> </w:t>
      </w:r>
      <w:r>
        <w:rPr>
          <w:spacing w:val="-2"/>
        </w:rPr>
        <w:t>odôvodnenie:</w:t>
      </w:r>
    </w:p>
    <w:p w:rsidR="00B142E7" w:rsidRDefault="00B142E7">
      <w:pPr>
        <w:pStyle w:val="Zkladntext"/>
      </w:pPr>
    </w:p>
    <w:p w:rsidR="00B142E7" w:rsidRDefault="00B142E7">
      <w:pPr>
        <w:pStyle w:val="Zkladntext"/>
        <w:spacing w:before="87"/>
      </w:pPr>
    </w:p>
    <w:p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trPr>
          <w:trHeight w:val="1526"/>
        </w:trPr>
        <w:tc>
          <w:tcPr>
            <w:tcW w:w="2028" w:type="dxa"/>
          </w:tcPr>
          <w:p w:rsidR="00B142E7" w:rsidRDefault="00A96E56">
            <w:pPr>
              <w:pStyle w:val="TableParagraph"/>
              <w:spacing w:line="221" w:lineRule="exact"/>
              <w:ind w:left="50"/>
              <w:rPr>
                <w:sz w:val="20"/>
              </w:rPr>
            </w:pPr>
            <w:r>
              <w:rPr>
                <w:sz w:val="20"/>
              </w:rPr>
              <w:t>V</w:t>
            </w:r>
            <w:r>
              <w:rPr>
                <w:spacing w:val="-3"/>
                <w:sz w:val="20"/>
              </w:rPr>
              <w:t xml:space="preserve"> </w:t>
            </w:r>
            <w:r>
              <w:rPr>
                <w:sz w:val="20"/>
              </w:rPr>
              <w:t>stĺpci</w:t>
            </w:r>
            <w:r>
              <w:rPr>
                <w:spacing w:val="-3"/>
                <w:sz w:val="20"/>
              </w:rPr>
              <w:t xml:space="preserve"> </w:t>
            </w:r>
            <w:r>
              <w:rPr>
                <w:spacing w:val="-4"/>
                <w:sz w:val="20"/>
              </w:rPr>
              <w:t>(1):</w:t>
            </w:r>
          </w:p>
          <w:p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rsidR="00B142E7" w:rsidRDefault="00A96E56">
            <w:pPr>
              <w:pStyle w:val="TableParagraph"/>
              <w:spacing w:before="32"/>
              <w:ind w:left="431"/>
              <w:rPr>
                <w:sz w:val="20"/>
              </w:rPr>
            </w:pPr>
            <w:proofErr w:type="spellStart"/>
            <w:r>
              <w:rPr>
                <w:sz w:val="20"/>
              </w:rPr>
              <w:t>n.a</w:t>
            </w:r>
            <w:proofErr w:type="spellEnd"/>
            <w:r>
              <w:rPr>
                <w:sz w:val="20"/>
              </w:rPr>
              <w:t>.</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 xml:space="preserve">k </w:t>
            </w:r>
            <w:proofErr w:type="spellStart"/>
            <w:r>
              <w:rPr>
                <w:sz w:val="20"/>
              </w:rPr>
              <w:t>transp</w:t>
            </w:r>
            <w:proofErr w:type="spellEnd"/>
            <w:r>
              <w:rPr>
                <w:sz w:val="20"/>
              </w:rPr>
              <w:t>.,</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rsidR="00B142E7" w:rsidRDefault="00A96E56">
            <w:pPr>
              <w:pStyle w:val="TableParagraph"/>
              <w:spacing w:before="32"/>
              <w:ind w:left="432"/>
              <w:rPr>
                <w:sz w:val="20"/>
              </w:rPr>
            </w:pPr>
            <w:proofErr w:type="spellStart"/>
            <w:r>
              <w:rPr>
                <w:sz w:val="20"/>
              </w:rPr>
              <w:t>n.a</w:t>
            </w:r>
            <w:proofErr w:type="spellEnd"/>
            <w:r>
              <w:rPr>
                <w:sz w:val="20"/>
              </w:rPr>
              <w:t>.</w:t>
            </w:r>
            <w:r>
              <w:rPr>
                <w:spacing w:val="-2"/>
                <w:sz w:val="20"/>
              </w:rPr>
              <w:t xml:space="preserve"> </w:t>
            </w:r>
            <w:r>
              <w:rPr>
                <w:sz w:val="20"/>
              </w:rPr>
              <w:t>–</w:t>
            </w:r>
            <w:r>
              <w:rPr>
                <w:spacing w:val="-2"/>
                <w:sz w:val="20"/>
              </w:rPr>
              <w:t xml:space="preserve"> neaplikovateľné</w:t>
            </w:r>
          </w:p>
        </w:tc>
      </w:tr>
    </w:tbl>
    <w:p w:rsidR="00B142E7" w:rsidRDefault="00B142E7">
      <w:pPr>
        <w:pStyle w:val="Zkladntext"/>
        <w:spacing w:before="65" w:after="1"/>
      </w:pPr>
    </w:p>
    <w:p w:rsidR="00344AB2" w:rsidRDefault="00344AB2" w:rsidP="00344AB2"/>
    <w:sectPr w:rsidR="00344AB2">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CBA" w:rsidRDefault="007A6CBA" w:rsidP="0049668B">
      <w:r>
        <w:separator/>
      </w:r>
    </w:p>
  </w:endnote>
  <w:endnote w:type="continuationSeparator" w:id="0">
    <w:p w:rsidR="007A6CBA" w:rsidRDefault="007A6CBA"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08635"/>
      <w:docPartObj>
        <w:docPartGallery w:val="Page Numbers (Bottom of Page)"/>
        <w:docPartUnique/>
      </w:docPartObj>
    </w:sdtPr>
    <w:sdtEndPr/>
    <w:sdtContent>
      <w:p w:rsidR="0049668B" w:rsidRDefault="0049668B">
        <w:pPr>
          <w:pStyle w:val="Pta"/>
          <w:jc w:val="center"/>
        </w:pPr>
        <w:r>
          <w:fldChar w:fldCharType="begin"/>
        </w:r>
        <w:r>
          <w:instrText>PAGE   \* MERGEFORMAT</w:instrText>
        </w:r>
        <w:r>
          <w:fldChar w:fldCharType="separate"/>
        </w:r>
        <w:r w:rsidR="00065188">
          <w:rPr>
            <w:noProof/>
          </w:rPr>
          <w:t>3</w:t>
        </w:r>
        <w:r>
          <w:fldChar w:fldCharType="end"/>
        </w:r>
      </w:p>
    </w:sdtContent>
  </w:sdt>
  <w:p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CBA" w:rsidRDefault="007A6CBA" w:rsidP="0049668B">
      <w:r>
        <w:separator/>
      </w:r>
    </w:p>
  </w:footnote>
  <w:footnote w:type="continuationSeparator" w:id="0">
    <w:p w:rsidR="007A6CBA" w:rsidRDefault="007A6CBA"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2E7"/>
    <w:rsid w:val="00015BB6"/>
    <w:rsid w:val="00044366"/>
    <w:rsid w:val="00065188"/>
    <w:rsid w:val="000A5F33"/>
    <w:rsid w:val="001746F4"/>
    <w:rsid w:val="0017490A"/>
    <w:rsid w:val="00194BA5"/>
    <w:rsid w:val="001A67A5"/>
    <w:rsid w:val="00210B00"/>
    <w:rsid w:val="002D2C49"/>
    <w:rsid w:val="002D35A7"/>
    <w:rsid w:val="002E084B"/>
    <w:rsid w:val="00344AB2"/>
    <w:rsid w:val="00375D8A"/>
    <w:rsid w:val="00386762"/>
    <w:rsid w:val="00483528"/>
    <w:rsid w:val="0049668B"/>
    <w:rsid w:val="004B5E80"/>
    <w:rsid w:val="004C52D5"/>
    <w:rsid w:val="004D27E7"/>
    <w:rsid w:val="00554788"/>
    <w:rsid w:val="00561E2C"/>
    <w:rsid w:val="0059477E"/>
    <w:rsid w:val="006241FD"/>
    <w:rsid w:val="0063011A"/>
    <w:rsid w:val="00644FB5"/>
    <w:rsid w:val="006C57DC"/>
    <w:rsid w:val="0075286E"/>
    <w:rsid w:val="00776C32"/>
    <w:rsid w:val="007A6CBA"/>
    <w:rsid w:val="008012C8"/>
    <w:rsid w:val="00843DBE"/>
    <w:rsid w:val="008565F6"/>
    <w:rsid w:val="00856DD6"/>
    <w:rsid w:val="009332C4"/>
    <w:rsid w:val="009515B6"/>
    <w:rsid w:val="00990C66"/>
    <w:rsid w:val="00A8540F"/>
    <w:rsid w:val="00A86F44"/>
    <w:rsid w:val="00A94ED1"/>
    <w:rsid w:val="00A96E56"/>
    <w:rsid w:val="00B142E7"/>
    <w:rsid w:val="00B56E5C"/>
    <w:rsid w:val="00B80752"/>
    <w:rsid w:val="00BF0004"/>
    <w:rsid w:val="00C32B65"/>
    <w:rsid w:val="00C410E1"/>
    <w:rsid w:val="00C46678"/>
    <w:rsid w:val="00CC733F"/>
    <w:rsid w:val="00CE6C2C"/>
    <w:rsid w:val="00D679CC"/>
    <w:rsid w:val="00DA6067"/>
    <w:rsid w:val="00DE7F4D"/>
    <w:rsid w:val="00E17AC0"/>
    <w:rsid w:val="00E24E4E"/>
    <w:rsid w:val="00E3343C"/>
    <w:rsid w:val="00E54530"/>
    <w:rsid w:val="00E71528"/>
    <w:rsid w:val="00EC3E6F"/>
    <w:rsid w:val="00F72F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C49D"/>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015B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BB6"/>
    <w:rPr>
      <w:rFonts w:ascii="Segoe UI" w:eastAsia="Times New Roman" w:hAnsi="Segoe UI" w:cs="Segoe UI"/>
      <w:sz w:val="18"/>
      <w:szCs w:val="18"/>
      <w:lang w:val="sk-SK"/>
    </w:rPr>
  </w:style>
  <w:style w:type="paragraph" w:styleId="Zkladntext3">
    <w:name w:val="Body Text 3"/>
    <w:basedOn w:val="Normlny"/>
    <w:link w:val="Zkladntext3Char"/>
    <w:uiPriority w:val="99"/>
    <w:semiHidden/>
    <w:unhideWhenUsed/>
    <w:rsid w:val="00D679CC"/>
    <w:pPr>
      <w:spacing w:after="120"/>
    </w:pPr>
    <w:rPr>
      <w:sz w:val="16"/>
      <w:szCs w:val="16"/>
    </w:rPr>
  </w:style>
  <w:style w:type="character" w:customStyle="1" w:styleId="Zkladntext3Char">
    <w:name w:val="Základný text 3 Char"/>
    <w:basedOn w:val="Predvolenpsmoodseku"/>
    <w:link w:val="Zkladntext3"/>
    <w:uiPriority w:val="99"/>
    <w:semiHidden/>
    <w:rsid w:val="00D679CC"/>
    <w:rPr>
      <w:rFonts w:ascii="Times New Roman" w:eastAsia="Times New Roman" w:hAnsi="Times New Roman" w:cs="Times New Roman"/>
      <w:sz w:val="16"/>
      <w:szCs w:val="16"/>
      <w:lang w:val="sk-SK"/>
    </w:rPr>
  </w:style>
  <w:style w:type="paragraph" w:customStyle="1" w:styleId="Normlny0">
    <w:name w:val="_Normálny"/>
    <w:basedOn w:val="Normlny"/>
    <w:uiPriority w:val="99"/>
    <w:rsid w:val="00D679CC"/>
    <w:pPr>
      <w:widowControl/>
    </w:pPr>
    <w:rPr>
      <w:sz w:val="20"/>
      <w:szCs w:val="20"/>
    </w:rPr>
  </w:style>
  <w:style w:type="character" w:styleId="Odkaznakomentr">
    <w:name w:val="annotation reference"/>
    <w:basedOn w:val="Predvolenpsmoodseku"/>
    <w:uiPriority w:val="99"/>
    <w:semiHidden/>
    <w:unhideWhenUsed/>
    <w:rsid w:val="00CE6C2C"/>
    <w:rPr>
      <w:sz w:val="16"/>
      <w:szCs w:val="16"/>
    </w:rPr>
  </w:style>
  <w:style w:type="paragraph" w:styleId="Textkomentra">
    <w:name w:val="annotation text"/>
    <w:basedOn w:val="Normlny"/>
    <w:link w:val="TextkomentraChar"/>
    <w:uiPriority w:val="99"/>
    <w:unhideWhenUsed/>
    <w:rsid w:val="00CE6C2C"/>
    <w:pPr>
      <w:widowControl/>
      <w:autoSpaceDE/>
      <w:autoSpaceDN/>
    </w:pPr>
    <w:rPr>
      <w:rFonts w:eastAsia="Calibri"/>
      <w:sz w:val="20"/>
      <w:szCs w:val="20"/>
    </w:rPr>
  </w:style>
  <w:style w:type="character" w:customStyle="1" w:styleId="TextkomentraChar">
    <w:name w:val="Text komentára Char"/>
    <w:basedOn w:val="Predvolenpsmoodseku"/>
    <w:link w:val="Textkomentra"/>
    <w:uiPriority w:val="99"/>
    <w:rsid w:val="00CE6C2C"/>
    <w:rPr>
      <w:rFonts w:ascii="Times New Roman" w:eastAsia="Calibri" w:hAnsi="Times New Roman" w:cs="Times New Roman"/>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2566</Words>
  <Characters>14631</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 Miroslava</dc:creator>
  <cp:lastModifiedBy>Kasenčák René</cp:lastModifiedBy>
  <cp:revision>41</cp:revision>
  <cp:lastPrinted>2025-02-10T17:17:00Z</cp:lastPrinted>
  <dcterms:created xsi:type="dcterms:W3CDTF">2025-02-10T15:07:00Z</dcterms:created>
  <dcterms:modified xsi:type="dcterms:W3CDTF">2025-08-06T14:24:00Z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