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3D640" w14:textId="77777777" w:rsidR="001A67A5" w:rsidRDefault="001A67A5" w:rsidP="001A67A5">
      <w:pPr>
        <w:pStyle w:val="Nzov"/>
        <w:ind w:left="0"/>
        <w:jc w:val="center"/>
        <w:rPr>
          <w:spacing w:val="-6"/>
        </w:rPr>
      </w:pPr>
      <w:r>
        <w:rPr>
          <w:noProof/>
          <w:lang w:eastAsia="sk-SK"/>
        </w:rPr>
        <w:drawing>
          <wp:anchor distT="0" distB="0" distL="0" distR="0" simplePos="0" relativeHeight="251657728" behindDoc="1" locked="0" layoutInCell="1" allowOverlap="1" wp14:anchorId="3BFA4D67" wp14:editId="0C78390B">
            <wp:simplePos x="0" y="0"/>
            <wp:positionH relativeFrom="page">
              <wp:posOffset>4032250</wp:posOffset>
            </wp:positionH>
            <wp:positionV relativeFrom="paragraph">
              <wp:posOffset>44830</wp:posOffset>
            </wp:positionV>
            <wp:extent cx="189229" cy="3346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9229" cy="334645"/>
                    </a:xfrm>
                    <a:prstGeom prst="rect">
                      <a:avLst/>
                    </a:prstGeom>
                  </pic:spPr>
                </pic:pic>
              </a:graphicData>
            </a:graphic>
          </wp:anchor>
        </w:drawing>
      </w:r>
      <w:r>
        <w:t>TABUĽKA</w:t>
      </w:r>
      <w:r>
        <w:rPr>
          <w:spacing w:val="-3"/>
        </w:rPr>
        <w:t xml:space="preserve"> </w:t>
      </w:r>
      <w:r>
        <w:t>ZHODY</w:t>
      </w:r>
    </w:p>
    <w:p w14:paraId="797F2A37" w14:textId="77777777" w:rsidR="00B142E7" w:rsidRPr="001A67A5" w:rsidRDefault="001A67A5" w:rsidP="001A67A5">
      <w:pPr>
        <w:pStyle w:val="Nzov"/>
        <w:ind w:left="142"/>
        <w:jc w:val="center"/>
      </w:pPr>
      <w:r>
        <w:t>návrhu</w:t>
      </w:r>
      <w:r>
        <w:rPr>
          <w:spacing w:val="-6"/>
        </w:rPr>
        <w:t xml:space="preserve"> </w:t>
      </w:r>
      <w:r w:rsidR="00344AB2">
        <w:rPr>
          <w:spacing w:val="-6"/>
        </w:rPr>
        <w:t>právneho predpisu</w:t>
      </w:r>
      <w:r>
        <w:rPr>
          <w:spacing w:val="-5"/>
        </w:rPr>
        <w:t xml:space="preserve"> </w:t>
      </w:r>
      <w:r>
        <w:t>s</w:t>
      </w:r>
      <w:r>
        <w:rPr>
          <w:spacing w:val="-8"/>
        </w:rPr>
        <w:t xml:space="preserve"> </w:t>
      </w:r>
      <w:r>
        <w:t>právom</w:t>
      </w:r>
      <w:r>
        <w:rPr>
          <w:spacing w:val="-9"/>
        </w:rPr>
        <w:t xml:space="preserve"> </w:t>
      </w:r>
      <w:r>
        <w:t>Európskej</w:t>
      </w:r>
      <w:r>
        <w:rPr>
          <w:spacing w:val="-4"/>
        </w:rPr>
        <w:t xml:space="preserve"> únie</w:t>
      </w:r>
    </w:p>
    <w:p w14:paraId="1E837F70" w14:textId="77777777" w:rsidR="001A67A5" w:rsidRDefault="001A67A5">
      <w:pPr>
        <w:pStyle w:val="Zkladntext"/>
        <w:spacing w:before="1"/>
        <w:rPr>
          <w:b/>
        </w:rPr>
      </w:pPr>
    </w:p>
    <w:p w14:paraId="35BC9E1D" w14:textId="77777777" w:rsidR="001A67A5" w:rsidRPr="009332C4" w:rsidRDefault="001A67A5">
      <w:pPr>
        <w:pStyle w:val="Zkladntext"/>
        <w:spacing w:before="1"/>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387"/>
        <w:gridCol w:w="711"/>
        <w:gridCol w:w="992"/>
        <w:gridCol w:w="852"/>
        <w:gridCol w:w="3826"/>
        <w:gridCol w:w="993"/>
        <w:gridCol w:w="849"/>
        <w:gridCol w:w="707"/>
        <w:gridCol w:w="851"/>
      </w:tblGrid>
      <w:tr w:rsidR="001A67A5" w:rsidRPr="009332C4" w14:paraId="38A6C495" w14:textId="77777777" w:rsidTr="00731AFE">
        <w:trPr>
          <w:trHeight w:val="490"/>
        </w:trPr>
        <w:tc>
          <w:tcPr>
            <w:tcW w:w="6950" w:type="dxa"/>
            <w:gridSpan w:val="3"/>
          </w:tcPr>
          <w:p w14:paraId="200AA1BE" w14:textId="77777777" w:rsidR="001A67A5" w:rsidRPr="00F72F32" w:rsidRDefault="001A67A5" w:rsidP="00F72F32">
            <w:pPr>
              <w:pStyle w:val="TableParagraph"/>
              <w:jc w:val="center"/>
              <w:rPr>
                <w:b/>
                <w:sz w:val="20"/>
                <w:szCs w:val="20"/>
              </w:rPr>
            </w:pPr>
            <w:r>
              <w:rPr>
                <w:b/>
                <w:spacing w:val="-2"/>
                <w:sz w:val="20"/>
              </w:rPr>
              <w:t>Smernica</w:t>
            </w:r>
          </w:p>
        </w:tc>
        <w:tc>
          <w:tcPr>
            <w:tcW w:w="9070" w:type="dxa"/>
            <w:gridSpan w:val="7"/>
          </w:tcPr>
          <w:p w14:paraId="52EBBC61" w14:textId="77777777" w:rsidR="001A67A5" w:rsidRPr="009332C4" w:rsidRDefault="001A67A5" w:rsidP="002D35A7">
            <w:pPr>
              <w:pStyle w:val="TableParagraph"/>
              <w:jc w:val="center"/>
              <w:rPr>
                <w:sz w:val="20"/>
                <w:szCs w:val="20"/>
              </w:rPr>
            </w:pPr>
            <w:r>
              <w:rPr>
                <w:b/>
                <w:sz w:val="20"/>
              </w:rPr>
              <w:t>Právne</w:t>
            </w:r>
            <w:r>
              <w:rPr>
                <w:b/>
                <w:spacing w:val="-11"/>
                <w:sz w:val="20"/>
              </w:rPr>
              <w:t xml:space="preserve"> </w:t>
            </w:r>
            <w:r>
              <w:rPr>
                <w:b/>
                <w:sz w:val="20"/>
              </w:rPr>
              <w:t>predpisy</w:t>
            </w:r>
            <w:r>
              <w:rPr>
                <w:b/>
                <w:spacing w:val="-9"/>
                <w:sz w:val="20"/>
              </w:rPr>
              <w:t xml:space="preserve"> </w:t>
            </w:r>
            <w:r>
              <w:rPr>
                <w:b/>
                <w:sz w:val="20"/>
              </w:rPr>
              <w:t>Slovenskej</w:t>
            </w:r>
            <w:r>
              <w:rPr>
                <w:b/>
                <w:spacing w:val="-8"/>
                <w:sz w:val="20"/>
              </w:rPr>
              <w:t xml:space="preserve"> </w:t>
            </w:r>
            <w:r>
              <w:rPr>
                <w:b/>
                <w:spacing w:val="-2"/>
                <w:sz w:val="20"/>
              </w:rPr>
              <w:t>republiky</w:t>
            </w:r>
          </w:p>
        </w:tc>
      </w:tr>
      <w:tr w:rsidR="001A67A5" w:rsidRPr="009332C4" w14:paraId="1A403130" w14:textId="77777777" w:rsidTr="00731AFE">
        <w:trPr>
          <w:trHeight w:val="490"/>
        </w:trPr>
        <w:tc>
          <w:tcPr>
            <w:tcW w:w="6950" w:type="dxa"/>
            <w:gridSpan w:val="3"/>
          </w:tcPr>
          <w:p w14:paraId="70D05ED1" w14:textId="598E4A05" w:rsidR="00843DBE" w:rsidRPr="00F72F32" w:rsidRDefault="00BC40C1" w:rsidP="00A94ED1">
            <w:pPr>
              <w:pStyle w:val="TableParagraph"/>
              <w:jc w:val="both"/>
              <w:rPr>
                <w:b/>
                <w:sz w:val="20"/>
                <w:szCs w:val="20"/>
              </w:rPr>
            </w:pPr>
            <w:r w:rsidRPr="001F4540">
              <w:rPr>
                <w:b/>
                <w:bCs/>
                <w:sz w:val="20"/>
                <w:szCs w:val="20"/>
              </w:rPr>
              <w:t>Smernica Rady z 25. júla 1977 o vzdelávaní detí migrujúcich pracovníkov (77/486/EHS) (Mimoriadne vydanie Ú. v. EÚ, kap. 5/zv. 1; Ú. v. ES L 199, 6.8.1977)</w:t>
            </w:r>
          </w:p>
        </w:tc>
        <w:tc>
          <w:tcPr>
            <w:tcW w:w="9070" w:type="dxa"/>
            <w:gridSpan w:val="7"/>
          </w:tcPr>
          <w:p w14:paraId="3C6D4CBC" w14:textId="6335BA2A" w:rsidR="001A67A5" w:rsidRDefault="001A67A5" w:rsidP="008F113B">
            <w:pPr>
              <w:pStyle w:val="TableParagraph"/>
              <w:numPr>
                <w:ilvl w:val="0"/>
                <w:numId w:val="4"/>
              </w:numPr>
              <w:spacing w:line="259" w:lineRule="auto"/>
              <w:ind w:right="96"/>
              <w:jc w:val="both"/>
              <w:rPr>
                <w:b/>
                <w:sz w:val="20"/>
              </w:rPr>
            </w:pPr>
            <w:r>
              <w:rPr>
                <w:b/>
                <w:sz w:val="20"/>
              </w:rPr>
              <w:t xml:space="preserve">Návrh zákona, </w:t>
            </w:r>
            <w:r w:rsidR="00B24538" w:rsidRPr="00B24538">
              <w:rPr>
                <w:b/>
                <w:sz w:val="20"/>
              </w:rPr>
              <w:t>ktorým sa mení a dopĺňa zákon č. 245/2008 Z. z. o výchove a vzdelávaní (školský zákon) a o zmene a doplnení niektorých zákonov v znení neskorších predpisov a ktorým sa menia a dopĺňajú niektoré zákony</w:t>
            </w:r>
          </w:p>
          <w:p w14:paraId="04D27E34" w14:textId="50520216" w:rsidR="008F113B" w:rsidRPr="009332C4" w:rsidRDefault="008F113B" w:rsidP="008F113B">
            <w:pPr>
              <w:pStyle w:val="TableParagraph"/>
              <w:numPr>
                <w:ilvl w:val="0"/>
                <w:numId w:val="4"/>
              </w:numPr>
              <w:spacing w:line="259" w:lineRule="auto"/>
              <w:ind w:right="96"/>
              <w:jc w:val="both"/>
              <w:rPr>
                <w:sz w:val="20"/>
                <w:szCs w:val="20"/>
              </w:rPr>
            </w:pPr>
            <w:r>
              <w:rPr>
                <w:sz w:val="20"/>
                <w:szCs w:val="20"/>
              </w:rPr>
              <w:t xml:space="preserve">Zákon č. </w:t>
            </w:r>
            <w:r w:rsidRPr="008F113B">
              <w:rPr>
                <w:sz w:val="20"/>
                <w:szCs w:val="20"/>
              </w:rPr>
              <w:t>245/2008 Z. z. o výchove a vzdelávaní (školský zákon) a o zmene a doplnení niektorých zákonov v znení neskorších predpisov</w:t>
            </w:r>
          </w:p>
        </w:tc>
      </w:tr>
      <w:tr w:rsidR="001A67A5" w:rsidRPr="009332C4" w14:paraId="2B623D89" w14:textId="77777777" w:rsidTr="00E3343C">
        <w:trPr>
          <w:trHeight w:val="490"/>
        </w:trPr>
        <w:tc>
          <w:tcPr>
            <w:tcW w:w="852" w:type="dxa"/>
          </w:tcPr>
          <w:p w14:paraId="2BABBCEE" w14:textId="77777777" w:rsidR="001A67A5" w:rsidRPr="001A67A5" w:rsidRDefault="001A67A5" w:rsidP="001A67A5">
            <w:pPr>
              <w:pStyle w:val="TableParagraph"/>
              <w:jc w:val="center"/>
              <w:rPr>
                <w:sz w:val="20"/>
                <w:szCs w:val="20"/>
              </w:rPr>
            </w:pPr>
            <w:r w:rsidRPr="001A67A5">
              <w:rPr>
                <w:sz w:val="20"/>
                <w:szCs w:val="20"/>
              </w:rPr>
              <w:t>1</w:t>
            </w:r>
          </w:p>
        </w:tc>
        <w:tc>
          <w:tcPr>
            <w:tcW w:w="5387" w:type="dxa"/>
          </w:tcPr>
          <w:p w14:paraId="767BBCAA" w14:textId="77777777" w:rsidR="001A67A5" w:rsidRPr="001A67A5" w:rsidRDefault="001A67A5" w:rsidP="001A67A5">
            <w:pPr>
              <w:pStyle w:val="TableParagraph"/>
              <w:jc w:val="center"/>
              <w:rPr>
                <w:sz w:val="20"/>
                <w:szCs w:val="20"/>
              </w:rPr>
            </w:pPr>
            <w:r w:rsidRPr="001A67A5">
              <w:rPr>
                <w:sz w:val="20"/>
                <w:szCs w:val="20"/>
              </w:rPr>
              <w:t>2</w:t>
            </w:r>
          </w:p>
        </w:tc>
        <w:tc>
          <w:tcPr>
            <w:tcW w:w="711" w:type="dxa"/>
          </w:tcPr>
          <w:p w14:paraId="0401CD88" w14:textId="77777777" w:rsidR="001A67A5" w:rsidRPr="001A67A5" w:rsidRDefault="001A67A5" w:rsidP="001A67A5">
            <w:pPr>
              <w:pStyle w:val="TableParagraph"/>
              <w:jc w:val="center"/>
              <w:rPr>
                <w:sz w:val="20"/>
                <w:szCs w:val="20"/>
              </w:rPr>
            </w:pPr>
            <w:r w:rsidRPr="001A67A5">
              <w:rPr>
                <w:sz w:val="20"/>
                <w:szCs w:val="20"/>
              </w:rPr>
              <w:t>3</w:t>
            </w:r>
          </w:p>
        </w:tc>
        <w:tc>
          <w:tcPr>
            <w:tcW w:w="992" w:type="dxa"/>
          </w:tcPr>
          <w:p w14:paraId="543692FA" w14:textId="77777777" w:rsidR="001A67A5" w:rsidRPr="001A67A5" w:rsidRDefault="001A67A5" w:rsidP="001A67A5">
            <w:pPr>
              <w:pStyle w:val="TableParagraph"/>
              <w:jc w:val="center"/>
              <w:rPr>
                <w:sz w:val="20"/>
                <w:szCs w:val="20"/>
              </w:rPr>
            </w:pPr>
            <w:r w:rsidRPr="001A67A5">
              <w:rPr>
                <w:sz w:val="20"/>
                <w:szCs w:val="20"/>
              </w:rPr>
              <w:t>4</w:t>
            </w:r>
          </w:p>
        </w:tc>
        <w:tc>
          <w:tcPr>
            <w:tcW w:w="852" w:type="dxa"/>
          </w:tcPr>
          <w:p w14:paraId="4CB15FFB" w14:textId="77777777" w:rsidR="001A67A5" w:rsidRPr="001A67A5" w:rsidRDefault="001A67A5" w:rsidP="001A67A5">
            <w:pPr>
              <w:pStyle w:val="TableParagraph"/>
              <w:jc w:val="center"/>
              <w:rPr>
                <w:sz w:val="20"/>
                <w:szCs w:val="20"/>
              </w:rPr>
            </w:pPr>
            <w:r w:rsidRPr="001A67A5">
              <w:rPr>
                <w:sz w:val="20"/>
                <w:szCs w:val="20"/>
              </w:rPr>
              <w:t>5</w:t>
            </w:r>
          </w:p>
        </w:tc>
        <w:tc>
          <w:tcPr>
            <w:tcW w:w="3826" w:type="dxa"/>
          </w:tcPr>
          <w:p w14:paraId="4BBBEDE2" w14:textId="77777777" w:rsidR="001A67A5" w:rsidRPr="001A67A5" w:rsidRDefault="001A67A5" w:rsidP="001A67A5">
            <w:pPr>
              <w:pStyle w:val="TableParagraph"/>
              <w:jc w:val="center"/>
              <w:rPr>
                <w:sz w:val="20"/>
                <w:szCs w:val="20"/>
              </w:rPr>
            </w:pPr>
            <w:r w:rsidRPr="001A67A5">
              <w:rPr>
                <w:sz w:val="20"/>
                <w:szCs w:val="20"/>
              </w:rPr>
              <w:t>6</w:t>
            </w:r>
          </w:p>
        </w:tc>
        <w:tc>
          <w:tcPr>
            <w:tcW w:w="993" w:type="dxa"/>
          </w:tcPr>
          <w:p w14:paraId="03A1DECE" w14:textId="77777777" w:rsidR="001A67A5" w:rsidRPr="001A67A5" w:rsidRDefault="001A67A5" w:rsidP="001A67A5">
            <w:pPr>
              <w:pStyle w:val="TableParagraph"/>
              <w:jc w:val="center"/>
              <w:rPr>
                <w:sz w:val="20"/>
                <w:szCs w:val="20"/>
              </w:rPr>
            </w:pPr>
            <w:r w:rsidRPr="001A67A5">
              <w:rPr>
                <w:sz w:val="20"/>
                <w:szCs w:val="20"/>
              </w:rPr>
              <w:t>7</w:t>
            </w:r>
          </w:p>
        </w:tc>
        <w:tc>
          <w:tcPr>
            <w:tcW w:w="849" w:type="dxa"/>
          </w:tcPr>
          <w:p w14:paraId="73ED474B" w14:textId="77777777" w:rsidR="001A67A5" w:rsidRPr="001A67A5" w:rsidRDefault="001A67A5" w:rsidP="001A67A5">
            <w:pPr>
              <w:pStyle w:val="TableParagraph"/>
              <w:spacing w:line="205" w:lineRule="exact"/>
              <w:ind w:left="109"/>
              <w:jc w:val="center"/>
              <w:rPr>
                <w:sz w:val="20"/>
                <w:szCs w:val="20"/>
              </w:rPr>
            </w:pPr>
            <w:r w:rsidRPr="001A67A5">
              <w:rPr>
                <w:sz w:val="20"/>
                <w:szCs w:val="20"/>
              </w:rPr>
              <w:t>8</w:t>
            </w:r>
          </w:p>
        </w:tc>
        <w:tc>
          <w:tcPr>
            <w:tcW w:w="707" w:type="dxa"/>
          </w:tcPr>
          <w:p w14:paraId="70D50CDE" w14:textId="77777777" w:rsidR="001A67A5" w:rsidRPr="001A67A5" w:rsidRDefault="001A67A5" w:rsidP="001A67A5">
            <w:pPr>
              <w:pStyle w:val="TableParagraph"/>
              <w:jc w:val="center"/>
              <w:rPr>
                <w:sz w:val="20"/>
                <w:szCs w:val="20"/>
              </w:rPr>
            </w:pPr>
            <w:r w:rsidRPr="001A67A5">
              <w:rPr>
                <w:sz w:val="20"/>
                <w:szCs w:val="20"/>
              </w:rPr>
              <w:t>9</w:t>
            </w:r>
          </w:p>
        </w:tc>
        <w:tc>
          <w:tcPr>
            <w:tcW w:w="851" w:type="dxa"/>
          </w:tcPr>
          <w:p w14:paraId="385B8DF8" w14:textId="77777777" w:rsidR="001A67A5" w:rsidRPr="001A67A5" w:rsidRDefault="001A67A5" w:rsidP="001A67A5">
            <w:pPr>
              <w:pStyle w:val="TableParagraph"/>
              <w:jc w:val="center"/>
              <w:rPr>
                <w:sz w:val="20"/>
                <w:szCs w:val="20"/>
              </w:rPr>
            </w:pPr>
            <w:r w:rsidRPr="001A67A5">
              <w:rPr>
                <w:sz w:val="20"/>
                <w:szCs w:val="20"/>
              </w:rPr>
              <w:t>10</w:t>
            </w:r>
          </w:p>
        </w:tc>
      </w:tr>
      <w:tr w:rsidR="001A67A5" w:rsidRPr="009332C4" w14:paraId="5AE814CB" w14:textId="77777777" w:rsidTr="00E3343C">
        <w:trPr>
          <w:trHeight w:val="490"/>
        </w:trPr>
        <w:tc>
          <w:tcPr>
            <w:tcW w:w="852" w:type="dxa"/>
          </w:tcPr>
          <w:p w14:paraId="72DF6D75" w14:textId="77777777" w:rsidR="001A67A5" w:rsidRPr="001A67A5" w:rsidRDefault="001A67A5" w:rsidP="002D35A7">
            <w:pPr>
              <w:pStyle w:val="TableParagraph"/>
              <w:jc w:val="center"/>
              <w:rPr>
                <w:sz w:val="20"/>
                <w:szCs w:val="20"/>
              </w:rPr>
            </w:pPr>
            <w:r w:rsidRPr="001A67A5">
              <w:rPr>
                <w:sz w:val="20"/>
                <w:szCs w:val="20"/>
              </w:rPr>
              <w:t>Článok</w:t>
            </w:r>
          </w:p>
          <w:p w14:paraId="007726A8" w14:textId="77777777" w:rsidR="001A67A5" w:rsidRPr="001A67A5" w:rsidRDefault="001A67A5" w:rsidP="002D35A7">
            <w:pPr>
              <w:pStyle w:val="TableParagraph"/>
              <w:jc w:val="center"/>
              <w:rPr>
                <w:sz w:val="20"/>
                <w:szCs w:val="20"/>
              </w:rPr>
            </w:pPr>
            <w:r w:rsidRPr="001A67A5">
              <w:rPr>
                <w:sz w:val="20"/>
                <w:szCs w:val="20"/>
              </w:rPr>
              <w:t>(Č, O,</w:t>
            </w:r>
          </w:p>
          <w:p w14:paraId="7612A5F6" w14:textId="77777777" w:rsidR="001A67A5" w:rsidRPr="00F72F32" w:rsidRDefault="001A67A5" w:rsidP="002D35A7">
            <w:pPr>
              <w:pStyle w:val="TableParagraph"/>
              <w:jc w:val="center"/>
              <w:rPr>
                <w:sz w:val="20"/>
                <w:szCs w:val="20"/>
              </w:rPr>
            </w:pPr>
            <w:r w:rsidRPr="001A67A5">
              <w:rPr>
                <w:sz w:val="20"/>
                <w:szCs w:val="20"/>
              </w:rPr>
              <w:t>V, P)</w:t>
            </w:r>
          </w:p>
        </w:tc>
        <w:tc>
          <w:tcPr>
            <w:tcW w:w="5387" w:type="dxa"/>
          </w:tcPr>
          <w:p w14:paraId="4475D1A5" w14:textId="77777777" w:rsidR="001A67A5" w:rsidRPr="00F72F32" w:rsidRDefault="001A67A5" w:rsidP="002D35A7">
            <w:pPr>
              <w:pStyle w:val="TableParagraph"/>
              <w:jc w:val="center"/>
              <w:rPr>
                <w:sz w:val="20"/>
                <w:szCs w:val="20"/>
              </w:rPr>
            </w:pPr>
            <w:r w:rsidRPr="001A67A5">
              <w:rPr>
                <w:sz w:val="20"/>
                <w:szCs w:val="20"/>
              </w:rPr>
              <w:t>Text</w:t>
            </w:r>
          </w:p>
        </w:tc>
        <w:tc>
          <w:tcPr>
            <w:tcW w:w="711" w:type="dxa"/>
          </w:tcPr>
          <w:p w14:paraId="76F86EF2" w14:textId="77777777" w:rsidR="001A67A5" w:rsidRPr="001A67A5" w:rsidRDefault="001A67A5" w:rsidP="002D35A7">
            <w:pPr>
              <w:pStyle w:val="TableParagraph"/>
              <w:jc w:val="center"/>
              <w:rPr>
                <w:sz w:val="20"/>
                <w:szCs w:val="20"/>
              </w:rPr>
            </w:pPr>
            <w:proofErr w:type="spellStart"/>
            <w:r w:rsidRPr="001A67A5">
              <w:rPr>
                <w:sz w:val="20"/>
                <w:szCs w:val="20"/>
              </w:rPr>
              <w:t>Spôs</w:t>
            </w:r>
            <w:proofErr w:type="spellEnd"/>
          </w:p>
          <w:p w14:paraId="33C5291C" w14:textId="77777777" w:rsidR="001A67A5" w:rsidRPr="001A67A5" w:rsidRDefault="001A67A5" w:rsidP="002D35A7">
            <w:pPr>
              <w:pStyle w:val="TableParagraph"/>
              <w:jc w:val="center"/>
              <w:rPr>
                <w:sz w:val="20"/>
                <w:szCs w:val="20"/>
              </w:rPr>
            </w:pPr>
            <w:proofErr w:type="spellStart"/>
            <w:r w:rsidRPr="001A67A5">
              <w:rPr>
                <w:sz w:val="20"/>
                <w:szCs w:val="20"/>
              </w:rPr>
              <w:t>ob</w:t>
            </w:r>
            <w:proofErr w:type="spellEnd"/>
          </w:p>
          <w:p w14:paraId="2DC6DFEE" w14:textId="77777777" w:rsidR="001A67A5" w:rsidRPr="001A67A5" w:rsidRDefault="001A67A5" w:rsidP="002D35A7">
            <w:pPr>
              <w:pStyle w:val="TableParagraph"/>
              <w:jc w:val="center"/>
              <w:rPr>
                <w:sz w:val="20"/>
                <w:szCs w:val="20"/>
              </w:rPr>
            </w:pPr>
            <w:proofErr w:type="spellStart"/>
            <w:r w:rsidRPr="001A67A5">
              <w:rPr>
                <w:sz w:val="20"/>
                <w:szCs w:val="20"/>
              </w:rPr>
              <w:t>trans</w:t>
            </w:r>
            <w:proofErr w:type="spellEnd"/>
          </w:p>
          <w:p w14:paraId="41896F40" w14:textId="77777777" w:rsidR="001A67A5" w:rsidRPr="002D35A7" w:rsidRDefault="002D35A7" w:rsidP="002D35A7">
            <w:pPr>
              <w:pStyle w:val="TableParagraph"/>
              <w:jc w:val="center"/>
              <w:rPr>
                <w:sz w:val="20"/>
                <w:szCs w:val="20"/>
              </w:rPr>
            </w:pPr>
            <w:r>
              <w:rPr>
                <w:sz w:val="20"/>
                <w:szCs w:val="20"/>
              </w:rPr>
              <w:t>pozície</w:t>
            </w:r>
          </w:p>
        </w:tc>
        <w:tc>
          <w:tcPr>
            <w:tcW w:w="992" w:type="dxa"/>
          </w:tcPr>
          <w:p w14:paraId="507DB028" w14:textId="77777777" w:rsidR="001A67A5" w:rsidRPr="001A67A5" w:rsidRDefault="001A67A5" w:rsidP="002D35A7">
            <w:pPr>
              <w:pStyle w:val="TableParagraph"/>
              <w:jc w:val="center"/>
              <w:rPr>
                <w:sz w:val="20"/>
                <w:szCs w:val="20"/>
              </w:rPr>
            </w:pPr>
            <w:r w:rsidRPr="001A67A5">
              <w:rPr>
                <w:sz w:val="20"/>
                <w:szCs w:val="20"/>
              </w:rPr>
              <w:t>Číslo</w:t>
            </w:r>
          </w:p>
        </w:tc>
        <w:tc>
          <w:tcPr>
            <w:tcW w:w="852" w:type="dxa"/>
          </w:tcPr>
          <w:p w14:paraId="00DBDA6F" w14:textId="77777777" w:rsidR="001A67A5" w:rsidRPr="00F72F32" w:rsidRDefault="001A67A5" w:rsidP="002D35A7">
            <w:pPr>
              <w:pStyle w:val="TableParagraph"/>
              <w:jc w:val="center"/>
              <w:rPr>
                <w:sz w:val="20"/>
                <w:szCs w:val="20"/>
              </w:rPr>
            </w:pPr>
            <w:r w:rsidRPr="001A67A5">
              <w:rPr>
                <w:sz w:val="20"/>
                <w:szCs w:val="20"/>
              </w:rPr>
              <w:t>Článok (Č, §, O, V, P)</w:t>
            </w:r>
          </w:p>
        </w:tc>
        <w:tc>
          <w:tcPr>
            <w:tcW w:w="3826" w:type="dxa"/>
          </w:tcPr>
          <w:p w14:paraId="0D577705" w14:textId="77777777" w:rsidR="001A67A5" w:rsidRPr="00F72F32" w:rsidRDefault="001A67A5" w:rsidP="002D35A7">
            <w:pPr>
              <w:pStyle w:val="TableParagraph"/>
              <w:jc w:val="center"/>
              <w:rPr>
                <w:sz w:val="20"/>
                <w:szCs w:val="20"/>
              </w:rPr>
            </w:pPr>
            <w:r>
              <w:rPr>
                <w:spacing w:val="-4"/>
                <w:sz w:val="20"/>
              </w:rPr>
              <w:t>Text</w:t>
            </w:r>
          </w:p>
        </w:tc>
        <w:tc>
          <w:tcPr>
            <w:tcW w:w="993" w:type="dxa"/>
          </w:tcPr>
          <w:p w14:paraId="6F7DB21D" w14:textId="77777777" w:rsidR="001A67A5" w:rsidRPr="002D35A7" w:rsidRDefault="001A67A5" w:rsidP="002D35A7">
            <w:pPr>
              <w:pStyle w:val="TableParagraph"/>
              <w:jc w:val="center"/>
              <w:rPr>
                <w:sz w:val="20"/>
                <w:szCs w:val="20"/>
              </w:rPr>
            </w:pPr>
            <w:r w:rsidRPr="002D35A7">
              <w:rPr>
                <w:spacing w:val="-4"/>
                <w:sz w:val="20"/>
              </w:rPr>
              <w:t>Zhoda</w:t>
            </w:r>
          </w:p>
        </w:tc>
        <w:tc>
          <w:tcPr>
            <w:tcW w:w="849" w:type="dxa"/>
          </w:tcPr>
          <w:p w14:paraId="4426E9D3" w14:textId="77777777" w:rsidR="001A67A5" w:rsidRPr="001A67A5" w:rsidRDefault="001A67A5" w:rsidP="002D35A7">
            <w:pPr>
              <w:pStyle w:val="TableParagraph"/>
              <w:spacing w:line="205" w:lineRule="exact"/>
              <w:ind w:left="109"/>
              <w:jc w:val="center"/>
              <w:rPr>
                <w:sz w:val="20"/>
                <w:szCs w:val="20"/>
              </w:rPr>
            </w:pPr>
            <w:r w:rsidRPr="001A67A5">
              <w:rPr>
                <w:sz w:val="20"/>
                <w:szCs w:val="20"/>
              </w:rPr>
              <w:t>Pozná</w:t>
            </w:r>
          </w:p>
          <w:p w14:paraId="23E51973" w14:textId="77777777" w:rsidR="001A67A5" w:rsidRPr="009332C4" w:rsidRDefault="001A67A5" w:rsidP="002D35A7">
            <w:pPr>
              <w:pStyle w:val="TableParagraph"/>
              <w:spacing w:line="205" w:lineRule="exact"/>
              <w:ind w:left="109"/>
              <w:jc w:val="center"/>
              <w:rPr>
                <w:sz w:val="20"/>
                <w:szCs w:val="20"/>
              </w:rPr>
            </w:pPr>
            <w:proofErr w:type="spellStart"/>
            <w:r w:rsidRPr="001A67A5">
              <w:rPr>
                <w:sz w:val="20"/>
                <w:szCs w:val="20"/>
              </w:rPr>
              <w:t>mky</w:t>
            </w:r>
            <w:proofErr w:type="spellEnd"/>
          </w:p>
        </w:tc>
        <w:tc>
          <w:tcPr>
            <w:tcW w:w="707" w:type="dxa"/>
          </w:tcPr>
          <w:p w14:paraId="270E036E" w14:textId="77777777" w:rsidR="001A67A5" w:rsidRPr="009332C4" w:rsidRDefault="001A67A5" w:rsidP="002D35A7">
            <w:pPr>
              <w:pStyle w:val="TableParagraph"/>
              <w:jc w:val="center"/>
              <w:rPr>
                <w:sz w:val="20"/>
                <w:szCs w:val="20"/>
              </w:rPr>
            </w:pPr>
            <w:proofErr w:type="spellStart"/>
            <w:r w:rsidRPr="001A67A5">
              <w:rPr>
                <w:sz w:val="20"/>
                <w:szCs w:val="20"/>
              </w:rPr>
              <w:t>Identi</w:t>
            </w:r>
            <w:proofErr w:type="spellEnd"/>
            <w:r w:rsidRPr="001A67A5">
              <w:rPr>
                <w:sz w:val="20"/>
                <w:szCs w:val="20"/>
              </w:rPr>
              <w:t xml:space="preserve"> </w:t>
            </w:r>
            <w:proofErr w:type="spellStart"/>
            <w:r w:rsidRPr="001A67A5">
              <w:rPr>
                <w:sz w:val="20"/>
                <w:szCs w:val="20"/>
              </w:rPr>
              <w:t>fikáci</w:t>
            </w:r>
            <w:proofErr w:type="spellEnd"/>
            <w:r w:rsidRPr="001A67A5">
              <w:rPr>
                <w:sz w:val="20"/>
                <w:szCs w:val="20"/>
              </w:rPr>
              <w:t xml:space="preserve"> a </w:t>
            </w:r>
            <w:proofErr w:type="spellStart"/>
            <w:r w:rsidRPr="001A67A5">
              <w:rPr>
                <w:sz w:val="20"/>
                <w:szCs w:val="20"/>
              </w:rPr>
              <w:t>goldp</w:t>
            </w:r>
            <w:proofErr w:type="spellEnd"/>
            <w:r w:rsidRPr="001A67A5">
              <w:rPr>
                <w:sz w:val="20"/>
                <w:szCs w:val="20"/>
              </w:rPr>
              <w:t xml:space="preserve"> </w:t>
            </w:r>
            <w:proofErr w:type="spellStart"/>
            <w:r w:rsidRPr="001A67A5">
              <w:rPr>
                <w:sz w:val="20"/>
                <w:szCs w:val="20"/>
              </w:rPr>
              <w:t>lating</w:t>
            </w:r>
            <w:proofErr w:type="spellEnd"/>
            <w:r w:rsidRPr="001A67A5">
              <w:rPr>
                <w:sz w:val="20"/>
                <w:szCs w:val="20"/>
              </w:rPr>
              <w:t xml:space="preserve"> u</w:t>
            </w:r>
          </w:p>
        </w:tc>
        <w:tc>
          <w:tcPr>
            <w:tcW w:w="851" w:type="dxa"/>
          </w:tcPr>
          <w:p w14:paraId="5FA664B5" w14:textId="77777777" w:rsidR="001A67A5" w:rsidRPr="001A67A5" w:rsidRDefault="001A67A5" w:rsidP="002D35A7">
            <w:pPr>
              <w:pStyle w:val="TableParagraph"/>
              <w:jc w:val="center"/>
              <w:rPr>
                <w:sz w:val="20"/>
                <w:szCs w:val="20"/>
              </w:rPr>
            </w:pPr>
            <w:proofErr w:type="spellStart"/>
            <w:r w:rsidRPr="001A67A5">
              <w:rPr>
                <w:sz w:val="20"/>
                <w:szCs w:val="20"/>
              </w:rPr>
              <w:t>Identifi</w:t>
            </w:r>
            <w:proofErr w:type="spellEnd"/>
          </w:p>
          <w:p w14:paraId="0D72541D" w14:textId="77777777" w:rsidR="001A67A5" w:rsidRPr="001A67A5" w:rsidRDefault="001A67A5" w:rsidP="002D35A7">
            <w:pPr>
              <w:pStyle w:val="TableParagraph"/>
              <w:jc w:val="center"/>
              <w:rPr>
                <w:sz w:val="20"/>
                <w:szCs w:val="20"/>
              </w:rPr>
            </w:pPr>
            <w:proofErr w:type="spellStart"/>
            <w:r w:rsidRPr="001A67A5">
              <w:rPr>
                <w:sz w:val="20"/>
                <w:szCs w:val="20"/>
              </w:rPr>
              <w:t>kácia</w:t>
            </w:r>
            <w:proofErr w:type="spellEnd"/>
          </w:p>
          <w:p w14:paraId="7611A6A3" w14:textId="77777777" w:rsidR="001A67A5" w:rsidRPr="001A67A5" w:rsidRDefault="001A67A5" w:rsidP="002D35A7">
            <w:pPr>
              <w:pStyle w:val="TableParagraph"/>
              <w:jc w:val="center"/>
              <w:rPr>
                <w:sz w:val="20"/>
                <w:szCs w:val="20"/>
              </w:rPr>
            </w:pPr>
            <w:r w:rsidRPr="001A67A5">
              <w:rPr>
                <w:sz w:val="20"/>
                <w:szCs w:val="20"/>
              </w:rPr>
              <w:t>oblasti</w:t>
            </w:r>
          </w:p>
          <w:p w14:paraId="1E32ADB5" w14:textId="77777777" w:rsidR="001A67A5" w:rsidRPr="001A67A5" w:rsidRDefault="001A67A5" w:rsidP="002D35A7">
            <w:pPr>
              <w:pStyle w:val="TableParagraph"/>
              <w:jc w:val="center"/>
              <w:rPr>
                <w:sz w:val="20"/>
                <w:szCs w:val="20"/>
              </w:rPr>
            </w:pPr>
            <w:proofErr w:type="spellStart"/>
            <w:r w:rsidRPr="001A67A5">
              <w:rPr>
                <w:sz w:val="20"/>
                <w:szCs w:val="20"/>
              </w:rPr>
              <w:t>gold</w:t>
            </w:r>
            <w:proofErr w:type="spellEnd"/>
            <w:r w:rsidRPr="001A67A5">
              <w:rPr>
                <w:sz w:val="20"/>
                <w:szCs w:val="20"/>
              </w:rPr>
              <w:t>-</w:t>
            </w:r>
          </w:p>
          <w:p w14:paraId="193EC136" w14:textId="77777777" w:rsidR="001A67A5" w:rsidRPr="001A67A5" w:rsidRDefault="001A67A5" w:rsidP="002D35A7">
            <w:pPr>
              <w:pStyle w:val="TableParagraph"/>
              <w:jc w:val="center"/>
              <w:rPr>
                <w:sz w:val="20"/>
                <w:szCs w:val="20"/>
              </w:rPr>
            </w:pPr>
            <w:proofErr w:type="spellStart"/>
            <w:r w:rsidRPr="001A67A5">
              <w:rPr>
                <w:sz w:val="20"/>
                <w:szCs w:val="20"/>
              </w:rPr>
              <w:t>plating</w:t>
            </w:r>
            <w:proofErr w:type="spellEnd"/>
          </w:p>
          <w:p w14:paraId="178700E6" w14:textId="77777777" w:rsidR="001A67A5" w:rsidRPr="001A67A5" w:rsidRDefault="001A67A5" w:rsidP="002D35A7">
            <w:pPr>
              <w:pStyle w:val="TableParagraph"/>
              <w:jc w:val="center"/>
              <w:rPr>
                <w:sz w:val="20"/>
                <w:szCs w:val="20"/>
              </w:rPr>
            </w:pPr>
            <w:r w:rsidRPr="001A67A5">
              <w:rPr>
                <w:sz w:val="20"/>
                <w:szCs w:val="20"/>
              </w:rPr>
              <w:t>u a</w:t>
            </w:r>
          </w:p>
          <w:p w14:paraId="313A2796" w14:textId="77777777" w:rsidR="001A67A5" w:rsidRPr="001A67A5" w:rsidRDefault="001A67A5" w:rsidP="002D35A7">
            <w:pPr>
              <w:pStyle w:val="TableParagraph"/>
              <w:jc w:val="center"/>
              <w:rPr>
                <w:sz w:val="20"/>
                <w:szCs w:val="20"/>
              </w:rPr>
            </w:pPr>
            <w:proofErr w:type="spellStart"/>
            <w:r w:rsidRPr="001A67A5">
              <w:rPr>
                <w:sz w:val="20"/>
                <w:szCs w:val="20"/>
              </w:rPr>
              <w:t>vyjadre</w:t>
            </w:r>
            <w:proofErr w:type="spellEnd"/>
          </w:p>
          <w:p w14:paraId="1F0D6988" w14:textId="77777777" w:rsidR="001A67A5" w:rsidRPr="001A67A5" w:rsidRDefault="001A67A5" w:rsidP="002D35A7">
            <w:pPr>
              <w:pStyle w:val="TableParagraph"/>
              <w:jc w:val="center"/>
              <w:rPr>
                <w:sz w:val="20"/>
                <w:szCs w:val="20"/>
              </w:rPr>
            </w:pPr>
            <w:r w:rsidRPr="001A67A5">
              <w:rPr>
                <w:sz w:val="20"/>
                <w:szCs w:val="20"/>
              </w:rPr>
              <w:t>nie k</w:t>
            </w:r>
          </w:p>
          <w:p w14:paraId="6096372F" w14:textId="77777777" w:rsidR="001A67A5" w:rsidRPr="001A67A5" w:rsidRDefault="001A67A5" w:rsidP="002D35A7">
            <w:pPr>
              <w:pStyle w:val="TableParagraph"/>
              <w:jc w:val="center"/>
              <w:rPr>
                <w:sz w:val="20"/>
                <w:szCs w:val="20"/>
              </w:rPr>
            </w:pPr>
            <w:proofErr w:type="spellStart"/>
            <w:r w:rsidRPr="001A67A5">
              <w:rPr>
                <w:sz w:val="20"/>
                <w:szCs w:val="20"/>
              </w:rPr>
              <w:t>opodsta</w:t>
            </w:r>
            <w:proofErr w:type="spellEnd"/>
          </w:p>
          <w:p w14:paraId="7DCFE96D" w14:textId="77777777" w:rsidR="001A67A5" w:rsidRPr="001A67A5" w:rsidRDefault="001A67A5" w:rsidP="002D35A7">
            <w:pPr>
              <w:pStyle w:val="TableParagraph"/>
              <w:jc w:val="center"/>
              <w:rPr>
                <w:sz w:val="20"/>
                <w:szCs w:val="20"/>
              </w:rPr>
            </w:pPr>
            <w:proofErr w:type="spellStart"/>
            <w:r w:rsidRPr="001A67A5">
              <w:rPr>
                <w:sz w:val="20"/>
                <w:szCs w:val="20"/>
              </w:rPr>
              <w:t>tnenosti</w:t>
            </w:r>
            <w:proofErr w:type="spellEnd"/>
          </w:p>
          <w:p w14:paraId="2C3AF542" w14:textId="77777777" w:rsidR="001A67A5" w:rsidRPr="001A67A5" w:rsidRDefault="001A67A5" w:rsidP="002D35A7">
            <w:pPr>
              <w:pStyle w:val="TableParagraph"/>
              <w:jc w:val="center"/>
              <w:rPr>
                <w:sz w:val="20"/>
                <w:szCs w:val="20"/>
              </w:rPr>
            </w:pPr>
            <w:proofErr w:type="spellStart"/>
            <w:r w:rsidRPr="001A67A5">
              <w:rPr>
                <w:sz w:val="20"/>
                <w:szCs w:val="20"/>
              </w:rPr>
              <w:t>goldpla</w:t>
            </w:r>
            <w:proofErr w:type="spellEnd"/>
          </w:p>
          <w:p w14:paraId="6CDFA5CA" w14:textId="77777777" w:rsidR="001A67A5" w:rsidRPr="009332C4" w:rsidRDefault="001A67A5" w:rsidP="002D35A7">
            <w:pPr>
              <w:pStyle w:val="TableParagraph"/>
              <w:jc w:val="center"/>
              <w:rPr>
                <w:sz w:val="20"/>
                <w:szCs w:val="20"/>
              </w:rPr>
            </w:pPr>
            <w:proofErr w:type="spellStart"/>
            <w:r w:rsidRPr="001A67A5">
              <w:rPr>
                <w:sz w:val="20"/>
                <w:szCs w:val="20"/>
              </w:rPr>
              <w:t>tingu</w:t>
            </w:r>
            <w:proofErr w:type="spellEnd"/>
            <w:r w:rsidRPr="001A67A5">
              <w:rPr>
                <w:sz w:val="20"/>
                <w:szCs w:val="20"/>
              </w:rPr>
              <w:t>*</w:t>
            </w:r>
          </w:p>
        </w:tc>
      </w:tr>
      <w:tr w:rsidR="00B142E7" w:rsidRPr="009332C4" w14:paraId="5DF8904F" w14:textId="77777777" w:rsidTr="00E3343C">
        <w:trPr>
          <w:trHeight w:val="490"/>
        </w:trPr>
        <w:tc>
          <w:tcPr>
            <w:tcW w:w="852" w:type="dxa"/>
          </w:tcPr>
          <w:p w14:paraId="1472847E" w14:textId="77777777" w:rsidR="00C45E73" w:rsidRPr="002F4CA9" w:rsidRDefault="00C45E73" w:rsidP="00C45E73">
            <w:pPr>
              <w:jc w:val="both"/>
              <w:rPr>
                <w:sz w:val="20"/>
                <w:szCs w:val="20"/>
              </w:rPr>
            </w:pPr>
            <w:r w:rsidRPr="002F4CA9">
              <w:rPr>
                <w:sz w:val="20"/>
                <w:szCs w:val="20"/>
              </w:rPr>
              <w:t xml:space="preserve">Č: </w:t>
            </w:r>
            <w:r w:rsidR="000463DE">
              <w:rPr>
                <w:sz w:val="20"/>
                <w:szCs w:val="20"/>
              </w:rPr>
              <w:t>1</w:t>
            </w:r>
          </w:p>
          <w:p w14:paraId="085199F6" w14:textId="77777777" w:rsidR="00C45E73" w:rsidRPr="002F4CA9" w:rsidRDefault="00C45E73" w:rsidP="00C45E73">
            <w:pPr>
              <w:jc w:val="both"/>
              <w:rPr>
                <w:sz w:val="20"/>
                <w:szCs w:val="20"/>
              </w:rPr>
            </w:pPr>
          </w:p>
          <w:p w14:paraId="3D8C3115" w14:textId="77777777" w:rsidR="00B142E7" w:rsidRPr="009332C4" w:rsidRDefault="00B142E7" w:rsidP="00F72F32">
            <w:pPr>
              <w:pStyle w:val="TableParagraph"/>
              <w:rPr>
                <w:sz w:val="20"/>
                <w:szCs w:val="20"/>
              </w:rPr>
            </w:pPr>
          </w:p>
        </w:tc>
        <w:tc>
          <w:tcPr>
            <w:tcW w:w="5387" w:type="dxa"/>
          </w:tcPr>
          <w:p w14:paraId="4643CDBE" w14:textId="77777777" w:rsidR="0017490A" w:rsidRPr="009332C4" w:rsidRDefault="000463DE" w:rsidP="000463DE">
            <w:pPr>
              <w:pStyle w:val="TableParagraph"/>
              <w:jc w:val="both"/>
              <w:rPr>
                <w:sz w:val="20"/>
                <w:szCs w:val="20"/>
              </w:rPr>
            </w:pPr>
            <w:r w:rsidRPr="000463DE">
              <w:rPr>
                <w:sz w:val="20"/>
                <w:szCs w:val="20"/>
              </w:rPr>
              <w:t>Táto smernica sa vzťahuje na deti, pre ktoré je školská dochádzka povinná podľa právnych predpisov hostiteľského štátu, sú rodinnými príslušníkmi ktoréhokoľvek pracovníka, ktorý je štátnym príslušníkom iného členského štátu, kde majú tieto deti pobyt a v ktorom tento štátny príslušník vykonáva alebo vykonával činnosť ako zamestnanec.</w:t>
            </w:r>
          </w:p>
        </w:tc>
        <w:tc>
          <w:tcPr>
            <w:tcW w:w="711" w:type="dxa"/>
          </w:tcPr>
          <w:p w14:paraId="3238C711" w14:textId="77777777" w:rsidR="00B142E7" w:rsidRPr="00F72F32" w:rsidRDefault="00F72F32" w:rsidP="00F72F32">
            <w:pPr>
              <w:pStyle w:val="TableParagraph"/>
              <w:jc w:val="center"/>
              <w:rPr>
                <w:b/>
                <w:sz w:val="20"/>
                <w:szCs w:val="20"/>
              </w:rPr>
            </w:pPr>
            <w:r w:rsidRPr="00F72F32">
              <w:rPr>
                <w:b/>
                <w:sz w:val="20"/>
                <w:szCs w:val="20"/>
              </w:rPr>
              <w:t>N</w:t>
            </w:r>
          </w:p>
        </w:tc>
        <w:tc>
          <w:tcPr>
            <w:tcW w:w="992" w:type="dxa"/>
          </w:tcPr>
          <w:p w14:paraId="4739B73C" w14:textId="3DC85E23" w:rsidR="00D679CC" w:rsidRPr="008D0CD7" w:rsidRDefault="0024561D" w:rsidP="00D679CC">
            <w:pPr>
              <w:pStyle w:val="Normlny0"/>
              <w:jc w:val="center"/>
              <w:rPr>
                <w:b/>
              </w:rPr>
            </w:pPr>
            <w:r w:rsidRPr="008D0CD7">
              <w:rPr>
                <w:b/>
              </w:rPr>
              <w:t>Návrh z</w:t>
            </w:r>
            <w:r w:rsidR="00D679CC" w:rsidRPr="008D0CD7">
              <w:rPr>
                <w:b/>
              </w:rPr>
              <w:t>ákon</w:t>
            </w:r>
            <w:r w:rsidRPr="008D0CD7">
              <w:rPr>
                <w:b/>
              </w:rPr>
              <w:t>a</w:t>
            </w:r>
            <w:r w:rsidR="00D679CC" w:rsidRPr="008D0CD7">
              <w:rPr>
                <w:b/>
              </w:rPr>
              <w:t xml:space="preserve"> č. .../2025 Z. z.</w:t>
            </w:r>
          </w:p>
          <w:p w14:paraId="0C374D65" w14:textId="77777777" w:rsidR="00F72F32" w:rsidRPr="009332C4" w:rsidRDefault="00F72F32" w:rsidP="00F72F32">
            <w:pPr>
              <w:pStyle w:val="TableParagraph"/>
              <w:jc w:val="center"/>
              <w:rPr>
                <w:sz w:val="20"/>
                <w:szCs w:val="20"/>
              </w:rPr>
            </w:pPr>
          </w:p>
        </w:tc>
        <w:tc>
          <w:tcPr>
            <w:tcW w:w="852" w:type="dxa"/>
          </w:tcPr>
          <w:p w14:paraId="51FB84D4" w14:textId="4DA5CD74" w:rsidR="004A39A6" w:rsidRDefault="004A39A6" w:rsidP="00C45E73">
            <w:pPr>
              <w:rPr>
                <w:sz w:val="20"/>
                <w:szCs w:val="20"/>
              </w:rPr>
            </w:pPr>
            <w:r>
              <w:rPr>
                <w:sz w:val="20"/>
                <w:szCs w:val="20"/>
              </w:rPr>
              <w:t>Č: I</w:t>
            </w:r>
          </w:p>
          <w:p w14:paraId="40A0D1F1" w14:textId="1286A1D8" w:rsidR="00C45E73" w:rsidRDefault="00C45E73" w:rsidP="00C45E73">
            <w:pPr>
              <w:rPr>
                <w:sz w:val="20"/>
                <w:szCs w:val="20"/>
              </w:rPr>
            </w:pPr>
            <w:r w:rsidRPr="00C45E73">
              <w:rPr>
                <w:sz w:val="20"/>
                <w:szCs w:val="20"/>
              </w:rPr>
              <w:t xml:space="preserve">§ </w:t>
            </w:r>
            <w:r w:rsidR="000463DE">
              <w:rPr>
                <w:sz w:val="20"/>
                <w:szCs w:val="20"/>
              </w:rPr>
              <w:t>146</w:t>
            </w:r>
          </w:p>
          <w:p w14:paraId="74A2D181" w14:textId="77777777" w:rsidR="000463DE" w:rsidRPr="00C45E73" w:rsidRDefault="000463DE" w:rsidP="00C45E73">
            <w:pPr>
              <w:rPr>
                <w:sz w:val="20"/>
                <w:szCs w:val="20"/>
              </w:rPr>
            </w:pPr>
            <w:r>
              <w:rPr>
                <w:sz w:val="20"/>
                <w:szCs w:val="20"/>
              </w:rPr>
              <w:t>O: 2</w:t>
            </w:r>
          </w:p>
          <w:p w14:paraId="254C4298" w14:textId="77777777" w:rsidR="00C45E73" w:rsidRPr="00C45E73" w:rsidRDefault="00C45E73" w:rsidP="00C45E73">
            <w:pPr>
              <w:rPr>
                <w:sz w:val="20"/>
                <w:szCs w:val="20"/>
              </w:rPr>
            </w:pPr>
          </w:p>
          <w:p w14:paraId="79A37717" w14:textId="77777777" w:rsidR="00D679CC" w:rsidRPr="00C45E73" w:rsidRDefault="00D679CC" w:rsidP="00D679CC">
            <w:pPr>
              <w:pStyle w:val="Normlny0"/>
              <w:jc w:val="center"/>
            </w:pPr>
          </w:p>
          <w:p w14:paraId="0F1C9E33" w14:textId="77777777" w:rsidR="00D679CC" w:rsidRPr="00C45E73" w:rsidRDefault="00D679CC" w:rsidP="00D679CC">
            <w:pPr>
              <w:pStyle w:val="Normlny0"/>
              <w:jc w:val="center"/>
            </w:pPr>
          </w:p>
          <w:p w14:paraId="57EDD348" w14:textId="77777777" w:rsidR="00843DBE" w:rsidRPr="00C45E73" w:rsidRDefault="00843DBE" w:rsidP="00F72F32">
            <w:pPr>
              <w:pStyle w:val="TableParagraph"/>
              <w:rPr>
                <w:sz w:val="20"/>
                <w:szCs w:val="20"/>
              </w:rPr>
            </w:pPr>
          </w:p>
        </w:tc>
        <w:tc>
          <w:tcPr>
            <w:tcW w:w="3826" w:type="dxa"/>
          </w:tcPr>
          <w:p w14:paraId="131DE85E" w14:textId="4F703ED1" w:rsidR="000463DE" w:rsidRPr="008D0CD7" w:rsidRDefault="000463DE" w:rsidP="000463DE">
            <w:pPr>
              <w:jc w:val="both"/>
              <w:rPr>
                <w:b/>
                <w:sz w:val="20"/>
                <w:szCs w:val="20"/>
              </w:rPr>
            </w:pPr>
            <w:r w:rsidRPr="008D0CD7">
              <w:rPr>
                <w:b/>
                <w:sz w:val="20"/>
                <w:szCs w:val="20"/>
              </w:rPr>
              <w:t xml:space="preserve">(2) </w:t>
            </w:r>
            <w:r w:rsidR="002A09F8" w:rsidRPr="008D0CD7">
              <w:rPr>
                <w:b/>
                <w:sz w:val="20"/>
                <w:szCs w:val="20"/>
              </w:rPr>
              <w:t>Cudzincom podľa odseku 1 sa poskytuje výchova a vzdelávanie, ubytovanie a stravovanie v školách podľa tohto zákona za tých istých podmienok ako občanom Slovenskej republiky.</w:t>
            </w:r>
          </w:p>
        </w:tc>
        <w:tc>
          <w:tcPr>
            <w:tcW w:w="993" w:type="dxa"/>
          </w:tcPr>
          <w:p w14:paraId="7D680A81" w14:textId="77777777" w:rsidR="00B142E7" w:rsidRPr="00194BA5" w:rsidRDefault="00194BA5" w:rsidP="00194BA5">
            <w:pPr>
              <w:pStyle w:val="TableParagraph"/>
              <w:jc w:val="center"/>
              <w:rPr>
                <w:b/>
                <w:sz w:val="20"/>
                <w:szCs w:val="20"/>
              </w:rPr>
            </w:pPr>
            <w:r w:rsidRPr="00194BA5">
              <w:rPr>
                <w:b/>
                <w:sz w:val="20"/>
                <w:szCs w:val="20"/>
              </w:rPr>
              <w:t>Ú</w:t>
            </w:r>
          </w:p>
        </w:tc>
        <w:tc>
          <w:tcPr>
            <w:tcW w:w="849" w:type="dxa"/>
          </w:tcPr>
          <w:p w14:paraId="1B67E516" w14:textId="77777777" w:rsidR="00B142E7" w:rsidRPr="009332C4" w:rsidRDefault="00B142E7">
            <w:pPr>
              <w:pStyle w:val="TableParagraph"/>
              <w:spacing w:line="205" w:lineRule="exact"/>
              <w:ind w:left="109"/>
              <w:rPr>
                <w:sz w:val="20"/>
                <w:szCs w:val="20"/>
              </w:rPr>
            </w:pPr>
          </w:p>
        </w:tc>
        <w:tc>
          <w:tcPr>
            <w:tcW w:w="707" w:type="dxa"/>
          </w:tcPr>
          <w:p w14:paraId="7BCC37F5" w14:textId="77777777" w:rsidR="00B142E7" w:rsidRPr="009332C4" w:rsidRDefault="009515B6" w:rsidP="009515B6">
            <w:pPr>
              <w:pStyle w:val="TableParagraph"/>
              <w:jc w:val="center"/>
              <w:rPr>
                <w:sz w:val="20"/>
                <w:szCs w:val="20"/>
              </w:rPr>
            </w:pPr>
            <w:r>
              <w:rPr>
                <w:sz w:val="20"/>
                <w:szCs w:val="20"/>
              </w:rPr>
              <w:t>GP - N</w:t>
            </w:r>
          </w:p>
        </w:tc>
        <w:tc>
          <w:tcPr>
            <w:tcW w:w="851" w:type="dxa"/>
          </w:tcPr>
          <w:p w14:paraId="648BB055" w14:textId="77777777" w:rsidR="00B142E7" w:rsidRPr="009332C4" w:rsidRDefault="00B142E7">
            <w:pPr>
              <w:pStyle w:val="TableParagraph"/>
              <w:rPr>
                <w:sz w:val="20"/>
                <w:szCs w:val="20"/>
              </w:rPr>
            </w:pPr>
          </w:p>
        </w:tc>
      </w:tr>
      <w:tr w:rsidR="00FC6072" w:rsidRPr="009332C4" w14:paraId="4F1AC899" w14:textId="77777777" w:rsidTr="00E3343C">
        <w:trPr>
          <w:trHeight w:val="490"/>
        </w:trPr>
        <w:tc>
          <w:tcPr>
            <w:tcW w:w="852" w:type="dxa"/>
          </w:tcPr>
          <w:p w14:paraId="1CD1A1E2" w14:textId="2C353348" w:rsidR="00FC6072" w:rsidRPr="002F4CA9" w:rsidRDefault="00FC6072" w:rsidP="00C45E73">
            <w:pPr>
              <w:jc w:val="both"/>
              <w:rPr>
                <w:sz w:val="20"/>
                <w:szCs w:val="20"/>
              </w:rPr>
            </w:pPr>
            <w:r>
              <w:rPr>
                <w:sz w:val="20"/>
                <w:szCs w:val="20"/>
              </w:rPr>
              <w:t>Č: 2</w:t>
            </w:r>
          </w:p>
        </w:tc>
        <w:tc>
          <w:tcPr>
            <w:tcW w:w="5387" w:type="dxa"/>
          </w:tcPr>
          <w:p w14:paraId="6DC4D97D" w14:textId="77777777" w:rsidR="00FC6072" w:rsidRPr="006E27CA" w:rsidRDefault="00FC6072" w:rsidP="00FC6072">
            <w:pPr>
              <w:pStyle w:val="TableParagraph"/>
              <w:rPr>
                <w:sz w:val="20"/>
                <w:szCs w:val="20"/>
              </w:rPr>
            </w:pPr>
            <w:r w:rsidRPr="006E27CA">
              <w:rPr>
                <w:sz w:val="20"/>
                <w:szCs w:val="20"/>
              </w:rPr>
              <w:t>Členské štáty v súlade so svojimi vnútroštátnymi okolnosťami a právnymi systémami prijmú vhodné opatrenia na zabezpečenie toho, aby sa deťom uvedeným v článku 1 na ich území ponúkalo bezplatné školné na uľahčenie prvého prijatia, a to najmä vrátane výučby úradného jazyka alebo jedného z úradných jazykov hostiteľského štátu prispôsobenej špecifickým potrebám takýchto detí.</w:t>
            </w:r>
          </w:p>
          <w:p w14:paraId="33D88F6A" w14:textId="77777777" w:rsidR="00FC6072" w:rsidRPr="006E27CA" w:rsidRDefault="00FC6072" w:rsidP="00FC6072">
            <w:pPr>
              <w:pStyle w:val="TableParagraph"/>
              <w:rPr>
                <w:sz w:val="20"/>
                <w:szCs w:val="20"/>
              </w:rPr>
            </w:pPr>
            <w:r w:rsidRPr="006E27CA">
              <w:rPr>
                <w:sz w:val="20"/>
                <w:szCs w:val="20"/>
              </w:rPr>
              <w:lastRenderedPageBreak/>
              <w:t>Členské štáty prijmú opatrenia potrebné na odbornú prípravu a ďalšie vzdelávanie učiteľov, ktorí majú túto výučbu poskytovať.</w:t>
            </w:r>
          </w:p>
          <w:p w14:paraId="313C0B0F" w14:textId="77777777" w:rsidR="00FC6072" w:rsidRPr="006E27CA" w:rsidRDefault="00FC6072" w:rsidP="000463DE">
            <w:pPr>
              <w:pStyle w:val="TableParagraph"/>
              <w:jc w:val="both"/>
              <w:rPr>
                <w:sz w:val="20"/>
                <w:szCs w:val="20"/>
              </w:rPr>
            </w:pPr>
          </w:p>
        </w:tc>
        <w:tc>
          <w:tcPr>
            <w:tcW w:w="711" w:type="dxa"/>
          </w:tcPr>
          <w:p w14:paraId="6780FB84" w14:textId="7FDA3D68" w:rsidR="00FC6072" w:rsidRPr="006E27CA" w:rsidRDefault="00AE2264" w:rsidP="00F72F32">
            <w:pPr>
              <w:pStyle w:val="TableParagraph"/>
              <w:jc w:val="center"/>
              <w:rPr>
                <w:b/>
                <w:sz w:val="20"/>
                <w:szCs w:val="20"/>
              </w:rPr>
            </w:pPr>
            <w:r>
              <w:rPr>
                <w:b/>
                <w:sz w:val="20"/>
                <w:szCs w:val="20"/>
              </w:rPr>
              <w:lastRenderedPageBreak/>
              <w:t>N</w:t>
            </w:r>
          </w:p>
        </w:tc>
        <w:tc>
          <w:tcPr>
            <w:tcW w:w="992" w:type="dxa"/>
          </w:tcPr>
          <w:p w14:paraId="7AB37C41" w14:textId="554C0F9C" w:rsidR="00FC6072" w:rsidRPr="008D0CD7" w:rsidRDefault="0024561D" w:rsidP="00AB3F90">
            <w:pPr>
              <w:jc w:val="center"/>
              <w:rPr>
                <w:b/>
                <w:sz w:val="20"/>
                <w:szCs w:val="20"/>
              </w:rPr>
            </w:pPr>
            <w:r w:rsidRPr="008D0CD7">
              <w:rPr>
                <w:b/>
                <w:sz w:val="20"/>
                <w:szCs w:val="20"/>
              </w:rPr>
              <w:t>Návrh z</w:t>
            </w:r>
            <w:r w:rsidR="00FC6072" w:rsidRPr="008D0CD7">
              <w:rPr>
                <w:b/>
                <w:sz w:val="20"/>
                <w:szCs w:val="20"/>
              </w:rPr>
              <w:t>ákon</w:t>
            </w:r>
            <w:r w:rsidRPr="008D0CD7">
              <w:rPr>
                <w:b/>
                <w:sz w:val="20"/>
                <w:szCs w:val="20"/>
              </w:rPr>
              <w:t>a</w:t>
            </w:r>
            <w:r w:rsidR="00FC6072" w:rsidRPr="008D0CD7">
              <w:rPr>
                <w:b/>
                <w:sz w:val="20"/>
                <w:szCs w:val="20"/>
              </w:rPr>
              <w:t xml:space="preserve"> č. .../2025 Z. z.</w:t>
            </w:r>
          </w:p>
          <w:p w14:paraId="5A3DD237" w14:textId="0CA2B244" w:rsidR="00FC6072" w:rsidRPr="006E27CA" w:rsidRDefault="00FC6072" w:rsidP="00AB3F90">
            <w:pPr>
              <w:rPr>
                <w:sz w:val="20"/>
                <w:szCs w:val="20"/>
              </w:rPr>
            </w:pPr>
          </w:p>
        </w:tc>
        <w:tc>
          <w:tcPr>
            <w:tcW w:w="852" w:type="dxa"/>
          </w:tcPr>
          <w:p w14:paraId="45514907" w14:textId="7DB552AB" w:rsidR="004A39A6" w:rsidRPr="006E27CA" w:rsidRDefault="004A39A6" w:rsidP="00AB3F90">
            <w:pPr>
              <w:rPr>
                <w:sz w:val="20"/>
                <w:szCs w:val="20"/>
              </w:rPr>
            </w:pPr>
            <w:r w:rsidRPr="006E27CA">
              <w:rPr>
                <w:sz w:val="20"/>
                <w:szCs w:val="20"/>
              </w:rPr>
              <w:t>Č: I</w:t>
            </w:r>
          </w:p>
          <w:p w14:paraId="65284919" w14:textId="6CC7BAAC" w:rsidR="00FC6072" w:rsidRPr="006E27CA" w:rsidRDefault="00FC6072" w:rsidP="00AB3F90">
            <w:pPr>
              <w:rPr>
                <w:sz w:val="20"/>
                <w:szCs w:val="20"/>
              </w:rPr>
            </w:pPr>
            <w:r w:rsidRPr="006E27CA">
              <w:rPr>
                <w:sz w:val="20"/>
                <w:szCs w:val="20"/>
              </w:rPr>
              <w:t xml:space="preserve">§ </w:t>
            </w:r>
            <w:r w:rsidR="00AB3F90" w:rsidRPr="006E27CA">
              <w:rPr>
                <w:sz w:val="20"/>
                <w:szCs w:val="20"/>
              </w:rPr>
              <w:t>146</w:t>
            </w:r>
          </w:p>
          <w:p w14:paraId="2B53B9BC" w14:textId="6ADFF469" w:rsidR="00AB3F90" w:rsidRPr="006E27CA" w:rsidRDefault="00AB3F90" w:rsidP="00AB3F90">
            <w:pPr>
              <w:rPr>
                <w:sz w:val="20"/>
                <w:szCs w:val="20"/>
              </w:rPr>
            </w:pPr>
            <w:r w:rsidRPr="006E27CA">
              <w:rPr>
                <w:sz w:val="20"/>
                <w:szCs w:val="20"/>
              </w:rPr>
              <w:t>O: 2,</w:t>
            </w:r>
            <w:r w:rsidR="00BA2BBD">
              <w:rPr>
                <w:sz w:val="20"/>
                <w:szCs w:val="20"/>
              </w:rPr>
              <w:t>3</w:t>
            </w:r>
            <w:r w:rsidRPr="006E27CA">
              <w:rPr>
                <w:sz w:val="20"/>
                <w:szCs w:val="20"/>
              </w:rPr>
              <w:t>,</w:t>
            </w:r>
            <w:r w:rsidR="00BA2BBD">
              <w:rPr>
                <w:sz w:val="20"/>
                <w:szCs w:val="20"/>
              </w:rPr>
              <w:t>7</w:t>
            </w:r>
            <w:r w:rsidRPr="006E27CA">
              <w:rPr>
                <w:sz w:val="20"/>
                <w:szCs w:val="20"/>
              </w:rPr>
              <w:t xml:space="preserve"> a </w:t>
            </w:r>
            <w:r w:rsidR="00DA2FAA">
              <w:rPr>
                <w:sz w:val="20"/>
                <w:szCs w:val="20"/>
              </w:rPr>
              <w:t>1</w:t>
            </w:r>
            <w:r w:rsidR="00BA2BBD">
              <w:rPr>
                <w:sz w:val="20"/>
                <w:szCs w:val="20"/>
              </w:rPr>
              <w:t>0</w:t>
            </w:r>
          </w:p>
          <w:p w14:paraId="0C75488F" w14:textId="77777777" w:rsidR="00AB3F90" w:rsidRPr="006E27CA" w:rsidRDefault="00AB3F90" w:rsidP="00AB3F90">
            <w:pPr>
              <w:rPr>
                <w:sz w:val="20"/>
                <w:szCs w:val="20"/>
              </w:rPr>
            </w:pPr>
          </w:p>
          <w:p w14:paraId="10B66AF7" w14:textId="1CFF6E56" w:rsidR="00AB3F90" w:rsidRPr="006E27CA" w:rsidRDefault="00AB3F90" w:rsidP="00AB3F90">
            <w:pPr>
              <w:rPr>
                <w:sz w:val="20"/>
                <w:szCs w:val="20"/>
              </w:rPr>
            </w:pPr>
          </w:p>
        </w:tc>
        <w:tc>
          <w:tcPr>
            <w:tcW w:w="3826" w:type="dxa"/>
          </w:tcPr>
          <w:p w14:paraId="257AABE0" w14:textId="46F74E42" w:rsidR="00AB3F90" w:rsidRPr="008D0CD7" w:rsidRDefault="00AB3F90" w:rsidP="00AB3F90">
            <w:pPr>
              <w:spacing w:after="120"/>
              <w:jc w:val="both"/>
              <w:rPr>
                <w:b/>
                <w:color w:val="000000" w:themeColor="text1"/>
                <w:sz w:val="20"/>
                <w:szCs w:val="20"/>
              </w:rPr>
            </w:pPr>
            <w:bookmarkStart w:id="0" w:name="paragraf-146.odsek-2.oznacenie"/>
            <w:bookmarkStart w:id="1" w:name="paragraf-146.odsek-2"/>
            <w:r w:rsidRPr="008D0CD7">
              <w:rPr>
                <w:b/>
                <w:color w:val="000000" w:themeColor="text1"/>
                <w:sz w:val="20"/>
                <w:szCs w:val="20"/>
              </w:rPr>
              <w:t xml:space="preserve">(2) </w:t>
            </w:r>
            <w:bookmarkEnd w:id="0"/>
            <w:r w:rsidR="002A09F8" w:rsidRPr="008D0CD7">
              <w:rPr>
                <w:b/>
                <w:color w:val="000000" w:themeColor="text1"/>
                <w:sz w:val="20"/>
                <w:szCs w:val="20"/>
              </w:rPr>
              <w:t>Cudzincom podľa odseku 1 sa poskytuje výchova a vzdelávanie, ubytovanie a stravovanie v školách podľa tohto zákona za tých istých podmienok ako občanom Slovenskej republiky.</w:t>
            </w:r>
            <w:bookmarkStart w:id="2" w:name="paragraf-146.odsek-2.text"/>
            <w:r w:rsidRPr="008D0CD7">
              <w:rPr>
                <w:b/>
                <w:color w:val="000000" w:themeColor="text1"/>
                <w:sz w:val="20"/>
                <w:szCs w:val="20"/>
              </w:rPr>
              <w:t xml:space="preserve"> </w:t>
            </w:r>
            <w:bookmarkEnd w:id="2"/>
          </w:p>
          <w:p w14:paraId="671C5BCB" w14:textId="3409D6E6" w:rsidR="00FC6072" w:rsidRPr="008D0CD7" w:rsidRDefault="00AB3F90" w:rsidP="00AB3F90">
            <w:pPr>
              <w:spacing w:after="120"/>
              <w:jc w:val="both"/>
              <w:rPr>
                <w:b/>
                <w:color w:val="000000" w:themeColor="text1"/>
                <w:sz w:val="20"/>
                <w:szCs w:val="20"/>
              </w:rPr>
            </w:pPr>
            <w:bookmarkStart w:id="3" w:name="paragraf-146.odsek-3.oznacenie"/>
            <w:bookmarkStart w:id="4" w:name="paragraf-146.odsek-3"/>
            <w:r w:rsidRPr="008D0CD7">
              <w:rPr>
                <w:b/>
                <w:color w:val="000000" w:themeColor="text1"/>
                <w:sz w:val="20"/>
                <w:szCs w:val="20"/>
              </w:rPr>
              <w:t>(</w:t>
            </w:r>
            <w:r w:rsidR="00BA2BBD">
              <w:rPr>
                <w:b/>
                <w:color w:val="000000" w:themeColor="text1"/>
                <w:sz w:val="20"/>
                <w:szCs w:val="20"/>
              </w:rPr>
              <w:t>3</w:t>
            </w:r>
            <w:r w:rsidRPr="008D0CD7">
              <w:rPr>
                <w:b/>
                <w:color w:val="000000" w:themeColor="text1"/>
                <w:sz w:val="20"/>
                <w:szCs w:val="20"/>
              </w:rPr>
              <w:t xml:space="preserve">) </w:t>
            </w:r>
            <w:bookmarkStart w:id="5" w:name="paragraf-146.odsek-3.text"/>
            <w:bookmarkEnd w:id="3"/>
            <w:r w:rsidRPr="008D0CD7">
              <w:rPr>
                <w:b/>
                <w:color w:val="000000" w:themeColor="text1"/>
                <w:sz w:val="20"/>
                <w:szCs w:val="20"/>
              </w:rPr>
              <w:t xml:space="preserve">Pre cudzincov sa na odstránenie </w:t>
            </w:r>
            <w:r w:rsidRPr="008D0CD7">
              <w:rPr>
                <w:b/>
                <w:color w:val="000000" w:themeColor="text1"/>
                <w:sz w:val="20"/>
                <w:szCs w:val="20"/>
              </w:rPr>
              <w:lastRenderedPageBreak/>
              <w:t xml:space="preserve">jazykových bariér organizujú </w:t>
            </w:r>
            <w:bookmarkStart w:id="6" w:name="_GoBack"/>
            <w:bookmarkEnd w:id="6"/>
            <w:r w:rsidRPr="008D0CD7">
              <w:rPr>
                <w:b/>
                <w:color w:val="000000" w:themeColor="text1"/>
                <w:sz w:val="20"/>
                <w:szCs w:val="20"/>
              </w:rPr>
              <w:t xml:space="preserve">jazykové kurzy štátneho jazyka. </w:t>
            </w:r>
            <w:bookmarkEnd w:id="1"/>
            <w:bookmarkEnd w:id="4"/>
            <w:bookmarkEnd w:id="5"/>
          </w:p>
          <w:p w14:paraId="45FA6D50" w14:textId="4F053007" w:rsidR="00AB3F90" w:rsidRPr="008D0CD7" w:rsidRDefault="00AB3F90" w:rsidP="00AB3F90">
            <w:pPr>
              <w:spacing w:after="120"/>
              <w:jc w:val="both"/>
              <w:rPr>
                <w:b/>
                <w:color w:val="000000" w:themeColor="text1"/>
                <w:sz w:val="20"/>
                <w:szCs w:val="20"/>
              </w:rPr>
            </w:pPr>
            <w:bookmarkStart w:id="7" w:name="paragraf-146.odsek-5.oznacenie"/>
            <w:bookmarkStart w:id="8" w:name="paragraf-146.odsek-5"/>
            <w:r w:rsidRPr="008D0CD7">
              <w:rPr>
                <w:b/>
                <w:color w:val="000000" w:themeColor="text1"/>
                <w:sz w:val="20"/>
                <w:szCs w:val="20"/>
              </w:rPr>
              <w:t>(</w:t>
            </w:r>
            <w:r w:rsidR="00BA2BBD">
              <w:rPr>
                <w:b/>
                <w:color w:val="000000" w:themeColor="text1"/>
                <w:sz w:val="20"/>
                <w:szCs w:val="20"/>
              </w:rPr>
              <w:t>7</w:t>
            </w:r>
            <w:r w:rsidRPr="008D0CD7">
              <w:rPr>
                <w:b/>
                <w:color w:val="000000" w:themeColor="text1"/>
                <w:sz w:val="20"/>
                <w:szCs w:val="20"/>
              </w:rPr>
              <w:t xml:space="preserve">) </w:t>
            </w:r>
            <w:bookmarkStart w:id="9" w:name="paragraf-146.odsek-5.text"/>
            <w:bookmarkEnd w:id="7"/>
            <w:r w:rsidRPr="008D0CD7">
              <w:rPr>
                <w:b/>
                <w:color w:val="000000" w:themeColor="text1"/>
                <w:sz w:val="20"/>
                <w:szCs w:val="20"/>
              </w:rPr>
              <w:t xml:space="preserve">Pre cudzincov, ktorí sú žiadateľmi o udelenie azylu v azylových zariadeniach, kurzy </w:t>
            </w:r>
            <w:r w:rsidR="0019218D">
              <w:rPr>
                <w:b/>
                <w:color w:val="000000" w:themeColor="text1"/>
                <w:sz w:val="20"/>
                <w:szCs w:val="20"/>
              </w:rPr>
              <w:t>štátneho</w:t>
            </w:r>
            <w:r w:rsidRPr="008D0CD7">
              <w:rPr>
                <w:b/>
                <w:color w:val="000000" w:themeColor="text1"/>
                <w:sz w:val="20"/>
                <w:szCs w:val="20"/>
              </w:rPr>
              <w:t xml:space="preserve"> jazyka odborne a finančne zabezpečuje ministerstvo vnútra. </w:t>
            </w:r>
            <w:bookmarkEnd w:id="9"/>
          </w:p>
          <w:bookmarkEnd w:id="8"/>
          <w:p w14:paraId="42AFC9BF" w14:textId="77777777" w:rsidR="00AB3F90" w:rsidRPr="008D0CD7" w:rsidRDefault="00AB3F90" w:rsidP="000463DE">
            <w:pPr>
              <w:jc w:val="both"/>
              <w:rPr>
                <w:b/>
                <w:color w:val="000000" w:themeColor="text1"/>
                <w:sz w:val="20"/>
                <w:szCs w:val="20"/>
              </w:rPr>
            </w:pPr>
            <w:r w:rsidRPr="008D0CD7">
              <w:rPr>
                <w:b/>
                <w:color w:val="000000" w:themeColor="text1"/>
                <w:sz w:val="20"/>
                <w:szCs w:val="20"/>
              </w:rPr>
              <w:t xml:space="preserve"> </w:t>
            </w:r>
          </w:p>
          <w:p w14:paraId="4132372F" w14:textId="7FB072D5" w:rsidR="00AB3F90" w:rsidRPr="006E27CA" w:rsidRDefault="00AB3F90" w:rsidP="000463DE">
            <w:pPr>
              <w:jc w:val="both"/>
              <w:rPr>
                <w:color w:val="000000" w:themeColor="text1"/>
                <w:sz w:val="20"/>
                <w:szCs w:val="20"/>
              </w:rPr>
            </w:pPr>
            <w:bookmarkStart w:id="10" w:name="paragraf-146.odsek-9.oznacenie"/>
            <w:r w:rsidRPr="008D0CD7">
              <w:rPr>
                <w:b/>
                <w:color w:val="000000" w:themeColor="text1"/>
                <w:sz w:val="20"/>
                <w:szCs w:val="20"/>
              </w:rPr>
              <w:t>(</w:t>
            </w:r>
            <w:r w:rsidR="00F16C10" w:rsidRPr="008D0CD7">
              <w:rPr>
                <w:b/>
                <w:color w:val="000000" w:themeColor="text1"/>
                <w:sz w:val="20"/>
                <w:szCs w:val="20"/>
              </w:rPr>
              <w:t>1</w:t>
            </w:r>
            <w:r w:rsidR="00BA2BBD">
              <w:rPr>
                <w:b/>
                <w:color w:val="000000" w:themeColor="text1"/>
                <w:sz w:val="20"/>
                <w:szCs w:val="20"/>
              </w:rPr>
              <w:t>0</w:t>
            </w:r>
            <w:r w:rsidRPr="008D0CD7">
              <w:rPr>
                <w:b/>
                <w:color w:val="000000" w:themeColor="text1"/>
                <w:sz w:val="20"/>
                <w:szCs w:val="20"/>
              </w:rPr>
              <w:t xml:space="preserve">) </w:t>
            </w:r>
            <w:bookmarkStart w:id="11" w:name="paragraf-146.odsek-9.text"/>
            <w:bookmarkEnd w:id="10"/>
            <w:r w:rsidRPr="008D0CD7">
              <w:rPr>
                <w:b/>
                <w:color w:val="000000" w:themeColor="text1"/>
                <w:sz w:val="20"/>
                <w:szCs w:val="20"/>
              </w:rPr>
              <w:t>Vzdelávanie pedagogických zamestnancov, ktorí vzdelávajú cudzincov podľa odseku 1, odborne, organizačne, metodicky a finančne zabezpečuje ministerstvo školstva.</w:t>
            </w:r>
            <w:bookmarkEnd w:id="11"/>
            <w:r w:rsidRPr="008D0CD7">
              <w:rPr>
                <w:b/>
                <w:color w:val="000000" w:themeColor="text1"/>
                <w:sz w:val="20"/>
                <w:szCs w:val="20"/>
              </w:rPr>
              <w:t xml:space="preserve"> </w:t>
            </w:r>
          </w:p>
        </w:tc>
        <w:tc>
          <w:tcPr>
            <w:tcW w:w="993" w:type="dxa"/>
          </w:tcPr>
          <w:p w14:paraId="3E7BDB6B" w14:textId="0F3306D1" w:rsidR="00FC6072" w:rsidRPr="00194BA5" w:rsidRDefault="004579DE" w:rsidP="00194BA5">
            <w:pPr>
              <w:pStyle w:val="TableParagraph"/>
              <w:jc w:val="center"/>
              <w:rPr>
                <w:b/>
                <w:sz w:val="20"/>
                <w:szCs w:val="20"/>
              </w:rPr>
            </w:pPr>
            <w:r>
              <w:rPr>
                <w:b/>
                <w:sz w:val="20"/>
                <w:szCs w:val="20"/>
              </w:rPr>
              <w:lastRenderedPageBreak/>
              <w:t>Ú</w:t>
            </w:r>
          </w:p>
        </w:tc>
        <w:tc>
          <w:tcPr>
            <w:tcW w:w="849" w:type="dxa"/>
          </w:tcPr>
          <w:p w14:paraId="309D6D71" w14:textId="77777777" w:rsidR="00FC6072" w:rsidRPr="009332C4" w:rsidRDefault="00FC6072">
            <w:pPr>
              <w:pStyle w:val="TableParagraph"/>
              <w:spacing w:line="205" w:lineRule="exact"/>
              <w:ind w:left="109"/>
              <w:rPr>
                <w:sz w:val="20"/>
                <w:szCs w:val="20"/>
              </w:rPr>
            </w:pPr>
          </w:p>
        </w:tc>
        <w:tc>
          <w:tcPr>
            <w:tcW w:w="707" w:type="dxa"/>
          </w:tcPr>
          <w:p w14:paraId="227C4C2A" w14:textId="1BE9AAE2" w:rsidR="00FC6072" w:rsidRDefault="004579DE" w:rsidP="009515B6">
            <w:pPr>
              <w:pStyle w:val="TableParagraph"/>
              <w:jc w:val="center"/>
              <w:rPr>
                <w:sz w:val="20"/>
                <w:szCs w:val="20"/>
              </w:rPr>
            </w:pPr>
            <w:r>
              <w:rPr>
                <w:sz w:val="20"/>
                <w:szCs w:val="20"/>
              </w:rPr>
              <w:t>GP - N</w:t>
            </w:r>
          </w:p>
        </w:tc>
        <w:tc>
          <w:tcPr>
            <w:tcW w:w="851" w:type="dxa"/>
          </w:tcPr>
          <w:p w14:paraId="15829F02" w14:textId="77777777" w:rsidR="00FC6072" w:rsidRPr="009332C4" w:rsidRDefault="00FC6072">
            <w:pPr>
              <w:pStyle w:val="TableParagraph"/>
              <w:rPr>
                <w:sz w:val="20"/>
                <w:szCs w:val="20"/>
              </w:rPr>
            </w:pPr>
          </w:p>
        </w:tc>
      </w:tr>
      <w:tr w:rsidR="004579DE" w:rsidRPr="009332C4" w14:paraId="71F748AA" w14:textId="77777777" w:rsidTr="00E3343C">
        <w:trPr>
          <w:trHeight w:val="490"/>
        </w:trPr>
        <w:tc>
          <w:tcPr>
            <w:tcW w:w="852" w:type="dxa"/>
          </w:tcPr>
          <w:p w14:paraId="55BC5C14" w14:textId="191D9351" w:rsidR="004579DE" w:rsidRPr="002F4CA9" w:rsidRDefault="004579DE" w:rsidP="004579DE">
            <w:pPr>
              <w:jc w:val="both"/>
              <w:rPr>
                <w:sz w:val="20"/>
                <w:szCs w:val="20"/>
              </w:rPr>
            </w:pPr>
            <w:r>
              <w:rPr>
                <w:sz w:val="20"/>
                <w:szCs w:val="20"/>
              </w:rPr>
              <w:t>Č:3</w:t>
            </w:r>
          </w:p>
        </w:tc>
        <w:tc>
          <w:tcPr>
            <w:tcW w:w="5387" w:type="dxa"/>
          </w:tcPr>
          <w:p w14:paraId="362549FA" w14:textId="63853CDC" w:rsidR="004579DE" w:rsidRPr="006E27CA" w:rsidRDefault="004579DE" w:rsidP="004579DE">
            <w:pPr>
              <w:pStyle w:val="TableParagraph"/>
              <w:jc w:val="both"/>
              <w:rPr>
                <w:sz w:val="20"/>
                <w:szCs w:val="20"/>
              </w:rPr>
            </w:pPr>
            <w:r w:rsidRPr="006E27CA">
              <w:rPr>
                <w:sz w:val="20"/>
                <w:szCs w:val="20"/>
              </w:rPr>
              <w:t xml:space="preserve">Členské štáty v súlade so svojimi vnútroštátnymi okolnosťami a právnymi systémami a v spolupráci so štátmi pôvodu prijmú vhodné opatrenia na podporu výučby materinského jazyka a kultúry krajiny pôvodu pre deti uvedené v článku 1 v koordinácii s bežným vzdelávaním. </w:t>
            </w:r>
          </w:p>
        </w:tc>
        <w:tc>
          <w:tcPr>
            <w:tcW w:w="711" w:type="dxa"/>
          </w:tcPr>
          <w:p w14:paraId="4F93C613" w14:textId="156BD20A" w:rsidR="004579DE" w:rsidRPr="006E27CA" w:rsidRDefault="004579DE" w:rsidP="004579DE">
            <w:pPr>
              <w:pStyle w:val="TableParagraph"/>
              <w:jc w:val="center"/>
              <w:rPr>
                <w:b/>
                <w:sz w:val="20"/>
                <w:szCs w:val="20"/>
              </w:rPr>
            </w:pPr>
            <w:r>
              <w:rPr>
                <w:b/>
                <w:sz w:val="20"/>
                <w:szCs w:val="20"/>
              </w:rPr>
              <w:t>N</w:t>
            </w:r>
          </w:p>
        </w:tc>
        <w:tc>
          <w:tcPr>
            <w:tcW w:w="992" w:type="dxa"/>
          </w:tcPr>
          <w:p w14:paraId="298502B1" w14:textId="77777777" w:rsidR="004579DE" w:rsidRDefault="004579DE" w:rsidP="004579DE">
            <w:pPr>
              <w:pStyle w:val="Normlny0"/>
              <w:jc w:val="center"/>
            </w:pPr>
            <w:r>
              <w:t>Zákon č. 245/2008 Z. z.</w:t>
            </w:r>
          </w:p>
          <w:p w14:paraId="1AC2262B" w14:textId="77777777" w:rsidR="004579DE" w:rsidRDefault="004579DE" w:rsidP="004579DE">
            <w:pPr>
              <w:pStyle w:val="Normlny0"/>
              <w:jc w:val="center"/>
            </w:pPr>
          </w:p>
          <w:p w14:paraId="7A1AE219" w14:textId="77777777" w:rsidR="004579DE" w:rsidRDefault="004579DE" w:rsidP="004579DE">
            <w:pPr>
              <w:pStyle w:val="Normlny0"/>
              <w:jc w:val="center"/>
            </w:pPr>
          </w:p>
          <w:p w14:paraId="401572F1" w14:textId="77777777" w:rsidR="004579DE" w:rsidRDefault="004579DE" w:rsidP="004579DE">
            <w:pPr>
              <w:pStyle w:val="Normlny0"/>
              <w:jc w:val="center"/>
            </w:pPr>
          </w:p>
          <w:p w14:paraId="757BC064" w14:textId="77777777" w:rsidR="004579DE" w:rsidRDefault="004579DE" w:rsidP="004579DE">
            <w:pPr>
              <w:pStyle w:val="Normlny0"/>
              <w:jc w:val="center"/>
            </w:pPr>
          </w:p>
          <w:p w14:paraId="77A5F341" w14:textId="77777777" w:rsidR="004579DE" w:rsidRDefault="004579DE" w:rsidP="004579DE">
            <w:pPr>
              <w:pStyle w:val="Normlny0"/>
              <w:jc w:val="center"/>
            </w:pPr>
          </w:p>
          <w:p w14:paraId="111666F4" w14:textId="77777777" w:rsidR="004579DE" w:rsidRDefault="004579DE" w:rsidP="004579DE">
            <w:pPr>
              <w:pStyle w:val="Normlny0"/>
              <w:jc w:val="center"/>
            </w:pPr>
          </w:p>
          <w:p w14:paraId="5D2C1574" w14:textId="77777777" w:rsidR="004579DE" w:rsidRDefault="004579DE" w:rsidP="004579DE">
            <w:pPr>
              <w:pStyle w:val="Normlny0"/>
              <w:jc w:val="center"/>
            </w:pPr>
          </w:p>
          <w:p w14:paraId="7322A0F7" w14:textId="300B606B" w:rsidR="004579DE" w:rsidRPr="008D0CD7" w:rsidRDefault="004579DE" w:rsidP="004579DE">
            <w:pPr>
              <w:pStyle w:val="Normlny0"/>
              <w:jc w:val="center"/>
              <w:rPr>
                <w:b/>
              </w:rPr>
            </w:pPr>
            <w:r w:rsidRPr="008D0CD7">
              <w:rPr>
                <w:b/>
              </w:rPr>
              <w:t>Návrh zákona č. .../2025 Z. z.</w:t>
            </w:r>
          </w:p>
        </w:tc>
        <w:tc>
          <w:tcPr>
            <w:tcW w:w="852" w:type="dxa"/>
          </w:tcPr>
          <w:p w14:paraId="09FE38BA" w14:textId="77777777" w:rsidR="004579DE" w:rsidRPr="006E27CA" w:rsidRDefault="004579DE" w:rsidP="004579DE">
            <w:pPr>
              <w:rPr>
                <w:sz w:val="20"/>
                <w:szCs w:val="20"/>
              </w:rPr>
            </w:pPr>
            <w:r w:rsidRPr="006E27CA">
              <w:rPr>
                <w:sz w:val="20"/>
                <w:szCs w:val="20"/>
              </w:rPr>
              <w:t>Č: I</w:t>
            </w:r>
          </w:p>
          <w:p w14:paraId="00F10754" w14:textId="77777777" w:rsidR="004579DE" w:rsidRPr="006E27CA" w:rsidRDefault="004579DE" w:rsidP="004579DE">
            <w:pPr>
              <w:rPr>
                <w:sz w:val="20"/>
                <w:szCs w:val="20"/>
              </w:rPr>
            </w:pPr>
            <w:r w:rsidRPr="006E27CA">
              <w:rPr>
                <w:sz w:val="20"/>
                <w:szCs w:val="20"/>
              </w:rPr>
              <w:t>§ 12</w:t>
            </w:r>
          </w:p>
          <w:p w14:paraId="5B3F80F0" w14:textId="77777777" w:rsidR="004579DE" w:rsidRPr="006E27CA" w:rsidRDefault="004579DE" w:rsidP="004579DE">
            <w:pPr>
              <w:rPr>
                <w:sz w:val="20"/>
                <w:szCs w:val="20"/>
              </w:rPr>
            </w:pPr>
            <w:r w:rsidRPr="006E27CA">
              <w:rPr>
                <w:sz w:val="20"/>
                <w:szCs w:val="20"/>
              </w:rPr>
              <w:t>O: 2</w:t>
            </w:r>
          </w:p>
          <w:p w14:paraId="43E8ABA9" w14:textId="77777777" w:rsidR="004579DE" w:rsidRPr="006E27CA" w:rsidRDefault="004579DE" w:rsidP="004579DE">
            <w:pPr>
              <w:rPr>
                <w:sz w:val="20"/>
                <w:szCs w:val="20"/>
              </w:rPr>
            </w:pPr>
          </w:p>
          <w:p w14:paraId="4E47BA36" w14:textId="77777777" w:rsidR="004579DE" w:rsidRPr="006E27CA" w:rsidRDefault="004579DE" w:rsidP="004579DE">
            <w:pPr>
              <w:rPr>
                <w:sz w:val="20"/>
                <w:szCs w:val="20"/>
              </w:rPr>
            </w:pPr>
          </w:p>
          <w:p w14:paraId="3F7BE1A8" w14:textId="77777777" w:rsidR="004579DE" w:rsidRPr="006E27CA" w:rsidRDefault="004579DE" w:rsidP="004579DE">
            <w:pPr>
              <w:rPr>
                <w:sz w:val="20"/>
                <w:szCs w:val="20"/>
              </w:rPr>
            </w:pPr>
          </w:p>
          <w:p w14:paraId="49D2CD38" w14:textId="77777777" w:rsidR="004579DE" w:rsidRPr="006E27CA" w:rsidRDefault="004579DE" w:rsidP="004579DE">
            <w:pPr>
              <w:rPr>
                <w:sz w:val="20"/>
                <w:szCs w:val="20"/>
              </w:rPr>
            </w:pPr>
          </w:p>
          <w:p w14:paraId="21A7F119" w14:textId="77777777" w:rsidR="004579DE" w:rsidRPr="006E27CA" w:rsidRDefault="004579DE" w:rsidP="004579DE">
            <w:pPr>
              <w:rPr>
                <w:sz w:val="20"/>
                <w:szCs w:val="20"/>
              </w:rPr>
            </w:pPr>
          </w:p>
          <w:p w14:paraId="1A101FC7" w14:textId="77777777" w:rsidR="004579DE" w:rsidRPr="006E27CA" w:rsidRDefault="004579DE" w:rsidP="004579DE">
            <w:pPr>
              <w:rPr>
                <w:sz w:val="20"/>
                <w:szCs w:val="20"/>
              </w:rPr>
            </w:pPr>
          </w:p>
          <w:p w14:paraId="4B7DD5DB" w14:textId="77777777" w:rsidR="004579DE" w:rsidRPr="006E27CA" w:rsidRDefault="004579DE" w:rsidP="004579DE">
            <w:pPr>
              <w:rPr>
                <w:sz w:val="20"/>
                <w:szCs w:val="20"/>
              </w:rPr>
            </w:pPr>
          </w:p>
          <w:p w14:paraId="4CE51DD9" w14:textId="77777777" w:rsidR="004579DE" w:rsidRPr="006E27CA" w:rsidRDefault="004579DE" w:rsidP="004579DE">
            <w:pPr>
              <w:rPr>
                <w:sz w:val="20"/>
                <w:szCs w:val="20"/>
              </w:rPr>
            </w:pPr>
            <w:r w:rsidRPr="006E27CA">
              <w:rPr>
                <w:sz w:val="20"/>
                <w:szCs w:val="20"/>
              </w:rPr>
              <w:t>Č: I</w:t>
            </w:r>
          </w:p>
          <w:p w14:paraId="6F015596" w14:textId="77777777" w:rsidR="004579DE" w:rsidRPr="006E27CA" w:rsidRDefault="004579DE" w:rsidP="004579DE">
            <w:pPr>
              <w:rPr>
                <w:sz w:val="20"/>
                <w:szCs w:val="20"/>
              </w:rPr>
            </w:pPr>
            <w:r w:rsidRPr="006E27CA">
              <w:rPr>
                <w:sz w:val="20"/>
                <w:szCs w:val="20"/>
              </w:rPr>
              <w:t>§ 145a</w:t>
            </w:r>
          </w:p>
          <w:p w14:paraId="156E2616" w14:textId="793D9D1C" w:rsidR="004579DE" w:rsidRPr="006E27CA" w:rsidRDefault="004579DE" w:rsidP="004579DE">
            <w:pPr>
              <w:rPr>
                <w:sz w:val="20"/>
                <w:szCs w:val="20"/>
              </w:rPr>
            </w:pPr>
            <w:r w:rsidRPr="006E27CA">
              <w:rPr>
                <w:sz w:val="20"/>
                <w:szCs w:val="20"/>
              </w:rPr>
              <w:t xml:space="preserve">O: </w:t>
            </w:r>
            <w:r>
              <w:rPr>
                <w:sz w:val="20"/>
                <w:szCs w:val="20"/>
              </w:rPr>
              <w:t>5</w:t>
            </w:r>
          </w:p>
          <w:p w14:paraId="12860A4F" w14:textId="4EEA4561" w:rsidR="004579DE" w:rsidRPr="006E27CA" w:rsidRDefault="004579DE" w:rsidP="004579DE">
            <w:pPr>
              <w:rPr>
                <w:sz w:val="20"/>
                <w:szCs w:val="20"/>
              </w:rPr>
            </w:pPr>
            <w:r w:rsidRPr="006E27CA">
              <w:rPr>
                <w:sz w:val="20"/>
                <w:szCs w:val="20"/>
              </w:rPr>
              <w:t xml:space="preserve">P: </w:t>
            </w:r>
            <w:r>
              <w:rPr>
                <w:sz w:val="20"/>
                <w:szCs w:val="20"/>
              </w:rPr>
              <w:t>c</w:t>
            </w:r>
            <w:r w:rsidRPr="006E27CA">
              <w:rPr>
                <w:sz w:val="20"/>
                <w:szCs w:val="20"/>
              </w:rPr>
              <w:t>)</w:t>
            </w:r>
          </w:p>
        </w:tc>
        <w:tc>
          <w:tcPr>
            <w:tcW w:w="3826" w:type="dxa"/>
          </w:tcPr>
          <w:p w14:paraId="3BB14228" w14:textId="75293788" w:rsidR="004579DE" w:rsidRPr="006E27CA" w:rsidRDefault="004579DE" w:rsidP="004579DE">
            <w:pPr>
              <w:jc w:val="both"/>
              <w:rPr>
                <w:sz w:val="20"/>
                <w:szCs w:val="20"/>
              </w:rPr>
            </w:pPr>
            <w:r>
              <w:rPr>
                <w:sz w:val="20"/>
                <w:szCs w:val="20"/>
              </w:rPr>
              <w:t xml:space="preserve">(2) </w:t>
            </w:r>
            <w:r w:rsidRPr="006E27CA">
              <w:rPr>
                <w:sz w:val="20"/>
                <w:szCs w:val="20"/>
              </w:rPr>
              <w:t>Vyučovacím jazykom v školách a výchovným jazykom v školských zariadeniach je štátny jazyk,9) ak tento zákon neustanovuje inak. Vyučovacím jazykom v škole s medzinárodným programom alebo výchovným jazykom v školskom zariadení s medzinárodným programom je štátny jazyk a na základe súhlasu ministerstva školstva aj iný jazyk.</w:t>
            </w:r>
          </w:p>
          <w:p w14:paraId="353E0B74" w14:textId="77777777" w:rsidR="004579DE" w:rsidRPr="006E27CA" w:rsidRDefault="004579DE" w:rsidP="004579DE">
            <w:pPr>
              <w:jc w:val="both"/>
              <w:rPr>
                <w:sz w:val="20"/>
                <w:szCs w:val="20"/>
              </w:rPr>
            </w:pPr>
          </w:p>
          <w:p w14:paraId="29D7C3CF" w14:textId="151BB89D" w:rsidR="004579DE" w:rsidRPr="008D0CD7" w:rsidRDefault="004579DE" w:rsidP="004579DE">
            <w:pPr>
              <w:jc w:val="both"/>
              <w:rPr>
                <w:b/>
                <w:sz w:val="20"/>
                <w:szCs w:val="20"/>
              </w:rPr>
            </w:pPr>
            <w:r>
              <w:rPr>
                <w:b/>
                <w:sz w:val="20"/>
                <w:szCs w:val="20"/>
              </w:rPr>
              <w:t xml:space="preserve">(5) </w:t>
            </w:r>
            <w:r w:rsidRPr="008D0CD7">
              <w:rPr>
                <w:b/>
                <w:sz w:val="20"/>
                <w:szCs w:val="20"/>
              </w:rPr>
              <w:t>Cielenými podpornými opatreniami sú najmä</w:t>
            </w:r>
          </w:p>
          <w:p w14:paraId="3B4645CD" w14:textId="0E0D148E" w:rsidR="004579DE" w:rsidRPr="006E27CA" w:rsidRDefault="004579DE" w:rsidP="004579DE">
            <w:pPr>
              <w:jc w:val="both"/>
              <w:rPr>
                <w:sz w:val="20"/>
                <w:szCs w:val="20"/>
              </w:rPr>
            </w:pPr>
            <w:r w:rsidRPr="008D0CD7">
              <w:rPr>
                <w:b/>
                <w:sz w:val="20"/>
                <w:szCs w:val="20"/>
              </w:rPr>
              <w:t xml:space="preserve">c) zabezpečenie poskytovania kurzu vyučovacieho jazyka školy alebo inej podpory pri osvojovaní si vyučovacieho jazyka školy, ak ide o základnú školu, základnú školu pre žiakov so špeciálnymi výchovno-vzdelávacími potrebami, strednú školu, strednú školu pre žiakov so špeciálnymi výchovno-vzdelávacími potrebami okrem bilingválneho vzdelávania alebo o výchovné zariadenie, alebo zabezpečenie inej podpory pri osvojovaní si vyučovacieho jazyka školy, ak ide o materskú školu alebo o materskú školu pre deti so špeciálnymi výchovno-vzdelávacími potrebami; poskytovanie zabezpečuje </w:t>
            </w:r>
            <w:r w:rsidRPr="008D0CD7">
              <w:rPr>
                <w:b/>
                <w:sz w:val="20"/>
                <w:szCs w:val="20"/>
              </w:rPr>
              <w:lastRenderedPageBreak/>
              <w:t>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okrem bilingválneho vzdelávania alebo výchovné zariadenie,</w:t>
            </w:r>
          </w:p>
        </w:tc>
        <w:tc>
          <w:tcPr>
            <w:tcW w:w="993" w:type="dxa"/>
          </w:tcPr>
          <w:p w14:paraId="11F09FCB" w14:textId="75B31129" w:rsidR="004579DE" w:rsidRPr="00194BA5" w:rsidRDefault="004579DE" w:rsidP="004579DE">
            <w:pPr>
              <w:pStyle w:val="TableParagraph"/>
              <w:jc w:val="center"/>
              <w:rPr>
                <w:b/>
                <w:sz w:val="20"/>
                <w:szCs w:val="20"/>
              </w:rPr>
            </w:pPr>
            <w:r>
              <w:rPr>
                <w:b/>
                <w:sz w:val="20"/>
                <w:szCs w:val="20"/>
              </w:rPr>
              <w:lastRenderedPageBreak/>
              <w:t>Ú</w:t>
            </w:r>
          </w:p>
        </w:tc>
        <w:tc>
          <w:tcPr>
            <w:tcW w:w="849" w:type="dxa"/>
          </w:tcPr>
          <w:p w14:paraId="572EEBD0" w14:textId="77777777" w:rsidR="004579DE" w:rsidRPr="009332C4" w:rsidRDefault="004579DE" w:rsidP="004579DE">
            <w:pPr>
              <w:pStyle w:val="TableParagraph"/>
              <w:spacing w:line="205" w:lineRule="exact"/>
              <w:ind w:left="109"/>
              <w:rPr>
                <w:sz w:val="20"/>
                <w:szCs w:val="20"/>
              </w:rPr>
            </w:pPr>
          </w:p>
        </w:tc>
        <w:tc>
          <w:tcPr>
            <w:tcW w:w="707" w:type="dxa"/>
          </w:tcPr>
          <w:p w14:paraId="3E1965D3" w14:textId="71A65730" w:rsidR="004579DE" w:rsidRDefault="004579DE" w:rsidP="004579DE">
            <w:pPr>
              <w:pStyle w:val="TableParagraph"/>
              <w:jc w:val="center"/>
              <w:rPr>
                <w:sz w:val="20"/>
                <w:szCs w:val="20"/>
              </w:rPr>
            </w:pPr>
            <w:r>
              <w:rPr>
                <w:sz w:val="20"/>
                <w:szCs w:val="20"/>
              </w:rPr>
              <w:t>GP - N</w:t>
            </w:r>
          </w:p>
        </w:tc>
        <w:tc>
          <w:tcPr>
            <w:tcW w:w="851" w:type="dxa"/>
          </w:tcPr>
          <w:p w14:paraId="6F6432A1" w14:textId="77777777" w:rsidR="004579DE" w:rsidRPr="009332C4" w:rsidRDefault="004579DE" w:rsidP="004579DE">
            <w:pPr>
              <w:pStyle w:val="TableParagraph"/>
              <w:rPr>
                <w:sz w:val="20"/>
                <w:szCs w:val="20"/>
              </w:rPr>
            </w:pPr>
          </w:p>
        </w:tc>
      </w:tr>
    </w:tbl>
    <w:p w14:paraId="23C501F7" w14:textId="77777777" w:rsidR="00B142E7" w:rsidRDefault="00A96E56">
      <w:pPr>
        <w:pStyle w:val="Zkladntext"/>
        <w:ind w:left="1116"/>
      </w:pPr>
      <w:r>
        <w:t>*</w:t>
      </w:r>
      <w:r>
        <w:rPr>
          <w:spacing w:val="-6"/>
        </w:rPr>
        <w:t xml:space="preserve"> </w:t>
      </w:r>
      <w:r>
        <w:t>Vyjadrenie</w:t>
      </w:r>
      <w:r>
        <w:rPr>
          <w:spacing w:val="-5"/>
        </w:rPr>
        <w:t xml:space="preserve"> </w:t>
      </w:r>
      <w:r>
        <w:t>k</w:t>
      </w:r>
      <w:r>
        <w:rPr>
          <w:spacing w:val="-6"/>
        </w:rPr>
        <w:t xml:space="preserve"> </w:t>
      </w:r>
      <w:r>
        <w:t>opodstatnenosti</w:t>
      </w:r>
      <w:r>
        <w:rPr>
          <w:spacing w:val="-6"/>
        </w:rPr>
        <w:t xml:space="preserve"> </w:t>
      </w:r>
      <w:proofErr w:type="spellStart"/>
      <w:r>
        <w:t>goldplatingu</w:t>
      </w:r>
      <w:proofErr w:type="spellEnd"/>
      <w:r>
        <w:rPr>
          <w:spacing w:val="-6"/>
        </w:rPr>
        <w:t xml:space="preserve"> </w:t>
      </w:r>
      <w:r>
        <w:t>a</w:t>
      </w:r>
      <w:r>
        <w:rPr>
          <w:spacing w:val="-5"/>
        </w:rPr>
        <w:t xml:space="preserve"> </w:t>
      </w:r>
      <w:r>
        <w:t>jeho</w:t>
      </w:r>
      <w:r>
        <w:rPr>
          <w:spacing w:val="-4"/>
        </w:rPr>
        <w:t xml:space="preserve"> </w:t>
      </w:r>
      <w:r>
        <w:rPr>
          <w:spacing w:val="-2"/>
        </w:rPr>
        <w:t>odôvodnenie:</w:t>
      </w:r>
    </w:p>
    <w:p w14:paraId="57E91D59" w14:textId="77777777" w:rsidR="00B142E7" w:rsidRDefault="00B142E7">
      <w:pPr>
        <w:pStyle w:val="Zkladntext"/>
      </w:pPr>
    </w:p>
    <w:p w14:paraId="2517B726" w14:textId="77777777" w:rsidR="00B142E7" w:rsidRDefault="00B142E7">
      <w:pPr>
        <w:pStyle w:val="Zkladntext"/>
        <w:spacing w:before="87"/>
      </w:pPr>
    </w:p>
    <w:p w14:paraId="19DA0227" w14:textId="77777777" w:rsidR="00B142E7" w:rsidRDefault="00A96E56">
      <w:pPr>
        <w:pStyle w:val="Zkladntext"/>
        <w:spacing w:before="1" w:after="38"/>
        <w:ind w:left="1116"/>
      </w:pPr>
      <w:r>
        <w:rPr>
          <w:spacing w:val="-2"/>
        </w:rPr>
        <w:t>LEGENDA:</w:t>
      </w:r>
    </w:p>
    <w:tbl>
      <w:tblPr>
        <w:tblStyle w:val="TableNormal"/>
        <w:tblW w:w="0" w:type="auto"/>
        <w:tblInd w:w="1145" w:type="dxa"/>
        <w:tblLayout w:type="fixed"/>
        <w:tblLook w:val="01E0" w:firstRow="1" w:lastRow="1" w:firstColumn="1" w:lastColumn="1" w:noHBand="0" w:noVBand="0"/>
      </w:tblPr>
      <w:tblGrid>
        <w:gridCol w:w="2028"/>
        <w:gridCol w:w="4244"/>
        <w:gridCol w:w="2306"/>
        <w:gridCol w:w="6486"/>
      </w:tblGrid>
      <w:tr w:rsidR="00B142E7" w14:paraId="75CE103F" w14:textId="77777777">
        <w:trPr>
          <w:trHeight w:val="1526"/>
        </w:trPr>
        <w:tc>
          <w:tcPr>
            <w:tcW w:w="2028" w:type="dxa"/>
          </w:tcPr>
          <w:p w14:paraId="5B91415F" w14:textId="77777777" w:rsidR="00B142E7" w:rsidRDefault="00A96E56">
            <w:pPr>
              <w:pStyle w:val="TableParagraph"/>
              <w:spacing w:line="221" w:lineRule="exact"/>
              <w:ind w:left="50"/>
              <w:rPr>
                <w:sz w:val="20"/>
              </w:rPr>
            </w:pPr>
            <w:r>
              <w:rPr>
                <w:sz w:val="20"/>
              </w:rPr>
              <w:t>V</w:t>
            </w:r>
            <w:r>
              <w:rPr>
                <w:spacing w:val="-3"/>
                <w:sz w:val="20"/>
              </w:rPr>
              <w:t xml:space="preserve"> </w:t>
            </w:r>
            <w:r>
              <w:rPr>
                <w:sz w:val="20"/>
              </w:rPr>
              <w:t>stĺpci</w:t>
            </w:r>
            <w:r>
              <w:rPr>
                <w:spacing w:val="-3"/>
                <w:sz w:val="20"/>
              </w:rPr>
              <w:t xml:space="preserve"> </w:t>
            </w:r>
            <w:r>
              <w:rPr>
                <w:spacing w:val="-4"/>
                <w:sz w:val="20"/>
              </w:rPr>
              <w:t>(1):</w:t>
            </w:r>
          </w:p>
          <w:p w14:paraId="6E85C3FB" w14:textId="77777777" w:rsidR="00B142E7" w:rsidRDefault="00A96E56">
            <w:pPr>
              <w:pStyle w:val="TableParagraph"/>
              <w:spacing w:before="31"/>
              <w:ind w:left="50"/>
              <w:rPr>
                <w:sz w:val="20"/>
              </w:rPr>
            </w:pPr>
            <w:r>
              <w:rPr>
                <w:sz w:val="20"/>
              </w:rPr>
              <w:t>Č</w:t>
            </w:r>
            <w:r>
              <w:rPr>
                <w:spacing w:val="-4"/>
                <w:sz w:val="20"/>
              </w:rPr>
              <w:t xml:space="preserve"> </w:t>
            </w:r>
            <w:r>
              <w:rPr>
                <w:sz w:val="20"/>
              </w:rPr>
              <w:t>(Čl.) –</w:t>
            </w:r>
            <w:r>
              <w:rPr>
                <w:spacing w:val="-2"/>
                <w:sz w:val="20"/>
              </w:rPr>
              <w:t xml:space="preserve"> článok</w:t>
            </w:r>
          </w:p>
          <w:p w14:paraId="1CBC78A9" w14:textId="77777777" w:rsidR="00B142E7" w:rsidRDefault="00A96E56">
            <w:pPr>
              <w:pStyle w:val="TableParagraph"/>
              <w:spacing w:before="32" w:line="271" w:lineRule="auto"/>
              <w:ind w:left="50" w:right="568"/>
              <w:rPr>
                <w:sz w:val="20"/>
              </w:rPr>
            </w:pPr>
            <w:r>
              <w:rPr>
                <w:sz w:val="20"/>
              </w:rPr>
              <w:t>O</w:t>
            </w:r>
            <w:r>
              <w:rPr>
                <w:spacing w:val="-13"/>
                <w:sz w:val="20"/>
              </w:rPr>
              <w:t xml:space="preserve"> </w:t>
            </w:r>
            <w:r>
              <w:rPr>
                <w:sz w:val="20"/>
              </w:rPr>
              <w:t>(ods.)</w:t>
            </w:r>
            <w:r>
              <w:rPr>
                <w:spacing w:val="-11"/>
                <w:sz w:val="20"/>
              </w:rPr>
              <w:t xml:space="preserve"> </w:t>
            </w:r>
            <w:r>
              <w:rPr>
                <w:sz w:val="20"/>
              </w:rPr>
              <w:t>–</w:t>
            </w:r>
            <w:r>
              <w:rPr>
                <w:spacing w:val="-13"/>
                <w:sz w:val="20"/>
              </w:rPr>
              <w:t xml:space="preserve"> </w:t>
            </w:r>
            <w:r>
              <w:rPr>
                <w:sz w:val="20"/>
              </w:rPr>
              <w:t>odsek V – veta</w:t>
            </w:r>
          </w:p>
          <w:p w14:paraId="056DA445" w14:textId="77777777" w:rsidR="00B142E7" w:rsidRDefault="00A96E56">
            <w:pPr>
              <w:pStyle w:val="TableParagraph"/>
              <w:spacing w:before="1"/>
              <w:ind w:left="50"/>
              <w:rPr>
                <w:sz w:val="20"/>
              </w:rPr>
            </w:pPr>
            <w:r>
              <w:rPr>
                <w:sz w:val="20"/>
              </w:rPr>
              <w:t>P</w:t>
            </w:r>
            <w:r>
              <w:rPr>
                <w:spacing w:val="-3"/>
                <w:sz w:val="20"/>
              </w:rPr>
              <w:t xml:space="preserve"> </w:t>
            </w:r>
            <w:r>
              <w:rPr>
                <w:sz w:val="20"/>
              </w:rPr>
              <w:t>–</w:t>
            </w:r>
            <w:r>
              <w:rPr>
                <w:spacing w:val="-5"/>
                <w:sz w:val="20"/>
              </w:rPr>
              <w:t xml:space="preserve"> </w:t>
            </w:r>
            <w:r>
              <w:rPr>
                <w:sz w:val="20"/>
              </w:rPr>
              <w:t>písmeno</w:t>
            </w:r>
            <w:r>
              <w:rPr>
                <w:spacing w:val="-3"/>
                <w:sz w:val="20"/>
              </w:rPr>
              <w:t xml:space="preserve"> </w:t>
            </w:r>
            <w:r>
              <w:rPr>
                <w:spacing w:val="-2"/>
                <w:sz w:val="20"/>
              </w:rPr>
              <w:t>(číslo)</w:t>
            </w:r>
          </w:p>
        </w:tc>
        <w:tc>
          <w:tcPr>
            <w:tcW w:w="4244" w:type="dxa"/>
          </w:tcPr>
          <w:p w14:paraId="5A43995F" w14:textId="77777777" w:rsidR="00B142E7" w:rsidRDefault="00A96E56">
            <w:pPr>
              <w:pStyle w:val="TableParagraph"/>
              <w:spacing w:line="221" w:lineRule="exact"/>
              <w:ind w:left="431"/>
              <w:rPr>
                <w:sz w:val="20"/>
              </w:rPr>
            </w:pPr>
            <w:r>
              <w:rPr>
                <w:sz w:val="20"/>
              </w:rPr>
              <w:t>V</w:t>
            </w:r>
            <w:r>
              <w:rPr>
                <w:spacing w:val="-4"/>
                <w:sz w:val="20"/>
              </w:rPr>
              <w:t xml:space="preserve"> </w:t>
            </w:r>
            <w:r>
              <w:rPr>
                <w:sz w:val="20"/>
              </w:rPr>
              <w:t>stĺpci</w:t>
            </w:r>
            <w:r>
              <w:rPr>
                <w:spacing w:val="-3"/>
                <w:sz w:val="20"/>
              </w:rPr>
              <w:t xml:space="preserve"> </w:t>
            </w:r>
            <w:r>
              <w:rPr>
                <w:spacing w:val="-4"/>
                <w:sz w:val="20"/>
              </w:rPr>
              <w:t>(3):</w:t>
            </w:r>
          </w:p>
          <w:p w14:paraId="6E5FB517" w14:textId="77777777" w:rsidR="00B142E7" w:rsidRDefault="00A96E56">
            <w:pPr>
              <w:pStyle w:val="TableParagraph"/>
              <w:spacing w:before="31"/>
              <w:ind w:left="431"/>
              <w:rPr>
                <w:sz w:val="20"/>
              </w:rPr>
            </w:pPr>
            <w:r>
              <w:rPr>
                <w:sz w:val="20"/>
              </w:rPr>
              <w:t>N</w:t>
            </w:r>
            <w:r>
              <w:rPr>
                <w:spacing w:val="-3"/>
                <w:sz w:val="20"/>
              </w:rPr>
              <w:t xml:space="preserve"> </w:t>
            </w:r>
            <w:r>
              <w:rPr>
                <w:sz w:val="20"/>
              </w:rPr>
              <w:t>–</w:t>
            </w:r>
            <w:r>
              <w:rPr>
                <w:spacing w:val="-2"/>
                <w:sz w:val="20"/>
              </w:rPr>
              <w:t xml:space="preserve"> </w:t>
            </w:r>
            <w:r>
              <w:rPr>
                <w:sz w:val="20"/>
              </w:rPr>
              <w:t>bežná</w:t>
            </w:r>
            <w:r>
              <w:rPr>
                <w:spacing w:val="-3"/>
                <w:sz w:val="20"/>
              </w:rPr>
              <w:t xml:space="preserve"> </w:t>
            </w:r>
            <w:r>
              <w:rPr>
                <w:spacing w:val="-2"/>
                <w:sz w:val="20"/>
              </w:rPr>
              <w:t>transpozícia</w:t>
            </w:r>
          </w:p>
          <w:p w14:paraId="68B31C8D" w14:textId="77777777" w:rsidR="00B142E7" w:rsidRDefault="00A96E56">
            <w:pPr>
              <w:pStyle w:val="TableParagraph"/>
              <w:spacing w:before="32"/>
              <w:ind w:left="431"/>
              <w:rPr>
                <w:sz w:val="20"/>
              </w:rPr>
            </w:pPr>
            <w:r>
              <w:rPr>
                <w:sz w:val="20"/>
              </w:rPr>
              <w:t>O</w:t>
            </w:r>
            <w:r>
              <w:rPr>
                <w:spacing w:val="-5"/>
                <w:sz w:val="20"/>
              </w:rPr>
              <w:t xml:space="preserve"> </w:t>
            </w:r>
            <w:r>
              <w:rPr>
                <w:sz w:val="20"/>
              </w:rPr>
              <w:t>–</w:t>
            </w:r>
            <w:r>
              <w:rPr>
                <w:spacing w:val="-4"/>
                <w:sz w:val="20"/>
              </w:rPr>
              <w:t xml:space="preserve"> </w:t>
            </w:r>
            <w:r>
              <w:rPr>
                <w:sz w:val="20"/>
              </w:rPr>
              <w:t>transpozícia</w:t>
            </w:r>
            <w:r>
              <w:rPr>
                <w:spacing w:val="-5"/>
                <w:sz w:val="20"/>
              </w:rPr>
              <w:t xml:space="preserve"> </w:t>
            </w:r>
            <w:r>
              <w:rPr>
                <w:sz w:val="20"/>
              </w:rPr>
              <w:t>s</w:t>
            </w:r>
            <w:r>
              <w:rPr>
                <w:spacing w:val="-2"/>
                <w:sz w:val="20"/>
              </w:rPr>
              <w:t xml:space="preserve"> </w:t>
            </w:r>
            <w:r>
              <w:rPr>
                <w:sz w:val="20"/>
              </w:rPr>
              <w:t>možnosťou</w:t>
            </w:r>
            <w:r>
              <w:rPr>
                <w:spacing w:val="-4"/>
                <w:sz w:val="20"/>
              </w:rPr>
              <w:t xml:space="preserve"> voľby</w:t>
            </w:r>
          </w:p>
          <w:p w14:paraId="3A5B4E53" w14:textId="77777777" w:rsidR="00B142E7" w:rsidRDefault="00A96E56">
            <w:pPr>
              <w:pStyle w:val="TableParagraph"/>
              <w:spacing w:before="29"/>
              <w:ind w:left="431"/>
              <w:rPr>
                <w:sz w:val="20"/>
              </w:rPr>
            </w:pPr>
            <w:r>
              <w:rPr>
                <w:sz w:val="20"/>
              </w:rPr>
              <w:t>D</w:t>
            </w:r>
            <w:r>
              <w:rPr>
                <w:spacing w:val="-5"/>
                <w:sz w:val="20"/>
              </w:rPr>
              <w:t xml:space="preserve"> </w:t>
            </w:r>
            <w:r>
              <w:rPr>
                <w:sz w:val="20"/>
              </w:rPr>
              <w:t>–</w:t>
            </w:r>
            <w:r>
              <w:rPr>
                <w:spacing w:val="-3"/>
                <w:sz w:val="20"/>
              </w:rPr>
              <w:t xml:space="preserve"> </w:t>
            </w:r>
            <w:r>
              <w:rPr>
                <w:sz w:val="20"/>
              </w:rPr>
              <w:t>transpozícia</w:t>
            </w:r>
            <w:r>
              <w:rPr>
                <w:spacing w:val="-5"/>
                <w:sz w:val="20"/>
              </w:rPr>
              <w:t xml:space="preserve"> </w:t>
            </w:r>
            <w:r>
              <w:rPr>
                <w:sz w:val="20"/>
              </w:rPr>
              <w:t>podľa</w:t>
            </w:r>
            <w:r>
              <w:rPr>
                <w:spacing w:val="-4"/>
                <w:sz w:val="20"/>
              </w:rPr>
              <w:t xml:space="preserve"> </w:t>
            </w:r>
            <w:r>
              <w:rPr>
                <w:sz w:val="20"/>
              </w:rPr>
              <w:t>úvahy</w:t>
            </w:r>
            <w:r>
              <w:rPr>
                <w:spacing w:val="-5"/>
                <w:sz w:val="20"/>
              </w:rPr>
              <w:t xml:space="preserve"> </w:t>
            </w:r>
            <w:r>
              <w:rPr>
                <w:spacing w:val="-2"/>
                <w:sz w:val="20"/>
              </w:rPr>
              <w:t>(dobrovoľná)</w:t>
            </w:r>
          </w:p>
          <w:p w14:paraId="5BD89EB7" w14:textId="77777777" w:rsidR="00B142E7" w:rsidRDefault="00A96E56">
            <w:pPr>
              <w:pStyle w:val="TableParagraph"/>
              <w:spacing w:before="32"/>
              <w:ind w:left="431"/>
              <w:rPr>
                <w:sz w:val="20"/>
              </w:rPr>
            </w:pPr>
            <w:proofErr w:type="spellStart"/>
            <w:r>
              <w:rPr>
                <w:sz w:val="20"/>
              </w:rPr>
              <w:t>n.a</w:t>
            </w:r>
            <w:proofErr w:type="spellEnd"/>
            <w:r>
              <w:rPr>
                <w:sz w:val="20"/>
              </w:rPr>
              <w:t>.</w:t>
            </w:r>
            <w:r>
              <w:rPr>
                <w:spacing w:val="-4"/>
                <w:sz w:val="20"/>
              </w:rPr>
              <w:t xml:space="preserve"> </w:t>
            </w:r>
            <w:r>
              <w:rPr>
                <w:sz w:val="20"/>
              </w:rPr>
              <w:t>–</w:t>
            </w:r>
            <w:r>
              <w:rPr>
                <w:spacing w:val="-4"/>
                <w:sz w:val="20"/>
              </w:rPr>
              <w:t xml:space="preserve"> </w:t>
            </w:r>
            <w:r>
              <w:rPr>
                <w:sz w:val="20"/>
              </w:rPr>
              <w:t>transpozícia</w:t>
            </w:r>
            <w:r>
              <w:rPr>
                <w:spacing w:val="-4"/>
                <w:sz w:val="20"/>
              </w:rPr>
              <w:t xml:space="preserve"> </w:t>
            </w:r>
            <w:r>
              <w:rPr>
                <w:sz w:val="20"/>
              </w:rPr>
              <w:t>sa</w:t>
            </w:r>
            <w:r>
              <w:rPr>
                <w:spacing w:val="-5"/>
                <w:sz w:val="20"/>
              </w:rPr>
              <w:t xml:space="preserve"> </w:t>
            </w:r>
            <w:r>
              <w:rPr>
                <w:spacing w:val="-2"/>
                <w:sz w:val="20"/>
              </w:rPr>
              <w:t>neuskutočňuje</w:t>
            </w:r>
          </w:p>
        </w:tc>
        <w:tc>
          <w:tcPr>
            <w:tcW w:w="2306" w:type="dxa"/>
          </w:tcPr>
          <w:p w14:paraId="204DC725" w14:textId="77777777" w:rsidR="00B142E7" w:rsidRDefault="00A96E56">
            <w:pPr>
              <w:pStyle w:val="TableParagraph"/>
              <w:spacing w:line="221" w:lineRule="exact"/>
              <w:ind w:left="328"/>
              <w:rPr>
                <w:sz w:val="20"/>
              </w:rPr>
            </w:pPr>
            <w:r>
              <w:rPr>
                <w:sz w:val="20"/>
              </w:rPr>
              <w:t>V</w:t>
            </w:r>
            <w:r>
              <w:rPr>
                <w:spacing w:val="-4"/>
                <w:sz w:val="20"/>
              </w:rPr>
              <w:t xml:space="preserve"> </w:t>
            </w:r>
            <w:r>
              <w:rPr>
                <w:sz w:val="20"/>
              </w:rPr>
              <w:t>stĺpci</w:t>
            </w:r>
            <w:r>
              <w:rPr>
                <w:spacing w:val="-3"/>
                <w:sz w:val="20"/>
              </w:rPr>
              <w:t xml:space="preserve"> </w:t>
            </w:r>
            <w:r>
              <w:rPr>
                <w:spacing w:val="-4"/>
                <w:sz w:val="20"/>
              </w:rPr>
              <w:t>(5):</w:t>
            </w:r>
          </w:p>
          <w:p w14:paraId="62DDA929" w14:textId="77777777" w:rsidR="00B142E7" w:rsidRDefault="00A96E56">
            <w:pPr>
              <w:pStyle w:val="TableParagraph"/>
              <w:spacing w:before="31"/>
              <w:ind w:left="328"/>
              <w:rPr>
                <w:sz w:val="20"/>
              </w:rPr>
            </w:pPr>
            <w:r>
              <w:rPr>
                <w:sz w:val="20"/>
              </w:rPr>
              <w:t>Č</w:t>
            </w:r>
            <w:r>
              <w:rPr>
                <w:spacing w:val="-4"/>
                <w:sz w:val="20"/>
              </w:rPr>
              <w:t xml:space="preserve"> </w:t>
            </w:r>
            <w:r>
              <w:rPr>
                <w:sz w:val="20"/>
              </w:rPr>
              <w:t>(Čl.) –</w:t>
            </w:r>
            <w:r>
              <w:rPr>
                <w:spacing w:val="-2"/>
                <w:sz w:val="20"/>
              </w:rPr>
              <w:t xml:space="preserve"> článok</w:t>
            </w:r>
          </w:p>
          <w:p w14:paraId="6CAF781D" w14:textId="77777777" w:rsidR="00B142E7" w:rsidRDefault="00A96E56">
            <w:pPr>
              <w:pStyle w:val="TableParagraph"/>
              <w:spacing w:before="32"/>
              <w:ind w:left="328"/>
              <w:rPr>
                <w:sz w:val="20"/>
              </w:rPr>
            </w:pPr>
            <w:r>
              <w:rPr>
                <w:sz w:val="20"/>
              </w:rPr>
              <w:t>§</w:t>
            </w:r>
            <w:r>
              <w:rPr>
                <w:spacing w:val="1"/>
                <w:sz w:val="20"/>
              </w:rPr>
              <w:t xml:space="preserve"> </w:t>
            </w:r>
            <w:r>
              <w:rPr>
                <w:sz w:val="20"/>
              </w:rPr>
              <w:t xml:space="preserve">– </w:t>
            </w:r>
            <w:r>
              <w:rPr>
                <w:spacing w:val="-2"/>
                <w:sz w:val="20"/>
              </w:rPr>
              <w:t>paragraf</w:t>
            </w:r>
          </w:p>
          <w:p w14:paraId="229FD1CB" w14:textId="77777777" w:rsidR="00B142E7" w:rsidRDefault="00A96E56">
            <w:pPr>
              <w:pStyle w:val="TableParagraph"/>
              <w:spacing w:before="29" w:line="273" w:lineRule="auto"/>
              <w:ind w:left="328" w:right="652"/>
              <w:rPr>
                <w:sz w:val="20"/>
              </w:rPr>
            </w:pPr>
            <w:r>
              <w:rPr>
                <w:sz w:val="20"/>
              </w:rPr>
              <w:t>O</w:t>
            </w:r>
            <w:r>
              <w:rPr>
                <w:spacing w:val="-13"/>
                <w:sz w:val="20"/>
              </w:rPr>
              <w:t xml:space="preserve"> </w:t>
            </w:r>
            <w:r>
              <w:rPr>
                <w:sz w:val="20"/>
              </w:rPr>
              <w:t>(ods.)</w:t>
            </w:r>
            <w:r>
              <w:rPr>
                <w:spacing w:val="-11"/>
                <w:sz w:val="20"/>
              </w:rPr>
              <w:t xml:space="preserve"> </w:t>
            </w:r>
            <w:r>
              <w:rPr>
                <w:sz w:val="20"/>
              </w:rPr>
              <w:t>–</w:t>
            </w:r>
            <w:r>
              <w:rPr>
                <w:spacing w:val="-13"/>
                <w:sz w:val="20"/>
              </w:rPr>
              <w:t xml:space="preserve"> </w:t>
            </w:r>
            <w:r>
              <w:rPr>
                <w:sz w:val="20"/>
              </w:rPr>
              <w:t>odsek V – veta</w:t>
            </w:r>
          </w:p>
          <w:p w14:paraId="684029E4" w14:textId="77777777" w:rsidR="00B142E7" w:rsidRDefault="00A96E56">
            <w:pPr>
              <w:pStyle w:val="TableParagraph"/>
              <w:spacing w:line="209" w:lineRule="exact"/>
              <w:ind w:left="328"/>
              <w:rPr>
                <w:sz w:val="20"/>
              </w:rPr>
            </w:pPr>
            <w:r>
              <w:rPr>
                <w:sz w:val="20"/>
              </w:rPr>
              <w:t>P</w:t>
            </w:r>
            <w:r>
              <w:rPr>
                <w:spacing w:val="-3"/>
                <w:sz w:val="20"/>
              </w:rPr>
              <w:t xml:space="preserve"> </w:t>
            </w:r>
            <w:r>
              <w:rPr>
                <w:sz w:val="20"/>
              </w:rPr>
              <w:t>–</w:t>
            </w:r>
            <w:r>
              <w:rPr>
                <w:spacing w:val="-5"/>
                <w:sz w:val="20"/>
              </w:rPr>
              <w:t xml:space="preserve"> </w:t>
            </w:r>
            <w:r>
              <w:rPr>
                <w:sz w:val="20"/>
              </w:rPr>
              <w:t>písmeno</w:t>
            </w:r>
            <w:r>
              <w:rPr>
                <w:spacing w:val="-3"/>
                <w:sz w:val="20"/>
              </w:rPr>
              <w:t xml:space="preserve"> </w:t>
            </w:r>
            <w:r>
              <w:rPr>
                <w:spacing w:val="-2"/>
                <w:sz w:val="20"/>
              </w:rPr>
              <w:t>(číslo)</w:t>
            </w:r>
          </w:p>
        </w:tc>
        <w:tc>
          <w:tcPr>
            <w:tcW w:w="6486" w:type="dxa"/>
          </w:tcPr>
          <w:p w14:paraId="0094052C" w14:textId="77777777" w:rsidR="00B142E7" w:rsidRDefault="00A96E56">
            <w:pPr>
              <w:pStyle w:val="TableParagraph"/>
              <w:spacing w:line="221" w:lineRule="exact"/>
              <w:ind w:left="432"/>
              <w:rPr>
                <w:sz w:val="20"/>
              </w:rPr>
            </w:pPr>
            <w:r>
              <w:rPr>
                <w:sz w:val="20"/>
              </w:rPr>
              <w:t>V</w:t>
            </w:r>
            <w:r>
              <w:rPr>
                <w:spacing w:val="-4"/>
                <w:sz w:val="20"/>
              </w:rPr>
              <w:t xml:space="preserve"> </w:t>
            </w:r>
            <w:r>
              <w:rPr>
                <w:sz w:val="20"/>
              </w:rPr>
              <w:t>stĺpci</w:t>
            </w:r>
            <w:r>
              <w:rPr>
                <w:spacing w:val="-3"/>
                <w:sz w:val="20"/>
              </w:rPr>
              <w:t xml:space="preserve"> </w:t>
            </w:r>
            <w:r>
              <w:rPr>
                <w:spacing w:val="-4"/>
                <w:sz w:val="20"/>
              </w:rPr>
              <w:t>(7):</w:t>
            </w:r>
          </w:p>
          <w:p w14:paraId="49970755" w14:textId="77777777" w:rsidR="00B142E7" w:rsidRDefault="00A96E56">
            <w:pPr>
              <w:pStyle w:val="TableParagraph"/>
              <w:spacing w:before="31"/>
              <w:ind w:left="432"/>
              <w:rPr>
                <w:sz w:val="20"/>
              </w:rPr>
            </w:pPr>
            <w:r>
              <w:rPr>
                <w:sz w:val="20"/>
              </w:rPr>
              <w:t>Ú</w:t>
            </w:r>
            <w:r>
              <w:rPr>
                <w:spacing w:val="-4"/>
                <w:sz w:val="20"/>
              </w:rPr>
              <w:t xml:space="preserve"> </w:t>
            </w:r>
            <w:r>
              <w:rPr>
                <w:sz w:val="20"/>
              </w:rPr>
              <w:t>–</w:t>
            </w:r>
            <w:r>
              <w:rPr>
                <w:spacing w:val="-2"/>
                <w:sz w:val="20"/>
              </w:rPr>
              <w:t xml:space="preserve"> </w:t>
            </w:r>
            <w:r>
              <w:rPr>
                <w:sz w:val="20"/>
              </w:rPr>
              <w:t>úplná</w:t>
            </w:r>
            <w:r>
              <w:rPr>
                <w:spacing w:val="-3"/>
                <w:sz w:val="20"/>
              </w:rPr>
              <w:t xml:space="preserve"> </w:t>
            </w:r>
            <w:r>
              <w:rPr>
                <w:spacing w:val="-2"/>
                <w:sz w:val="20"/>
              </w:rPr>
              <w:t>zhoda</w:t>
            </w:r>
          </w:p>
          <w:p w14:paraId="42011103" w14:textId="77777777" w:rsidR="00B142E7" w:rsidRDefault="00A96E56">
            <w:pPr>
              <w:pStyle w:val="TableParagraph"/>
              <w:spacing w:before="32"/>
              <w:ind w:left="432"/>
              <w:rPr>
                <w:sz w:val="20"/>
              </w:rPr>
            </w:pPr>
            <w:r>
              <w:rPr>
                <w:sz w:val="20"/>
              </w:rPr>
              <w:t>Č</w:t>
            </w:r>
            <w:r>
              <w:rPr>
                <w:spacing w:val="-5"/>
                <w:sz w:val="20"/>
              </w:rPr>
              <w:t xml:space="preserve"> </w:t>
            </w:r>
            <w:r>
              <w:rPr>
                <w:sz w:val="20"/>
              </w:rPr>
              <w:t>–</w:t>
            </w:r>
            <w:r>
              <w:rPr>
                <w:spacing w:val="-3"/>
                <w:sz w:val="20"/>
              </w:rPr>
              <w:t xml:space="preserve"> </w:t>
            </w:r>
            <w:r>
              <w:rPr>
                <w:sz w:val="20"/>
              </w:rPr>
              <w:t>čiastočná</w:t>
            </w:r>
            <w:r>
              <w:rPr>
                <w:spacing w:val="-3"/>
                <w:sz w:val="20"/>
              </w:rPr>
              <w:t xml:space="preserve"> </w:t>
            </w:r>
            <w:r>
              <w:rPr>
                <w:spacing w:val="-2"/>
                <w:sz w:val="20"/>
              </w:rPr>
              <w:t>zhoda</w:t>
            </w:r>
          </w:p>
          <w:p w14:paraId="3DF669D2" w14:textId="77777777" w:rsidR="00B142E7" w:rsidRDefault="00A96E56">
            <w:pPr>
              <w:pStyle w:val="TableParagraph"/>
              <w:spacing w:before="29"/>
              <w:ind w:left="432"/>
              <w:rPr>
                <w:sz w:val="20"/>
              </w:rPr>
            </w:pPr>
            <w:r>
              <w:rPr>
                <w:sz w:val="20"/>
              </w:rPr>
              <w:t>R</w:t>
            </w:r>
            <w:r>
              <w:rPr>
                <w:spacing w:val="-5"/>
                <w:sz w:val="20"/>
              </w:rPr>
              <w:t xml:space="preserve"> </w:t>
            </w:r>
            <w:r>
              <w:rPr>
                <w:sz w:val="20"/>
              </w:rPr>
              <w:t>–</w:t>
            </w:r>
            <w:r>
              <w:rPr>
                <w:spacing w:val="-2"/>
                <w:sz w:val="20"/>
              </w:rPr>
              <w:t xml:space="preserve"> </w:t>
            </w:r>
            <w:r>
              <w:rPr>
                <w:sz w:val="20"/>
              </w:rPr>
              <w:t>rozpor</w:t>
            </w:r>
            <w:r>
              <w:rPr>
                <w:spacing w:val="-4"/>
                <w:sz w:val="20"/>
              </w:rPr>
              <w:t xml:space="preserve"> </w:t>
            </w:r>
            <w:r>
              <w:rPr>
                <w:sz w:val="20"/>
              </w:rPr>
              <w:t>(v</w:t>
            </w:r>
            <w:r>
              <w:rPr>
                <w:spacing w:val="-4"/>
                <w:sz w:val="20"/>
              </w:rPr>
              <w:t xml:space="preserve"> </w:t>
            </w:r>
            <w:r>
              <w:rPr>
                <w:sz w:val="20"/>
              </w:rPr>
              <w:t>príp.,</w:t>
            </w:r>
            <w:r>
              <w:rPr>
                <w:spacing w:val="-3"/>
                <w:sz w:val="20"/>
              </w:rPr>
              <w:t xml:space="preserve"> </w:t>
            </w:r>
            <w:r>
              <w:rPr>
                <w:sz w:val="20"/>
              </w:rPr>
              <w:t>že</w:t>
            </w:r>
            <w:r>
              <w:rPr>
                <w:spacing w:val="-4"/>
                <w:sz w:val="20"/>
              </w:rPr>
              <w:t xml:space="preserve"> </w:t>
            </w:r>
            <w:r>
              <w:rPr>
                <w:sz w:val="20"/>
              </w:rPr>
              <w:t>zatiaľ</w:t>
            </w:r>
            <w:r>
              <w:rPr>
                <w:spacing w:val="-3"/>
                <w:sz w:val="20"/>
              </w:rPr>
              <w:t xml:space="preserve"> </w:t>
            </w:r>
            <w:r>
              <w:rPr>
                <w:sz w:val="20"/>
              </w:rPr>
              <w:t>nedošlo</w:t>
            </w:r>
            <w:r>
              <w:rPr>
                <w:spacing w:val="-2"/>
                <w:sz w:val="20"/>
              </w:rPr>
              <w:t xml:space="preserve"> </w:t>
            </w:r>
            <w:r>
              <w:rPr>
                <w:sz w:val="20"/>
              </w:rPr>
              <w:t xml:space="preserve">k </w:t>
            </w:r>
            <w:proofErr w:type="spellStart"/>
            <w:r>
              <w:rPr>
                <w:sz w:val="20"/>
              </w:rPr>
              <w:t>transp</w:t>
            </w:r>
            <w:proofErr w:type="spellEnd"/>
            <w:r>
              <w:rPr>
                <w:sz w:val="20"/>
              </w:rPr>
              <w:t>.,</w:t>
            </w:r>
            <w:r>
              <w:rPr>
                <w:spacing w:val="-3"/>
                <w:sz w:val="20"/>
              </w:rPr>
              <w:t xml:space="preserve"> </w:t>
            </w:r>
            <w:r>
              <w:rPr>
                <w:sz w:val="20"/>
              </w:rPr>
              <w:t>ale</w:t>
            </w:r>
            <w:r>
              <w:rPr>
                <w:spacing w:val="-4"/>
                <w:sz w:val="20"/>
              </w:rPr>
              <w:t xml:space="preserve"> </w:t>
            </w:r>
            <w:r>
              <w:rPr>
                <w:sz w:val="20"/>
              </w:rPr>
              <w:t>príde</w:t>
            </w:r>
            <w:r>
              <w:rPr>
                <w:spacing w:val="-3"/>
                <w:sz w:val="20"/>
              </w:rPr>
              <w:t xml:space="preserve"> </w:t>
            </w:r>
            <w:r>
              <w:rPr>
                <w:sz w:val="20"/>
              </w:rPr>
              <w:t>k</w:t>
            </w:r>
            <w:r>
              <w:rPr>
                <w:spacing w:val="-3"/>
                <w:sz w:val="20"/>
              </w:rPr>
              <w:t xml:space="preserve"> </w:t>
            </w:r>
            <w:r>
              <w:rPr>
                <w:sz w:val="20"/>
              </w:rPr>
              <w:t>nej</w:t>
            </w:r>
            <w:r>
              <w:rPr>
                <w:spacing w:val="-1"/>
                <w:sz w:val="20"/>
              </w:rPr>
              <w:t xml:space="preserve"> </w:t>
            </w:r>
            <w:r>
              <w:rPr>
                <w:sz w:val="20"/>
              </w:rPr>
              <w:t>v</w:t>
            </w:r>
            <w:r>
              <w:rPr>
                <w:spacing w:val="-4"/>
                <w:sz w:val="20"/>
              </w:rPr>
              <w:t xml:space="preserve"> </w:t>
            </w:r>
            <w:r>
              <w:rPr>
                <w:spacing w:val="-2"/>
                <w:sz w:val="20"/>
              </w:rPr>
              <w:t>budúcnosti</w:t>
            </w:r>
          </w:p>
          <w:p w14:paraId="31466CF0" w14:textId="77777777" w:rsidR="00B142E7" w:rsidRDefault="00A96E56">
            <w:pPr>
              <w:pStyle w:val="TableParagraph"/>
              <w:spacing w:before="32"/>
              <w:ind w:left="432"/>
              <w:rPr>
                <w:sz w:val="20"/>
              </w:rPr>
            </w:pPr>
            <w:proofErr w:type="spellStart"/>
            <w:r>
              <w:rPr>
                <w:sz w:val="20"/>
              </w:rPr>
              <w:t>n.a</w:t>
            </w:r>
            <w:proofErr w:type="spellEnd"/>
            <w:r>
              <w:rPr>
                <w:sz w:val="20"/>
              </w:rPr>
              <w:t>.</w:t>
            </w:r>
            <w:r>
              <w:rPr>
                <w:spacing w:val="-2"/>
                <w:sz w:val="20"/>
              </w:rPr>
              <w:t xml:space="preserve"> </w:t>
            </w:r>
            <w:r>
              <w:rPr>
                <w:sz w:val="20"/>
              </w:rPr>
              <w:t>–</w:t>
            </w:r>
            <w:r>
              <w:rPr>
                <w:spacing w:val="-2"/>
                <w:sz w:val="20"/>
              </w:rPr>
              <w:t xml:space="preserve"> neaplikovateľné</w:t>
            </w:r>
          </w:p>
        </w:tc>
      </w:tr>
    </w:tbl>
    <w:p w14:paraId="7D5231A6" w14:textId="77777777" w:rsidR="00B142E7" w:rsidRDefault="00B142E7">
      <w:pPr>
        <w:pStyle w:val="Zkladntext"/>
        <w:spacing w:before="65" w:after="1"/>
      </w:pPr>
    </w:p>
    <w:p w14:paraId="5547BBBE" w14:textId="77777777" w:rsidR="00344AB2" w:rsidRDefault="00344AB2" w:rsidP="00344AB2"/>
    <w:sectPr w:rsidR="00344AB2">
      <w:footerReference w:type="default" r:id="rId8"/>
      <w:pgSz w:w="16840" w:h="11910" w:orient="landscape"/>
      <w:pgMar w:top="1340" w:right="220" w:bottom="280" w:left="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1A912" w14:textId="77777777" w:rsidR="004A44FE" w:rsidRDefault="004A44FE" w:rsidP="0049668B">
      <w:r>
        <w:separator/>
      </w:r>
    </w:p>
  </w:endnote>
  <w:endnote w:type="continuationSeparator" w:id="0">
    <w:p w14:paraId="7966135C" w14:textId="77777777" w:rsidR="004A44FE" w:rsidRDefault="004A44FE" w:rsidP="0049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08635"/>
      <w:docPartObj>
        <w:docPartGallery w:val="Page Numbers (Bottom of Page)"/>
        <w:docPartUnique/>
      </w:docPartObj>
    </w:sdtPr>
    <w:sdtEndPr/>
    <w:sdtContent>
      <w:p w14:paraId="6837F025" w14:textId="77777777" w:rsidR="0049668B" w:rsidRDefault="0049668B">
        <w:pPr>
          <w:pStyle w:val="Pta"/>
          <w:jc w:val="center"/>
        </w:pPr>
        <w:r>
          <w:fldChar w:fldCharType="begin"/>
        </w:r>
        <w:r>
          <w:instrText>PAGE   \* MERGEFORMAT</w:instrText>
        </w:r>
        <w:r>
          <w:fldChar w:fldCharType="separate"/>
        </w:r>
        <w:r w:rsidR="00065188">
          <w:rPr>
            <w:noProof/>
          </w:rPr>
          <w:t>3</w:t>
        </w:r>
        <w:r>
          <w:fldChar w:fldCharType="end"/>
        </w:r>
      </w:p>
    </w:sdtContent>
  </w:sdt>
  <w:p w14:paraId="4504A4AE" w14:textId="77777777" w:rsidR="0049668B" w:rsidRDefault="004966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B9B79" w14:textId="77777777" w:rsidR="004A44FE" w:rsidRDefault="004A44FE" w:rsidP="0049668B">
      <w:r>
        <w:separator/>
      </w:r>
    </w:p>
  </w:footnote>
  <w:footnote w:type="continuationSeparator" w:id="0">
    <w:p w14:paraId="3A5F4494" w14:textId="77777777" w:rsidR="004A44FE" w:rsidRDefault="004A44FE" w:rsidP="00496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32034"/>
    <w:multiLevelType w:val="hybridMultilevel"/>
    <w:tmpl w:val="12EAEB56"/>
    <w:lvl w:ilvl="0" w:tplc="78B6592A">
      <w:start w:val="1"/>
      <w:numFmt w:val="decimal"/>
      <w:lvlText w:val="%1."/>
      <w:lvlJc w:val="left"/>
      <w:pPr>
        <w:ind w:left="466" w:hanging="360"/>
      </w:pPr>
      <w:rPr>
        <w:rFonts w:hint="default"/>
      </w:rPr>
    </w:lvl>
    <w:lvl w:ilvl="1" w:tplc="041B0019" w:tentative="1">
      <w:start w:val="1"/>
      <w:numFmt w:val="lowerLetter"/>
      <w:lvlText w:val="%2."/>
      <w:lvlJc w:val="left"/>
      <w:pPr>
        <w:ind w:left="1186" w:hanging="360"/>
      </w:pPr>
    </w:lvl>
    <w:lvl w:ilvl="2" w:tplc="041B001B" w:tentative="1">
      <w:start w:val="1"/>
      <w:numFmt w:val="lowerRoman"/>
      <w:lvlText w:val="%3."/>
      <w:lvlJc w:val="right"/>
      <w:pPr>
        <w:ind w:left="1906" w:hanging="180"/>
      </w:pPr>
    </w:lvl>
    <w:lvl w:ilvl="3" w:tplc="041B000F" w:tentative="1">
      <w:start w:val="1"/>
      <w:numFmt w:val="decimal"/>
      <w:lvlText w:val="%4."/>
      <w:lvlJc w:val="left"/>
      <w:pPr>
        <w:ind w:left="2626" w:hanging="360"/>
      </w:pPr>
    </w:lvl>
    <w:lvl w:ilvl="4" w:tplc="041B0019" w:tentative="1">
      <w:start w:val="1"/>
      <w:numFmt w:val="lowerLetter"/>
      <w:lvlText w:val="%5."/>
      <w:lvlJc w:val="left"/>
      <w:pPr>
        <w:ind w:left="3346" w:hanging="360"/>
      </w:pPr>
    </w:lvl>
    <w:lvl w:ilvl="5" w:tplc="041B001B" w:tentative="1">
      <w:start w:val="1"/>
      <w:numFmt w:val="lowerRoman"/>
      <w:lvlText w:val="%6."/>
      <w:lvlJc w:val="right"/>
      <w:pPr>
        <w:ind w:left="4066" w:hanging="180"/>
      </w:pPr>
    </w:lvl>
    <w:lvl w:ilvl="6" w:tplc="041B000F" w:tentative="1">
      <w:start w:val="1"/>
      <w:numFmt w:val="decimal"/>
      <w:lvlText w:val="%7."/>
      <w:lvlJc w:val="left"/>
      <w:pPr>
        <w:ind w:left="4786" w:hanging="360"/>
      </w:pPr>
    </w:lvl>
    <w:lvl w:ilvl="7" w:tplc="041B0019" w:tentative="1">
      <w:start w:val="1"/>
      <w:numFmt w:val="lowerLetter"/>
      <w:lvlText w:val="%8."/>
      <w:lvlJc w:val="left"/>
      <w:pPr>
        <w:ind w:left="5506" w:hanging="360"/>
      </w:pPr>
    </w:lvl>
    <w:lvl w:ilvl="8" w:tplc="041B001B" w:tentative="1">
      <w:start w:val="1"/>
      <w:numFmt w:val="lowerRoman"/>
      <w:lvlText w:val="%9."/>
      <w:lvlJc w:val="right"/>
      <w:pPr>
        <w:ind w:left="6226" w:hanging="180"/>
      </w:pPr>
    </w:lvl>
  </w:abstractNum>
  <w:abstractNum w:abstractNumId="1" w15:restartNumberingAfterBreak="0">
    <w:nsid w:val="2286380D"/>
    <w:multiLevelType w:val="hybridMultilevel"/>
    <w:tmpl w:val="1E40F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050D41"/>
    <w:multiLevelType w:val="hybridMultilevel"/>
    <w:tmpl w:val="095C6756"/>
    <w:lvl w:ilvl="0" w:tplc="EB8A956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506154B"/>
    <w:multiLevelType w:val="hybridMultilevel"/>
    <w:tmpl w:val="CA7230C4"/>
    <w:lvl w:ilvl="0" w:tplc="3E48B5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42E7"/>
    <w:rsid w:val="00015BB6"/>
    <w:rsid w:val="00044366"/>
    <w:rsid w:val="000463DE"/>
    <w:rsid w:val="00053E98"/>
    <w:rsid w:val="00065188"/>
    <w:rsid w:val="000A5F33"/>
    <w:rsid w:val="001070F4"/>
    <w:rsid w:val="001746F4"/>
    <w:rsid w:val="0017490A"/>
    <w:rsid w:val="0019218D"/>
    <w:rsid w:val="00194BA5"/>
    <w:rsid w:val="001A67A5"/>
    <w:rsid w:val="001F4540"/>
    <w:rsid w:val="00210B00"/>
    <w:rsid w:val="0024561D"/>
    <w:rsid w:val="002A09F8"/>
    <w:rsid w:val="002B6DF5"/>
    <w:rsid w:val="002D2C49"/>
    <w:rsid w:val="002D35A7"/>
    <w:rsid w:val="002E084B"/>
    <w:rsid w:val="003409CA"/>
    <w:rsid w:val="00344AB2"/>
    <w:rsid w:val="00375D8A"/>
    <w:rsid w:val="00386762"/>
    <w:rsid w:val="003F32F8"/>
    <w:rsid w:val="0040584B"/>
    <w:rsid w:val="004579DE"/>
    <w:rsid w:val="00483528"/>
    <w:rsid w:val="0049668B"/>
    <w:rsid w:val="004A39A6"/>
    <w:rsid w:val="004A44FE"/>
    <w:rsid w:val="004B410F"/>
    <w:rsid w:val="004B5E80"/>
    <w:rsid w:val="004C52D5"/>
    <w:rsid w:val="004D27E7"/>
    <w:rsid w:val="00554788"/>
    <w:rsid w:val="00561E2C"/>
    <w:rsid w:val="0059477E"/>
    <w:rsid w:val="006241FD"/>
    <w:rsid w:val="0063011A"/>
    <w:rsid w:val="00644FB5"/>
    <w:rsid w:val="006C57DC"/>
    <w:rsid w:val="006E27CA"/>
    <w:rsid w:val="00701CFD"/>
    <w:rsid w:val="0075286E"/>
    <w:rsid w:val="00776C32"/>
    <w:rsid w:val="008012C8"/>
    <w:rsid w:val="008166DA"/>
    <w:rsid w:val="008249E0"/>
    <w:rsid w:val="00843DBE"/>
    <w:rsid w:val="008565F6"/>
    <w:rsid w:val="00856DD6"/>
    <w:rsid w:val="008D0CD7"/>
    <w:rsid w:val="008D0F4E"/>
    <w:rsid w:val="008F113B"/>
    <w:rsid w:val="009332C4"/>
    <w:rsid w:val="009515B6"/>
    <w:rsid w:val="00990C66"/>
    <w:rsid w:val="00A824A9"/>
    <w:rsid w:val="00A8540F"/>
    <w:rsid w:val="00A86F44"/>
    <w:rsid w:val="00A94ED1"/>
    <w:rsid w:val="00A96E56"/>
    <w:rsid w:val="00AB3F90"/>
    <w:rsid w:val="00AE2264"/>
    <w:rsid w:val="00B142E7"/>
    <w:rsid w:val="00B24538"/>
    <w:rsid w:val="00B56E5C"/>
    <w:rsid w:val="00B80752"/>
    <w:rsid w:val="00BA2BBD"/>
    <w:rsid w:val="00BC40C1"/>
    <w:rsid w:val="00BD0562"/>
    <w:rsid w:val="00BF0004"/>
    <w:rsid w:val="00C32B65"/>
    <w:rsid w:val="00C366E1"/>
    <w:rsid w:val="00C410E1"/>
    <w:rsid w:val="00C45E73"/>
    <w:rsid w:val="00C46678"/>
    <w:rsid w:val="00CC733F"/>
    <w:rsid w:val="00D679CC"/>
    <w:rsid w:val="00D85BAC"/>
    <w:rsid w:val="00DA2FAA"/>
    <w:rsid w:val="00DA6067"/>
    <w:rsid w:val="00DE0106"/>
    <w:rsid w:val="00DE7F4D"/>
    <w:rsid w:val="00E17AC0"/>
    <w:rsid w:val="00E24E4E"/>
    <w:rsid w:val="00E3343C"/>
    <w:rsid w:val="00E54530"/>
    <w:rsid w:val="00E71528"/>
    <w:rsid w:val="00EB220C"/>
    <w:rsid w:val="00EC3E6F"/>
    <w:rsid w:val="00ED69BF"/>
    <w:rsid w:val="00EE49E7"/>
    <w:rsid w:val="00F16C10"/>
    <w:rsid w:val="00F30889"/>
    <w:rsid w:val="00F72F32"/>
    <w:rsid w:val="00FC60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30E8"/>
  <w15:docId w15:val="{5964B641-D74B-46F3-8225-84D7AAF9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
    <w:qFormat/>
    <w:pPr>
      <w:spacing w:before="68"/>
      <w:ind w:left="5112"/>
    </w:pPr>
    <w:rPr>
      <w:b/>
      <w:bCs/>
      <w:sz w:val="20"/>
      <w:szCs w:val="20"/>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49668B"/>
    <w:pPr>
      <w:tabs>
        <w:tab w:val="center" w:pos="4536"/>
        <w:tab w:val="right" w:pos="9072"/>
      </w:tabs>
    </w:pPr>
  </w:style>
  <w:style w:type="character" w:customStyle="1" w:styleId="HlavikaChar">
    <w:name w:val="Hlavička Char"/>
    <w:basedOn w:val="Predvolenpsmoodseku"/>
    <w:link w:val="Hlavika"/>
    <w:uiPriority w:val="99"/>
    <w:rsid w:val="0049668B"/>
    <w:rPr>
      <w:rFonts w:ascii="Times New Roman" w:eastAsia="Times New Roman" w:hAnsi="Times New Roman" w:cs="Times New Roman"/>
      <w:lang w:val="sk-SK"/>
    </w:rPr>
  </w:style>
  <w:style w:type="paragraph" w:styleId="Pta">
    <w:name w:val="footer"/>
    <w:basedOn w:val="Normlny"/>
    <w:link w:val="PtaChar"/>
    <w:uiPriority w:val="99"/>
    <w:unhideWhenUsed/>
    <w:rsid w:val="0049668B"/>
    <w:pPr>
      <w:tabs>
        <w:tab w:val="center" w:pos="4536"/>
        <w:tab w:val="right" w:pos="9072"/>
      </w:tabs>
    </w:pPr>
  </w:style>
  <w:style w:type="character" w:customStyle="1" w:styleId="PtaChar">
    <w:name w:val="Päta Char"/>
    <w:basedOn w:val="Predvolenpsmoodseku"/>
    <w:link w:val="Pta"/>
    <w:uiPriority w:val="99"/>
    <w:rsid w:val="0049668B"/>
    <w:rPr>
      <w:rFonts w:ascii="Times New Roman" w:eastAsia="Times New Roman" w:hAnsi="Times New Roman" w:cs="Times New Roman"/>
      <w:lang w:val="sk-SK"/>
    </w:rPr>
  </w:style>
  <w:style w:type="paragraph" w:styleId="Textbubliny">
    <w:name w:val="Balloon Text"/>
    <w:basedOn w:val="Normlny"/>
    <w:link w:val="TextbublinyChar"/>
    <w:uiPriority w:val="99"/>
    <w:semiHidden/>
    <w:unhideWhenUsed/>
    <w:rsid w:val="00015BB6"/>
    <w:rPr>
      <w:rFonts w:ascii="Segoe UI" w:hAnsi="Segoe UI" w:cs="Segoe UI"/>
      <w:sz w:val="18"/>
      <w:szCs w:val="18"/>
    </w:rPr>
  </w:style>
  <w:style w:type="character" w:customStyle="1" w:styleId="TextbublinyChar">
    <w:name w:val="Text bubliny Char"/>
    <w:basedOn w:val="Predvolenpsmoodseku"/>
    <w:link w:val="Textbubliny"/>
    <w:uiPriority w:val="99"/>
    <w:semiHidden/>
    <w:rsid w:val="00015BB6"/>
    <w:rPr>
      <w:rFonts w:ascii="Segoe UI" w:eastAsia="Times New Roman" w:hAnsi="Segoe UI" w:cs="Segoe UI"/>
      <w:sz w:val="18"/>
      <w:szCs w:val="18"/>
      <w:lang w:val="sk-SK"/>
    </w:rPr>
  </w:style>
  <w:style w:type="paragraph" w:styleId="Zkladntext3">
    <w:name w:val="Body Text 3"/>
    <w:basedOn w:val="Normlny"/>
    <w:link w:val="Zkladntext3Char"/>
    <w:uiPriority w:val="99"/>
    <w:semiHidden/>
    <w:unhideWhenUsed/>
    <w:rsid w:val="00D679CC"/>
    <w:pPr>
      <w:spacing w:after="120"/>
    </w:pPr>
    <w:rPr>
      <w:sz w:val="16"/>
      <w:szCs w:val="16"/>
    </w:rPr>
  </w:style>
  <w:style w:type="character" w:customStyle="1" w:styleId="Zkladntext3Char">
    <w:name w:val="Základný text 3 Char"/>
    <w:basedOn w:val="Predvolenpsmoodseku"/>
    <w:link w:val="Zkladntext3"/>
    <w:uiPriority w:val="99"/>
    <w:semiHidden/>
    <w:rsid w:val="00D679CC"/>
    <w:rPr>
      <w:rFonts w:ascii="Times New Roman" w:eastAsia="Times New Roman" w:hAnsi="Times New Roman" w:cs="Times New Roman"/>
      <w:sz w:val="16"/>
      <w:szCs w:val="16"/>
      <w:lang w:val="sk-SK"/>
    </w:rPr>
  </w:style>
  <w:style w:type="paragraph" w:customStyle="1" w:styleId="Normlny0">
    <w:name w:val="_Normálny"/>
    <w:basedOn w:val="Normlny"/>
    <w:uiPriority w:val="99"/>
    <w:rsid w:val="00D679CC"/>
    <w:pPr>
      <w:widowControl/>
    </w:pPr>
    <w:rPr>
      <w:sz w:val="20"/>
      <w:szCs w:val="20"/>
    </w:rPr>
  </w:style>
  <w:style w:type="character" w:styleId="Odkaznakomentr">
    <w:name w:val="annotation reference"/>
    <w:basedOn w:val="Predvolenpsmoodseku"/>
    <w:uiPriority w:val="99"/>
    <w:semiHidden/>
    <w:unhideWhenUsed/>
    <w:rsid w:val="00AB3F90"/>
    <w:rPr>
      <w:sz w:val="16"/>
      <w:szCs w:val="16"/>
    </w:rPr>
  </w:style>
  <w:style w:type="paragraph" w:styleId="Textkomentra">
    <w:name w:val="annotation text"/>
    <w:basedOn w:val="Normlny"/>
    <w:link w:val="TextkomentraChar"/>
    <w:uiPriority w:val="99"/>
    <w:unhideWhenUsed/>
    <w:rsid w:val="00AB3F90"/>
    <w:rPr>
      <w:sz w:val="20"/>
      <w:szCs w:val="20"/>
    </w:rPr>
  </w:style>
  <w:style w:type="character" w:customStyle="1" w:styleId="TextkomentraChar">
    <w:name w:val="Text komentára Char"/>
    <w:basedOn w:val="Predvolenpsmoodseku"/>
    <w:link w:val="Textkomentra"/>
    <w:uiPriority w:val="99"/>
    <w:rsid w:val="00AB3F90"/>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AB3F90"/>
    <w:rPr>
      <w:b/>
      <w:bCs/>
    </w:rPr>
  </w:style>
  <w:style w:type="character" w:customStyle="1" w:styleId="PredmetkomentraChar">
    <w:name w:val="Predmet komentára Char"/>
    <w:basedOn w:val="TextkomentraChar"/>
    <w:link w:val="Predmetkomentra"/>
    <w:uiPriority w:val="99"/>
    <w:semiHidden/>
    <w:rsid w:val="00AB3F90"/>
    <w:rPr>
      <w:rFonts w:ascii="Times New Roman" w:eastAsia="Times New Roman" w:hAnsi="Times New Roman" w:cs="Times New Roman"/>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79833">
      <w:bodyDiv w:val="1"/>
      <w:marLeft w:val="0"/>
      <w:marRight w:val="0"/>
      <w:marTop w:val="0"/>
      <w:marBottom w:val="0"/>
      <w:divBdr>
        <w:top w:val="none" w:sz="0" w:space="0" w:color="auto"/>
        <w:left w:val="none" w:sz="0" w:space="0" w:color="auto"/>
        <w:bottom w:val="none" w:sz="0" w:space="0" w:color="auto"/>
        <w:right w:val="none" w:sz="0" w:space="0" w:color="auto"/>
      </w:divBdr>
    </w:div>
    <w:div w:id="1795169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Pages>
  <Words>722</Words>
  <Characters>4118</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 Miroslava</dc:creator>
  <cp:lastModifiedBy>Autor</cp:lastModifiedBy>
  <cp:revision>62</cp:revision>
  <cp:lastPrinted>2025-06-11T07:15:00Z</cp:lastPrinted>
  <dcterms:created xsi:type="dcterms:W3CDTF">2025-02-10T15:07:00Z</dcterms:created>
  <dcterms:modified xsi:type="dcterms:W3CDTF">2025-08-18T08:37:00Z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2016</vt:lpwstr>
  </property>
  <property fmtid="{D5CDD505-2E9C-101B-9397-08002B2CF9AE}" pid="4" name="LastSaved">
    <vt:filetime>2025-02-10T00:00:00Z</vt:filetime>
  </property>
  <property fmtid="{D5CDD505-2E9C-101B-9397-08002B2CF9AE}" pid="5" name="Producer">
    <vt:lpwstr>Microsoft® Word 2016</vt:lpwstr>
  </property>
</Properties>
</file>