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F95E" w14:textId="7B2290A6" w:rsidR="007D5748" w:rsidRPr="007B7470" w:rsidRDefault="00636FF7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 </w:t>
      </w:r>
      <w:r w:rsidR="007D5748"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14:paraId="08A7F95F" w14:textId="77777777" w:rsidR="007D5748" w:rsidRPr="007B7470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14:paraId="08A7F960" w14:textId="77777777" w:rsidR="00E963A3" w:rsidRPr="007B7470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961" w14:textId="77777777" w:rsidR="005307FC" w:rsidRPr="007B7470" w:rsidRDefault="005307FC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962" w14:textId="77777777" w:rsidR="00E963A3" w:rsidRPr="007B7470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08A7F963" w14:textId="77777777" w:rsidR="007D5748" w:rsidRPr="007B7470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 č. 1</w:t>
      </w:r>
      <w:r w:rsidR="001F624A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>/A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405"/>
        <w:gridCol w:w="1460"/>
        <w:gridCol w:w="1267"/>
        <w:gridCol w:w="1267"/>
      </w:tblGrid>
      <w:tr w:rsidR="0061076A" w:rsidRPr="007B7470" w14:paraId="08A7F966" w14:textId="77777777" w:rsidTr="0061076A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BFBFBF" w:themeFill="background1" w:themeFillShade="BF"/>
            <w:vAlign w:val="center"/>
          </w:tcPr>
          <w:p w14:paraId="08A7F964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399" w:type="dxa"/>
            <w:gridSpan w:val="4"/>
            <w:shd w:val="clear" w:color="auto" w:fill="BFBFBF" w:themeFill="background1" w:themeFillShade="BF"/>
            <w:vAlign w:val="center"/>
          </w:tcPr>
          <w:p w14:paraId="08A7F965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D078BF" w:rsidRPr="007B7470" w14:paraId="08A7F96C" w14:textId="77777777" w:rsidTr="0061076A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BFBFBF" w:themeFill="background1" w:themeFillShade="BF"/>
            <w:vAlign w:val="center"/>
          </w:tcPr>
          <w:p w14:paraId="08A7F967" w14:textId="77777777" w:rsidR="007D5748" w:rsidRPr="007B7470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05" w:type="dxa"/>
            <w:shd w:val="clear" w:color="auto" w:fill="BFBFBF" w:themeFill="background1" w:themeFillShade="BF"/>
            <w:vAlign w:val="center"/>
          </w:tcPr>
          <w:p w14:paraId="08A7F968" w14:textId="6C3AF267" w:rsidR="007D5748" w:rsidRPr="007B7470" w:rsidRDefault="006A54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460" w:type="dxa"/>
            <w:shd w:val="clear" w:color="auto" w:fill="BFBFBF" w:themeFill="background1" w:themeFillShade="BF"/>
            <w:vAlign w:val="center"/>
          </w:tcPr>
          <w:p w14:paraId="08A7F969" w14:textId="3EAB1905" w:rsidR="007D5748" w:rsidRPr="007B7470" w:rsidRDefault="006A54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8A7F96A" w14:textId="06802062" w:rsidR="007D5748" w:rsidRPr="007B7470" w:rsidRDefault="006A54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267" w:type="dxa"/>
            <w:shd w:val="clear" w:color="auto" w:fill="BFBFBF" w:themeFill="background1" w:themeFillShade="BF"/>
            <w:vAlign w:val="center"/>
          </w:tcPr>
          <w:p w14:paraId="08A7F96B" w14:textId="0AF594B3" w:rsidR="007D5748" w:rsidRPr="007B7470" w:rsidRDefault="006A5447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B77F5C" w:rsidRPr="00C57FD2" w14:paraId="08A7F972" w14:textId="77777777" w:rsidTr="0061076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8A7F96D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Príjmy verejnej správy celkom</w:t>
            </w:r>
          </w:p>
        </w:tc>
        <w:tc>
          <w:tcPr>
            <w:tcW w:w="1405" w:type="dxa"/>
            <w:shd w:val="clear" w:color="auto" w:fill="C0C0C0"/>
            <w:vAlign w:val="center"/>
          </w:tcPr>
          <w:p w14:paraId="08A7F96E" w14:textId="77777777" w:rsidR="007D5748" w:rsidRPr="00C57FD2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60" w:type="dxa"/>
            <w:shd w:val="clear" w:color="auto" w:fill="C0C0C0"/>
            <w:vAlign w:val="center"/>
          </w:tcPr>
          <w:p w14:paraId="08A7F96F" w14:textId="1586AE41" w:rsidR="007D5748" w:rsidRPr="00C57FD2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150 00</w:t>
            </w:r>
            <w:r w:rsidR="007D5748"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8A7F970" w14:textId="3D00EE9D" w:rsidR="007D5748" w:rsidRPr="00C57FD2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150 00</w:t>
            </w:r>
            <w:r w:rsidR="007D5748"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C0C0C0"/>
            <w:vAlign w:val="center"/>
          </w:tcPr>
          <w:p w14:paraId="08A7F971" w14:textId="465559D6" w:rsidR="007D5748" w:rsidRPr="00C57FD2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150 00</w:t>
            </w:r>
            <w:r w:rsidR="007D5748"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B77F5C" w:rsidRPr="00C57FD2" w14:paraId="08A7F978" w14:textId="77777777" w:rsidTr="0061076A">
        <w:trPr>
          <w:trHeight w:val="132"/>
          <w:jc w:val="center"/>
        </w:trPr>
        <w:tc>
          <w:tcPr>
            <w:tcW w:w="4661" w:type="dxa"/>
            <w:noWrap/>
            <w:vAlign w:val="center"/>
          </w:tcPr>
          <w:p w14:paraId="08A7F973" w14:textId="34DE29F2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lang w:eastAsia="sk-SK"/>
              </w:rPr>
              <w:t xml:space="preserve">v tom: </w:t>
            </w:r>
            <w:r w:rsidR="00522F64" w:rsidRPr="00C57FD2">
              <w:rPr>
                <w:rFonts w:ascii="Times New Roman" w:eastAsia="Times New Roman" w:hAnsi="Times New Roman" w:cs="Times New Roman"/>
                <w:lang w:eastAsia="sk-SK"/>
              </w:rPr>
              <w:t>MŠVVM SR</w:t>
            </w:r>
          </w:p>
        </w:tc>
        <w:tc>
          <w:tcPr>
            <w:tcW w:w="1405" w:type="dxa"/>
            <w:noWrap/>
            <w:vAlign w:val="center"/>
          </w:tcPr>
          <w:p w14:paraId="08A7F974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75" w14:textId="14589B28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76" w14:textId="2B6204D8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77" w14:textId="6C57452D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B77F5C" w:rsidRPr="00C57FD2" w14:paraId="08A7F97E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79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 </w:t>
            </w:r>
          </w:p>
        </w:tc>
        <w:tc>
          <w:tcPr>
            <w:tcW w:w="1405" w:type="dxa"/>
            <w:noWrap/>
            <w:vAlign w:val="center"/>
          </w:tcPr>
          <w:p w14:paraId="08A7F97A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460" w:type="dxa"/>
            <w:noWrap/>
            <w:vAlign w:val="center"/>
          </w:tcPr>
          <w:p w14:paraId="08A7F97B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7C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7D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</w:tr>
      <w:tr w:rsidR="00B77F5C" w:rsidRPr="00C57FD2" w14:paraId="08A7F984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7F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405" w:type="dxa"/>
            <w:noWrap/>
            <w:vAlign w:val="center"/>
          </w:tcPr>
          <w:p w14:paraId="08A7F980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81" w14:textId="7632B165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2" w14:textId="5593DB87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3" w14:textId="49DBE7E7" w:rsidR="007D5748" w:rsidRPr="00110449" w:rsidRDefault="00522F6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7D5748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B77F5C" w:rsidRPr="00C57FD2" w14:paraId="08A7F98A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85" w14:textId="77777777" w:rsidR="00C51FD4" w:rsidRPr="00C57FD2" w:rsidRDefault="00C51FD4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405" w:type="dxa"/>
            <w:noWrap/>
            <w:vAlign w:val="center"/>
          </w:tcPr>
          <w:p w14:paraId="08A7F986" w14:textId="77777777" w:rsidR="00C51FD4" w:rsidRPr="00110449" w:rsidRDefault="00212894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87" w14:textId="36E72028" w:rsidR="00C51FD4" w:rsidRPr="00110449" w:rsidRDefault="0017646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212894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8" w14:textId="5E8977F3" w:rsidR="00C51FD4" w:rsidRPr="00110449" w:rsidRDefault="0017646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212894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9" w14:textId="241044D5" w:rsidR="00C51FD4" w:rsidRPr="00110449" w:rsidRDefault="00176460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150 00</w:t>
            </w:r>
            <w:r w:rsidR="00212894"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B77F5C" w:rsidRPr="00C57FD2" w14:paraId="08A7F990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8B" w14:textId="77777777" w:rsidR="007D5748" w:rsidRPr="00C57FD2" w:rsidRDefault="007D5748" w:rsidP="00212894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EÚ zdroje</w:t>
            </w:r>
          </w:p>
        </w:tc>
        <w:tc>
          <w:tcPr>
            <w:tcW w:w="1405" w:type="dxa"/>
            <w:noWrap/>
            <w:vAlign w:val="center"/>
          </w:tcPr>
          <w:p w14:paraId="08A7F98C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8D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E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8F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B77F5C" w:rsidRPr="00C57FD2" w14:paraId="08A7F996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91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405" w:type="dxa"/>
            <w:noWrap/>
            <w:vAlign w:val="center"/>
          </w:tcPr>
          <w:p w14:paraId="08A7F992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93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94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95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B77F5C" w:rsidRPr="00C57FD2" w14:paraId="08A7F99C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97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405" w:type="dxa"/>
            <w:noWrap/>
            <w:vAlign w:val="center"/>
          </w:tcPr>
          <w:p w14:paraId="08A7F998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99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9A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9B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B77F5C" w:rsidRPr="00C57FD2" w14:paraId="08A7F9A2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9D" w14:textId="77777777" w:rsidR="007D5748" w:rsidRPr="00C57FD2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405" w:type="dxa"/>
            <w:noWrap/>
            <w:vAlign w:val="center"/>
          </w:tcPr>
          <w:p w14:paraId="08A7F99E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9F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A0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A1" w14:textId="77777777" w:rsidR="007D5748" w:rsidRPr="00110449" w:rsidRDefault="007D5748" w:rsidP="007D57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BB5AA1" w:rsidRPr="00C57FD2" w14:paraId="08A7F9A8" w14:textId="77777777" w:rsidTr="0061076A">
        <w:trPr>
          <w:trHeight w:val="125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8A7F9A3" w14:textId="77777777" w:rsidR="00BB5AA1" w:rsidRPr="00C57FD2" w:rsidRDefault="00BB5AA1" w:rsidP="00BB5A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Výdavky verejnej správy celkom</w:t>
            </w:r>
          </w:p>
        </w:tc>
        <w:tc>
          <w:tcPr>
            <w:tcW w:w="1405" w:type="dxa"/>
            <w:shd w:val="clear" w:color="auto" w:fill="C0C0C0"/>
            <w:noWrap/>
            <w:vAlign w:val="center"/>
          </w:tcPr>
          <w:p w14:paraId="08A7F9A4" w14:textId="2D16E048" w:rsidR="00BB5AA1" w:rsidRPr="00110449" w:rsidRDefault="00BB5AA1" w:rsidP="00BB5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19 312 023,95</w:t>
            </w:r>
          </w:p>
        </w:tc>
        <w:tc>
          <w:tcPr>
            <w:tcW w:w="1460" w:type="dxa"/>
            <w:shd w:val="clear" w:color="auto" w:fill="C0C0C0"/>
            <w:noWrap/>
            <w:vAlign w:val="center"/>
          </w:tcPr>
          <w:p w14:paraId="08A7F9A5" w14:textId="7335F4CF" w:rsidR="00BB5AA1" w:rsidRPr="00110449" w:rsidRDefault="00BB5AA1" w:rsidP="00BB5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12 940 856,35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8A7F9A6" w14:textId="64F534D2" w:rsidR="00BB5AA1" w:rsidRPr="00110449" w:rsidRDefault="00BB5AA1" w:rsidP="00BB5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20 069 823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8A7F9A7" w14:textId="29327FC7" w:rsidR="00BB5AA1" w:rsidRPr="00110449" w:rsidRDefault="00BB5AA1" w:rsidP="00BB5A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44 845 432</w:t>
            </w:r>
          </w:p>
        </w:tc>
      </w:tr>
      <w:tr w:rsidR="0054685E" w:rsidRPr="00C57FD2" w14:paraId="08A7F9AE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A9" w14:textId="6A271B00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lang w:eastAsia="sk-SK"/>
              </w:rPr>
              <w:t xml:space="preserve">v tom: MŠVVM SR </w:t>
            </w:r>
          </w:p>
        </w:tc>
        <w:tc>
          <w:tcPr>
            <w:tcW w:w="1405" w:type="dxa"/>
            <w:noWrap/>
            <w:vAlign w:val="center"/>
          </w:tcPr>
          <w:p w14:paraId="08A7F9AA" w14:textId="5E0F2DC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19 312 02</w:t>
            </w:r>
            <w:r w:rsidR="00854D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</w:t>
            </w:r>
            <w:r w:rsidRPr="001104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,95</w:t>
            </w:r>
          </w:p>
        </w:tc>
        <w:tc>
          <w:tcPr>
            <w:tcW w:w="1460" w:type="dxa"/>
            <w:noWrap/>
            <w:vAlign w:val="center"/>
          </w:tcPr>
          <w:p w14:paraId="08A7F9AB" w14:textId="1482170F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12 940 856,35</w:t>
            </w:r>
          </w:p>
        </w:tc>
        <w:tc>
          <w:tcPr>
            <w:tcW w:w="1267" w:type="dxa"/>
            <w:noWrap/>
            <w:vAlign w:val="center"/>
          </w:tcPr>
          <w:p w14:paraId="08A7F9AC" w14:textId="5C73BB0E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AD" w14:textId="39110182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B4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AF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z toho: </w:t>
            </w:r>
          </w:p>
        </w:tc>
        <w:tc>
          <w:tcPr>
            <w:tcW w:w="1405" w:type="dxa"/>
            <w:noWrap/>
            <w:vAlign w:val="center"/>
          </w:tcPr>
          <w:p w14:paraId="08A7F9B0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460" w:type="dxa"/>
            <w:noWrap/>
            <w:vAlign w:val="center"/>
          </w:tcPr>
          <w:p w14:paraId="08A7F9B1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B2" w14:textId="77777777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B3" w14:textId="77777777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</w:tr>
      <w:tr w:rsidR="0054685E" w:rsidRPr="00C57FD2" w14:paraId="08A7F9BA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B5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405" w:type="dxa"/>
            <w:noWrap/>
            <w:vAlign w:val="center"/>
          </w:tcPr>
          <w:p w14:paraId="08A7F9B6" w14:textId="5277ED4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19 312 023,95</w:t>
            </w:r>
          </w:p>
        </w:tc>
        <w:tc>
          <w:tcPr>
            <w:tcW w:w="1460" w:type="dxa"/>
            <w:noWrap/>
            <w:vAlign w:val="center"/>
          </w:tcPr>
          <w:p w14:paraId="08A7F9B7" w14:textId="7A0486E1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12 940 856,35</w:t>
            </w:r>
          </w:p>
        </w:tc>
        <w:tc>
          <w:tcPr>
            <w:tcW w:w="1267" w:type="dxa"/>
            <w:noWrap/>
            <w:vAlign w:val="center"/>
          </w:tcPr>
          <w:p w14:paraId="08A7F9B8" w14:textId="37D28C1A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B9" w14:textId="5EDBF854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</w:tr>
      <w:tr w:rsidR="0054685E" w:rsidRPr="00C57FD2" w14:paraId="08A7F9C0" w14:textId="77777777" w:rsidTr="001A2ABD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BB" w14:textId="77777777" w:rsidR="0054685E" w:rsidRPr="00C57FD2" w:rsidRDefault="0054685E" w:rsidP="0054685E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Rozpočtové prostriedky</w:t>
            </w:r>
          </w:p>
        </w:tc>
        <w:tc>
          <w:tcPr>
            <w:tcW w:w="1405" w:type="dxa"/>
            <w:noWrap/>
          </w:tcPr>
          <w:p w14:paraId="08A7F9BC" w14:textId="71A590E5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10 088 226,15</w:t>
            </w:r>
          </w:p>
        </w:tc>
        <w:tc>
          <w:tcPr>
            <w:tcW w:w="1460" w:type="dxa"/>
            <w:noWrap/>
          </w:tcPr>
          <w:p w14:paraId="08A7F9BD" w14:textId="324B1D78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10 964 329,15</w:t>
            </w:r>
          </w:p>
        </w:tc>
        <w:tc>
          <w:tcPr>
            <w:tcW w:w="1267" w:type="dxa"/>
            <w:noWrap/>
            <w:vAlign w:val="center"/>
          </w:tcPr>
          <w:p w14:paraId="08A7F9BE" w14:textId="257279DC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BF" w14:textId="23559644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C6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C1" w14:textId="0FEC1FB8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EÚ zdroje/Plán obnovy a odolnosti</w:t>
            </w:r>
          </w:p>
        </w:tc>
        <w:tc>
          <w:tcPr>
            <w:tcW w:w="1405" w:type="dxa"/>
            <w:noWrap/>
            <w:vAlign w:val="center"/>
          </w:tcPr>
          <w:p w14:paraId="08A7F9C2" w14:textId="3BE589F0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7 906 112,4</w:t>
            </w:r>
          </w:p>
        </w:tc>
        <w:tc>
          <w:tcPr>
            <w:tcW w:w="1460" w:type="dxa"/>
            <w:noWrap/>
            <w:vAlign w:val="center"/>
          </w:tcPr>
          <w:p w14:paraId="08A7F9C3" w14:textId="6C4FBAE0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1 976 527,2</w:t>
            </w:r>
          </w:p>
        </w:tc>
        <w:tc>
          <w:tcPr>
            <w:tcW w:w="1267" w:type="dxa"/>
            <w:noWrap/>
            <w:vAlign w:val="center"/>
          </w:tcPr>
          <w:p w14:paraId="08A7F9C4" w14:textId="745C4E70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C5" w14:textId="33B9A784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4F230C0E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E5F0809" w14:textId="2241793C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z toho DPH</w:t>
            </w:r>
          </w:p>
        </w:tc>
        <w:tc>
          <w:tcPr>
            <w:tcW w:w="1405" w:type="dxa"/>
            <w:noWrap/>
            <w:vAlign w:val="center"/>
          </w:tcPr>
          <w:p w14:paraId="6EC3EAED" w14:textId="25C6F053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1 317 685,4</w:t>
            </w:r>
          </w:p>
        </w:tc>
        <w:tc>
          <w:tcPr>
            <w:tcW w:w="1460" w:type="dxa"/>
            <w:noWrap/>
            <w:vAlign w:val="center"/>
          </w:tcPr>
          <w:p w14:paraId="6D1885FF" w14:textId="45D7FE0D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329 421,2</w:t>
            </w:r>
          </w:p>
        </w:tc>
        <w:tc>
          <w:tcPr>
            <w:tcW w:w="1267" w:type="dxa"/>
            <w:noWrap/>
            <w:vAlign w:val="center"/>
          </w:tcPr>
          <w:p w14:paraId="60D98A3C" w14:textId="1380D0DC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149910B7" w14:textId="143A1693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CC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C7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    spolufinancovanie</w:t>
            </w:r>
          </w:p>
        </w:tc>
        <w:tc>
          <w:tcPr>
            <w:tcW w:w="1405" w:type="dxa"/>
            <w:noWrap/>
            <w:vAlign w:val="center"/>
          </w:tcPr>
          <w:p w14:paraId="08A7F9C8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C9" w14:textId="0A3A02F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CA" w14:textId="5B472F8B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CB" w14:textId="4FD93806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D2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CD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405" w:type="dxa"/>
            <w:noWrap/>
            <w:vAlign w:val="center"/>
          </w:tcPr>
          <w:p w14:paraId="08A7F9CE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CF" w14:textId="6E910AE2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D0" w14:textId="447AFB78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D1" w14:textId="54F7E0E1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</w:tr>
      <w:tr w:rsidR="0054685E" w:rsidRPr="00C57FD2" w14:paraId="08A7F9D9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D3" w14:textId="77777777" w:rsidR="0054685E" w:rsidRPr="00C57FD2" w:rsidRDefault="0054685E" w:rsidP="0054685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z toho vplyv nových úloh v zmysle ods. 2 Čl. 6 ústavného zákona č. 493/2011 Z. z. </w:t>
            </w:r>
          </w:p>
          <w:p w14:paraId="08A7F9D4" w14:textId="77777777" w:rsidR="0054685E" w:rsidRPr="00C57FD2" w:rsidRDefault="0054685E" w:rsidP="0054685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o rozpočtovej zodpovednosti</w:t>
            </w:r>
          </w:p>
        </w:tc>
        <w:tc>
          <w:tcPr>
            <w:tcW w:w="1405" w:type="dxa"/>
            <w:noWrap/>
            <w:vAlign w:val="center"/>
          </w:tcPr>
          <w:p w14:paraId="08A7F9D5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D6" w14:textId="4D5B66AE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D7" w14:textId="5C7117A5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D8" w14:textId="3D0DFB5E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DF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DA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405" w:type="dxa"/>
            <w:noWrap/>
            <w:vAlign w:val="center"/>
          </w:tcPr>
          <w:p w14:paraId="08A7F9DB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DC" w14:textId="467EEE50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DD" w14:textId="4755213C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DE" w14:textId="79A4EE41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</w:tr>
      <w:tr w:rsidR="0054685E" w:rsidRPr="00C57FD2" w14:paraId="08A7F9E6" w14:textId="77777777" w:rsidTr="0061076A">
        <w:trPr>
          <w:trHeight w:val="125"/>
          <w:jc w:val="center"/>
        </w:trPr>
        <w:tc>
          <w:tcPr>
            <w:tcW w:w="4661" w:type="dxa"/>
            <w:noWrap/>
            <w:vAlign w:val="center"/>
          </w:tcPr>
          <w:p w14:paraId="08A7F9E0" w14:textId="77777777" w:rsidR="0054685E" w:rsidRPr="00C57FD2" w:rsidRDefault="0054685E" w:rsidP="0054685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 xml:space="preserve">z toho vplyv nových úloh v zmysle ods. 2 Čl. 6 ústavného zákona č. 493/2011 Z. z. </w:t>
            </w:r>
          </w:p>
          <w:p w14:paraId="08A7F9E1" w14:textId="77777777" w:rsidR="0054685E" w:rsidRPr="00C57FD2" w:rsidRDefault="0054685E" w:rsidP="0054685E">
            <w:p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Cs/>
                <w:i/>
                <w:iCs/>
                <w:lang w:eastAsia="sk-SK"/>
              </w:rPr>
              <w:t>o rozpočtovej zodpovednosti</w:t>
            </w:r>
          </w:p>
        </w:tc>
        <w:tc>
          <w:tcPr>
            <w:tcW w:w="1405" w:type="dxa"/>
            <w:noWrap/>
            <w:vAlign w:val="center"/>
          </w:tcPr>
          <w:p w14:paraId="08A7F9E2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E3" w14:textId="0E894962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E4" w14:textId="28B6D3F6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E5" w14:textId="27E8CABF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</w:tr>
      <w:tr w:rsidR="0054685E" w:rsidRPr="00C57FD2" w14:paraId="08A7F9EC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E7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405" w:type="dxa"/>
            <w:noWrap/>
            <w:vAlign w:val="center"/>
          </w:tcPr>
          <w:p w14:paraId="08A7F9E8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E9" w14:textId="43D0F1A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EA" w14:textId="36D86005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9EB" w14:textId="08EE3E4A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</w:tr>
      <w:tr w:rsidR="0054685E" w:rsidRPr="00C57FD2" w14:paraId="05B577CD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364BB773" w14:textId="6DC7CE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v tom: cirkevné školy</w:t>
            </w:r>
          </w:p>
        </w:tc>
        <w:tc>
          <w:tcPr>
            <w:tcW w:w="1405" w:type="dxa"/>
            <w:noWrap/>
            <w:vAlign w:val="center"/>
          </w:tcPr>
          <w:p w14:paraId="11C990D8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460" w:type="dxa"/>
            <w:noWrap/>
            <w:vAlign w:val="center"/>
          </w:tcPr>
          <w:p w14:paraId="7CC66EAE" w14:textId="7BCEF9C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6390FC99" w14:textId="61200441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C376F4B" w14:textId="25E87011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highlight w:val="yellow"/>
                <w:lang w:eastAsia="sk-SK"/>
              </w:rPr>
            </w:pPr>
          </w:p>
        </w:tc>
      </w:tr>
      <w:tr w:rsidR="0054685E" w:rsidRPr="00C57FD2" w14:paraId="27D2F264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2838B35" w14:textId="017551F8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         súkromné školy</w:t>
            </w:r>
          </w:p>
        </w:tc>
        <w:tc>
          <w:tcPr>
            <w:tcW w:w="1405" w:type="dxa"/>
            <w:noWrap/>
            <w:vAlign w:val="center"/>
          </w:tcPr>
          <w:p w14:paraId="6B805A5A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</w:p>
        </w:tc>
        <w:tc>
          <w:tcPr>
            <w:tcW w:w="1460" w:type="dxa"/>
            <w:noWrap/>
            <w:vAlign w:val="center"/>
          </w:tcPr>
          <w:p w14:paraId="36171BCB" w14:textId="4E5190D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2F920035" w14:textId="3212C1EE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F1EB358" w14:textId="245027C7" w:rsidR="0054685E" w:rsidRPr="00BB5AA1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highlight w:val="yellow"/>
                <w:lang w:eastAsia="sk-SK"/>
              </w:rPr>
            </w:pPr>
          </w:p>
        </w:tc>
      </w:tr>
      <w:tr w:rsidR="0054685E" w:rsidRPr="00C57FD2" w14:paraId="08A7F9F2" w14:textId="77777777" w:rsidTr="0061076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8A7F9ED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Vplyv na počet zamestnancov </w:t>
            </w:r>
          </w:p>
        </w:tc>
        <w:tc>
          <w:tcPr>
            <w:tcW w:w="1405" w:type="dxa"/>
            <w:shd w:val="clear" w:color="auto" w:fill="BFBFBF" w:themeFill="background1" w:themeFillShade="BF"/>
            <w:noWrap/>
            <w:vAlign w:val="center"/>
          </w:tcPr>
          <w:p w14:paraId="08A7F9EE" w14:textId="0DEE416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</w:t>
            </w:r>
          </w:p>
        </w:tc>
        <w:tc>
          <w:tcPr>
            <w:tcW w:w="1460" w:type="dxa"/>
            <w:shd w:val="clear" w:color="auto" w:fill="BFBFBF" w:themeFill="background1" w:themeFillShade="BF"/>
            <w:noWrap/>
            <w:vAlign w:val="center"/>
          </w:tcPr>
          <w:p w14:paraId="08A7F9EF" w14:textId="2EEC6F1E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3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8A7F9F0" w14:textId="142AB91D" w:rsidR="0054685E" w:rsidRPr="005B5F07" w:rsidRDefault="00D30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B5F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472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8A7F9F1" w14:textId="4FCA776A" w:rsidR="0054685E" w:rsidRPr="005B5F07" w:rsidRDefault="005B5F07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5B5F0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1 142</w:t>
            </w:r>
          </w:p>
        </w:tc>
      </w:tr>
      <w:tr w:rsidR="0054685E" w:rsidRPr="00C57FD2" w14:paraId="08A7F9F8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F3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405" w:type="dxa"/>
            <w:noWrap/>
            <w:vAlign w:val="center"/>
          </w:tcPr>
          <w:p w14:paraId="08A7F9F4" w14:textId="0326343F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2</w:t>
            </w:r>
          </w:p>
        </w:tc>
        <w:tc>
          <w:tcPr>
            <w:tcW w:w="1460" w:type="dxa"/>
            <w:noWrap/>
            <w:vAlign w:val="center"/>
          </w:tcPr>
          <w:p w14:paraId="08A7F9F5" w14:textId="3F6F8F31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3</w:t>
            </w:r>
          </w:p>
        </w:tc>
        <w:tc>
          <w:tcPr>
            <w:tcW w:w="1267" w:type="dxa"/>
            <w:noWrap/>
            <w:vAlign w:val="center"/>
          </w:tcPr>
          <w:p w14:paraId="08A7F9F6" w14:textId="03E31D32" w:rsidR="0054685E" w:rsidRPr="00DE1164" w:rsidRDefault="00E45B3D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DE1164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14</w:t>
            </w:r>
          </w:p>
        </w:tc>
        <w:tc>
          <w:tcPr>
            <w:tcW w:w="1267" w:type="dxa"/>
            <w:noWrap/>
            <w:vAlign w:val="center"/>
          </w:tcPr>
          <w:p w14:paraId="08A7F9F7" w14:textId="1DDF9C4D" w:rsidR="0054685E" w:rsidRPr="009438B4" w:rsidRDefault="00E66B9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30</w:t>
            </w:r>
          </w:p>
        </w:tc>
      </w:tr>
      <w:tr w:rsidR="0054685E" w:rsidRPr="009438B4" w14:paraId="08A7F9FE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F9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405" w:type="dxa"/>
            <w:noWrap/>
            <w:vAlign w:val="center"/>
          </w:tcPr>
          <w:p w14:paraId="08A7F9FA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9FB" w14:textId="35D5149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9FC" w14:textId="24CB7B06" w:rsidR="0054685E" w:rsidRPr="00DE1164" w:rsidRDefault="00DE116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DE1164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416</w:t>
            </w:r>
          </w:p>
        </w:tc>
        <w:tc>
          <w:tcPr>
            <w:tcW w:w="1267" w:type="dxa"/>
            <w:noWrap/>
            <w:vAlign w:val="center"/>
          </w:tcPr>
          <w:p w14:paraId="08A7F9FD" w14:textId="255F2857" w:rsidR="0054685E" w:rsidRPr="009438B4" w:rsidRDefault="009438B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9438B4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1 014</w:t>
            </w:r>
          </w:p>
        </w:tc>
      </w:tr>
      <w:tr w:rsidR="0054685E" w:rsidRPr="00C57FD2" w14:paraId="08A7FA04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9FF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405" w:type="dxa"/>
            <w:noWrap/>
            <w:vAlign w:val="center"/>
          </w:tcPr>
          <w:p w14:paraId="08A7FA00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A01" w14:textId="4A8454ED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02" w14:textId="4D658E2E" w:rsidR="0054685E" w:rsidRPr="00DE1164" w:rsidRDefault="00DE116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DE1164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03" w14:textId="76A3C8CA" w:rsidR="0054685E" w:rsidRPr="009438B4" w:rsidRDefault="009438B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9438B4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4685E" w:rsidRPr="00C57FD2" w14:paraId="08A7FA0A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05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</w:t>
            </w:r>
          </w:p>
        </w:tc>
        <w:tc>
          <w:tcPr>
            <w:tcW w:w="1405" w:type="dxa"/>
            <w:noWrap/>
            <w:vAlign w:val="center"/>
          </w:tcPr>
          <w:p w14:paraId="08A7FA06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A07" w14:textId="51BAE10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08" w14:textId="44A960F1" w:rsidR="0054685E" w:rsidRPr="00DE1164" w:rsidRDefault="00CE5DB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42</w:t>
            </w:r>
          </w:p>
        </w:tc>
        <w:tc>
          <w:tcPr>
            <w:tcW w:w="1267" w:type="dxa"/>
            <w:noWrap/>
            <w:vAlign w:val="center"/>
          </w:tcPr>
          <w:p w14:paraId="08A7FA09" w14:textId="27435D43" w:rsidR="0054685E" w:rsidRPr="009438B4" w:rsidRDefault="00271E1C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98</w:t>
            </w:r>
          </w:p>
        </w:tc>
      </w:tr>
      <w:tr w:rsidR="0054685E" w:rsidRPr="00C57FD2" w14:paraId="59CB4FEC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6D943FF8" w14:textId="30847420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v tom: cirkevné školy</w:t>
            </w:r>
          </w:p>
        </w:tc>
        <w:tc>
          <w:tcPr>
            <w:tcW w:w="1405" w:type="dxa"/>
            <w:noWrap/>
            <w:vAlign w:val="center"/>
          </w:tcPr>
          <w:p w14:paraId="6B6703C7" w14:textId="6467CE42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6A08DEB4" w14:textId="0958076A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1549181" w14:textId="3E5A0E9A" w:rsidR="0054685E" w:rsidRPr="00DE1164" w:rsidRDefault="00E86469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18</w:t>
            </w:r>
          </w:p>
        </w:tc>
        <w:tc>
          <w:tcPr>
            <w:tcW w:w="1267" w:type="dxa"/>
            <w:noWrap/>
            <w:vAlign w:val="center"/>
          </w:tcPr>
          <w:p w14:paraId="545EF434" w14:textId="62EFD5BE" w:rsidR="0054685E" w:rsidRPr="009438B4" w:rsidRDefault="00271E1C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42</w:t>
            </w:r>
          </w:p>
        </w:tc>
      </w:tr>
      <w:tr w:rsidR="0054685E" w:rsidRPr="00C57FD2" w14:paraId="42D8C5A7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10B42157" w14:textId="04EADDD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          súkromné školy</w:t>
            </w:r>
          </w:p>
        </w:tc>
        <w:tc>
          <w:tcPr>
            <w:tcW w:w="1405" w:type="dxa"/>
            <w:noWrap/>
            <w:vAlign w:val="center"/>
          </w:tcPr>
          <w:p w14:paraId="696FB25D" w14:textId="414D278B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7D1A769E" w14:textId="11212BA0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7B458D9F" w14:textId="32AA02D1" w:rsidR="0054685E" w:rsidRPr="00DE1164" w:rsidRDefault="002C4D76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24</w:t>
            </w:r>
          </w:p>
        </w:tc>
        <w:tc>
          <w:tcPr>
            <w:tcW w:w="1267" w:type="dxa"/>
            <w:noWrap/>
            <w:vAlign w:val="center"/>
          </w:tcPr>
          <w:p w14:paraId="36570147" w14:textId="47EE544C" w:rsidR="0054685E" w:rsidRPr="009438B4" w:rsidRDefault="00271E1C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56</w:t>
            </w:r>
          </w:p>
        </w:tc>
      </w:tr>
      <w:tr w:rsidR="0054685E" w:rsidRPr="00C57FD2" w14:paraId="08A7FA10" w14:textId="77777777" w:rsidTr="0061076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8A7FA0B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lang w:eastAsia="sk-SK"/>
              </w:rPr>
              <w:t>Vplyv na mzdové výdavky</w:t>
            </w:r>
          </w:p>
        </w:tc>
        <w:tc>
          <w:tcPr>
            <w:tcW w:w="1405" w:type="dxa"/>
            <w:shd w:val="clear" w:color="auto" w:fill="BFBFBF" w:themeFill="background1" w:themeFillShade="BF"/>
            <w:noWrap/>
          </w:tcPr>
          <w:p w14:paraId="08A7FA0C" w14:textId="07AAD3E3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lang w:eastAsia="sk-SK"/>
              </w:rPr>
              <w:t>66 243</w:t>
            </w:r>
          </w:p>
        </w:tc>
        <w:tc>
          <w:tcPr>
            <w:tcW w:w="1460" w:type="dxa"/>
            <w:shd w:val="clear" w:color="auto" w:fill="BFBFBF" w:themeFill="background1" w:themeFillShade="BF"/>
            <w:noWrap/>
          </w:tcPr>
          <w:p w14:paraId="08A7FA0D" w14:textId="430BBE24" w:rsidR="0054685E" w:rsidRPr="00110449" w:rsidRDefault="0054685E" w:rsidP="005468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   </w:t>
            </w:r>
            <w:r w:rsidRPr="00110449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99 364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14:paraId="08A7FA0E" w14:textId="70F59559" w:rsidR="0054685E" w:rsidRPr="008B1770" w:rsidRDefault="00CE5DB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highlight w:val="yellow"/>
                <w:lang w:eastAsia="sk-SK"/>
              </w:rPr>
            </w:pPr>
            <w:r w:rsidRPr="00CE5DB4">
              <w:rPr>
                <w:rFonts w:ascii="Times New Roman" w:eastAsia="Times New Roman" w:hAnsi="Times New Roman" w:cs="Times New Roman"/>
                <w:b/>
                <w:lang w:eastAsia="sk-SK"/>
              </w:rPr>
              <w:t>10 945 342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</w:tcPr>
          <w:p w14:paraId="08A7FA0F" w14:textId="1A18124E" w:rsidR="0054685E" w:rsidRPr="00040A42" w:rsidRDefault="00A13E1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27 215 514</w:t>
            </w:r>
          </w:p>
        </w:tc>
      </w:tr>
      <w:tr w:rsidR="0054685E" w:rsidRPr="00C57FD2" w14:paraId="08A7FA16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11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ŠR</w:t>
            </w:r>
          </w:p>
        </w:tc>
        <w:tc>
          <w:tcPr>
            <w:tcW w:w="1405" w:type="dxa"/>
            <w:noWrap/>
          </w:tcPr>
          <w:p w14:paraId="08A7FA12" w14:textId="53805558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66 243</w:t>
            </w:r>
          </w:p>
        </w:tc>
        <w:tc>
          <w:tcPr>
            <w:tcW w:w="1460" w:type="dxa"/>
            <w:noWrap/>
          </w:tcPr>
          <w:p w14:paraId="08A7FA13" w14:textId="098C66B1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99 364</w:t>
            </w:r>
          </w:p>
        </w:tc>
        <w:tc>
          <w:tcPr>
            <w:tcW w:w="1267" w:type="dxa"/>
            <w:noWrap/>
          </w:tcPr>
          <w:p w14:paraId="08A7FA14" w14:textId="60F165D4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</w:tcPr>
          <w:p w14:paraId="08A7FA15" w14:textId="62E4CCFC" w:rsidR="0054685E" w:rsidRPr="00040A42" w:rsidRDefault="00A13E1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742 161</w:t>
            </w:r>
          </w:p>
        </w:tc>
      </w:tr>
      <w:tr w:rsidR="0054685E" w:rsidRPr="00C57FD2" w14:paraId="08A7FA1C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17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obce</w:t>
            </w:r>
          </w:p>
        </w:tc>
        <w:tc>
          <w:tcPr>
            <w:tcW w:w="1405" w:type="dxa"/>
            <w:noWrap/>
            <w:vAlign w:val="center"/>
          </w:tcPr>
          <w:p w14:paraId="08A7FA18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A19" w14:textId="7499753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1A" w14:textId="27DC5BC5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A1B" w14:textId="0EC3E0EB" w:rsidR="0054685E" w:rsidRPr="00040A42" w:rsidRDefault="00A13E1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24 137 532</w:t>
            </w:r>
          </w:p>
        </w:tc>
      </w:tr>
      <w:tr w:rsidR="0054685E" w:rsidRPr="00C57FD2" w14:paraId="08A7FA22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1D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vyššie územné celky</w:t>
            </w:r>
          </w:p>
        </w:tc>
        <w:tc>
          <w:tcPr>
            <w:tcW w:w="1405" w:type="dxa"/>
            <w:noWrap/>
            <w:vAlign w:val="center"/>
          </w:tcPr>
          <w:p w14:paraId="08A7FA1E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A1F" w14:textId="3E32ABDA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20" w14:textId="4BB961AB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A21" w14:textId="0B985737" w:rsidR="0054685E" w:rsidRPr="00040A42" w:rsidRDefault="00A13E1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</w:tr>
      <w:tr w:rsidR="0054685E" w:rsidRPr="00C57FD2" w14:paraId="08A7FA28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23" w14:textId="48859B2B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- vplyv na ostatné subjekty verejnej správy:</w:t>
            </w:r>
          </w:p>
        </w:tc>
        <w:tc>
          <w:tcPr>
            <w:tcW w:w="1405" w:type="dxa"/>
            <w:noWrap/>
            <w:vAlign w:val="center"/>
          </w:tcPr>
          <w:p w14:paraId="08A7FA24" w14:textId="77777777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8A7FA25" w14:textId="38F7A130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8A7FA26" w14:textId="21E4B371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08A7FA27" w14:textId="1FBB58F0" w:rsidR="0054685E" w:rsidRPr="00040A42" w:rsidRDefault="00575626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2 335 821</w:t>
            </w:r>
          </w:p>
        </w:tc>
      </w:tr>
      <w:tr w:rsidR="0054685E" w:rsidRPr="00C57FD2" w14:paraId="58DCA081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294CB5E" w14:textId="3FA38774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>v tom: cirkevné školy</w:t>
            </w:r>
          </w:p>
        </w:tc>
        <w:tc>
          <w:tcPr>
            <w:tcW w:w="1405" w:type="dxa"/>
            <w:noWrap/>
            <w:vAlign w:val="center"/>
          </w:tcPr>
          <w:p w14:paraId="414AA71F" w14:textId="3749688A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67FA1F29" w14:textId="0EEF83DC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018A4C01" w14:textId="5DC4B31E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1926941" w14:textId="2D2C7191" w:rsidR="0054685E" w:rsidRPr="00040A42" w:rsidRDefault="00575626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999 411</w:t>
            </w:r>
          </w:p>
        </w:tc>
      </w:tr>
      <w:tr w:rsidR="0054685E" w:rsidRPr="00C57FD2" w14:paraId="7B08B85C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22293FDD" w14:textId="5DAC5518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sk-SK"/>
              </w:rPr>
              <w:t xml:space="preserve">           súkromné školy</w:t>
            </w:r>
          </w:p>
        </w:tc>
        <w:tc>
          <w:tcPr>
            <w:tcW w:w="1405" w:type="dxa"/>
            <w:noWrap/>
            <w:vAlign w:val="center"/>
          </w:tcPr>
          <w:p w14:paraId="2383B3A4" w14:textId="163C426A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460" w:type="dxa"/>
            <w:noWrap/>
            <w:vAlign w:val="center"/>
          </w:tcPr>
          <w:p w14:paraId="0E8F5074" w14:textId="15A2451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0</w:t>
            </w:r>
          </w:p>
        </w:tc>
        <w:tc>
          <w:tcPr>
            <w:tcW w:w="1267" w:type="dxa"/>
            <w:noWrap/>
            <w:vAlign w:val="center"/>
          </w:tcPr>
          <w:p w14:paraId="2B0E3C9F" w14:textId="5E186129" w:rsidR="0054685E" w:rsidRPr="008B1770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C38685E" w14:textId="6C263DC4" w:rsidR="0054685E" w:rsidRPr="00040A42" w:rsidRDefault="00575626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sk-SK"/>
              </w:rPr>
              <w:t>1 336 410</w:t>
            </w:r>
          </w:p>
        </w:tc>
      </w:tr>
      <w:tr w:rsidR="0054685E" w:rsidRPr="00C57FD2" w14:paraId="08A7FA2E" w14:textId="77777777" w:rsidTr="0061076A">
        <w:trPr>
          <w:trHeight w:val="70"/>
          <w:jc w:val="center"/>
        </w:trPr>
        <w:tc>
          <w:tcPr>
            <w:tcW w:w="4661" w:type="dxa"/>
            <w:shd w:val="clear" w:color="auto" w:fill="C0C0C0"/>
            <w:noWrap/>
            <w:vAlign w:val="center"/>
          </w:tcPr>
          <w:p w14:paraId="08A7FA29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Financovanie zabezpečené v rozpočte</w:t>
            </w:r>
          </w:p>
        </w:tc>
        <w:tc>
          <w:tcPr>
            <w:tcW w:w="1405" w:type="dxa"/>
            <w:shd w:val="clear" w:color="auto" w:fill="C0C0C0"/>
            <w:noWrap/>
            <w:vAlign w:val="center"/>
          </w:tcPr>
          <w:p w14:paraId="08A7FA2A" w14:textId="186AB9A9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17 889 280,55</w:t>
            </w:r>
          </w:p>
        </w:tc>
        <w:tc>
          <w:tcPr>
            <w:tcW w:w="1460" w:type="dxa"/>
            <w:shd w:val="clear" w:color="auto" w:fill="C0C0C0"/>
            <w:noWrap/>
            <w:vAlign w:val="center"/>
          </w:tcPr>
          <w:p w14:paraId="08A7FA2B" w14:textId="78BABF57" w:rsidR="0054685E" w:rsidRPr="00110449" w:rsidRDefault="006A56E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10 814 329</w:t>
            </w:r>
            <w:r w:rsidR="0054685E" w:rsidRPr="00110449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15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8A7FA2C" w14:textId="70600372" w:rsidR="0054685E" w:rsidRPr="00CE5DB4" w:rsidRDefault="006A56E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19 919  823</w:t>
            </w:r>
          </w:p>
        </w:tc>
        <w:tc>
          <w:tcPr>
            <w:tcW w:w="1267" w:type="dxa"/>
            <w:shd w:val="clear" w:color="auto" w:fill="C0C0C0"/>
            <w:noWrap/>
            <w:vAlign w:val="center"/>
          </w:tcPr>
          <w:p w14:paraId="08A7FA2D" w14:textId="2909EDD4" w:rsidR="0054685E" w:rsidRPr="00CE5DB4" w:rsidRDefault="0015383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E5DB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17 500 00</w:t>
            </w:r>
            <w:r w:rsidR="0054685E" w:rsidRPr="00CE5DB4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54685E" w:rsidRPr="00C57FD2" w14:paraId="08A7FA34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8A7FA2F" w14:textId="743827FE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lang w:eastAsia="sk-SK"/>
              </w:rPr>
              <w:t xml:space="preserve">v tom: </w:t>
            </w:r>
            <w:r w:rsidRPr="0061076A">
              <w:rPr>
                <w:rFonts w:ascii="Times New Roman" w:eastAsia="Times New Roman" w:hAnsi="Times New Roman" w:cs="Times New Roman"/>
                <w:lang w:eastAsia="sk-SK"/>
              </w:rPr>
              <w:t>MŠVVM SR</w:t>
            </w:r>
          </w:p>
        </w:tc>
        <w:tc>
          <w:tcPr>
            <w:tcW w:w="1405" w:type="dxa"/>
            <w:noWrap/>
            <w:vAlign w:val="center"/>
          </w:tcPr>
          <w:p w14:paraId="08A7FA30" w14:textId="01BB3F5B" w:rsidR="0054685E" w:rsidRPr="00110449" w:rsidRDefault="006A56E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11 405 911</w:t>
            </w:r>
            <w:r w:rsidR="0054685E" w:rsidRPr="00110449">
              <w:rPr>
                <w:rFonts w:ascii="Times New Roman" w:eastAsia="Times New Roman" w:hAnsi="Times New Roman" w:cs="Times New Roman"/>
                <w:lang w:eastAsia="sk-SK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  <w:r w:rsidR="0054685E" w:rsidRPr="00110449">
              <w:rPr>
                <w:rFonts w:ascii="Times New Roman" w:eastAsia="Times New Roman" w:hAnsi="Times New Roman" w:cs="Times New Roman"/>
                <w:lang w:eastAsia="sk-SK"/>
              </w:rPr>
              <w:t>5</w:t>
            </w:r>
          </w:p>
        </w:tc>
        <w:tc>
          <w:tcPr>
            <w:tcW w:w="1460" w:type="dxa"/>
            <w:noWrap/>
            <w:vAlign w:val="center"/>
          </w:tcPr>
          <w:p w14:paraId="08A7FA31" w14:textId="4B369E9B" w:rsidR="0054685E" w:rsidRPr="00110449" w:rsidRDefault="006A56E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8 837 801,95 </w:t>
            </w:r>
          </w:p>
        </w:tc>
        <w:tc>
          <w:tcPr>
            <w:tcW w:w="1267" w:type="dxa"/>
            <w:noWrap/>
            <w:vAlign w:val="center"/>
          </w:tcPr>
          <w:p w14:paraId="08A7FA32" w14:textId="5B443584" w:rsidR="0054685E" w:rsidRPr="00CE5DB4" w:rsidRDefault="006A56E3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19 919 823 </w:t>
            </w:r>
          </w:p>
        </w:tc>
        <w:tc>
          <w:tcPr>
            <w:tcW w:w="1267" w:type="dxa"/>
            <w:noWrap/>
            <w:vAlign w:val="center"/>
          </w:tcPr>
          <w:p w14:paraId="08A7FA33" w14:textId="17A59018" w:rsidR="0054685E" w:rsidRPr="00CE5DB4" w:rsidRDefault="00153834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E5DB4">
              <w:rPr>
                <w:rFonts w:ascii="Times New Roman" w:eastAsia="Times New Roman" w:hAnsi="Times New Roman" w:cs="Times New Roman"/>
                <w:lang w:eastAsia="sk-SK"/>
              </w:rPr>
              <w:t>17 500 00</w:t>
            </w:r>
            <w:r w:rsidR="0054685E" w:rsidRPr="00CE5DB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54685E" w:rsidRPr="00CE5DB4" w14:paraId="27FCCC74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7085AF4D" w14:textId="70C517FC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EÚ zdroje/POO</w:t>
            </w:r>
          </w:p>
        </w:tc>
        <w:tc>
          <w:tcPr>
            <w:tcW w:w="1405" w:type="dxa"/>
            <w:noWrap/>
            <w:vAlign w:val="center"/>
          </w:tcPr>
          <w:p w14:paraId="53A31947" w14:textId="6702E8C5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7 906 112,4</w:t>
            </w:r>
          </w:p>
        </w:tc>
        <w:tc>
          <w:tcPr>
            <w:tcW w:w="1460" w:type="dxa"/>
            <w:noWrap/>
            <w:vAlign w:val="center"/>
          </w:tcPr>
          <w:p w14:paraId="330D9FD2" w14:textId="1CCB8118" w:rsidR="0054685E" w:rsidRPr="00110449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lang w:eastAsia="sk-SK"/>
              </w:rPr>
              <w:t>1 976 527,2</w:t>
            </w:r>
          </w:p>
        </w:tc>
        <w:tc>
          <w:tcPr>
            <w:tcW w:w="1267" w:type="dxa"/>
            <w:noWrap/>
            <w:vAlign w:val="center"/>
          </w:tcPr>
          <w:p w14:paraId="2CB90BC3" w14:textId="0EC8AB25" w:rsidR="0054685E" w:rsidRPr="00230A45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highlight w:val="yellow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520514D3" w14:textId="68E9A824" w:rsidR="0054685E" w:rsidRPr="00CE5DB4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CE5DB4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</w:tr>
      <w:tr w:rsidR="0054685E" w:rsidRPr="00C57FD2" w14:paraId="6FFD8819" w14:textId="77777777" w:rsidTr="0061076A">
        <w:trPr>
          <w:trHeight w:val="70"/>
          <w:jc w:val="center"/>
        </w:trPr>
        <w:tc>
          <w:tcPr>
            <w:tcW w:w="4661" w:type="dxa"/>
            <w:noWrap/>
            <w:vAlign w:val="center"/>
          </w:tcPr>
          <w:p w14:paraId="0602E38A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405" w:type="dxa"/>
            <w:noWrap/>
            <w:vAlign w:val="center"/>
          </w:tcPr>
          <w:p w14:paraId="37DFD04B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eastAsia="sk-SK"/>
              </w:rPr>
            </w:pPr>
          </w:p>
        </w:tc>
        <w:tc>
          <w:tcPr>
            <w:tcW w:w="1460" w:type="dxa"/>
            <w:noWrap/>
            <w:vAlign w:val="center"/>
          </w:tcPr>
          <w:p w14:paraId="204698B3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4F5CE17E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267" w:type="dxa"/>
            <w:noWrap/>
            <w:vAlign w:val="center"/>
          </w:tcPr>
          <w:p w14:paraId="39439024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685E" w:rsidRPr="00C57FD2" w14:paraId="08A7FA3A" w14:textId="77777777" w:rsidTr="0061076A">
        <w:trPr>
          <w:trHeight w:val="70"/>
          <w:jc w:val="center"/>
        </w:trPr>
        <w:tc>
          <w:tcPr>
            <w:tcW w:w="4661" w:type="dxa"/>
            <w:shd w:val="clear" w:color="auto" w:fill="BFBFBF" w:themeFill="background1" w:themeFillShade="BF"/>
            <w:noWrap/>
            <w:vAlign w:val="center"/>
          </w:tcPr>
          <w:p w14:paraId="08A7FA35" w14:textId="77777777" w:rsidR="0054685E" w:rsidRPr="00C57FD2" w:rsidRDefault="0054685E" w:rsidP="00546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lang w:eastAsia="sk-SK"/>
              </w:rPr>
              <w:t>Iné ako rozpočtové zdroje</w:t>
            </w:r>
          </w:p>
        </w:tc>
        <w:tc>
          <w:tcPr>
            <w:tcW w:w="1405" w:type="dxa"/>
            <w:shd w:val="clear" w:color="auto" w:fill="BFBFBF" w:themeFill="background1" w:themeFillShade="BF"/>
            <w:noWrap/>
            <w:vAlign w:val="center"/>
          </w:tcPr>
          <w:p w14:paraId="08A7FA36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60" w:type="dxa"/>
            <w:shd w:val="clear" w:color="auto" w:fill="BFBFBF" w:themeFill="background1" w:themeFillShade="BF"/>
            <w:noWrap/>
            <w:vAlign w:val="center"/>
          </w:tcPr>
          <w:p w14:paraId="08A7FA37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8A7FA38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BFBFBF" w:themeFill="background1" w:themeFillShade="BF"/>
            <w:noWrap/>
            <w:vAlign w:val="center"/>
          </w:tcPr>
          <w:p w14:paraId="08A7FA39" w14:textId="77777777" w:rsidR="0054685E" w:rsidRPr="00C57FD2" w:rsidRDefault="0054685E" w:rsidP="005468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</w:tr>
      <w:tr w:rsidR="009A1228" w:rsidRPr="00C57FD2" w14:paraId="08A7FA40" w14:textId="77777777" w:rsidTr="009F1989">
        <w:trPr>
          <w:trHeight w:val="177"/>
          <w:jc w:val="center"/>
        </w:trPr>
        <w:tc>
          <w:tcPr>
            <w:tcW w:w="4661" w:type="dxa"/>
            <w:shd w:val="clear" w:color="auto" w:fill="A6A6A6" w:themeFill="background1" w:themeFillShade="A6"/>
            <w:noWrap/>
            <w:vAlign w:val="center"/>
          </w:tcPr>
          <w:p w14:paraId="08A7FA3B" w14:textId="77777777" w:rsidR="009A1228" w:rsidRPr="00C57FD2" w:rsidRDefault="009A1228" w:rsidP="009A1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Rozpočtovo nekrytý vplyv / úspora</w:t>
            </w:r>
          </w:p>
        </w:tc>
        <w:tc>
          <w:tcPr>
            <w:tcW w:w="1405" w:type="dxa"/>
            <w:shd w:val="clear" w:color="auto" w:fill="A6A6A6" w:themeFill="background1" w:themeFillShade="A6"/>
            <w:noWrap/>
          </w:tcPr>
          <w:p w14:paraId="08A7FA3C" w14:textId="07CE4A6B" w:rsidR="009A1228" w:rsidRPr="007E01D5" w:rsidRDefault="006A56E3" w:rsidP="009A1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60" w:type="dxa"/>
            <w:shd w:val="clear" w:color="auto" w:fill="A6A6A6" w:themeFill="background1" w:themeFillShade="A6"/>
            <w:noWrap/>
          </w:tcPr>
          <w:p w14:paraId="08A7FA3D" w14:textId="17F2BF1B" w:rsidR="009A1228" w:rsidRPr="007E01D5" w:rsidRDefault="006A56E3" w:rsidP="009A1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14:paraId="08A7FA3E" w14:textId="19D4FAD9" w:rsidR="009A1228" w:rsidRPr="00C57FD2" w:rsidRDefault="009F1989" w:rsidP="009A1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6A6A6" w:themeFill="background1" w:themeFillShade="A6"/>
            <w:noWrap/>
          </w:tcPr>
          <w:p w14:paraId="08A7FA3F" w14:textId="3FEAF6E0" w:rsidR="009A1228" w:rsidRPr="00C57FD2" w:rsidRDefault="009A1228" w:rsidP="009A12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6D4E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27 195 432</w:t>
            </w:r>
          </w:p>
        </w:tc>
      </w:tr>
    </w:tbl>
    <w:bookmarkEnd w:id="0"/>
    <w:p w14:paraId="18A4B245" w14:textId="77777777" w:rsidR="00AE26D5" w:rsidRPr="00C57FD2" w:rsidRDefault="001C721D" w:rsidP="00785085">
      <w:pPr>
        <w:spacing w:after="0"/>
        <w:rPr>
          <w:rFonts w:ascii="Times New Roman" w:eastAsia="Times New Roman" w:hAnsi="Times New Roman" w:cs="Times New Roman"/>
          <w:bCs/>
          <w:lang w:eastAsia="sk-SK"/>
        </w:rPr>
      </w:pPr>
      <w:r w:rsidRPr="00C57FD2">
        <w:rPr>
          <w:rFonts w:ascii="Times New Roman" w:eastAsia="Times New Roman" w:hAnsi="Times New Roman" w:cs="Times New Roman"/>
          <w:bCs/>
          <w:lang w:eastAsia="sk-SK"/>
        </w:rPr>
        <w:t xml:space="preserve">                                                                                                                                                    </w:t>
      </w:r>
    </w:p>
    <w:p w14:paraId="69A72D85" w14:textId="77777777" w:rsidR="00355040" w:rsidRPr="00C57FD2" w:rsidRDefault="001C721D" w:rsidP="00AE26D5">
      <w:pPr>
        <w:spacing w:after="0"/>
        <w:jc w:val="right"/>
        <w:rPr>
          <w:rFonts w:ascii="Times New Roman" w:eastAsia="Times New Roman" w:hAnsi="Times New Roman" w:cs="Times New Roman"/>
          <w:bCs/>
          <w:lang w:eastAsia="sk-SK"/>
        </w:rPr>
      </w:pPr>
      <w:r w:rsidRPr="00C57FD2">
        <w:rPr>
          <w:rFonts w:ascii="Times New Roman" w:eastAsia="Times New Roman" w:hAnsi="Times New Roman" w:cs="Times New Roman"/>
          <w:bCs/>
          <w:lang w:eastAsia="sk-SK"/>
        </w:rPr>
        <w:t xml:space="preserve">   </w:t>
      </w:r>
    </w:p>
    <w:p w14:paraId="08A7FA41" w14:textId="7753EC8F" w:rsidR="001F624A" w:rsidRPr="00C57FD2" w:rsidRDefault="001C721D" w:rsidP="00AE26D5">
      <w:pPr>
        <w:spacing w:after="0"/>
        <w:jc w:val="right"/>
        <w:rPr>
          <w:rFonts w:ascii="Times New Roman" w:eastAsia="Times New Roman" w:hAnsi="Times New Roman" w:cs="Times New Roman"/>
          <w:bCs/>
          <w:lang w:eastAsia="sk-SK"/>
        </w:rPr>
      </w:pPr>
      <w:r w:rsidRPr="00C57FD2">
        <w:rPr>
          <w:rFonts w:ascii="Times New Roman" w:eastAsia="Times New Roman" w:hAnsi="Times New Roman" w:cs="Times New Roman"/>
          <w:bCs/>
          <w:lang w:eastAsia="sk-SK"/>
        </w:rPr>
        <w:t xml:space="preserve">      Tabuľka č. 1/B</w:t>
      </w:r>
    </w:p>
    <w:tbl>
      <w:tblPr>
        <w:tblW w:w="1008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1290"/>
        <w:gridCol w:w="1417"/>
        <w:gridCol w:w="1262"/>
        <w:gridCol w:w="1290"/>
      </w:tblGrid>
      <w:tr w:rsidR="00091206" w:rsidRPr="00C57FD2" w14:paraId="08A7FA47" w14:textId="77777777" w:rsidTr="000B75D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42" w14:textId="77777777" w:rsidR="00091206" w:rsidRPr="00C57FD2" w:rsidRDefault="00091206" w:rsidP="000912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A7FA43" w14:textId="33429EE9" w:rsidR="00091206" w:rsidRPr="00C57FD2" w:rsidRDefault="00091206" w:rsidP="0009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A7FA44" w14:textId="6274697E" w:rsidR="00091206" w:rsidRPr="00C57FD2" w:rsidRDefault="00091206" w:rsidP="0009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2026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A7FA45" w14:textId="44FC0ECE" w:rsidR="00091206" w:rsidRPr="00C57FD2" w:rsidRDefault="00091206" w:rsidP="0009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2027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A7FA46" w14:textId="2AA3C85D" w:rsidR="00091206" w:rsidRPr="00C57FD2" w:rsidRDefault="00091206" w:rsidP="0009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2028</w:t>
            </w:r>
          </w:p>
        </w:tc>
      </w:tr>
      <w:tr w:rsidR="00CB4A11" w:rsidRPr="00C57FD2" w14:paraId="08A7FA4D" w14:textId="77777777" w:rsidTr="000B75D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48" w14:textId="77777777" w:rsidR="00CB4A11" w:rsidRPr="00C57FD2" w:rsidRDefault="00CB4A11" w:rsidP="00CB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Vplyvy na limit verejných výdavkov verejnej správy celkom (v metodike ESA 2010)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49" w14:textId="5A7A201C" w:rsidR="00CB4A11" w:rsidRPr="00C57FD2" w:rsidRDefault="006A56E3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4A" w14:textId="7B5AD5CA" w:rsidR="00CB4A11" w:rsidRPr="00C57FD2" w:rsidRDefault="006A56E3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4B" w14:textId="5D4C8F66" w:rsidR="00CB4A11" w:rsidRPr="00C57FD2" w:rsidRDefault="006A56E3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4C" w14:textId="4258E2AA" w:rsidR="00CB4A11" w:rsidRPr="006D4E4C" w:rsidRDefault="006D4E4C" w:rsidP="006D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-</w:t>
            </w:r>
            <w:r w:rsidR="00647E56" w:rsidRPr="006D4E4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sk-SK"/>
              </w:rPr>
              <w:t>27 195 432</w:t>
            </w:r>
          </w:p>
        </w:tc>
      </w:tr>
      <w:tr w:rsidR="00F36797" w:rsidRPr="00C57FD2" w14:paraId="08A7FA53" w14:textId="77777777" w:rsidTr="000B75D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4E" w14:textId="665C5362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color w:val="000000" w:themeColor="text1"/>
                <w:lang w:eastAsia="sk-SK"/>
              </w:rPr>
              <w:t>v tom: MŠVVM SR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4F" w14:textId="0BB1FEF4" w:rsidR="00F36797" w:rsidRPr="00CB4A11" w:rsidRDefault="006A56E3" w:rsidP="00F3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50" w14:textId="37FC9913" w:rsidR="00F36797" w:rsidRPr="00CB4A11" w:rsidRDefault="006A56E3" w:rsidP="00F3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51" w14:textId="297FD52B" w:rsidR="00F36797" w:rsidRPr="00C57FD2" w:rsidRDefault="00F36797" w:rsidP="00F3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52" w14:textId="4462844A" w:rsidR="00F36797" w:rsidRPr="00A86C99" w:rsidRDefault="00F36797" w:rsidP="00F36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sk-SK"/>
              </w:rPr>
            </w:pPr>
          </w:p>
        </w:tc>
      </w:tr>
      <w:tr w:rsidR="00F36797" w:rsidRPr="00C57FD2" w14:paraId="08A7FA59" w14:textId="77777777" w:rsidTr="000B75D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54" w14:textId="77777777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color w:val="000000" w:themeColor="text1"/>
                <w:lang w:eastAsia="sk-SK"/>
              </w:rPr>
              <w:t>z toho: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5" w14:textId="5EA606B7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6" w14:textId="2D7AE4BE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7" w14:textId="2853AF5A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8" w14:textId="2A9EC761" w:rsidR="00F36797" w:rsidRPr="00C57FD2" w:rsidRDefault="00F36797" w:rsidP="00F367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CB4A11" w:rsidRPr="00C57FD2" w14:paraId="08A7FA5F" w14:textId="77777777" w:rsidTr="000B75D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5A" w14:textId="77777777" w:rsidR="00CB4A11" w:rsidRPr="00C57FD2" w:rsidRDefault="00CB4A11" w:rsidP="00CB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ŠR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5B" w14:textId="681E527F" w:rsidR="00CB4A11" w:rsidRPr="00C57FD2" w:rsidRDefault="006A56E3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7FA5C" w14:textId="5BA0CC11" w:rsidR="00CB4A11" w:rsidRPr="00C57FD2" w:rsidRDefault="006A56E3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D" w14:textId="2821966F" w:rsidR="00CB4A11" w:rsidRPr="00B44E2B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5E" w14:textId="1279E613" w:rsidR="00CB4A11" w:rsidRPr="00C57FD2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  <w:tr w:rsidR="00CB4A11" w:rsidRPr="00C57FD2" w14:paraId="08A7FA65" w14:textId="77777777" w:rsidTr="000B75D2">
        <w:trPr>
          <w:trHeight w:val="300"/>
        </w:trPr>
        <w:tc>
          <w:tcPr>
            <w:tcW w:w="4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8A7FA60" w14:textId="30BF583E" w:rsidR="00CB4A11" w:rsidRPr="00C57FD2" w:rsidRDefault="00CB4A11" w:rsidP="00CB4A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ostatných subjekty verejnej správy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/obce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FA61" w14:textId="77777777" w:rsidR="00CB4A11" w:rsidRPr="00110449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2" w14:textId="22FE81EA" w:rsidR="00CB4A11" w:rsidRPr="00110449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3" w14:textId="2B94E290" w:rsidR="00CB4A11" w:rsidRPr="00110449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4" w14:textId="697C1C8C" w:rsidR="00CB4A11" w:rsidRPr="00110449" w:rsidRDefault="00CB4A11" w:rsidP="00CB4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  <w:tr w:rsidR="00F610C7" w:rsidRPr="00C57FD2" w14:paraId="08A7FA6B" w14:textId="77777777" w:rsidTr="000B75D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A7FA66" w14:textId="223D168B" w:rsidR="00F610C7" w:rsidRPr="00C57FD2" w:rsidRDefault="00F610C7" w:rsidP="00F6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 w:rsidRPr="00C57F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vplyv na limit verejných výdavkov ďalších súčastí rozpočtu verejnej správy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7" w14:textId="443D974E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8" w14:textId="18CAB26C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9" w14:textId="09C477AC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7FA6A" w14:textId="59602929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  <w:tr w:rsidR="00F610C7" w:rsidRPr="00C57FD2" w14:paraId="604C1746" w14:textId="77777777" w:rsidTr="000B75D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E82D2A" w14:textId="3A73159C" w:rsidR="00F610C7" w:rsidRPr="00C57FD2" w:rsidRDefault="00F610C7" w:rsidP="00F6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>v tom: cirkevné školy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7F25" w14:textId="38FE63D6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94F1" w14:textId="332B867E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CDFA" w14:textId="512FAE4A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79CEE" w14:textId="5917DEDD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  <w:tr w:rsidR="00F610C7" w:rsidRPr="00C57FD2" w14:paraId="69851D82" w14:textId="77777777" w:rsidTr="000B75D2">
        <w:trPr>
          <w:trHeight w:val="30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59709C2D" w14:textId="72802452" w:rsidR="00F610C7" w:rsidRPr="00C57FD2" w:rsidRDefault="00F610C7" w:rsidP="00F610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sk-SK"/>
              </w:rPr>
              <w:t xml:space="preserve">            súkromné školy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4A68" w14:textId="1248E0F0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 w:rsidRPr="00110449"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74C61" w14:textId="27D35E86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DB7D" w14:textId="2D3E3E8D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6115E" w14:textId="03CD9D61" w:rsidR="00F610C7" w:rsidRPr="00110449" w:rsidRDefault="00F610C7" w:rsidP="00F610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sk-SK"/>
              </w:rPr>
            </w:pPr>
          </w:p>
        </w:tc>
      </w:tr>
    </w:tbl>
    <w:p w14:paraId="08A7FA6C" w14:textId="77777777" w:rsidR="003F35B7" w:rsidRPr="007B7470" w:rsidRDefault="003F35B7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A6D" w14:textId="77777777" w:rsidR="007D5748" w:rsidRPr="007B7470" w:rsidRDefault="007D5748" w:rsidP="005307F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08A7FA6E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14:paraId="29DC38E5" w14:textId="71DAF4DB" w:rsidR="00A56DD7" w:rsidRPr="00F57794" w:rsidRDefault="00A56DD7" w:rsidP="00A56DD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5779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Predpokladané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zvýšené výdavky verejnej správy vyčíslené v návrhu 2.2.1.  sú čiastočne rozpočtovo kryté. Dofinancovanie návrhu bude zabezpečené prostredníctvom zvýšených príjmov štátneho rozpočtu. </w:t>
      </w:r>
    </w:p>
    <w:p w14:paraId="08A7FA70" w14:textId="77777777"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A71" w14:textId="77777777" w:rsidR="007D5748" w:rsidRPr="007B7470" w:rsidRDefault="007D5748" w:rsidP="007D574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A74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8A7FA75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76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08A7FA77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A78" w14:textId="77777777" w:rsidR="007D5748" w:rsidRPr="007B7470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13546B99" w14:textId="153C1192" w:rsidR="00D36296" w:rsidRPr="000B3CB2" w:rsidRDefault="00D36296" w:rsidP="00D36296">
      <w:pPr>
        <w:jc w:val="both"/>
        <w:rPr>
          <w:rFonts w:ascii="Times New Roman" w:hAnsi="Times New Roman" w:cs="Times New Roman"/>
          <w:sz w:val="24"/>
          <w:szCs w:val="24"/>
        </w:rPr>
      </w:pPr>
      <w:r w:rsidRPr="000B3CB2">
        <w:rPr>
          <w:rFonts w:ascii="Times New Roman" w:hAnsi="Times New Roman" w:cs="Times New Roman"/>
          <w:sz w:val="24"/>
          <w:szCs w:val="24"/>
        </w:rPr>
        <w:t xml:space="preserve">Návrhom </w:t>
      </w:r>
      <w:r w:rsidR="00AE6E91" w:rsidRPr="000B3CB2">
        <w:rPr>
          <w:rFonts w:ascii="Times New Roman" w:hAnsi="Times New Roman" w:cs="Times New Roman"/>
          <w:sz w:val="24"/>
          <w:szCs w:val="24"/>
        </w:rPr>
        <w:t>novely zákona č. 245/2008 Z. z. o výchove a vzdelávaní (školský zákon) a o zmene a doplnení niektorých zákonov</w:t>
      </w:r>
      <w:r w:rsidR="00DB0A83" w:rsidRPr="000B3CB2">
        <w:rPr>
          <w:rFonts w:ascii="Times New Roman" w:hAnsi="Times New Roman" w:cs="Times New Roman"/>
          <w:sz w:val="24"/>
          <w:szCs w:val="24"/>
        </w:rPr>
        <w:t xml:space="preserve"> </w:t>
      </w:r>
      <w:r w:rsidRPr="000B3CB2">
        <w:rPr>
          <w:rFonts w:ascii="Times New Roman" w:hAnsi="Times New Roman" w:cs="Times New Roman"/>
          <w:sz w:val="24"/>
          <w:szCs w:val="24"/>
        </w:rPr>
        <w:t>sa  upravia tie oblasti a</w:t>
      </w:r>
      <w:r w:rsidR="00DB0A83" w:rsidRPr="000B3CB2">
        <w:rPr>
          <w:rFonts w:ascii="Times New Roman" w:hAnsi="Times New Roman" w:cs="Times New Roman"/>
          <w:sz w:val="24"/>
          <w:szCs w:val="24"/>
        </w:rPr>
        <w:t> </w:t>
      </w:r>
      <w:r w:rsidRPr="000B3CB2">
        <w:rPr>
          <w:rFonts w:ascii="Times New Roman" w:hAnsi="Times New Roman" w:cs="Times New Roman"/>
          <w:sz w:val="24"/>
          <w:szCs w:val="24"/>
        </w:rPr>
        <w:t>problematiky</w:t>
      </w:r>
      <w:r w:rsidR="00DB0A83" w:rsidRPr="000B3CB2">
        <w:rPr>
          <w:rFonts w:ascii="Times New Roman" w:hAnsi="Times New Roman" w:cs="Times New Roman"/>
          <w:sz w:val="24"/>
          <w:szCs w:val="24"/>
        </w:rPr>
        <w:t xml:space="preserve"> </w:t>
      </w:r>
      <w:r w:rsidRPr="000B3CB2">
        <w:rPr>
          <w:rFonts w:ascii="Times New Roman" w:hAnsi="Times New Roman" w:cs="Times New Roman"/>
          <w:sz w:val="24"/>
          <w:szCs w:val="24"/>
        </w:rPr>
        <w:t>rezort</w:t>
      </w:r>
      <w:r w:rsidR="00DB0A83" w:rsidRPr="000B3CB2">
        <w:rPr>
          <w:rFonts w:ascii="Times New Roman" w:hAnsi="Times New Roman" w:cs="Times New Roman"/>
          <w:sz w:val="24"/>
          <w:szCs w:val="24"/>
        </w:rPr>
        <w:t>u</w:t>
      </w:r>
      <w:r w:rsidRPr="000B3CB2">
        <w:rPr>
          <w:rFonts w:ascii="Times New Roman" w:hAnsi="Times New Roman" w:cs="Times New Roman"/>
          <w:sz w:val="24"/>
          <w:szCs w:val="24"/>
        </w:rPr>
        <w:t xml:space="preserve"> školstva</w:t>
      </w:r>
      <w:r w:rsidR="00DB0A83" w:rsidRPr="000B3CB2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0B3CB2">
        <w:rPr>
          <w:rFonts w:ascii="Times New Roman" w:hAnsi="Times New Roman" w:cs="Times New Roman"/>
          <w:sz w:val="24"/>
          <w:szCs w:val="24"/>
        </w:rPr>
        <w:t>vyplývajú z Programového vyhlásenia vlády na roky 2023 – 2027, z návrhu koncepcie rozvoja špeciálnych výchovných zariadení na</w:t>
      </w:r>
      <w:r w:rsidR="00DB0A83" w:rsidRPr="000B3CB2">
        <w:rPr>
          <w:rFonts w:ascii="Times New Roman" w:hAnsi="Times New Roman" w:cs="Times New Roman"/>
          <w:sz w:val="24"/>
          <w:szCs w:val="24"/>
        </w:rPr>
        <w:t> </w:t>
      </w:r>
      <w:r w:rsidRPr="000B3CB2">
        <w:rPr>
          <w:rFonts w:ascii="Times New Roman" w:hAnsi="Times New Roman" w:cs="Times New Roman"/>
          <w:sz w:val="24"/>
          <w:szCs w:val="24"/>
        </w:rPr>
        <w:t>Slovensku na roky 2024 – 2027, a ktorých úpravu si vyžaduje najmä aplikačná prax, ako aj právne úpravy vo viacerých všeobecne záväzných právnych predpisoch.</w:t>
      </w:r>
    </w:p>
    <w:p w14:paraId="17C7E3CD" w14:textId="494CB9E3" w:rsidR="001F77EE" w:rsidRPr="001C4196" w:rsidRDefault="00305BF3" w:rsidP="001C4196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Prijatím novely zákona v navrhovanom znení </w:t>
      </w:r>
      <w:r w:rsidR="007555F9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 dopad na 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zapracova</w:t>
      </w:r>
      <w:r w:rsidR="007555F9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nie 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zmeny do</w:t>
      </w:r>
      <w:r w:rsidR="007555F9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informačných systémov jednotlivých registrov a spôsobu zberu údajov zo strany škôl a školských zariadení. Zmeny budú zapracúvané hlavne v</w:t>
      </w:r>
      <w:r w:rsidR="007555F9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Rezortn</w:t>
      </w:r>
      <w:r w:rsidR="00E15C62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informačn</w:t>
      </w:r>
      <w:r w:rsidR="00E15C62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</w:t>
      </w:r>
      <w:r w:rsidR="001A7C48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 pokrýva </w:t>
      </w:r>
      <w:r w:rsidR="001A7C48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tri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kľúčové registre regionálne</w:t>
      </w:r>
      <w:r w:rsidR="001F77EE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>ho</w:t>
      </w:r>
      <w:r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školstv</w:t>
      </w:r>
      <w:r w:rsidR="001F77EE" w:rsidRPr="001C419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a: </w:t>
      </w:r>
    </w:p>
    <w:p w14:paraId="24E3B191" w14:textId="77777777" w:rsidR="001F77EE" w:rsidRDefault="00305BF3" w:rsidP="001F77E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 škôl a školských zariadení</w:t>
      </w:r>
    </w:p>
    <w:p w14:paraId="1B1D5F85" w14:textId="77777777" w:rsidR="00D8530E" w:rsidRDefault="00305BF3" w:rsidP="001F77E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 pedagogických, odborných a iných zamestnancov a </w:t>
      </w:r>
    </w:p>
    <w:p w14:paraId="4BE85219" w14:textId="5658197C" w:rsidR="00D8530E" w:rsidRDefault="00305BF3" w:rsidP="00D8530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1F77EE">
        <w:rPr>
          <w:rFonts w:ascii="Times New Roman" w:eastAsia="Times New Roman" w:hAnsi="Times New Roman" w:cs="Times New Roman"/>
          <w:sz w:val="24"/>
          <w:szCs w:val="24"/>
          <w:lang w:eastAsia="sk-SK"/>
        </w:rPr>
        <w:t>Register detí, žiakov a</w:t>
      </w:r>
      <w:r w:rsidR="009903A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1F77EE">
        <w:rPr>
          <w:rFonts w:ascii="Times New Roman" w:eastAsia="Times New Roman" w:hAnsi="Times New Roman" w:cs="Times New Roman"/>
          <w:sz w:val="24"/>
          <w:szCs w:val="24"/>
          <w:lang w:eastAsia="sk-SK"/>
        </w:rPr>
        <w:t>poslucháčov</w:t>
      </w:r>
      <w:r w:rsidR="009903A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0A3D71A" w14:textId="65575154" w:rsidR="00305BF3" w:rsidRPr="00D8530E" w:rsidRDefault="00305BF3" w:rsidP="00D853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8530E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Na úpravy v registroch nadväzujú úpravy v rezortných číselníkoch </w:t>
      </w:r>
      <w:r w:rsidR="00D85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D8530E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573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 v </w:t>
      </w:r>
      <w:r w:rsidRPr="00D853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spôsobe zberu údajov od škôl a školských zariadení. </w:t>
      </w:r>
    </w:p>
    <w:p w14:paraId="787FAA41" w14:textId="77777777" w:rsidR="00305BF3" w:rsidRPr="00305BF3" w:rsidRDefault="00305BF3" w:rsidP="0030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4B36717" w14:textId="77777777" w:rsidR="00305BF3" w:rsidRPr="00305BF3" w:rsidRDefault="00305BF3" w:rsidP="00305B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Kľúčové zmeny v návrhu zákonov, ktoré budú vyžadovať úpravy v informačných systémoch:</w:t>
      </w:r>
    </w:p>
    <w:p w14:paraId="0186B15B" w14:textId="77777777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evidencia obvyklého pobytu</w:t>
      </w:r>
    </w:p>
    <w:p w14:paraId="274E94ED" w14:textId="77777777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zavedenie nového druhu školy – stredná priemyselná škola</w:t>
      </w:r>
    </w:p>
    <w:p w14:paraId="0CB409AA" w14:textId="77777777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program na získanie nižšieho primárneho vzdelávania</w:t>
      </w:r>
    </w:p>
    <w:p w14:paraId="71E37B42" w14:textId="77777777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zmeny vo vzdelávaní a financovaní žiakov so zdravotným znevýhodnením a nadaním</w:t>
      </w:r>
    </w:p>
    <w:p w14:paraId="3EFC99E3" w14:textId="77777777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vytvorenie systému pre zber údajov z výchovných zariadení</w:t>
      </w:r>
    </w:p>
    <w:p w14:paraId="7BA861EB" w14:textId="77777777" w:rsidR="00305BF3" w:rsidRPr="00305BF3" w:rsidRDefault="00305BF3" w:rsidP="00305BF3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vytvorenie zberového mechanizmu od výchovných zariadení</w:t>
      </w:r>
    </w:p>
    <w:p w14:paraId="05C16704" w14:textId="77777777" w:rsidR="00305BF3" w:rsidRPr="00305BF3" w:rsidRDefault="00305BF3" w:rsidP="00305BF3">
      <w:pPr>
        <w:pStyle w:val="Odsekzoznamu"/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rozšírenie Registra detí, žiakov a poslucháčov o nové atribúty a zverejňovanie daných údajov</w:t>
      </w:r>
    </w:p>
    <w:p w14:paraId="6799B4A1" w14:textId="3E987525" w:rsidR="00305BF3" w:rsidRPr="00305BF3" w:rsidRDefault="00305BF3" w:rsidP="00305BF3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proaktívne zdieľanie údajov ohľadom vymeškaných hodín/dní </w:t>
      </w:r>
      <w:r w:rsidR="005C73CF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>neospravedlnen</w:t>
      </w:r>
      <w:r w:rsidR="005C73CF">
        <w:rPr>
          <w:rFonts w:ascii="Times New Roman" w:eastAsia="Times New Roman" w:hAnsi="Times New Roman" w:cs="Times New Roman"/>
          <w:sz w:val="24"/>
          <w:szCs w:val="24"/>
          <w:lang w:eastAsia="sk-SK"/>
        </w:rPr>
        <w:t>ých)</w:t>
      </w:r>
      <w:r w:rsidRPr="00305B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ÚPSVaR a obcami. </w:t>
      </w:r>
    </w:p>
    <w:p w14:paraId="37F700B6" w14:textId="77777777" w:rsidR="005B71ED" w:rsidRDefault="005B71ED" w:rsidP="005B71E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2133AE" w14:textId="5C2EFA76" w:rsidR="005B71ED" w:rsidRPr="00430060" w:rsidRDefault="005B71ED" w:rsidP="00430060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Implementáciou podregistra prijímania na vzdelávanie bude možné podať prihlášku na </w:t>
      </w:r>
      <w:r w:rsidR="00EF461F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matersk</w:t>
      </w:r>
      <w:r w:rsidR="001121A6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EF461F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školu, </w:t>
      </w:r>
      <w:r w:rsidR="001121A6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prihlášku na základnú školu a prihlášku na strednú školu. </w:t>
      </w:r>
      <w:r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Zmena služby nastáva v rozsahu elektronického podania jednej prihlášky na viac ako jednu školu, čím sa šetrí čas na vyplnenie podania občanom. Druhá výhoda je zabezpečená vďaka identifikácií a autentifikácií občana a validácie údajov </w:t>
      </w:r>
      <w:r w:rsidR="00B74B10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s</w:t>
      </w:r>
      <w:r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o štátnymi registrami. Validácia umožní predvyplnenie údajov o dieťati a zákonných zástupcoch. Zmena nastáva aj v rozsahu doručovania, ktorá sa harmonizuje naprieč druhmi škôl. V prípade rozhodnutia o prijatí bude miesto a spôsob doručenia len výveska školy dostupná online na mieste určenom Ministerstvom školstva, výskumu, vývoja a mládeže S</w:t>
      </w:r>
      <w:r w:rsidR="001B17AB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lovenskej republiky (ďalej len „ministerstvo školstva“)</w:t>
      </w:r>
      <w:r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fyzicky na škole a na webovej stránke školy. Podregister uľahčí školám spracovanie prihlášok doručených listinne predvyplnením údajov a skrátením potrebného času na prepísanie všetkých údajov uvedených na prihláške. Zákonný zástupcovia, ktorých prihlášky prejdú validáciou údajov nebudú musieť listinne predkladať prihlášky a prílohy. </w:t>
      </w:r>
    </w:p>
    <w:p w14:paraId="764E83F1" w14:textId="77777777" w:rsidR="00C739E8" w:rsidRDefault="00C739E8" w:rsidP="003F18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D9A23F" w14:textId="79E80878" w:rsidR="00C739E8" w:rsidRDefault="00E37BB4" w:rsidP="00430060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Ďalšou oblasťou</w:t>
      </w:r>
      <w:r w:rsidR="00F27DA3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ktorá sa upraví </w:t>
      </w:r>
      <w:r w:rsidR="005E5F62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navrhovanou </w:t>
      </w:r>
      <w:r w:rsidR="00F27DA3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novelou školského zákona</w:t>
      </w:r>
      <w:r w:rsidR="00762593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F27DA3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62593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je systém</w:t>
      </w:r>
      <w:r w:rsidR="00F91A57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schv</w:t>
      </w:r>
      <w:r w:rsidR="002F00D0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aľovania a financovania edukačných publikácií. </w:t>
      </w:r>
      <w:r w:rsidR="00BD1DE7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Navrhované zmeny sprehľadňujú financovanie odborného posúdenia edukačných publikácií</w:t>
      </w:r>
      <w:r w:rsidR="00850398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Namiesto priamej úhrady recenzentovi vydavateľom bude poplatok uhrádzaný ministerstvu </w:t>
      </w:r>
      <w:r w:rsidR="00D456F9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školstva</w:t>
      </w:r>
      <w:r w:rsidR="003454D2" w:rsidRPr="0043006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zabezpečí financovanie recenzných posudkov.</w:t>
      </w:r>
    </w:p>
    <w:p w14:paraId="2B73CFE3" w14:textId="77777777" w:rsidR="00A77454" w:rsidRPr="00A77454" w:rsidRDefault="00A77454" w:rsidP="00A7745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8C8E3C1" w14:textId="59542A1C" w:rsidR="002754E8" w:rsidRPr="002754E8" w:rsidRDefault="002754E8" w:rsidP="002754E8">
      <w:pPr>
        <w:pStyle w:val="Odsekzoznamu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754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Očakávame, že v dôsledku reformy vzrastie miera zaškolenosti na úroveň 93 % v roku 2027 a 94 % v roku 2028 pre 4-ročné a na 90 % v roku 2028 pre 3-ročné deti. Za týchto predpokladov reforma povedie k nárastu počtu zaškolených detí o 4 598 v roku 2027 a o 11 204 v roku 2028 (Tabuľka </w:t>
      </w:r>
      <w:r w:rsidR="002401DD">
        <w:rPr>
          <w:rFonts w:ascii="Times New Roman" w:eastAsia="Times New Roman" w:hAnsi="Times New Roman" w:cs="Times New Roman"/>
          <w:sz w:val="24"/>
          <w:szCs w:val="24"/>
          <w:lang w:eastAsia="sk-SK"/>
        </w:rPr>
        <w:t>7 a 8</w:t>
      </w:r>
      <w:r w:rsidRPr="002754E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</w:t>
      </w:r>
    </w:p>
    <w:p w14:paraId="7422CCCA" w14:textId="77777777" w:rsidR="00F76634" w:rsidRPr="00F76634" w:rsidRDefault="00F76634" w:rsidP="00F76634">
      <w:pPr>
        <w:pStyle w:val="Odsekzoznamu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F3DF7A" w14:textId="36DBF328" w:rsidR="00A64EB4" w:rsidRDefault="00642CAF" w:rsidP="00A64EB4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2CAF">
        <w:rPr>
          <w:rFonts w:ascii="Times New Roman" w:hAnsi="Times New Roman" w:cs="Times New Roman"/>
          <w:sz w:val="24"/>
          <w:szCs w:val="24"/>
        </w:rPr>
        <w:t>Leg</w:t>
      </w:r>
      <w:r>
        <w:rPr>
          <w:rFonts w:ascii="Times New Roman" w:hAnsi="Times New Roman" w:cs="Times New Roman"/>
          <w:sz w:val="24"/>
          <w:szCs w:val="24"/>
        </w:rPr>
        <w:t>islatívna úprava zavedie</w:t>
      </w:r>
      <w:r w:rsidR="009D4DF9">
        <w:rPr>
          <w:rFonts w:ascii="Times New Roman" w:hAnsi="Times New Roman" w:cs="Times New Roman"/>
          <w:sz w:val="24"/>
          <w:szCs w:val="24"/>
        </w:rPr>
        <w:t xml:space="preserve"> druhošancové </w:t>
      </w:r>
      <w:r w:rsidR="004B06FE">
        <w:rPr>
          <w:rFonts w:ascii="Times New Roman" w:hAnsi="Times New Roman" w:cs="Times New Roman"/>
          <w:sz w:val="24"/>
          <w:szCs w:val="24"/>
        </w:rPr>
        <w:t>vzdelávanie na získanie primárneho vzdelania</w:t>
      </w:r>
      <w:r w:rsidR="00664BC0">
        <w:rPr>
          <w:rFonts w:ascii="Times New Roman" w:hAnsi="Times New Roman" w:cs="Times New Roman"/>
          <w:sz w:val="24"/>
          <w:szCs w:val="24"/>
        </w:rPr>
        <w:t xml:space="preserve"> pre tých, ktorí neukončili úspešne 1. stupeň </w:t>
      </w:r>
      <w:r w:rsidR="00663106">
        <w:rPr>
          <w:rFonts w:ascii="Times New Roman" w:hAnsi="Times New Roman" w:cs="Times New Roman"/>
          <w:sz w:val="24"/>
          <w:szCs w:val="24"/>
        </w:rPr>
        <w:t>základnej školy</w:t>
      </w:r>
      <w:r w:rsidR="001C79E1">
        <w:rPr>
          <w:rFonts w:ascii="Times New Roman" w:hAnsi="Times New Roman" w:cs="Times New Roman"/>
          <w:sz w:val="24"/>
          <w:szCs w:val="24"/>
        </w:rPr>
        <w:t>,</w:t>
      </w:r>
      <w:r w:rsidR="00E9669B">
        <w:rPr>
          <w:rFonts w:ascii="Times New Roman" w:hAnsi="Times New Roman" w:cs="Times New Roman"/>
          <w:sz w:val="24"/>
          <w:szCs w:val="24"/>
        </w:rPr>
        <w:t xml:space="preserve"> </w:t>
      </w:r>
      <w:r w:rsidR="00BE44A5">
        <w:rPr>
          <w:rFonts w:ascii="Times New Roman" w:hAnsi="Times New Roman" w:cs="Times New Roman"/>
          <w:sz w:val="24"/>
          <w:szCs w:val="24"/>
        </w:rPr>
        <w:t xml:space="preserve">či pre </w:t>
      </w:r>
      <w:r w:rsidR="00E9669B">
        <w:rPr>
          <w:rFonts w:ascii="Times New Roman" w:hAnsi="Times New Roman" w:cs="Times New Roman"/>
          <w:sz w:val="24"/>
          <w:szCs w:val="24"/>
        </w:rPr>
        <w:t>žiakov s mentálnym postihnutím</w:t>
      </w:r>
      <w:r w:rsidR="00000B01">
        <w:rPr>
          <w:rFonts w:ascii="Times New Roman" w:hAnsi="Times New Roman" w:cs="Times New Roman"/>
          <w:sz w:val="24"/>
          <w:szCs w:val="24"/>
        </w:rPr>
        <w:t xml:space="preserve"> variantu A, ktorí neukončili úspešne</w:t>
      </w:r>
      <w:r w:rsidR="00ED43E0">
        <w:rPr>
          <w:rFonts w:ascii="Times New Roman" w:hAnsi="Times New Roman" w:cs="Times New Roman"/>
          <w:sz w:val="24"/>
          <w:szCs w:val="24"/>
        </w:rPr>
        <w:t xml:space="preserve"> 1. alebo 2. stupeň v špeciálnej základnej škole. </w:t>
      </w:r>
    </w:p>
    <w:p w14:paraId="66DBF339" w14:textId="77777777" w:rsidR="00F521D9" w:rsidRPr="00F521D9" w:rsidRDefault="00F521D9" w:rsidP="00F521D9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5CBFD09F" w14:textId="4705CC62" w:rsidR="00276CFE" w:rsidRPr="00276CFE" w:rsidRDefault="00276CFE" w:rsidP="00276CFE">
      <w:pPr>
        <w:pStyle w:val="Odsekzoznamu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6CFE">
        <w:rPr>
          <w:rFonts w:ascii="Times New Roman" w:hAnsi="Times New Roman" w:cs="Times New Roman"/>
          <w:sz w:val="24"/>
          <w:szCs w:val="24"/>
        </w:rPr>
        <w:t>Cieľom návrhu</w:t>
      </w:r>
      <w:r w:rsidR="00DA47FF">
        <w:rPr>
          <w:rFonts w:ascii="Times New Roman" w:hAnsi="Times New Roman" w:cs="Times New Roman"/>
          <w:sz w:val="24"/>
          <w:szCs w:val="24"/>
        </w:rPr>
        <w:t xml:space="preserve"> novely školského zákona </w:t>
      </w:r>
      <w:r w:rsidRPr="00276CFE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aj </w:t>
      </w:r>
      <w:r w:rsidRPr="00276CFE">
        <w:rPr>
          <w:rFonts w:ascii="Times New Roman" w:hAnsi="Times New Roman" w:cs="Times New Roman"/>
          <w:sz w:val="24"/>
          <w:szCs w:val="24"/>
        </w:rPr>
        <w:t>zefektívniť proces prijímania detí do</w:t>
      </w:r>
      <w:r w:rsidR="00DA47FF">
        <w:rPr>
          <w:rFonts w:ascii="Times New Roman" w:hAnsi="Times New Roman" w:cs="Times New Roman"/>
          <w:sz w:val="24"/>
          <w:szCs w:val="24"/>
        </w:rPr>
        <w:t> </w:t>
      </w:r>
      <w:r w:rsidRPr="00276CFE">
        <w:rPr>
          <w:rFonts w:ascii="Times New Roman" w:hAnsi="Times New Roman" w:cs="Times New Roman"/>
          <w:sz w:val="24"/>
          <w:szCs w:val="24"/>
        </w:rPr>
        <w:t>reedukačných centier prostredníctvom povinnej komplexnej diagnostiky, spresniť podmienky pobytu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6CFE">
        <w:rPr>
          <w:rFonts w:ascii="Times New Roman" w:hAnsi="Times New Roman" w:cs="Times New Roman"/>
          <w:sz w:val="24"/>
          <w:szCs w:val="24"/>
        </w:rPr>
        <w:t xml:space="preserve">zariadení vrátane vylúčenia detí s ťažkými duševnými poruchami, zaviesť typológiu režimov v RC, zabezpečiť transparentnosť kapacity zariadení </w:t>
      </w:r>
      <w:r w:rsidRPr="00276CF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DA47FF">
        <w:rPr>
          <w:rFonts w:ascii="Times New Roman" w:hAnsi="Times New Roman" w:cs="Times New Roman"/>
          <w:sz w:val="24"/>
          <w:szCs w:val="24"/>
        </w:rPr>
        <w:t> </w:t>
      </w:r>
      <w:r w:rsidRPr="00276CFE">
        <w:rPr>
          <w:rFonts w:ascii="Times New Roman" w:hAnsi="Times New Roman" w:cs="Times New Roman"/>
          <w:sz w:val="24"/>
          <w:szCs w:val="24"/>
        </w:rPr>
        <w:t>zefektívniť evidenciu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6CFE">
        <w:rPr>
          <w:rFonts w:ascii="Times New Roman" w:hAnsi="Times New Roman" w:cs="Times New Roman"/>
          <w:sz w:val="24"/>
          <w:szCs w:val="24"/>
        </w:rPr>
        <w:t>jednotnom informačnom systéme. Návrh tiež stanovuje maximálnu dĺžku pobytu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76CFE">
        <w:rPr>
          <w:rFonts w:ascii="Times New Roman" w:hAnsi="Times New Roman" w:cs="Times New Roman"/>
          <w:sz w:val="24"/>
          <w:szCs w:val="24"/>
        </w:rPr>
        <w:t>diagnostickom centre na 12 týždňov a presne určuje vekové rozpätie prijímaných detí (12 – 18 rokov)</w:t>
      </w:r>
      <w:r w:rsidR="00DA47FF">
        <w:rPr>
          <w:rFonts w:ascii="Times New Roman" w:hAnsi="Times New Roman" w:cs="Times New Roman"/>
          <w:sz w:val="24"/>
          <w:szCs w:val="24"/>
        </w:rPr>
        <w:t>.</w:t>
      </w:r>
    </w:p>
    <w:p w14:paraId="1C806FC4" w14:textId="77777777" w:rsidR="00267BE5" w:rsidRPr="007B7470" w:rsidRDefault="00267BE5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7C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08A7FA7D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7E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8A7FA7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8A7FA8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08A7FA81" w14:textId="0224BEB3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</w:t>
      </w:r>
      <w:r w:rsidR="00D36296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08A7FA82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08A7FA8D" w14:textId="77777777" w:rsidR="00C64BDB" w:rsidRPr="007B7470" w:rsidRDefault="00C64BDB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8E" w14:textId="77777777" w:rsid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6D359661" w14:textId="77777777" w:rsidR="00461AAC" w:rsidRPr="007B7470" w:rsidRDefault="00461AAC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32377CF" w14:textId="6928342E" w:rsidR="00C269DA" w:rsidRDefault="008D4A5A" w:rsidP="008D4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C74B77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C269D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7864A5E3" w14:textId="58942517" w:rsidR="000C0AE8" w:rsidRPr="008D4A5A" w:rsidRDefault="00BB6932" w:rsidP="008D4A5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>Pri počte prihlášok na materskú školu, základnú školu a strednú školu sa vychádzalo z od</w:t>
      </w:r>
      <w:r w:rsidR="00466773">
        <w:rPr>
          <w:rFonts w:ascii="Times New Roman" w:eastAsia="Times New Roman" w:hAnsi="Times New Roman" w:cs="Times New Roman"/>
          <w:sz w:val="24"/>
          <w:szCs w:val="24"/>
          <w:lang w:eastAsia="sk-SK"/>
        </w:rPr>
        <w:t>h</w:t>
      </w:r>
      <w:r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466773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ovanej populácie počtu živonarodených detí za rok 2024. </w:t>
      </w:r>
      <w:r w:rsidR="001250D4"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Výpočet výdavkov bol stanovený zo schváleného rozpočtu uvedeného v zmluve o poskytnutí prostriedkov mechanizmu. Zmluva je uzatvorená medzi Ministerstvom investícií, regionálneho rozvoja a informatizácie SR a Ministerstvom školstva, výskumu, vývoja a mládeže SR na dobu určitú, do 03/2026. Zmluva č. /0061/2024 je dostupná v centrálnom registri zmlúv: </w:t>
      </w:r>
      <w:hyperlink r:id="rId12" w:history="1">
        <w:r w:rsidR="001250D4" w:rsidRPr="008D4A5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https://www.crz.gov.sk/zmluva/9150187/</w:t>
        </w:r>
      </w:hyperlink>
      <w:r w:rsidR="001250D4"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2275B329" w14:textId="77777777" w:rsidR="008A16A1" w:rsidRPr="007B7470" w:rsidRDefault="008A16A1" w:rsidP="008A16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8A16A1" w:rsidRPr="007B7470" w14:paraId="3E9BBD9A" w14:textId="77777777" w:rsidTr="00B32DA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14:paraId="1866F7F3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14:paraId="4142E6C4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8A16A1" w:rsidRPr="007B7470" w14:paraId="64D58EF3" w14:textId="77777777" w:rsidTr="00B32DA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14:paraId="77C592F6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1A3D549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53A3D58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6501B22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A2DA9BE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</w:tr>
      <w:tr w:rsidR="008A16A1" w:rsidRPr="007B7470" w14:paraId="4CF108C5" w14:textId="77777777" w:rsidTr="00B32DA4">
        <w:trPr>
          <w:trHeight w:val="70"/>
        </w:trPr>
        <w:tc>
          <w:tcPr>
            <w:tcW w:w="4530" w:type="dxa"/>
          </w:tcPr>
          <w:p w14:paraId="6FD9F191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Prihláška na materskú školu</w:t>
            </w:r>
          </w:p>
        </w:tc>
        <w:tc>
          <w:tcPr>
            <w:tcW w:w="1134" w:type="dxa"/>
          </w:tcPr>
          <w:p w14:paraId="17153A18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24626C48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6EE0DD85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439F2F94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</w:tr>
      <w:tr w:rsidR="008A16A1" w:rsidRPr="007B7470" w14:paraId="7E38EC9E" w14:textId="77777777" w:rsidTr="00B32DA4">
        <w:trPr>
          <w:trHeight w:val="70"/>
        </w:trPr>
        <w:tc>
          <w:tcPr>
            <w:tcW w:w="4530" w:type="dxa"/>
          </w:tcPr>
          <w:p w14:paraId="55EA5CC2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Prihláška na základnú školu</w:t>
            </w:r>
          </w:p>
        </w:tc>
        <w:tc>
          <w:tcPr>
            <w:tcW w:w="1134" w:type="dxa"/>
          </w:tcPr>
          <w:p w14:paraId="1AF56D99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547A485E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72372A6B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496336C5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</w:tr>
      <w:tr w:rsidR="008A16A1" w:rsidRPr="007B7470" w14:paraId="2F69D38B" w14:textId="77777777" w:rsidTr="00B32DA4">
        <w:trPr>
          <w:trHeight w:val="70"/>
        </w:trPr>
        <w:tc>
          <w:tcPr>
            <w:tcW w:w="4530" w:type="dxa"/>
          </w:tcPr>
          <w:p w14:paraId="68DA6D6C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Prihláška na strednú školu</w:t>
            </w:r>
          </w:p>
        </w:tc>
        <w:tc>
          <w:tcPr>
            <w:tcW w:w="1134" w:type="dxa"/>
          </w:tcPr>
          <w:p w14:paraId="1EA4A42C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2D3B00F4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4BA069BB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  <w:tc>
          <w:tcPr>
            <w:tcW w:w="1134" w:type="dxa"/>
          </w:tcPr>
          <w:p w14:paraId="640503A6" w14:textId="77777777" w:rsidR="008A16A1" w:rsidRPr="007B7470" w:rsidRDefault="008A16A1" w:rsidP="00B32DA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46 000</w:t>
            </w:r>
          </w:p>
        </w:tc>
      </w:tr>
    </w:tbl>
    <w:p w14:paraId="17A08EEE" w14:textId="06CD5040" w:rsidR="00D36296" w:rsidRDefault="008A16A1" w:rsidP="00907B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zdroj: počet živonarodených detí za rok 2024 predstavuje odhadovanú populáciu</w:t>
      </w:r>
    </w:p>
    <w:p w14:paraId="7AFF733D" w14:textId="77777777" w:rsidR="00D314C6" w:rsidRDefault="00D314C6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0AC228" w14:textId="784CE816" w:rsidR="00D314C6" w:rsidRDefault="00544A57" w:rsidP="00C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 bodu </w:t>
      </w:r>
      <w:r w:rsidR="00C81321">
        <w:rPr>
          <w:rFonts w:ascii="Times New Roman" w:eastAsia="Times New Roman" w:hAnsi="Times New Roman" w:cs="Times New Roman"/>
          <w:sz w:val="24"/>
          <w:szCs w:val="24"/>
          <w:lang w:eastAsia="sk-SK"/>
        </w:rPr>
        <w:t>D.</w:t>
      </w:r>
    </w:p>
    <w:p w14:paraId="1D3C364D" w14:textId="636E3371" w:rsidR="00C81321" w:rsidRDefault="00FD1968" w:rsidP="00C81321">
      <w:pPr>
        <w:jc w:val="both"/>
        <w:rPr>
          <w:b/>
          <w:i/>
          <w:sz w:val="20"/>
          <w:u w:val="single"/>
        </w:rPr>
      </w:pPr>
      <w:r w:rsidRPr="00F45F27">
        <w:rPr>
          <w:rFonts w:ascii="Times New Roman" w:eastAsia="Times New Roman" w:hAnsi="Times New Roman" w:cs="Times New Roman"/>
          <w:sz w:val="20"/>
          <w:szCs w:val="20"/>
          <w:lang w:eastAsia="sk-SK"/>
        </w:rPr>
        <w:t>Tabuľka</w:t>
      </w:r>
      <w:r w:rsidR="00F45F27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</w:t>
      </w:r>
      <w:r w:rsidR="00740463">
        <w:rPr>
          <w:rFonts w:ascii="Times New Roman" w:eastAsia="Times New Roman" w:hAnsi="Times New Roman" w:cs="Times New Roman"/>
          <w:sz w:val="20"/>
          <w:szCs w:val="20"/>
          <w:lang w:eastAsia="sk-SK"/>
        </w:rPr>
        <w:t>7</w:t>
      </w:r>
      <w:r w:rsidRPr="00F45F27">
        <w:rPr>
          <w:rFonts w:ascii="Times New Roman" w:eastAsia="Times New Roman" w:hAnsi="Times New Roman" w:cs="Times New Roman"/>
          <w:sz w:val="20"/>
          <w:szCs w:val="20"/>
          <w:lang w:eastAsia="sk-SK"/>
        </w:rPr>
        <w:t>:</w:t>
      </w:r>
      <w:r>
        <w:rPr>
          <w:b/>
          <w:i/>
          <w:sz w:val="20"/>
          <w:u w:val="single"/>
        </w:rPr>
        <w:t xml:space="preserve"> </w:t>
      </w:r>
      <w:r w:rsidR="00C81321" w:rsidRPr="002F4825">
        <w:rPr>
          <w:b/>
          <w:i/>
          <w:sz w:val="20"/>
          <w:u w:val="single"/>
        </w:rPr>
        <w:t xml:space="preserve"> </w:t>
      </w:r>
      <w:r w:rsidR="00C81321">
        <w:rPr>
          <w:b/>
          <w:i/>
          <w:sz w:val="20"/>
          <w:u w:val="single"/>
        </w:rPr>
        <w:t xml:space="preserve">Vstupné údaje pre výpočet </w:t>
      </w:r>
      <w:r w:rsidR="00BC3FFD">
        <w:rPr>
          <w:b/>
          <w:i/>
          <w:sz w:val="20"/>
          <w:u w:val="single"/>
        </w:rPr>
        <w:t>vplyvov reformy</w:t>
      </w:r>
      <w:r w:rsidR="00C81321" w:rsidRPr="002F4825">
        <w:rPr>
          <w:b/>
          <w:i/>
          <w:sz w:val="20"/>
          <w:u w:val="single"/>
        </w:rPr>
        <w:t xml:space="preserve"> </w:t>
      </w: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497"/>
        <w:gridCol w:w="1085"/>
        <w:gridCol w:w="1458"/>
        <w:gridCol w:w="1341"/>
        <w:gridCol w:w="1406"/>
        <w:gridCol w:w="1329"/>
        <w:gridCol w:w="1329"/>
      </w:tblGrid>
      <w:tr w:rsidR="00981247" w:rsidRPr="00533F95" w14:paraId="79F48D1F" w14:textId="77777777" w:rsidTr="005210F1">
        <w:trPr>
          <w:trHeight w:val="247"/>
        </w:trPr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E61A84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93F586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vek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53ED8AA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populácia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70ADA6F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miera zaškolenost</w:t>
            </w:r>
            <w:r w:rsidRPr="00DA685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i</w:t>
            </w: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 xml:space="preserve"> </w:t>
            </w: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br/>
              <w:t>(bez reformy)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66AA4A6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miera zaškolenost</w:t>
            </w:r>
            <w:r w:rsidRPr="00DA685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i</w:t>
            </w: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 xml:space="preserve"> (po reforme)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343B435B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počet zaškolených</w:t>
            </w: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br/>
              <w:t>(bez reformy)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6093C5BC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počet zaškolených (po reforme)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vAlign w:val="center"/>
            <w:hideMark/>
          </w:tcPr>
          <w:p w14:paraId="2015A8AC" w14:textId="77777777" w:rsidR="00981247" w:rsidRPr="00533F95" w:rsidRDefault="00981247" w:rsidP="005210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>prírastok</w:t>
            </w:r>
            <w:r w:rsidRPr="00533F95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sk-SK"/>
              </w:rPr>
              <w:t xml:space="preserve"> zaškolených (dopad)</w:t>
            </w:r>
          </w:p>
        </w:tc>
      </w:tr>
      <w:tr w:rsidR="00981247" w:rsidRPr="00533F95" w14:paraId="4325A23B" w14:textId="77777777" w:rsidTr="005210F1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6D8C5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2024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E46D6CF" w14:textId="77777777" w:rsidR="00981247" w:rsidRPr="00DA6854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3</w:t>
            </w:r>
          </w:p>
          <w:p w14:paraId="4EAB837D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0266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57237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E2F02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E47A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FA909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43537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49052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43537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1494B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74021A66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D7F1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2025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0790432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E28A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55779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A92EA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30BB4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4B30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42428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628E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42428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C19A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5ABA5074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BB45E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2026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2F03309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D1FA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51231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30B1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EA7D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699515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38969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892664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38969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2830C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39E407AA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D5DF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2027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DFA8ED1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5C9B5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47386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8003E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E1C0B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C3D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36044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2D90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36044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CD2EA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2DBB288C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06E87C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2028</w:t>
            </w:r>
          </w:p>
        </w:tc>
        <w:tc>
          <w:tcPr>
            <w:tcW w:w="49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11D42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05E1B9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46482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B1371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76%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49B791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9</w:t>
            </w: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0</w:t>
            </w:r>
            <w:r w:rsidRPr="00533F95"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8184C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35356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CFB82E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41834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D9C083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lang w:eastAsia="sk-SK"/>
              </w:rPr>
              <w:t>6478</w:t>
            </w:r>
          </w:p>
        </w:tc>
      </w:tr>
      <w:tr w:rsidR="00981247" w:rsidRPr="00533F95" w14:paraId="2D5D1385" w14:textId="77777777" w:rsidTr="005210F1">
        <w:trPr>
          <w:trHeight w:val="288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F5D3A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2024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68782FCB" w14:textId="77777777" w:rsidR="00981247" w:rsidRPr="00DA6854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</w:t>
            </w:r>
          </w:p>
          <w:p w14:paraId="65CE61A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5222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57752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0DE1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D572B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5CBB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48526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4DCB5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48526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3F28D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20DBCA0B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2986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2025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25C8A84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ADC85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58514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AA9BE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EA62E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A097B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49166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A7433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49166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88B11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5A8BFC8E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2CAA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2026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5986686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F0BA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55779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00621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D364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56E09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46868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B066A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46868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204B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sz w:val="16"/>
                <w:lang w:eastAsia="sk-SK"/>
              </w:rPr>
              <w:t>0</w:t>
            </w:r>
          </w:p>
        </w:tc>
      </w:tr>
      <w:tr w:rsidR="00981247" w:rsidRPr="00533F95" w14:paraId="1661130E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4BB3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2027</w:t>
            </w:r>
          </w:p>
        </w:tc>
        <w:tc>
          <w:tcPr>
            <w:tcW w:w="497" w:type="dxa"/>
            <w:vMerge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7E6EE87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D94C5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51231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526C1D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0A6B8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93</w:t>
            </w:r>
            <w:r w:rsidRPr="00533F95"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BEF76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43047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E5E67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47645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87BC4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lang w:eastAsia="sk-SK"/>
              </w:rPr>
              <w:t>4598</w:t>
            </w:r>
          </w:p>
        </w:tc>
      </w:tr>
      <w:tr w:rsidR="00981247" w:rsidRPr="00533F95" w14:paraId="182088BC" w14:textId="77777777" w:rsidTr="005210F1">
        <w:trPr>
          <w:trHeight w:val="28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4B583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2028</w:t>
            </w:r>
          </w:p>
        </w:tc>
        <w:tc>
          <w:tcPr>
            <w:tcW w:w="497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5429A0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CD9A19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47386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D62AF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84%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FB6DB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9</w:t>
            </w: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4</w:t>
            </w:r>
            <w:r w:rsidRPr="00533F95"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%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6BCE3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</w:pPr>
            <w:r w:rsidRPr="00533F95">
              <w:rPr>
                <w:rFonts w:ascii="Arial" w:eastAsia="Times New Roman" w:hAnsi="Arial" w:cs="Arial"/>
                <w:color w:val="000000"/>
                <w:sz w:val="16"/>
                <w:lang w:eastAsia="sk-SK"/>
              </w:rPr>
              <w:t>39816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91553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color w:val="F79646" w:themeColor="accent6"/>
                <w:sz w:val="16"/>
                <w:lang w:eastAsia="sk-SK"/>
              </w:rPr>
              <w:t>44543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3E838" w14:textId="77777777" w:rsidR="00981247" w:rsidRPr="00533F95" w:rsidRDefault="0098124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lang w:eastAsia="sk-SK"/>
              </w:rPr>
              <w:t>4727</w:t>
            </w:r>
          </w:p>
        </w:tc>
      </w:tr>
    </w:tbl>
    <w:p w14:paraId="527FEBF3" w14:textId="77777777" w:rsidR="00981247" w:rsidRPr="00981247" w:rsidRDefault="00981247" w:rsidP="00C81321">
      <w:pPr>
        <w:jc w:val="both"/>
        <w:rPr>
          <w:b/>
          <w:iCs/>
          <w:sz w:val="20"/>
          <w:u w:val="single"/>
        </w:rPr>
      </w:pPr>
    </w:p>
    <w:p w14:paraId="51F856D1" w14:textId="77777777" w:rsidR="003A5429" w:rsidRPr="003A5429" w:rsidRDefault="003A5429" w:rsidP="003A5429">
      <w:pPr>
        <w:spacing w:before="240" w:after="160" w:line="259" w:lineRule="auto"/>
        <w:jc w:val="both"/>
        <w:rPr>
          <w:rFonts w:ascii="Arial" w:eastAsia="Calibri" w:hAnsi="Arial" w:cs="Arial"/>
          <w:i/>
          <w:sz w:val="16"/>
        </w:rPr>
      </w:pPr>
      <w:r w:rsidRPr="003A5429">
        <w:rPr>
          <w:rFonts w:ascii="Arial" w:eastAsia="Calibri" w:hAnsi="Arial" w:cs="Arial"/>
          <w:i/>
          <w:sz w:val="16"/>
        </w:rPr>
        <w:t>Zdroje: Výpočty IVP podľa RFO (2024), RIS MŠVVaM (2024)</w:t>
      </w:r>
    </w:p>
    <w:p w14:paraId="28D636C3" w14:textId="05ECA968" w:rsidR="007F2351" w:rsidRDefault="007F2351" w:rsidP="007F2351">
      <w:pPr>
        <w:rPr>
          <w:b/>
          <w:i/>
          <w:sz w:val="20"/>
          <w:u w:val="single"/>
        </w:rPr>
      </w:pPr>
      <w:r w:rsidRPr="00740463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</w:t>
      </w:r>
      <w:r w:rsidR="00740463" w:rsidRPr="00740463">
        <w:rPr>
          <w:rFonts w:ascii="Times New Roman" w:eastAsia="Times New Roman" w:hAnsi="Times New Roman" w:cs="Times New Roman"/>
          <w:sz w:val="20"/>
          <w:szCs w:val="20"/>
          <w:lang w:eastAsia="sk-SK"/>
        </w:rPr>
        <w:t>8</w:t>
      </w:r>
      <w:r w:rsidRPr="00740463">
        <w:rPr>
          <w:rFonts w:ascii="Times New Roman" w:eastAsia="Times New Roman" w:hAnsi="Times New Roman" w:cs="Times New Roman"/>
          <w:sz w:val="20"/>
          <w:szCs w:val="20"/>
          <w:lang w:eastAsia="sk-SK"/>
        </w:rPr>
        <w:t>:</w:t>
      </w:r>
      <w:r w:rsidRPr="002F4825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Prírastok zaškolených detí v dôsledku reformy podľa typu školy a zriaďovateľa</w:t>
      </w:r>
    </w:p>
    <w:tbl>
      <w:tblPr>
        <w:tblW w:w="91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3"/>
        <w:gridCol w:w="1137"/>
        <w:gridCol w:w="1112"/>
        <w:gridCol w:w="1394"/>
        <w:gridCol w:w="1234"/>
        <w:gridCol w:w="989"/>
        <w:gridCol w:w="1394"/>
        <w:gridCol w:w="1234"/>
      </w:tblGrid>
      <w:tr w:rsidR="007C1A32" w:rsidRPr="0054480D" w14:paraId="1E014B97" w14:textId="77777777" w:rsidTr="005210F1">
        <w:trPr>
          <w:trHeight w:val="446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0AC88A6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lastRenderedPageBreak/>
              <w:t>rok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6030A9D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spolu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DBB1FB9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MŠ</w:t>
            </w: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(obecné)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2EBCCB42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MŠ    (súkromné)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CE6EA8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MŠ               (cirkevné)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977E80A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ŠMŠ</w:t>
            </w: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(štátne)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80DACA2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ŠMŠ</w:t>
            </w: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(súkromné)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FA4BD5B" w14:textId="77777777" w:rsidR="007C1A32" w:rsidRPr="009C2B47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ŠMŠ </w:t>
            </w:r>
            <w:r w:rsidRPr="009C2B4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(cirkevné)</w:t>
            </w:r>
          </w:p>
        </w:tc>
      </w:tr>
      <w:tr w:rsidR="007C1A32" w:rsidRPr="0054480D" w14:paraId="48B5C87D" w14:textId="77777777" w:rsidTr="005210F1">
        <w:trPr>
          <w:trHeight w:val="28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D9954" w14:textId="77777777" w:rsidR="007C1A32" w:rsidRPr="00AE2481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2025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FEB35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F12DE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3947B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4179C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CAAF36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0880D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047F8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C1A32" w:rsidRPr="0054480D" w14:paraId="57B2F7AE" w14:textId="77777777" w:rsidTr="005210F1">
        <w:trPr>
          <w:trHeight w:val="28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9439F" w14:textId="77777777" w:rsidR="007C1A32" w:rsidRPr="00AE2481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2026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3E6EE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F0CD4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C1A97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CE93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5AE53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8696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0F992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7C1A32" w:rsidRPr="0054480D" w14:paraId="3345F238" w14:textId="77777777" w:rsidTr="005210F1">
        <w:trPr>
          <w:trHeight w:val="28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4BD69" w14:textId="77777777" w:rsidR="007C1A32" w:rsidRPr="00AE2481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2027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315ED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4598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1CE216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4159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A60A7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214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A768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164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51839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F1B93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19A37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7C1A32" w:rsidRPr="0054480D" w14:paraId="39373676" w14:textId="77777777" w:rsidTr="005210F1">
        <w:trPr>
          <w:trHeight w:val="288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6A17B3" w14:textId="77777777" w:rsidR="007C1A32" w:rsidRPr="00AE2481" w:rsidRDefault="007C1A32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2028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0134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11204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6CCD4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10130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CCFE9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522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0F0E4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62D1A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D02DB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35F2E" w14:textId="77777777" w:rsidR="007C1A32" w:rsidRPr="00AE2481" w:rsidRDefault="007C1A32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</w:tbl>
    <w:p w14:paraId="415564E9" w14:textId="6AC31B2C" w:rsidR="007F2351" w:rsidRDefault="007F2351" w:rsidP="007F2351">
      <w:pPr>
        <w:spacing w:before="240"/>
        <w:rPr>
          <w:rFonts w:ascii="Arial" w:hAnsi="Arial" w:cs="Arial"/>
          <w:i/>
          <w:sz w:val="16"/>
        </w:rPr>
      </w:pPr>
      <w:r w:rsidRPr="00AD5F69">
        <w:rPr>
          <w:rFonts w:ascii="Arial" w:hAnsi="Arial" w:cs="Arial"/>
          <w:i/>
          <w:sz w:val="16"/>
        </w:rPr>
        <w:t>Zdroje: Výpočty IVP podľa RFO (2024), RIS MŠVVaM (2024)</w:t>
      </w:r>
    </w:p>
    <w:p w14:paraId="3326F7D2" w14:textId="77777777" w:rsidR="00B53F8D" w:rsidRPr="007B7470" w:rsidRDefault="00B53F8D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AF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14:paraId="08A7FAB0" w14:textId="77777777" w:rsidR="007D5748" w:rsidRPr="007B7470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B1" w14:textId="01D0FA6B" w:rsidR="007D5748" w:rsidRPr="007D3F34" w:rsidRDefault="00D36296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7D3F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Výpočet vplyvu na príjmy:</w:t>
      </w:r>
    </w:p>
    <w:p w14:paraId="008E2046" w14:textId="77777777" w:rsidR="00D36296" w:rsidRPr="007B7470" w:rsidRDefault="00D36296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61B1AF3" w14:textId="6304B60D" w:rsidR="003254D3" w:rsidRPr="00623D45" w:rsidRDefault="00096C4B" w:rsidP="00D46DA3">
      <w:pPr>
        <w:pStyle w:val="Odsekzoznamu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227357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ozitívny vplyv </w:t>
      </w:r>
      <w:r w:rsidR="003A5184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príjmy verejnej správy </w:t>
      </w:r>
      <w:r w:rsidR="00B725F6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>má</w:t>
      </w:r>
      <w:r w:rsidR="003254D3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zav</w:t>
      </w:r>
      <w:r w:rsidR="00C81841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edenie </w:t>
      </w:r>
      <w:r w:rsidR="003254D3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>poplat</w:t>
      </w:r>
      <w:r w:rsidR="00C81841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>ku za posúdenie</w:t>
      </w:r>
      <w:r w:rsidR="0007509B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edukačnej publikácie na účely vydania certifikátu</w:t>
      </w:r>
      <w:r w:rsidR="00623D45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(navrhovaný § 13).</w:t>
      </w:r>
      <w:r w:rsidR="003254D3" w:rsidRPr="00623D4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270E6063" w14:textId="77777777" w:rsidR="00623D45" w:rsidRDefault="00623D45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17F50EB" w14:textId="5A6CEEC2" w:rsidR="003254D3" w:rsidRDefault="003254D3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Poplatok za vydanie certifikátu predpokladáme vo výške 100 % sumy životného minima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>pre jednu plnoletú fyzickú osobu (cca 300 EUR)</w:t>
      </w:r>
      <w:r w:rsidR="00613F8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Odhadovaný </w:t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počet podaných žiadostí </w:t>
      </w:r>
      <w:r w:rsidR="00FF33B5">
        <w:rPr>
          <w:rFonts w:ascii="Times New Roman" w:eastAsia="Times New Roman" w:hAnsi="Times New Roman" w:cs="Times New Roman"/>
          <w:sz w:val="24"/>
          <w:szCs w:val="24"/>
          <w:lang w:eastAsia="sk-SK"/>
        </w:rPr>
        <w:t>za rok</w:t>
      </w:r>
      <w:r w:rsidR="00BC63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</w:t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500 žiadostí, čo činí 500 x 300 = 150 000 EUR. </w:t>
      </w:r>
    </w:p>
    <w:p w14:paraId="432F6EEF" w14:textId="77777777" w:rsidR="003254D3" w:rsidRPr="003254D3" w:rsidRDefault="003254D3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C4FEAE4" w14:textId="20DB2F13" w:rsidR="003254D3" w:rsidRDefault="003254D3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>Výšku poplatku navrhujeme na základe analýzy výšky poplatkov za činnosti rovnakého alebo podobného charakteru realizovaných ministerstvom</w:t>
      </w:r>
      <w:r w:rsidR="00BC63C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školstva</w:t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>, priamo riadenými organizáciami ministerstva</w:t>
      </w:r>
      <w:r w:rsidR="00BE096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školstva</w:t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vysokými školami ako aj výškou poplatkov ustanovených v legislatíve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3254D3">
        <w:rPr>
          <w:rFonts w:ascii="Times New Roman" w:eastAsia="Times New Roman" w:hAnsi="Times New Roman" w:cs="Times New Roman"/>
          <w:sz w:val="24"/>
          <w:szCs w:val="24"/>
          <w:lang w:eastAsia="sk-SK"/>
        </w:rPr>
        <w:t>pre profesijný rozvoj pedagogických a odborných zamestnancov a vzdelávania dospelých. </w:t>
      </w:r>
    </w:p>
    <w:p w14:paraId="73A1E923" w14:textId="77777777" w:rsidR="005378CC" w:rsidRDefault="005378CC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771CB3" w14:textId="17A25F1B" w:rsidR="005378CC" w:rsidRDefault="00440DFB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7D3F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Výpočty dopadov na výdavk</w:t>
      </w:r>
      <w:r w:rsidR="00C05437" w:rsidRPr="007D3F3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>y verejnej správy:</w:t>
      </w:r>
    </w:p>
    <w:p w14:paraId="062A3128" w14:textId="77777777" w:rsidR="007D3F34" w:rsidRDefault="007D3F34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</w:pPr>
    </w:p>
    <w:p w14:paraId="41C835F6" w14:textId="50D97765" w:rsidR="007D3F34" w:rsidRDefault="00A63D92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163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K bodu A</w:t>
      </w:r>
      <w:r w:rsidRPr="00A63D9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D5AE008" w14:textId="77777777" w:rsidR="0070124B" w:rsidRDefault="0070124B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E2971DA" w14:textId="1E9EFFDF" w:rsidR="0070124B" w:rsidRPr="0070124B" w:rsidRDefault="0070124B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Prácnosť úprav Rezortn</w:t>
      </w:r>
      <w:r w:rsidR="007720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ého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informačn</w:t>
      </w:r>
      <w:r w:rsidR="007720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ého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systém</w:t>
      </w:r>
      <w:r w:rsidR="007720C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u</w:t>
      </w:r>
      <w:r w:rsidR="002A4D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(ďalej len „RIS“)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boli na základe návrhu zákona odhadnuté na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2650 osobodní, ktoré budú musieť byť obstarané dodávateľsky. Pri</w:t>
      </w:r>
      <w:r w:rsidR="00E05737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 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výpočte sme použili cenu rozvoja 605</w:t>
      </w:r>
      <w:r w:rsidR="0087381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0969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EUR</w:t>
      </w:r>
      <w:r w:rsidR="0087381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bez</w:t>
      </w:r>
      <w:r w:rsidR="002A4D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DPH za osobodeň, ktorú má </w:t>
      </w:r>
      <w:r w:rsidR="0087381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ministerstvo školstva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vysúťaženú v platnej servisnej dohode o rozvoji a údržbe </w:t>
      </w:r>
      <w:r w:rsidR="002A4DE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informačného systému 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RIS. </w:t>
      </w:r>
    </w:p>
    <w:p w14:paraId="07017710" w14:textId="77777777" w:rsidR="0070124B" w:rsidRPr="0070124B" w:rsidRDefault="0070124B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E41637F" w14:textId="568BCE48" w:rsidR="0070124B" w:rsidRPr="0070124B" w:rsidRDefault="0070124B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Bude potrebné rozšíriť interné kapacity o biznis analytika a dátového špecialistu v roku 2025 a 2026 počas obdobi</w:t>
      </w:r>
      <w:r w:rsidR="00830F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implementácie a zavádzani</w:t>
      </w:r>
      <w:r w:rsidR="00830F9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zmien. Vo výpočtoch </w:t>
      </w:r>
      <w:r w:rsidR="002D4E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sa vychádzalo zo 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mzd</w:t>
      </w:r>
      <w:r w:rsidR="002D4ED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y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v 9. platovej triede (1416,00</w:t>
      </w:r>
      <w:r w:rsidR="000969C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EUR</w:t>
      </w:r>
      <w:r w:rsidRPr="007012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) a maximálnym osobným ohodnotením. </w:t>
      </w:r>
    </w:p>
    <w:p w14:paraId="0D92F24E" w14:textId="77777777" w:rsidR="0070124B" w:rsidRDefault="0070124B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203D760" w14:textId="67712225" w:rsidR="00EA1632" w:rsidRPr="00EA1632" w:rsidRDefault="00EA1632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EA163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K bodu B.</w:t>
      </w:r>
    </w:p>
    <w:p w14:paraId="4D57DDC7" w14:textId="77777777" w:rsidR="00EA1632" w:rsidRDefault="00EA1632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57A23566" w14:textId="53A50F05" w:rsidR="00040148" w:rsidRPr="00834D58" w:rsidRDefault="0034755C" w:rsidP="003475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u w:val="single"/>
          <w:lang w:eastAsia="sk-SK"/>
        </w:rPr>
      </w:pPr>
      <w:r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Výpočet výdavkov bol stanovený zo schváleného rozpočtu uvedeného v zmluve o poskytnutí prostriedkov mechanizmu. Zmluva je uzatvorená medzi Ministerstvom investícií, regionálneho rozvoja a informatizácie SR a Ministerstvom školstva, výskumu, vývoja a mládeže SR na dobu určitú, do 03/2026. Zmluva č. /0061/2024 je dostupná v centrálnom registri zmlúv: </w:t>
      </w:r>
      <w:hyperlink r:id="rId13" w:history="1">
        <w:r w:rsidRPr="008D4A5A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https://www.crz.gov.sk/zmluva/9150187/</w:t>
        </w:r>
      </w:hyperlink>
      <w:r w:rsidR="00040148">
        <w:t xml:space="preserve"> </w:t>
      </w:r>
      <w:r w:rsidRPr="008D4A5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3BBF3C10" w14:textId="77777777" w:rsidR="00040148" w:rsidRDefault="00040148" w:rsidP="0034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2700489" w14:textId="77777777" w:rsidR="00040148" w:rsidRDefault="00040148" w:rsidP="00040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Finančné a ekonomické prínosy sú vypočítané v </w:t>
      </w:r>
      <w:r w:rsidRPr="00CF4A53">
        <w:rPr>
          <w:rFonts w:ascii="Times New Roman" w:eastAsia="Times New Roman" w:hAnsi="Times New Roman" w:cs="Times New Roman"/>
          <w:sz w:val="24"/>
          <w:szCs w:val="24"/>
          <w:lang w:eastAsia="sk-SK"/>
        </w:rPr>
        <w:t>Analýze vplyvov na služby verejnej správy pre občana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Ide najmä o finančnú úsporu na strane škôl v hodnote </w:t>
      </w:r>
      <w:r w:rsidRPr="00CF4A53">
        <w:rPr>
          <w:rFonts w:ascii="Times New Roman" w:eastAsia="Times New Roman" w:hAnsi="Times New Roman" w:cs="Times New Roman"/>
          <w:sz w:val="24"/>
          <w:szCs w:val="24"/>
          <w:lang w:eastAsia="sk-SK"/>
        </w:rPr>
        <w:t>441 600 EUR ročne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znížením výdavkov na doručovanie rozhodnutí o prijatí a ekonomické úspory na strane občanov digitalizáciou procesu a odstránenia osobného doručovania prihlášok a jej príloh. </w:t>
      </w:r>
    </w:p>
    <w:p w14:paraId="321C8166" w14:textId="04E762A0" w:rsidR="0034755C" w:rsidRPr="008D4A5A" w:rsidRDefault="0034755C" w:rsidP="003475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D4A5A">
        <w:rPr>
          <w:rFonts w:ascii="Open Sans" w:hAnsi="Open Sans" w:cs="Open Sans"/>
          <w:color w:val="212529"/>
          <w:sz w:val="21"/>
          <w:szCs w:val="21"/>
          <w:shd w:val="clear" w:color="auto" w:fill="E9ECEF"/>
        </w:rPr>
        <w:t xml:space="preserve"> </w:t>
      </w:r>
    </w:p>
    <w:p w14:paraId="7DE31DE7" w14:textId="77777777" w:rsidR="00466773" w:rsidRDefault="00466773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4A00ADDE" w14:textId="10DBC1A5" w:rsidR="00EA1632" w:rsidRPr="0064404A" w:rsidRDefault="00BF0DE8" w:rsidP="0070124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</w:pPr>
      <w:r w:rsidRPr="006440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K bodu C</w:t>
      </w:r>
      <w:r w:rsidR="0064404A" w:rsidRPr="0064404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sk-SK"/>
        </w:rPr>
        <w:t>.</w:t>
      </w:r>
    </w:p>
    <w:p w14:paraId="6F01EEE8" w14:textId="77777777" w:rsidR="00A63D92" w:rsidRDefault="00A63D92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353BA19" w14:textId="093E0B7B" w:rsidR="00A002BF" w:rsidRDefault="00A002BF" w:rsidP="00A002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Predpokladáme priemernú výšku odmeny za vypracovanie recenzného posudku 200 EUR, pri</w:t>
      </w:r>
      <w:r w:rsidR="00820144">
        <w:rPr>
          <w:rStyle w:val="normaltextrun"/>
        </w:rPr>
        <w:t> </w:t>
      </w:r>
      <w:r>
        <w:rPr>
          <w:rStyle w:val="normaltextrun"/>
        </w:rPr>
        <w:t>odhadovanom počte 500 recenzovaných edukačných publikácií ročne, celkové ročné náklady na recenzné posudky budú vo výške 135 900 EUR (vrátane odvodov za zamestnávateľa).</w:t>
      </w:r>
      <w:r>
        <w:rPr>
          <w:rStyle w:val="eop"/>
        </w:rPr>
        <w:t> </w:t>
      </w:r>
    </w:p>
    <w:p w14:paraId="3E17066E" w14:textId="77777777" w:rsidR="00A002BF" w:rsidRDefault="00A002BF" w:rsidP="00A002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Navrhovaná zmena vo financovaní recenzných posudkov k edukačným publikáciám bude vyžadovať zvýšenie personálnych kapacít ministerstva minimálne o jedného zamestnanca, čo predstavuje predpokladané ročné náklady 32 635 EUR (mzda vrátane odvodov zamestnávateľa).</w:t>
      </w:r>
      <w:r>
        <w:rPr>
          <w:rStyle w:val="eop"/>
        </w:rPr>
        <w:t> </w:t>
      </w:r>
    </w:p>
    <w:p w14:paraId="145E9065" w14:textId="77777777" w:rsidR="00A002BF" w:rsidRDefault="00A002BF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>
        <w:rPr>
          <w:rStyle w:val="eop"/>
        </w:rPr>
        <w:t> </w:t>
      </w:r>
    </w:p>
    <w:p w14:paraId="3BA59C00" w14:textId="2FEA88FF" w:rsidR="00AE16F3" w:rsidRDefault="00AE16F3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  <w:r w:rsidRPr="00AE16F3">
        <w:rPr>
          <w:rStyle w:val="eop"/>
          <w:u w:val="single"/>
        </w:rPr>
        <w:t>K bodu D.</w:t>
      </w:r>
    </w:p>
    <w:p w14:paraId="2673C881" w14:textId="77777777" w:rsidR="00AE16F3" w:rsidRDefault="00AE16F3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</w:p>
    <w:p w14:paraId="42168ACC" w14:textId="553CBF41" w:rsidR="0056189C" w:rsidRDefault="0056189C" w:rsidP="0056189C">
      <w:pPr>
        <w:jc w:val="both"/>
        <w:rPr>
          <w:rStyle w:val="fadeinm1hgl8"/>
        </w:rPr>
      </w:pPr>
      <w:r w:rsidRPr="00EF7A9C">
        <w:rPr>
          <w:rStyle w:val="fadeinm1hgl8"/>
          <w:b/>
        </w:rPr>
        <w:t>Zavedenie povinného predprimárneho vzdelávania (PPV) spôsobí nárast počtu detí v materských školách o približne 1</w:t>
      </w:r>
      <w:r>
        <w:rPr>
          <w:rStyle w:val="fadeinm1hgl8"/>
          <w:b/>
        </w:rPr>
        <w:t>1</w:t>
      </w:r>
      <w:r w:rsidRPr="00EF7A9C">
        <w:rPr>
          <w:rStyle w:val="fadeinm1hgl8"/>
          <w:b/>
        </w:rPr>
        <w:t>-tisíc v roku 2028.</w:t>
      </w:r>
      <w:r>
        <w:rPr>
          <w:rStyle w:val="fadeinm1hgl8"/>
        </w:rPr>
        <w:t xml:space="preserve"> Očakávame, že v dôsledku reformy vzrastie miera zaškolenosti na úroveň 93 % v roku 2027 a 94 % v roku 2028 pre 4-ročné a na 90 % v roku 2028 pre 3-ročné deti. Za týchto predpokladov reforma povedie k nárastu počtu zaškolených detí o 4 598 v roku 2027 a o 11 204 v roku 2028 (Tabuľka 7). </w:t>
      </w:r>
    </w:p>
    <w:p w14:paraId="4D543239" w14:textId="499F9D94" w:rsidR="009761DE" w:rsidRDefault="009761DE" w:rsidP="009761DE">
      <w:pPr>
        <w:jc w:val="both"/>
      </w:pPr>
      <w:r w:rsidRPr="00A3367F">
        <w:rPr>
          <w:b/>
        </w:rPr>
        <w:t>Väčšina detí nastúpi do bežných materských škôl zriaďovaných obcou.</w:t>
      </w:r>
      <w:r>
        <w:t xml:space="preserve"> </w:t>
      </w:r>
      <w:r w:rsidRPr="009A7F1B">
        <w:t xml:space="preserve">Predpokladáme, že prírastok detí z hľadiska typu školy a zriaďovateľa bude rovnaký ako v súčasnosti sledujeme pri 5-ročných deťoch. </w:t>
      </w:r>
      <w:r>
        <w:t>Drvivá väčšina 5-ročných (90,4 %) navštevuje bežné materské školy zriaďované obcami a mestami. Menšia časť navštevuje bežné súkromné školy (4,7 %) a bežné cirkevné školy (3,6 %). Zanedbateľný počet detí navštevuje školy pre deti s špeciálnymi výchovno-vzdelávacími potrebami (ŠMŠ), z toho drvivá väčšina školy zriaďované štátom, resp. regionálnymi úradmi školskej správy. Z 11-tisíc detí v roku 2028 preto predpokladáme, že vyše 10-tisíc nastúpi do obecných materských škôl (Tabuľka 8).</w:t>
      </w:r>
    </w:p>
    <w:p w14:paraId="4072A0E6" w14:textId="1D147E4F" w:rsidR="002D3500" w:rsidRDefault="002D3500" w:rsidP="002D3500">
      <w:pPr>
        <w:jc w:val="both"/>
      </w:pPr>
      <w:r>
        <w:rPr>
          <w:b/>
        </w:rPr>
        <w:t>Reforma</w:t>
      </w:r>
      <w:r w:rsidRPr="00EF7A9C">
        <w:rPr>
          <w:b/>
        </w:rPr>
        <w:t xml:space="preserve"> prinesie zvýšenie nákladov na normatívne financovanie o </w:t>
      </w:r>
      <w:r>
        <w:rPr>
          <w:b/>
        </w:rPr>
        <w:t>17,5</w:t>
      </w:r>
      <w:r w:rsidRPr="00EF7A9C">
        <w:rPr>
          <w:b/>
        </w:rPr>
        <w:t xml:space="preserve"> mil. € v roku 2027 a </w:t>
      </w:r>
      <w:r>
        <w:rPr>
          <w:b/>
        </w:rPr>
        <w:t>43,5</w:t>
      </w:r>
      <w:r w:rsidRPr="00EF7A9C">
        <w:rPr>
          <w:b/>
        </w:rPr>
        <w:t xml:space="preserve"> mil. € v roku 2028</w:t>
      </w:r>
      <w:r>
        <w:rPr>
          <w:b/>
        </w:rPr>
        <w:t xml:space="preserve"> (Tabuľka 10)</w:t>
      </w:r>
      <w:r w:rsidRPr="00EF7A9C">
        <w:rPr>
          <w:b/>
        </w:rPr>
        <w:t xml:space="preserve">. </w:t>
      </w:r>
      <w:r w:rsidRPr="00EF7A9C">
        <w:t>Výpočty vychádzajú z predpokladaných nákladov na jedno dieťa v materskej škole, pričom sa opierajú o výšku normatívu v roku 2024, ktorý predstavoval 3 523 €</w:t>
      </w:r>
      <w:r>
        <w:t xml:space="preserve"> v MŠ a 8 557 € v ŠMŠ</w:t>
      </w:r>
      <w:r w:rsidRPr="00EF7A9C">
        <w:t>. Očakávame každoročný nárast normatívu o 2 %.</w:t>
      </w:r>
      <w:r w:rsidRPr="000A2D65">
        <w:t xml:space="preserve"> </w:t>
      </w:r>
    </w:p>
    <w:p w14:paraId="21C2CBE4" w14:textId="77777777" w:rsidR="00BE5D8C" w:rsidRDefault="00BE5D8C" w:rsidP="00BE5D8C">
      <w:pPr>
        <w:jc w:val="both"/>
      </w:pPr>
      <w:r w:rsidRPr="00E77049">
        <w:rPr>
          <w:b/>
        </w:rPr>
        <w:t>Väčšina normatívneho financovania pôjde do obecných škôl a na osobné náklady.</w:t>
      </w:r>
      <w:r>
        <w:t xml:space="preserve"> Normatívne financovanie môžeme rozdeliť na osobné a prevádzkové náklady. Pri ich výpočte sme použili pomer 85,1 % na osobné a 14,9 % na prevádzkové náklady v súlade s §3 ods. 2 </w:t>
      </w:r>
      <w:r w:rsidRPr="00691ED4">
        <w:t>súlade s nariadením vlády č. 630/2008 Z. z.</w:t>
      </w:r>
      <w:r>
        <w:t xml:space="preserve"> V roku 2027 pôjde z 17,5 miliónov € na zvýšené normatívne financovanie väčšina (15,5) mil. €) na financovanie bežných MŠ zriaďovaných obcou, z toho prevažná časť (13,2 mil. €) na ich osobné náklady. Iba 1,4 mil. € pôjde na bežné súkromné a cirkevné MŠ a 553-tisíc € na ŠMŠ. V roku 2028 pôjde na zvýšené normatívne financovanie 43,5 mil. € z toho 32,8 mil. € na osobné náklady v školách zriaďovaných obcou. </w:t>
      </w:r>
    </w:p>
    <w:p w14:paraId="47880206" w14:textId="77777777" w:rsidR="00CC21F6" w:rsidRDefault="00CC21F6" w:rsidP="00B57B70">
      <w:pPr>
        <w:jc w:val="both"/>
        <w:rPr>
          <w:rStyle w:val="fadeinm1hgl8"/>
          <w:rFonts w:ascii="Times New Roman" w:hAnsi="Times New Roman" w:cs="Times New Roman"/>
          <w:bCs/>
          <w:sz w:val="24"/>
          <w:szCs w:val="24"/>
        </w:rPr>
      </w:pPr>
    </w:p>
    <w:p w14:paraId="47DD0319" w14:textId="77777777" w:rsidR="00203CEF" w:rsidRDefault="00203CEF" w:rsidP="00B57B70">
      <w:pPr>
        <w:jc w:val="both"/>
        <w:rPr>
          <w:rStyle w:val="fadeinm1hgl8"/>
          <w:rFonts w:ascii="Times New Roman" w:hAnsi="Times New Roman" w:cs="Times New Roman"/>
          <w:bCs/>
          <w:sz w:val="24"/>
          <w:szCs w:val="24"/>
        </w:rPr>
      </w:pPr>
    </w:p>
    <w:p w14:paraId="3D0CB0D2" w14:textId="77777777" w:rsidR="00203CEF" w:rsidRDefault="00203CEF" w:rsidP="00B57B70">
      <w:pPr>
        <w:jc w:val="both"/>
        <w:rPr>
          <w:rStyle w:val="fadeinm1hgl8"/>
          <w:rFonts w:ascii="Times New Roman" w:hAnsi="Times New Roman" w:cs="Times New Roman"/>
          <w:bCs/>
          <w:sz w:val="24"/>
          <w:szCs w:val="24"/>
        </w:rPr>
      </w:pPr>
    </w:p>
    <w:p w14:paraId="70227F9B" w14:textId="77777777" w:rsidR="002C35FB" w:rsidRDefault="002C35FB" w:rsidP="002C35FB">
      <w:pPr>
        <w:jc w:val="both"/>
        <w:rPr>
          <w:b/>
          <w:i/>
          <w:sz w:val="20"/>
          <w:u w:val="single"/>
        </w:rPr>
      </w:pPr>
    </w:p>
    <w:p w14:paraId="3B7867B9" w14:textId="31A40AE2" w:rsidR="002C35FB" w:rsidRDefault="002C35FB" w:rsidP="002C35FB">
      <w:pPr>
        <w:jc w:val="both"/>
        <w:rPr>
          <w:b/>
          <w:i/>
          <w:sz w:val="20"/>
          <w:u w:val="single"/>
        </w:rPr>
      </w:pPr>
      <w:r w:rsidRPr="00D628FB">
        <w:rPr>
          <w:rFonts w:ascii="Times New Roman" w:eastAsia="Times New Roman" w:hAnsi="Times New Roman" w:cs="Times New Roman"/>
          <w:sz w:val="20"/>
          <w:szCs w:val="20"/>
          <w:lang w:eastAsia="sk-SK"/>
        </w:rPr>
        <w:lastRenderedPageBreak/>
        <w:t xml:space="preserve">Tabuľka </w:t>
      </w:r>
      <w:r w:rsidR="00D628FB" w:rsidRPr="00D628FB">
        <w:rPr>
          <w:rFonts w:ascii="Times New Roman" w:eastAsia="Times New Roman" w:hAnsi="Times New Roman" w:cs="Times New Roman"/>
          <w:sz w:val="20"/>
          <w:szCs w:val="20"/>
          <w:lang w:eastAsia="sk-SK"/>
        </w:rPr>
        <w:t>9</w:t>
      </w:r>
      <w:r w:rsidRPr="00D628FB">
        <w:rPr>
          <w:rFonts w:ascii="Times New Roman" w:eastAsia="Times New Roman" w:hAnsi="Times New Roman" w:cs="Times New Roman"/>
          <w:sz w:val="20"/>
          <w:szCs w:val="20"/>
          <w:lang w:eastAsia="sk-SK"/>
        </w:rPr>
        <w:t>:</w:t>
      </w:r>
      <w:r w:rsidRPr="002F4825">
        <w:rPr>
          <w:b/>
          <w:i/>
          <w:sz w:val="20"/>
          <w:u w:val="single"/>
        </w:rPr>
        <w:t xml:space="preserve"> Fiškálne náklady zavedenia </w:t>
      </w:r>
      <w:r>
        <w:rPr>
          <w:b/>
          <w:i/>
          <w:sz w:val="20"/>
          <w:u w:val="single"/>
        </w:rPr>
        <w:t>reformy</w:t>
      </w:r>
      <w:r w:rsidRPr="002F4825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podľa roku, druhu školy a</w:t>
      </w:r>
      <w:r w:rsidR="00705D17">
        <w:rPr>
          <w:b/>
          <w:i/>
          <w:sz w:val="20"/>
          <w:u w:val="single"/>
        </w:rPr>
        <w:t> </w:t>
      </w:r>
      <w:r>
        <w:rPr>
          <w:b/>
          <w:i/>
          <w:sz w:val="20"/>
          <w:u w:val="single"/>
        </w:rPr>
        <w:t>zriaďovateľa</w:t>
      </w:r>
    </w:p>
    <w:tbl>
      <w:tblPr>
        <w:tblW w:w="90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8"/>
        <w:gridCol w:w="964"/>
        <w:gridCol w:w="1775"/>
        <w:gridCol w:w="1652"/>
        <w:gridCol w:w="1652"/>
        <w:gridCol w:w="2136"/>
      </w:tblGrid>
      <w:tr w:rsidR="00705D17" w:rsidRPr="007B750A" w14:paraId="45940F2D" w14:textId="77777777" w:rsidTr="005210F1">
        <w:trPr>
          <w:trHeight w:val="45"/>
        </w:trPr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DD2759E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rok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5DF6DB0E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druh školy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623EA2D1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zriaďovateľ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7F91A00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normatív </w:t>
            </w: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(spolu)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4A671EF5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normatív</w:t>
            </w: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(osobné náklady)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711B763E" w14:textId="77777777" w:rsidR="00705D17" w:rsidRPr="007B750A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normatív </w:t>
            </w:r>
            <w:r w:rsidRPr="007B750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(prevádzkové náklady)</w:t>
            </w:r>
          </w:p>
        </w:tc>
      </w:tr>
      <w:tr w:rsidR="00705D17" w:rsidRPr="00AE2481" w14:paraId="6C3D6465" w14:textId="77777777" w:rsidTr="005210F1">
        <w:trPr>
          <w:trHeight w:val="288"/>
        </w:trPr>
        <w:tc>
          <w:tcPr>
            <w:tcW w:w="8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17057E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2027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3A8BE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MŠ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755D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obec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62434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15,549,617 €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7B0B7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13,232,724 €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31D71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2,316,893 €</w:t>
            </w:r>
          </w:p>
        </w:tc>
      </w:tr>
      <w:tr w:rsidR="00705D17" w:rsidRPr="00AE2481" w14:paraId="51C35C05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41698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A7B57F6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A3702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súkromník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D1BE0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800,100 €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132E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680,886 €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38509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119,214 €</w:t>
            </w:r>
          </w:p>
        </w:tc>
      </w:tr>
      <w:tr w:rsidR="00705D17" w:rsidRPr="00AE2481" w14:paraId="10FC45D8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EAE1D08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89CA75B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CD13AA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cirkev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85725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613,161 €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3FFFB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521,800 €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01C59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91,361 €</w:t>
            </w:r>
          </w:p>
        </w:tc>
      </w:tr>
      <w:tr w:rsidR="00705D17" w:rsidRPr="00AE2481" w14:paraId="60D60601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9103C32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E22401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ŠMŠ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C0C0A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súkromník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68EAA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54,486 €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BB79E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46,368 €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01A85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8,118 €</w:t>
            </w:r>
          </w:p>
        </w:tc>
      </w:tr>
      <w:tr w:rsidR="00705D17" w:rsidRPr="00AE2481" w14:paraId="3F2071F8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DB13C38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35FDA60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99141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cirkev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65888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27,243 €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F453B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23,184 €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FAA99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4,059 €</w:t>
            </w:r>
          </w:p>
        </w:tc>
      </w:tr>
      <w:tr w:rsidR="00705D17" w:rsidRPr="00AE2481" w14:paraId="4DD95A56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5AC10E62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3B51B6E5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23B3E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štát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07A160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472,216 €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C6B047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401,856 €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54373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70,360 €</w:t>
            </w:r>
          </w:p>
        </w:tc>
      </w:tr>
      <w:tr w:rsidR="00705D17" w:rsidRPr="00AE2481" w14:paraId="3FAD730F" w14:textId="77777777" w:rsidTr="005210F1">
        <w:trPr>
          <w:trHeight w:val="288"/>
        </w:trPr>
        <w:tc>
          <w:tcPr>
            <w:tcW w:w="86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6B71A1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2028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F305E8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MŠ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655A5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obec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075E7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38,631,396 €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2363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32,875,318 €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29290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5,756,078 €</w:t>
            </w:r>
          </w:p>
        </w:tc>
      </w:tr>
      <w:tr w:rsidR="00705D17" w:rsidRPr="00AE2481" w14:paraId="0435FA5B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C23CAA1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4218DE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EBEA7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súkromník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4C251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1,990,680 €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F795C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1,694,069 €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FB9C1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296,611 €</w:t>
            </w:r>
          </w:p>
        </w:tc>
      </w:tr>
      <w:tr w:rsidR="00705D17" w:rsidRPr="00AE2481" w14:paraId="1051A80A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5D23559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0C556B55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340BE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cirkev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D7A0F3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1,525,425 €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4661A5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1,298,137 €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CC8D6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227,288 €</w:t>
            </w:r>
          </w:p>
        </w:tc>
      </w:tr>
      <w:tr w:rsidR="00705D17" w:rsidRPr="00AE2481" w14:paraId="13AFFBD7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27A8497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185A02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ŠMŠ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20CD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súkromník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46A28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148,203 €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93B47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126,121 €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3D5DB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22,082 €</w:t>
            </w:r>
          </w:p>
        </w:tc>
      </w:tr>
      <w:tr w:rsidR="00705D17" w:rsidRPr="00AE2481" w14:paraId="07AC63C5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15D334E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4F862D1F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DECC7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cirkev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18B6D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74,102 €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E951D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63,061 €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B3C13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11,041 €</w:t>
            </w:r>
          </w:p>
        </w:tc>
      </w:tr>
      <w:tr w:rsidR="00705D17" w:rsidRPr="00AE2481" w14:paraId="7BCBBFE9" w14:textId="77777777" w:rsidTr="005210F1">
        <w:trPr>
          <w:trHeight w:val="288"/>
        </w:trPr>
        <w:tc>
          <w:tcPr>
            <w:tcW w:w="86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7B7C3F40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  <w:hideMark/>
          </w:tcPr>
          <w:p w14:paraId="68936D6A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D95C63" w14:textId="77777777" w:rsidR="00705D17" w:rsidRPr="00AE2481" w:rsidRDefault="00705D17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štát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BA3CD8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1,185,626 €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BD267A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1,008,968 €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9E179" w14:textId="77777777" w:rsidR="00705D17" w:rsidRPr="00AE2481" w:rsidRDefault="00705D17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>176,658 €</w:t>
            </w:r>
          </w:p>
        </w:tc>
      </w:tr>
    </w:tbl>
    <w:p w14:paraId="6A461E2E" w14:textId="77777777" w:rsidR="002C35FB" w:rsidRPr="000A2D65" w:rsidRDefault="002C35FB" w:rsidP="002C35FB">
      <w:pPr>
        <w:spacing w:before="240"/>
        <w:jc w:val="both"/>
        <w:rPr>
          <w:rFonts w:ascii="Arial" w:hAnsi="Arial" w:cs="Arial"/>
          <w:i/>
          <w:sz w:val="16"/>
        </w:rPr>
      </w:pPr>
      <w:r w:rsidRPr="00AD5F69">
        <w:rPr>
          <w:rFonts w:ascii="Arial" w:hAnsi="Arial" w:cs="Arial"/>
          <w:i/>
          <w:sz w:val="16"/>
        </w:rPr>
        <w:t>Zdroje: Výpočty IVP podľa RFO (2024), RIS MŠVVaM (2024)</w:t>
      </w:r>
    </w:p>
    <w:p w14:paraId="1F00C2F9" w14:textId="2FB8F7DC" w:rsidR="002C35FB" w:rsidRDefault="002C35FB" w:rsidP="002C35FB">
      <w:pPr>
        <w:rPr>
          <w:b/>
          <w:i/>
          <w:sz w:val="20"/>
          <w:u w:val="single"/>
        </w:rPr>
      </w:pPr>
      <w:r w:rsidRPr="00D628F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</w:t>
      </w:r>
      <w:r w:rsidR="00D628FB" w:rsidRPr="00D628FB">
        <w:rPr>
          <w:rFonts w:ascii="Times New Roman" w:eastAsia="Times New Roman" w:hAnsi="Times New Roman" w:cs="Times New Roman"/>
          <w:sz w:val="20"/>
          <w:szCs w:val="20"/>
          <w:lang w:eastAsia="sk-SK"/>
        </w:rPr>
        <w:t>10</w:t>
      </w:r>
      <w:r w:rsidRPr="002F4825">
        <w:rPr>
          <w:b/>
          <w:i/>
          <w:sz w:val="20"/>
          <w:u w:val="single"/>
        </w:rPr>
        <w:t xml:space="preserve">: Fiškálne náklady zavedenia </w:t>
      </w:r>
      <w:r>
        <w:rPr>
          <w:b/>
          <w:i/>
          <w:sz w:val="20"/>
          <w:u w:val="single"/>
        </w:rPr>
        <w:t>reformy</w:t>
      </w:r>
      <w:r w:rsidRPr="002F4825">
        <w:rPr>
          <w:b/>
          <w:i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podľa roku</w:t>
      </w:r>
    </w:p>
    <w:tbl>
      <w:tblPr>
        <w:tblW w:w="5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0"/>
        <w:gridCol w:w="1480"/>
        <w:gridCol w:w="1300"/>
      </w:tblGrid>
      <w:tr w:rsidR="009302D1" w:rsidRPr="00902F02" w14:paraId="3DFBBA24" w14:textId="77777777" w:rsidTr="005210F1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3CB9795" w14:textId="77777777" w:rsidR="009302D1" w:rsidRPr="00902F02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rok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3482E035" w14:textId="77777777" w:rsidR="009302D1" w:rsidRPr="00902F02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normatív </w:t>
            </w: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(spolu)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1BE02A1F" w14:textId="77777777" w:rsidR="009302D1" w:rsidRPr="00902F02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>normatív</w:t>
            </w: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(osobné náklady)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  <w:hideMark/>
          </w:tcPr>
          <w:p w14:paraId="01BCAB13" w14:textId="77777777" w:rsidR="009302D1" w:rsidRPr="00902F02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t xml:space="preserve">normatív </w:t>
            </w:r>
            <w:r w:rsidRPr="00902F0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  <w:br/>
              <w:t>(prevádzkový)</w:t>
            </w:r>
          </w:p>
        </w:tc>
      </w:tr>
      <w:tr w:rsidR="009302D1" w:rsidRPr="001C5418" w14:paraId="47A1CE62" w14:textId="77777777" w:rsidTr="005210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0C06F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2025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34C7F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A8CD1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8D7F7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</w:tr>
      <w:tr w:rsidR="009302D1" w:rsidRPr="001C5418" w14:paraId="6D3407B6" w14:textId="77777777" w:rsidTr="005210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77386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2026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7A10F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0AC44B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95739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-   €</w:t>
            </w:r>
          </w:p>
        </w:tc>
      </w:tr>
      <w:tr w:rsidR="009302D1" w:rsidRPr="001C5418" w14:paraId="3C344F15" w14:textId="77777777" w:rsidTr="005210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8C170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A3F4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17,516,823 €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B9F4F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14,906,818 €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B6EBE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2,610,005 € </w:t>
            </w:r>
          </w:p>
        </w:tc>
      </w:tr>
      <w:tr w:rsidR="009302D1" w:rsidRPr="001C5418" w14:paraId="1BA366D7" w14:textId="77777777" w:rsidTr="005210F1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AD39" w14:textId="77777777" w:rsidR="009302D1" w:rsidRPr="00AE2481" w:rsidRDefault="009302D1" w:rsidP="005210F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  <w:r w:rsidRPr="00AE2481"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  <w:t>2028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44052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43,555,432 €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50BF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37,065,674 €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A89C0" w14:textId="77777777" w:rsidR="009302D1" w:rsidRPr="00AE2481" w:rsidRDefault="009302D1" w:rsidP="005210F1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E2481">
              <w:rPr>
                <w:rFonts w:ascii="Arial" w:hAnsi="Arial" w:cs="Arial"/>
                <w:sz w:val="16"/>
                <w:szCs w:val="16"/>
              </w:rPr>
              <w:t xml:space="preserve"> 6,489,758 € </w:t>
            </w:r>
          </w:p>
        </w:tc>
      </w:tr>
      <w:tr w:rsidR="002C35FB" w:rsidRPr="00902F02" w14:paraId="6F165D71" w14:textId="77777777" w:rsidTr="00011350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7B449263" w14:textId="380661D3" w:rsidR="002C35FB" w:rsidRPr="00902F02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10B0C831" w14:textId="714D280D" w:rsidR="002C35FB" w:rsidRPr="00902F02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68FCCCC0" w14:textId="1760A2AB" w:rsidR="002C35FB" w:rsidRPr="00902F02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vAlign w:val="center"/>
          </w:tcPr>
          <w:p w14:paraId="4547D07E" w14:textId="09BC499C" w:rsidR="002C35FB" w:rsidRPr="00902F02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k-SK"/>
              </w:rPr>
            </w:pPr>
          </w:p>
        </w:tc>
      </w:tr>
      <w:tr w:rsidR="002C35FB" w:rsidRPr="00902F02" w14:paraId="254F7516" w14:textId="77777777" w:rsidTr="0001135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0BB8ED" w14:textId="58BA3092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4C24620" w14:textId="1AD0D64E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C08EDED" w14:textId="255A7896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D9C6EB1" w14:textId="67E3B317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 w:rsidR="002C35FB" w:rsidRPr="00902F02" w14:paraId="050FE87A" w14:textId="77777777" w:rsidTr="0001135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4B9F56" w14:textId="2FB014F2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2C97FD" w14:textId="24641CC2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CF6E33" w14:textId="114F25A6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9C35139" w14:textId="79E640C1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</w:tr>
      <w:tr w:rsidR="002C35FB" w:rsidRPr="00902F02" w14:paraId="2E47BCFD" w14:textId="77777777" w:rsidTr="0001135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E5651F5" w14:textId="093AE43A" w:rsidR="002C35FB" w:rsidRPr="007B750A" w:rsidRDefault="002C35FB" w:rsidP="00B365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930256" w14:textId="19F5E40F" w:rsidR="002C35FB" w:rsidRPr="007B750A" w:rsidRDefault="002C35FB" w:rsidP="00B365C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2CD9163" w14:textId="2019D465" w:rsidR="002C35FB" w:rsidRPr="007B750A" w:rsidRDefault="002C35FB" w:rsidP="00B365C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34F24E9" w14:textId="112052EC" w:rsidR="002C35FB" w:rsidRPr="007B750A" w:rsidRDefault="002C35FB" w:rsidP="00B365C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C35FB" w:rsidRPr="00902F02" w14:paraId="416ACB6B" w14:textId="77777777" w:rsidTr="00011350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A0530" w14:textId="7B230289" w:rsidR="002C35FB" w:rsidRPr="007B750A" w:rsidRDefault="002C35FB" w:rsidP="009302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sk-SK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415BCA9" w14:textId="0AA1C584" w:rsidR="002C35FB" w:rsidRPr="007B750A" w:rsidRDefault="002C35FB" w:rsidP="009302D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0F3580B" w14:textId="73367134" w:rsidR="002C35FB" w:rsidRPr="007B750A" w:rsidRDefault="002C35FB" w:rsidP="00B365C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2855DC3" w14:textId="33523134" w:rsidR="002C35FB" w:rsidRPr="007B750A" w:rsidRDefault="002C35FB" w:rsidP="00B365C9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0AAFF2" w14:textId="77777777" w:rsidR="002C35FB" w:rsidRDefault="002C35FB" w:rsidP="002C35FB">
      <w:pPr>
        <w:spacing w:before="240"/>
        <w:jc w:val="both"/>
        <w:rPr>
          <w:rFonts w:ascii="Arial" w:hAnsi="Arial" w:cs="Arial"/>
          <w:i/>
          <w:sz w:val="16"/>
        </w:rPr>
      </w:pPr>
      <w:r w:rsidRPr="00AD5F69">
        <w:rPr>
          <w:rFonts w:ascii="Arial" w:hAnsi="Arial" w:cs="Arial"/>
          <w:i/>
          <w:sz w:val="16"/>
        </w:rPr>
        <w:t>Zdroje: Výpočty IVP podľa RFO (2024), RIS MŠVVaM (2024)</w:t>
      </w:r>
    </w:p>
    <w:p w14:paraId="7EE7392C" w14:textId="77777777" w:rsidR="00186740" w:rsidRPr="00533F95" w:rsidRDefault="00186740" w:rsidP="00186740">
      <w:pPr>
        <w:jc w:val="both"/>
      </w:pPr>
      <w:r w:rsidRPr="00EF7A9C">
        <w:rPr>
          <w:b/>
        </w:rPr>
        <w:t>Zavedenie PPV si pravdepodobne nevyžiada dodatočné investície do kapacít materských škôl, a to z dôvodu klesajúcej populácie</w:t>
      </w:r>
      <w:r w:rsidRPr="00EF7A9C">
        <w:t>. Predpokladáme, že počet detí v populácii bude v čase zavedenia reformy výrazne nižší ako v súčasnosti. V roku 2024 malo podľa Registra fyzických osôb (RFO) trvalý pobyt na Slovensku približne 115-tisíc detí vo veku 3 až 4 rokov. V roku 2028 ich podľa odhadov Inštitútu vzdelávacej politiky (IVP), založených na údajoch z RFO, bude už len 94-tisíc, čo je dôsledkom poklesu pôrodnosti v rokoch 2022 až 2024. V populácii tak bude o 21-tisíc detí menej, resp. o 17-tisíc menej potenciálne zaškolených detí.</w:t>
      </w:r>
      <w:r>
        <w:t xml:space="preserve"> </w:t>
      </w:r>
      <w:r w:rsidRPr="00EF7A9C">
        <w:t>Očakávame preto uvoľnenie približne 17-tisíc kapacít v materských školách, ktoré – v kombinácii s novými kapacitami vybudovanými prostredníctvom Plánu obnovy a odolnosti – považujeme za dostatočné na pokrytie zvýšeného dopytu spôsobeného zavedením reformy.</w:t>
      </w:r>
    </w:p>
    <w:p w14:paraId="362E08CD" w14:textId="77777777" w:rsidR="007F60F1" w:rsidRDefault="007F60F1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</w:p>
    <w:p w14:paraId="1B2663A6" w14:textId="730F8A00" w:rsidR="00AE16F3" w:rsidRDefault="00163865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  <w:r>
        <w:rPr>
          <w:rStyle w:val="eop"/>
          <w:u w:val="single"/>
        </w:rPr>
        <w:t>K bodu E.</w:t>
      </w:r>
    </w:p>
    <w:p w14:paraId="23E9ABD8" w14:textId="77777777" w:rsidR="00163865" w:rsidRDefault="00163865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</w:p>
    <w:p w14:paraId="086B2486" w14:textId="50792786" w:rsidR="006033AE" w:rsidRPr="00D73ACE" w:rsidRDefault="0023161D" w:rsidP="00D73ACE">
      <w:pPr>
        <w:pStyle w:val="paragraph"/>
        <w:spacing w:before="0" w:beforeAutospacing="0" w:after="0" w:afterAutospacing="0"/>
        <w:jc w:val="both"/>
        <w:textAlignment w:val="baseline"/>
      </w:pPr>
      <w:r w:rsidRPr="00852B15">
        <w:rPr>
          <w:rStyle w:val="eop"/>
        </w:rPr>
        <w:t xml:space="preserve">Pri </w:t>
      </w:r>
      <w:r w:rsidR="0005493C" w:rsidRPr="00852B15">
        <w:rPr>
          <w:rStyle w:val="eop"/>
        </w:rPr>
        <w:t>odhade</w:t>
      </w:r>
      <w:r w:rsidRPr="00852B15">
        <w:rPr>
          <w:rStyle w:val="eop"/>
        </w:rPr>
        <w:t xml:space="preserve"> nákladov</w:t>
      </w:r>
      <w:r w:rsidR="0005493C" w:rsidRPr="00852B15">
        <w:rPr>
          <w:rStyle w:val="eop"/>
        </w:rPr>
        <w:t xml:space="preserve"> pre zavedenie</w:t>
      </w:r>
      <w:r w:rsidRPr="00852B15">
        <w:rPr>
          <w:rStyle w:val="eop"/>
        </w:rPr>
        <w:t xml:space="preserve"> </w:t>
      </w:r>
      <w:r w:rsidR="0012413E" w:rsidRPr="00852B15">
        <w:rPr>
          <w:rStyle w:val="eop"/>
        </w:rPr>
        <w:t>programu vzdelávania na získanie primárneho vzdelania sa vychádzalo</w:t>
      </w:r>
      <w:r w:rsidR="00852B15" w:rsidRPr="00852B15">
        <w:rPr>
          <w:rStyle w:val="eop"/>
        </w:rPr>
        <w:t xml:space="preserve"> </w:t>
      </w:r>
      <w:r w:rsidR="006474AD">
        <w:rPr>
          <w:rStyle w:val="eop"/>
        </w:rPr>
        <w:t>z:</w:t>
      </w:r>
    </w:p>
    <w:p w14:paraId="215DA813" w14:textId="51AE9D8F" w:rsidR="006033AE" w:rsidRPr="00544125" w:rsidRDefault="00D73ACE" w:rsidP="00E83E0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4412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</w:t>
      </w:r>
      <w:r w:rsidR="006474AD" w:rsidRPr="00544125">
        <w:rPr>
          <w:rFonts w:ascii="Times New Roman" w:eastAsia="Times New Roman" w:hAnsi="Times New Roman" w:cs="Times New Roman"/>
          <w:color w:val="000000"/>
          <w:sz w:val="24"/>
          <w:szCs w:val="24"/>
        </w:rPr>
        <w:t>očtu žiakov, ktorí n</w:t>
      </w:r>
      <w:r w:rsidR="006033AE" w:rsidRPr="00544125">
        <w:rPr>
          <w:rFonts w:ascii="Times New Roman" w:eastAsia="Times New Roman" w:hAnsi="Times New Roman" w:cs="Times New Roman"/>
          <w:color w:val="000000"/>
          <w:sz w:val="24"/>
          <w:szCs w:val="24"/>
        </w:rPr>
        <w:t>eukončili úspešne 1. stupeň ZŠ</w:t>
      </w:r>
      <w:r w:rsidR="0054412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544125" w:rsidRPr="00544125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6033AE" w:rsidRPr="005441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školskom roku 2023/2024 neukončilo úspešne 1. stupeň ZŠ 654 žiakov. Z nich 554 zrušilo svoj pobyt na Slovensku a 100 ukončilo vzdelávanie predčasne.</w:t>
      </w:r>
    </w:p>
    <w:p w14:paraId="21059CB3" w14:textId="32DF659F" w:rsidR="006033AE" w:rsidRPr="00B8566A" w:rsidRDefault="006033AE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Pokiaľ by všetci žiaci absolvovali program vzdelávania na získanie primárneho vzdelania, pri</w:t>
      </w:r>
      <w:r w:rsidR="00E83E0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súčasnom normatíve na ZŠ vo výške 2517 </w:t>
      </w:r>
      <w:r w:rsidR="00271DA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by náklad na jedného žiaka predstavoval sumu 252 </w:t>
      </w:r>
      <w:r w:rsidR="00271DA5">
        <w:rPr>
          <w:rFonts w:ascii="Times New Roman" w:eastAsia="Times New Roman" w:hAnsi="Times New Roman" w:cs="Times New Roman"/>
          <w:color w:val="000000"/>
          <w:sz w:val="24"/>
          <w:szCs w:val="24"/>
        </w:rPr>
        <w:t>EUR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(10% z celkovej sumy normatívu) a celkové náklady by boli </w:t>
      </w:r>
      <w:r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164 808 </w:t>
      </w:r>
      <w:r w:rsidR="00271DA5"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EUR</w:t>
      </w:r>
      <w:r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3018E3E" w14:textId="3BB77281" w:rsidR="00297A85" w:rsidRPr="00301E3F" w:rsidRDefault="004E1180" w:rsidP="00E83E0C">
      <w:pPr>
        <w:pStyle w:val="Odsekzoznamu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počtu žiakov </w:t>
      </w:r>
      <w:r w:rsidR="006033AE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mentálnym postihnutím </w:t>
      </w:r>
      <w:r w:rsidR="006033AE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>podľa  § 97 ods. 5, ktor</w:t>
      </w:r>
      <w:r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="006033AE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neukončili 9., resp. 10-ročné vzdelávanie v</w:t>
      </w:r>
      <w:r w:rsidR="00D94CEF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033AE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základnej škole pre žiakov so </w:t>
      </w:r>
      <w:r w:rsidR="00301E3F" w:rsidRPr="00301E3F">
        <w:rPr>
          <w:rFonts w:ascii="Times New Roman" w:eastAsia="Times New Roman" w:hAnsi="Times New Roman" w:cs="Times New Roman"/>
          <w:color w:val="000000"/>
          <w:sz w:val="24"/>
          <w:szCs w:val="24"/>
        </w:rPr>
        <w:t>zdravotným znevýhodnením.</w:t>
      </w:r>
    </w:p>
    <w:p w14:paraId="08F2DADA" w14:textId="3BC4F688" w:rsidR="006033AE" w:rsidRPr="00301E3F" w:rsidRDefault="006033AE" w:rsidP="00E83E0C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školskom roku 2023/2024 neukončilo úspešne vzdelávanie v špeciálnej základnej škole  1. alebo 2.stupeň s MP variant A 603 žiakov. Pokiaľ by sa všetci zúčastnili programu vzdelávania na získanie primárneho vzdelania, celkové náklady na týchto žiakov by boli vo výške </w:t>
      </w:r>
      <w:r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151 956 </w:t>
      </w:r>
      <w:r w:rsidR="00271DA5"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EUR</w:t>
      </w:r>
      <w:r w:rsidRPr="00301E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E51A6DD" w14:textId="29694BC6" w:rsidR="006033AE" w:rsidRPr="00B8566A" w:rsidRDefault="006033AE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 Celkové ročné náklady pre všetkých neúspešných žiakov zo ZŠ a ŠZŠ na program vzdelávania na získanie primárneho vzdelania predstavujú sumu 316</w:t>
      </w:r>
      <w:r w:rsidR="00271DA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764</w:t>
      </w:r>
      <w:r w:rsidR="00271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EUR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. Je to však iba teoretické číslo, skutočný počet žiakov, ktorí sa do testovania zapoja nevieme odhadnúť. Skutočné náklady budú preto nižšie a suma vyjadruje maximálny strop. </w:t>
      </w:r>
    </w:p>
    <w:p w14:paraId="4CBF90FD" w14:textId="4935510F" w:rsidR="006033AE" w:rsidRPr="00B8566A" w:rsidRDefault="006033AE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Expertný odhad na nasledujúce 3 roky:</w:t>
      </w:r>
    </w:p>
    <w:p w14:paraId="6C2A08CF" w14:textId="77777777" w:rsidR="006033AE" w:rsidRDefault="006033AE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6A">
        <w:rPr>
          <w:rFonts w:ascii="Times New Roman" w:eastAsia="Times New Roman" w:hAnsi="Times New Roman" w:cs="Times New Roman"/>
          <w:color w:val="000000"/>
          <w:sz w:val="24"/>
          <w:szCs w:val="24"/>
        </w:rPr>
        <w:t>Počet žiakov na ZŠ a ŠZŠ sa podľa nášho mikrosimulačného modelu bude v priebehu 3 rokov len mierne zvyšovať a preto predpokladáme, že to nebude mať takmer žiadny efekt na súčasný odhad.</w:t>
      </w:r>
    </w:p>
    <w:p w14:paraId="563192FA" w14:textId="5EB71EC5" w:rsidR="003C70C7" w:rsidRDefault="003C70C7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3C70C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 bodu F.</w:t>
      </w:r>
    </w:p>
    <w:p w14:paraId="01212F2B" w14:textId="77777777" w:rsidR="00000B83" w:rsidRPr="00000B83" w:rsidRDefault="00000B83" w:rsidP="00000B83">
      <w:pPr>
        <w:jc w:val="both"/>
        <w:rPr>
          <w:rFonts w:ascii="Times New Roman" w:hAnsi="Times New Roman" w:cs="Times New Roman"/>
          <w:sz w:val="24"/>
          <w:szCs w:val="24"/>
        </w:rPr>
      </w:pPr>
      <w:r w:rsidRPr="00000B83">
        <w:rPr>
          <w:rFonts w:ascii="Times New Roman" w:hAnsi="Times New Roman" w:cs="Times New Roman"/>
          <w:sz w:val="24"/>
          <w:szCs w:val="24"/>
        </w:rPr>
        <w:t>Cieľom návrhu novely školského zákona je aj zefektívniť proces prijímania detí do reedukačných centier prostredníctvom povinnej komplexnej diagnostiky, spresniť podmienky pobytu v zariadení vrátane vylúčenia detí s ťažkými duševnými poruchami, zaviesť typológiu režimov v RC, zabezpečiť transparentnosť kapacity zariadení a zefektívniť evidenciu v jednotnom informačnom systéme. Návrh tiež stanovuje maximálnu dĺžku pobytu v diagnostickom centre na 12 týždňov a presne určuje vekové rozpätie prijímaných detí (12 – 18 rokov).</w:t>
      </w:r>
    </w:p>
    <w:p w14:paraId="3BD3D6A2" w14:textId="77777777" w:rsidR="003C70C7" w:rsidRPr="003C70C7" w:rsidRDefault="003C70C7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34877874" w14:textId="77777777" w:rsidR="003C70C7" w:rsidRDefault="003C70C7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C5CBBE" w14:textId="77777777" w:rsidR="003C70C7" w:rsidRPr="00B8566A" w:rsidRDefault="003C70C7" w:rsidP="00E83E0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A0D14E" w14:textId="77777777" w:rsidR="006033AE" w:rsidRPr="004C4063" w:rsidRDefault="006033AE" w:rsidP="006033AE">
      <w:pPr>
        <w:jc w:val="center"/>
        <w:rPr>
          <w:rFonts w:eastAsia="Times New Roman"/>
        </w:rPr>
      </w:pPr>
    </w:p>
    <w:p w14:paraId="78CEE2EC" w14:textId="77777777" w:rsidR="00163865" w:rsidRPr="00AE16F3" w:rsidRDefault="00163865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u w:val="single"/>
        </w:rPr>
      </w:pPr>
    </w:p>
    <w:p w14:paraId="4A968029" w14:textId="77777777" w:rsidR="00AE16F3" w:rsidRDefault="00AE16F3" w:rsidP="00A002B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715F0D98" w14:textId="77777777" w:rsidR="00AE16F3" w:rsidRDefault="00AE16F3" w:rsidP="00A002B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05DCBDD" w14:textId="77777777" w:rsidR="0064404A" w:rsidRPr="00A63D92" w:rsidRDefault="0064404A" w:rsidP="003254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B2" w14:textId="77777777" w:rsidR="007D5748" w:rsidRPr="007B7470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AB7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B7470" w:rsidSect="002B63F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1659A0D4" w14:textId="2F12F550" w:rsidR="00944265" w:rsidRDefault="00944265" w:rsidP="0094426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Tabuľka č.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11</w:t>
      </w:r>
    </w:p>
    <w:p w14:paraId="05F6EB02" w14:textId="77777777" w:rsidR="00CE0817" w:rsidRDefault="00CE0817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Style w:val="Mriekatabuky1"/>
        <w:tblW w:w="1472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82"/>
        <w:gridCol w:w="9540"/>
        <w:gridCol w:w="840"/>
        <w:gridCol w:w="1140"/>
        <w:gridCol w:w="1200"/>
        <w:gridCol w:w="1224"/>
      </w:tblGrid>
      <w:tr w:rsidR="004013C5" w:rsidRPr="006A55B5" w14:paraId="7987BFCB" w14:textId="77777777" w:rsidTr="00B32DA4">
        <w:trPr>
          <w:trHeight w:val="234"/>
        </w:trPr>
        <w:tc>
          <w:tcPr>
            <w:tcW w:w="14726" w:type="dxa"/>
            <w:gridSpan w:val="6"/>
            <w:shd w:val="clear" w:color="auto" w:fill="D9E2F3"/>
          </w:tcPr>
          <w:p w14:paraId="0C92DF28" w14:textId="77777777" w:rsidR="004013C5" w:rsidRPr="006A55B5" w:rsidRDefault="004013C5" w:rsidP="00B32DA4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Predpokladaný rozpočet k „</w:t>
            </w:r>
            <w:r w:rsidRPr="3BFECE3D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Návrhu koncepcie rozvoja špeciálnych výchovných zariadení na roky 2024-2027</w:t>
            </w: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“</w:t>
            </w:r>
          </w:p>
        </w:tc>
      </w:tr>
      <w:tr w:rsidR="004013C5" w:rsidRPr="006A55B5" w14:paraId="5ED63194" w14:textId="77777777" w:rsidTr="00B32DA4">
        <w:trPr>
          <w:trHeight w:val="258"/>
        </w:trPr>
        <w:tc>
          <w:tcPr>
            <w:tcW w:w="13502" w:type="dxa"/>
            <w:gridSpan w:val="5"/>
          </w:tcPr>
          <w:p w14:paraId="67D5CCC6" w14:textId="77777777" w:rsidR="004013C5" w:rsidRPr="006A55B5" w:rsidRDefault="004013C5" w:rsidP="00B32DA4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Štátny rozpočet</w:t>
            </w:r>
          </w:p>
        </w:tc>
        <w:tc>
          <w:tcPr>
            <w:tcW w:w="1224" w:type="dxa"/>
          </w:tcPr>
          <w:p w14:paraId="101DB5DA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4013C5" w:rsidRPr="00FB0811" w14:paraId="2AE94B23" w14:textId="77777777" w:rsidTr="00B32DA4">
        <w:trPr>
          <w:trHeight w:val="270"/>
        </w:trPr>
        <w:tc>
          <w:tcPr>
            <w:tcW w:w="782" w:type="dxa"/>
            <w:shd w:val="clear" w:color="auto" w:fill="D9E2F3"/>
          </w:tcPr>
          <w:p w14:paraId="5A38DC3F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D9E2F3"/>
          </w:tcPr>
          <w:p w14:paraId="526642CA" w14:textId="77777777" w:rsidR="004013C5" w:rsidRPr="00FB0811" w:rsidRDefault="004013C5" w:rsidP="00B32D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TEMATICKÁ OBLASŤ</w:t>
            </w:r>
          </w:p>
        </w:tc>
        <w:tc>
          <w:tcPr>
            <w:tcW w:w="840" w:type="dxa"/>
            <w:shd w:val="clear" w:color="auto" w:fill="D9E2F3"/>
          </w:tcPr>
          <w:p w14:paraId="381D1A6C" w14:textId="77777777" w:rsidR="004013C5" w:rsidRPr="00FB0811" w:rsidRDefault="004013C5" w:rsidP="00B32D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2025</w:t>
            </w:r>
          </w:p>
        </w:tc>
        <w:tc>
          <w:tcPr>
            <w:tcW w:w="1140" w:type="dxa"/>
            <w:shd w:val="clear" w:color="auto" w:fill="D9E2F3"/>
          </w:tcPr>
          <w:p w14:paraId="4F8B6F4F" w14:textId="77777777" w:rsidR="004013C5" w:rsidRPr="00FB0811" w:rsidRDefault="004013C5" w:rsidP="00B32D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2026</w:t>
            </w:r>
          </w:p>
        </w:tc>
        <w:tc>
          <w:tcPr>
            <w:tcW w:w="1200" w:type="dxa"/>
            <w:shd w:val="clear" w:color="auto" w:fill="D9E2F3"/>
          </w:tcPr>
          <w:p w14:paraId="333A0DE1" w14:textId="77777777" w:rsidR="004013C5" w:rsidRPr="00FB0811" w:rsidRDefault="004013C5" w:rsidP="00B32D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2027</w:t>
            </w:r>
          </w:p>
        </w:tc>
        <w:tc>
          <w:tcPr>
            <w:tcW w:w="1224" w:type="dxa"/>
            <w:shd w:val="clear" w:color="auto" w:fill="D9E2F3"/>
          </w:tcPr>
          <w:p w14:paraId="553344F5" w14:textId="77777777" w:rsidR="004013C5" w:rsidRPr="00FB0811" w:rsidRDefault="004013C5" w:rsidP="00B32DA4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2028</w:t>
            </w:r>
          </w:p>
        </w:tc>
      </w:tr>
      <w:tr w:rsidR="004013C5" w:rsidRPr="00FB0811" w14:paraId="0311D14A" w14:textId="77777777" w:rsidTr="00B32DA4">
        <w:trPr>
          <w:trHeight w:val="234"/>
        </w:trPr>
        <w:tc>
          <w:tcPr>
            <w:tcW w:w="14726" w:type="dxa"/>
            <w:gridSpan w:val="6"/>
            <w:shd w:val="clear" w:color="auto" w:fill="D9E2F3"/>
          </w:tcPr>
          <w:p w14:paraId="52F45947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              PRIJÍMANIE DETÍ DO ŠVZ</w:t>
            </w:r>
          </w:p>
        </w:tc>
      </w:tr>
      <w:tr w:rsidR="004013C5" w:rsidRPr="00FB0811" w14:paraId="0C7AE091" w14:textId="77777777" w:rsidTr="00B32DA4">
        <w:trPr>
          <w:trHeight w:val="540"/>
        </w:trPr>
        <w:tc>
          <w:tcPr>
            <w:tcW w:w="782" w:type="dxa"/>
          </w:tcPr>
          <w:p w14:paraId="5D96A4DA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1</w:t>
            </w:r>
          </w:p>
        </w:tc>
        <w:tc>
          <w:tcPr>
            <w:tcW w:w="9540" w:type="dxa"/>
          </w:tcPr>
          <w:p w14:paraId="773F1609" w14:textId="77777777" w:rsidR="004013C5" w:rsidRPr="00FB0811" w:rsidRDefault="004013C5" w:rsidP="00B32DA4">
            <w:pPr>
              <w:shd w:val="clear" w:color="auto" w:fill="FFFFFF" w:themeFill="background1"/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 xml:space="preserve">Vytvorenie prehľadného procesu prijímania detí do DC, ktorý umožní ďalšie efektívne začleňovanie detí do RC alebo LVS. </w:t>
            </w:r>
          </w:p>
        </w:tc>
        <w:tc>
          <w:tcPr>
            <w:tcW w:w="840" w:type="dxa"/>
          </w:tcPr>
          <w:p w14:paraId="4A3D5C1E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2F03C6B0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3EEA14F8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14:paraId="35334F6D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1F5D6D85" w14:textId="77777777" w:rsidTr="00B32DA4">
        <w:trPr>
          <w:trHeight w:val="352"/>
        </w:trPr>
        <w:tc>
          <w:tcPr>
            <w:tcW w:w="782" w:type="dxa"/>
          </w:tcPr>
          <w:p w14:paraId="6105D797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2</w:t>
            </w:r>
          </w:p>
        </w:tc>
        <w:tc>
          <w:tcPr>
            <w:tcW w:w="9540" w:type="dxa"/>
          </w:tcPr>
          <w:p w14:paraId="382CAF8C" w14:textId="77777777" w:rsidR="004013C5" w:rsidRPr="00FB0811" w:rsidRDefault="004013C5" w:rsidP="00B32DA4">
            <w:pPr>
              <w:shd w:val="clear" w:color="auto" w:fill="FFFFFF" w:themeFill="background1"/>
              <w:spacing w:after="120"/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 xml:space="preserve">Nastavenie diagnostického procesu v DC.  </w:t>
            </w:r>
          </w:p>
        </w:tc>
        <w:tc>
          <w:tcPr>
            <w:tcW w:w="840" w:type="dxa"/>
          </w:tcPr>
          <w:p w14:paraId="255752B8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220D33EA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6F8D4E07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14:paraId="1AF76153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4572F863" w14:textId="77777777" w:rsidTr="00B32DA4">
        <w:trPr>
          <w:trHeight w:val="352"/>
        </w:trPr>
        <w:tc>
          <w:tcPr>
            <w:tcW w:w="782" w:type="dxa"/>
          </w:tcPr>
          <w:p w14:paraId="5E3F3BEA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3</w:t>
            </w:r>
          </w:p>
        </w:tc>
        <w:tc>
          <w:tcPr>
            <w:tcW w:w="9540" w:type="dxa"/>
          </w:tcPr>
          <w:p w14:paraId="3AEA6D7B" w14:textId="77777777" w:rsidR="004013C5" w:rsidRPr="00FB0811" w:rsidRDefault="004013C5" w:rsidP="00B32DA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Zabezpečenie softvérového systému.</w:t>
            </w:r>
          </w:p>
        </w:tc>
        <w:tc>
          <w:tcPr>
            <w:tcW w:w="840" w:type="dxa"/>
          </w:tcPr>
          <w:p w14:paraId="4E76C99F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3E21AC9B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400.000</w:t>
            </w:r>
          </w:p>
        </w:tc>
        <w:tc>
          <w:tcPr>
            <w:tcW w:w="1200" w:type="dxa"/>
          </w:tcPr>
          <w:p w14:paraId="2CE799F7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10.000</w:t>
            </w:r>
          </w:p>
        </w:tc>
        <w:tc>
          <w:tcPr>
            <w:tcW w:w="1224" w:type="dxa"/>
          </w:tcPr>
          <w:p w14:paraId="4C0A6289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10.000</w:t>
            </w:r>
          </w:p>
        </w:tc>
      </w:tr>
      <w:tr w:rsidR="004013C5" w:rsidRPr="00FB0811" w14:paraId="006E7D10" w14:textId="77777777" w:rsidTr="00B32DA4">
        <w:trPr>
          <w:trHeight w:val="234"/>
        </w:trPr>
        <w:tc>
          <w:tcPr>
            <w:tcW w:w="14726" w:type="dxa"/>
            <w:gridSpan w:val="6"/>
            <w:shd w:val="clear" w:color="auto" w:fill="D9E2F3"/>
          </w:tcPr>
          <w:p w14:paraId="66AFC6E7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              VONKAJŠIA A VNÚTORNÁ DIFERENCIÁCIA RC</w:t>
            </w:r>
          </w:p>
        </w:tc>
      </w:tr>
      <w:tr w:rsidR="004013C5" w:rsidRPr="00FB0811" w14:paraId="5287C2A5" w14:textId="77777777" w:rsidTr="00B32DA4">
        <w:trPr>
          <w:trHeight w:val="363"/>
        </w:trPr>
        <w:tc>
          <w:tcPr>
            <w:tcW w:w="782" w:type="dxa"/>
          </w:tcPr>
          <w:p w14:paraId="29C08CEE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1</w:t>
            </w:r>
          </w:p>
        </w:tc>
        <w:tc>
          <w:tcPr>
            <w:tcW w:w="9540" w:type="dxa"/>
          </w:tcPr>
          <w:p w14:paraId="5AEB5031" w14:textId="77777777" w:rsidR="004013C5" w:rsidRPr="00FB0811" w:rsidRDefault="004013C5" w:rsidP="00B32DA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Vytvorenie vonkajšej diferenciácie RC. – tvorba jednotlivých oddelení v RC, rekonštrukcia budov</w:t>
            </w:r>
          </w:p>
        </w:tc>
        <w:tc>
          <w:tcPr>
            <w:tcW w:w="840" w:type="dxa"/>
          </w:tcPr>
          <w:p w14:paraId="107042F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3DC55006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150.000</w:t>
            </w:r>
          </w:p>
        </w:tc>
        <w:tc>
          <w:tcPr>
            <w:tcW w:w="1200" w:type="dxa"/>
          </w:tcPr>
          <w:p w14:paraId="559BD7A9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150.000</w:t>
            </w:r>
          </w:p>
        </w:tc>
        <w:tc>
          <w:tcPr>
            <w:tcW w:w="1224" w:type="dxa"/>
          </w:tcPr>
          <w:p w14:paraId="56AD544C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5940579C" w14:textId="77777777" w:rsidTr="00B32DA4">
        <w:trPr>
          <w:trHeight w:val="234"/>
        </w:trPr>
        <w:tc>
          <w:tcPr>
            <w:tcW w:w="782" w:type="dxa"/>
          </w:tcPr>
          <w:p w14:paraId="3D432861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2</w:t>
            </w:r>
          </w:p>
        </w:tc>
        <w:tc>
          <w:tcPr>
            <w:tcW w:w="9540" w:type="dxa"/>
          </w:tcPr>
          <w:p w14:paraId="5470F56B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Vytvorenie vnútornej diferenciácie, v každom RC. – rekonštrukcia budovy</w:t>
            </w:r>
          </w:p>
        </w:tc>
        <w:tc>
          <w:tcPr>
            <w:tcW w:w="840" w:type="dxa"/>
          </w:tcPr>
          <w:p w14:paraId="0C83DE18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39EBF87D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550.000</w:t>
            </w:r>
          </w:p>
        </w:tc>
        <w:tc>
          <w:tcPr>
            <w:tcW w:w="1200" w:type="dxa"/>
          </w:tcPr>
          <w:p w14:paraId="2CA8AEF9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550.000</w:t>
            </w:r>
          </w:p>
        </w:tc>
        <w:tc>
          <w:tcPr>
            <w:tcW w:w="1224" w:type="dxa"/>
          </w:tcPr>
          <w:p w14:paraId="5E4D5EF2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550.000</w:t>
            </w:r>
          </w:p>
        </w:tc>
      </w:tr>
      <w:tr w:rsidR="004013C5" w:rsidRPr="00FB0811" w14:paraId="7DD84BDB" w14:textId="77777777" w:rsidTr="00B32DA4">
        <w:trPr>
          <w:trHeight w:val="352"/>
        </w:trPr>
        <w:tc>
          <w:tcPr>
            <w:tcW w:w="782" w:type="dxa"/>
          </w:tcPr>
          <w:p w14:paraId="146DD284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3</w:t>
            </w:r>
          </w:p>
        </w:tc>
        <w:tc>
          <w:tcPr>
            <w:tcW w:w="9540" w:type="dxa"/>
          </w:tcPr>
          <w:p w14:paraId="5431D96F" w14:textId="77777777" w:rsidR="004013C5" w:rsidRPr="00FB0811" w:rsidRDefault="004013C5" w:rsidP="00B32DA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Vybudovanie špecializovaných RC. - stavba</w:t>
            </w:r>
          </w:p>
        </w:tc>
        <w:tc>
          <w:tcPr>
            <w:tcW w:w="840" w:type="dxa"/>
          </w:tcPr>
          <w:p w14:paraId="176F5C1B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262D370D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610.000</w:t>
            </w:r>
          </w:p>
        </w:tc>
        <w:tc>
          <w:tcPr>
            <w:tcW w:w="1200" w:type="dxa"/>
          </w:tcPr>
          <w:p w14:paraId="2FA5ACE3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610.000</w:t>
            </w:r>
          </w:p>
        </w:tc>
        <w:tc>
          <w:tcPr>
            <w:tcW w:w="1224" w:type="dxa"/>
          </w:tcPr>
          <w:p w14:paraId="01E65F07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3C4BC2FA" w14:textId="77777777" w:rsidTr="00B32DA4">
        <w:trPr>
          <w:trHeight w:val="234"/>
        </w:trPr>
        <w:tc>
          <w:tcPr>
            <w:tcW w:w="14726" w:type="dxa"/>
            <w:gridSpan w:val="6"/>
            <w:shd w:val="clear" w:color="auto" w:fill="D9E2F3"/>
          </w:tcPr>
          <w:p w14:paraId="6DE3193A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 xml:space="preserve">3                            VÝCHOVNO-VZDELÁVACIA ČINNOSŤ A PRÁVA A POVINNOSTI DETI V ŠVZ </w:t>
            </w:r>
          </w:p>
        </w:tc>
      </w:tr>
      <w:tr w:rsidR="004013C5" w:rsidRPr="00FB0811" w14:paraId="1F0662F7" w14:textId="77777777" w:rsidTr="00B32DA4">
        <w:trPr>
          <w:trHeight w:val="352"/>
        </w:trPr>
        <w:tc>
          <w:tcPr>
            <w:tcW w:w="782" w:type="dxa"/>
          </w:tcPr>
          <w:p w14:paraId="4183C2DE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1</w:t>
            </w:r>
          </w:p>
        </w:tc>
        <w:tc>
          <w:tcPr>
            <w:tcW w:w="9540" w:type="dxa"/>
          </w:tcPr>
          <w:p w14:paraId="76D79483" w14:textId="77777777" w:rsidR="004013C5" w:rsidRPr="00FB0811" w:rsidRDefault="004013C5" w:rsidP="00B32DA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Nastavenie výchovno-vzdelávacej činnosti v ŠVZ. (NIVaM z PO a VÚDPaP z NP)</w:t>
            </w:r>
          </w:p>
        </w:tc>
        <w:tc>
          <w:tcPr>
            <w:tcW w:w="840" w:type="dxa"/>
          </w:tcPr>
          <w:p w14:paraId="47696BF0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325EA3E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73C2232A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14:paraId="79CBEB1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635E3CF0" w14:textId="77777777" w:rsidTr="00B32DA4">
        <w:trPr>
          <w:trHeight w:val="246"/>
        </w:trPr>
        <w:tc>
          <w:tcPr>
            <w:tcW w:w="782" w:type="dxa"/>
          </w:tcPr>
          <w:p w14:paraId="530F6B95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2</w:t>
            </w:r>
          </w:p>
        </w:tc>
        <w:tc>
          <w:tcPr>
            <w:tcW w:w="9540" w:type="dxa"/>
          </w:tcPr>
          <w:p w14:paraId="119F0268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Realizovanie supervízie  minimálne raz do roka vo všetkých ŠVZ. (VÚDPaP z NP)</w:t>
            </w:r>
          </w:p>
        </w:tc>
        <w:tc>
          <w:tcPr>
            <w:tcW w:w="840" w:type="dxa"/>
          </w:tcPr>
          <w:p w14:paraId="1C2C0A01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60888102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00" w:type="dxa"/>
          </w:tcPr>
          <w:p w14:paraId="6FCA0FDA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224" w:type="dxa"/>
          </w:tcPr>
          <w:p w14:paraId="35CF0E2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</w:tr>
      <w:tr w:rsidR="004013C5" w:rsidRPr="00FB0811" w14:paraId="61C9824A" w14:textId="77777777" w:rsidTr="00B32DA4">
        <w:trPr>
          <w:trHeight w:val="352"/>
        </w:trPr>
        <w:tc>
          <w:tcPr>
            <w:tcW w:w="782" w:type="dxa"/>
          </w:tcPr>
          <w:p w14:paraId="3154B66E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>Cieľ 3</w:t>
            </w:r>
          </w:p>
        </w:tc>
        <w:tc>
          <w:tcPr>
            <w:tcW w:w="9540" w:type="dxa"/>
          </w:tcPr>
          <w:p w14:paraId="19E75B60" w14:textId="77777777" w:rsidR="004013C5" w:rsidRPr="00FB0811" w:rsidRDefault="004013C5" w:rsidP="00B32DA4">
            <w:pPr>
              <w:spacing w:after="120"/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</w:pPr>
            <w:r w:rsidRPr="00FB0811">
              <w:rPr>
                <w:rFonts w:ascii="Calibri" w:eastAsia="Times New Roman" w:hAnsi="Calibri" w:cs="Calibri"/>
                <w:bCs/>
                <w:sz w:val="20"/>
                <w:szCs w:val="20"/>
                <w:lang w:eastAsia="sk-SK"/>
              </w:rPr>
              <w:t>Utváranie participačných práv dieťaťa. (zavedenie SOS linky vo všetkých ŠVZ)- zabezpečenie infolinky cez občianske združenie, suma vyčlenených (pc, tablet, psychológ) – 10 000 a mzda na rok na 1 os.</w:t>
            </w:r>
          </w:p>
        </w:tc>
        <w:tc>
          <w:tcPr>
            <w:tcW w:w="840" w:type="dxa"/>
          </w:tcPr>
          <w:p w14:paraId="5BA93B4E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15.000</w:t>
            </w:r>
          </w:p>
        </w:tc>
        <w:tc>
          <w:tcPr>
            <w:tcW w:w="1140" w:type="dxa"/>
          </w:tcPr>
          <w:p w14:paraId="0654F97B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5.000</w:t>
            </w:r>
          </w:p>
        </w:tc>
        <w:tc>
          <w:tcPr>
            <w:tcW w:w="1200" w:type="dxa"/>
          </w:tcPr>
          <w:p w14:paraId="04F38482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5.000</w:t>
            </w:r>
          </w:p>
        </w:tc>
        <w:tc>
          <w:tcPr>
            <w:tcW w:w="1224" w:type="dxa"/>
          </w:tcPr>
          <w:p w14:paraId="0D2F11C6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5.000</w:t>
            </w:r>
          </w:p>
        </w:tc>
      </w:tr>
      <w:tr w:rsidR="004013C5" w:rsidRPr="00FB0811" w14:paraId="0C32BB4B" w14:textId="77777777" w:rsidTr="00B32DA4">
        <w:trPr>
          <w:trHeight w:val="234"/>
        </w:trPr>
        <w:tc>
          <w:tcPr>
            <w:tcW w:w="14726" w:type="dxa"/>
            <w:gridSpan w:val="6"/>
            <w:shd w:val="clear" w:color="auto" w:fill="D9E2F3"/>
          </w:tcPr>
          <w:p w14:paraId="0A9834EA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4                           ODBORNÉ ČINNOSTI S DEŤMI A S RODINOU</w:t>
            </w:r>
          </w:p>
        </w:tc>
      </w:tr>
      <w:tr w:rsidR="004013C5" w:rsidRPr="00FB0811" w14:paraId="2E74CF47" w14:textId="77777777" w:rsidTr="00B32DA4">
        <w:trPr>
          <w:trHeight w:val="300"/>
        </w:trPr>
        <w:tc>
          <w:tcPr>
            <w:tcW w:w="782" w:type="dxa"/>
          </w:tcPr>
          <w:p w14:paraId="1147EE43" w14:textId="77777777" w:rsidR="004013C5" w:rsidRPr="006A55B5" w:rsidRDefault="004013C5" w:rsidP="00B32DA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A55B5">
              <w:rPr>
                <w:rFonts w:ascii="Calibri" w:hAnsi="Calibri" w:cs="Calibri"/>
                <w:b/>
                <w:sz w:val="20"/>
                <w:szCs w:val="20"/>
              </w:rPr>
              <w:t>Cieľ</w:t>
            </w:r>
          </w:p>
        </w:tc>
        <w:tc>
          <w:tcPr>
            <w:tcW w:w="9540" w:type="dxa"/>
          </w:tcPr>
          <w:p w14:paraId="0F8C34CB" w14:textId="77777777" w:rsidR="004013C5" w:rsidRPr="00FB0811" w:rsidRDefault="004013C5" w:rsidP="00B32DA4">
            <w:pPr>
              <w:spacing w:after="120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Posilnenie práce s dieťaťom a rodinou. (víkendové pobyty a pod.) – náklady pre pobyt ZZ v RC, ubytovanie + strava pre ZZ</w:t>
            </w:r>
          </w:p>
        </w:tc>
        <w:tc>
          <w:tcPr>
            <w:tcW w:w="840" w:type="dxa"/>
          </w:tcPr>
          <w:p w14:paraId="10D208EB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64ACE98C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70.000</w:t>
            </w:r>
          </w:p>
        </w:tc>
        <w:tc>
          <w:tcPr>
            <w:tcW w:w="1200" w:type="dxa"/>
          </w:tcPr>
          <w:p w14:paraId="58889951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70.000</w:t>
            </w:r>
          </w:p>
        </w:tc>
        <w:tc>
          <w:tcPr>
            <w:tcW w:w="1224" w:type="dxa"/>
          </w:tcPr>
          <w:p w14:paraId="0B6EA321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70.000</w:t>
            </w:r>
          </w:p>
        </w:tc>
      </w:tr>
      <w:tr w:rsidR="004013C5" w:rsidRPr="00FB0811" w14:paraId="15B9B48E" w14:textId="77777777" w:rsidTr="00B32DA4">
        <w:trPr>
          <w:trHeight w:val="246"/>
        </w:trPr>
        <w:tc>
          <w:tcPr>
            <w:tcW w:w="14726" w:type="dxa"/>
            <w:gridSpan w:val="6"/>
            <w:shd w:val="clear" w:color="auto" w:fill="D9E2F3"/>
          </w:tcPr>
          <w:p w14:paraId="5240A9AA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5                           BEZPEČNOSŤ V ŠVZ</w:t>
            </w:r>
          </w:p>
        </w:tc>
      </w:tr>
      <w:tr w:rsidR="004013C5" w:rsidRPr="00FB0811" w14:paraId="5F341967" w14:textId="77777777" w:rsidTr="00B32DA4">
        <w:trPr>
          <w:trHeight w:val="234"/>
        </w:trPr>
        <w:tc>
          <w:tcPr>
            <w:tcW w:w="782" w:type="dxa"/>
          </w:tcPr>
          <w:p w14:paraId="10505E3E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3BFECE3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Cieľ </w:t>
            </w:r>
          </w:p>
        </w:tc>
        <w:tc>
          <w:tcPr>
            <w:tcW w:w="9540" w:type="dxa"/>
          </w:tcPr>
          <w:p w14:paraId="763C1BE7" w14:textId="3D7B82F3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Vybavenie ŠVZ bezpečnostnými prvkami – kamerové systémy (antivandal systém) = kapitálové</w:t>
            </w:r>
          </w:p>
        </w:tc>
        <w:tc>
          <w:tcPr>
            <w:tcW w:w="840" w:type="dxa"/>
          </w:tcPr>
          <w:p w14:paraId="7B0773A3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0</w:t>
            </w:r>
          </w:p>
        </w:tc>
        <w:tc>
          <w:tcPr>
            <w:tcW w:w="1140" w:type="dxa"/>
          </w:tcPr>
          <w:p w14:paraId="67EC24D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1.203.000</w:t>
            </w:r>
          </w:p>
        </w:tc>
        <w:tc>
          <w:tcPr>
            <w:tcW w:w="1200" w:type="dxa"/>
          </w:tcPr>
          <w:p w14:paraId="694DD984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1.203.000</w:t>
            </w:r>
          </w:p>
        </w:tc>
        <w:tc>
          <w:tcPr>
            <w:tcW w:w="1224" w:type="dxa"/>
          </w:tcPr>
          <w:p w14:paraId="6A9E8A7F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700 000</w:t>
            </w:r>
          </w:p>
        </w:tc>
      </w:tr>
      <w:tr w:rsidR="004013C5" w:rsidRPr="00FB0811" w14:paraId="1F92AE4B" w14:textId="77777777" w:rsidTr="00B32DA4">
        <w:trPr>
          <w:trHeight w:val="234"/>
        </w:trPr>
        <w:tc>
          <w:tcPr>
            <w:tcW w:w="782" w:type="dxa"/>
            <w:shd w:val="clear" w:color="auto" w:fill="BDD6EE"/>
          </w:tcPr>
          <w:p w14:paraId="6CBF7A81" w14:textId="77777777" w:rsidR="004013C5" w:rsidRPr="006A55B5" w:rsidRDefault="004013C5" w:rsidP="00B32DA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9540" w:type="dxa"/>
            <w:shd w:val="clear" w:color="auto" w:fill="BDD6EE"/>
          </w:tcPr>
          <w:p w14:paraId="08CB8AE5" w14:textId="77777777" w:rsidR="004013C5" w:rsidRPr="00FB0811" w:rsidRDefault="004013C5" w:rsidP="00B32DA4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SPOLU</w:t>
            </w:r>
          </w:p>
        </w:tc>
        <w:tc>
          <w:tcPr>
            <w:tcW w:w="840" w:type="dxa"/>
            <w:shd w:val="clear" w:color="auto" w:fill="BDD6EE"/>
          </w:tcPr>
          <w:p w14:paraId="039C398E" w14:textId="77777777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15.000</w:t>
            </w:r>
          </w:p>
        </w:tc>
        <w:tc>
          <w:tcPr>
            <w:tcW w:w="1140" w:type="dxa"/>
            <w:shd w:val="clear" w:color="auto" w:fill="BDD6EE"/>
          </w:tcPr>
          <w:p w14:paraId="1B589F35" w14:textId="51AD0600" w:rsidR="004013C5" w:rsidRPr="00FB0811" w:rsidRDefault="003A178B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2 988 000</w:t>
            </w:r>
          </w:p>
        </w:tc>
        <w:tc>
          <w:tcPr>
            <w:tcW w:w="1200" w:type="dxa"/>
            <w:shd w:val="clear" w:color="auto" w:fill="BDD6EE"/>
          </w:tcPr>
          <w:p w14:paraId="31E06495" w14:textId="555C7D74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277A4A" w:rsidRPr="00FB0811">
              <w:rPr>
                <w:rFonts w:ascii="Calibri" w:hAnsi="Calibri" w:cs="Calibri"/>
                <w:bCs/>
                <w:sz w:val="20"/>
                <w:szCs w:val="20"/>
              </w:rPr>
              <w:t> </w:t>
            </w:r>
            <w:r w:rsidR="0080295C" w:rsidRPr="00FB0811">
              <w:rPr>
                <w:rFonts w:ascii="Calibri" w:hAnsi="Calibri" w:cs="Calibri"/>
                <w:bCs/>
                <w:sz w:val="20"/>
                <w:szCs w:val="20"/>
              </w:rPr>
              <w:t>598</w:t>
            </w:r>
            <w:r w:rsidR="00277A4A" w:rsidRPr="00FB0811">
              <w:rPr>
                <w:rFonts w:ascii="Calibri" w:hAnsi="Calibri" w:cs="Calibri"/>
                <w:bCs/>
                <w:sz w:val="20"/>
                <w:szCs w:val="20"/>
              </w:rPr>
              <w:t xml:space="preserve"> 000</w:t>
            </w:r>
          </w:p>
        </w:tc>
        <w:tc>
          <w:tcPr>
            <w:tcW w:w="1224" w:type="dxa"/>
            <w:shd w:val="clear" w:color="auto" w:fill="BDD6EE"/>
          </w:tcPr>
          <w:p w14:paraId="087F880A" w14:textId="07ACF543" w:rsidR="004013C5" w:rsidRPr="00FB0811" w:rsidRDefault="004013C5" w:rsidP="00B32DA4">
            <w:pPr>
              <w:jc w:val="right"/>
              <w:rPr>
                <w:rFonts w:ascii="Calibri" w:hAnsi="Calibri" w:cs="Calibri"/>
                <w:bCs/>
                <w:sz w:val="20"/>
                <w:szCs w:val="20"/>
              </w:rPr>
            </w:pPr>
            <w:r w:rsidRPr="00FB0811"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2F25E1" w:rsidRPr="00FB0811">
              <w:rPr>
                <w:rFonts w:ascii="Calibri" w:hAnsi="Calibri" w:cs="Calibri"/>
                <w:bCs/>
                <w:sz w:val="20"/>
                <w:szCs w:val="20"/>
              </w:rPr>
              <w:t>335 000</w:t>
            </w:r>
          </w:p>
        </w:tc>
      </w:tr>
    </w:tbl>
    <w:p w14:paraId="2C1FB713" w14:textId="77777777" w:rsidR="00CE0817" w:rsidRDefault="00CE0817">
      <w:pP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br w:type="page"/>
      </w:r>
    </w:p>
    <w:p w14:paraId="1905F50D" w14:textId="345ADFE7" w:rsidR="006E67FA" w:rsidRDefault="003408F5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</w:t>
      </w:r>
      <w:r w:rsidR="00944265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Tabuľka č. 3</w:t>
      </w:r>
    </w:p>
    <w:p w14:paraId="76AF721F" w14:textId="77777777" w:rsidR="006E67FA" w:rsidRDefault="006E67FA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349617A" w14:textId="77777777" w:rsidR="006E67FA" w:rsidRDefault="006E67FA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6F5BF0F" w14:textId="77777777" w:rsidR="006E67FA" w:rsidRDefault="006E67FA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4F58F9" w14:textId="77777777" w:rsidR="006E67FA" w:rsidRDefault="006E67FA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AB8" w14:textId="3BC29F02" w:rsidR="007D5748" w:rsidRPr="007B7470" w:rsidRDefault="007D5748" w:rsidP="003408F5">
      <w:pPr>
        <w:tabs>
          <w:tab w:val="num" w:pos="108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tbl>
      <w:tblPr>
        <w:tblpPr w:leftFromText="141" w:rightFromText="141" w:vertAnchor="page" w:horzAnchor="margin" w:tblpXSpec="center" w:tblpY="1711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3408F5" w:rsidRPr="007B7470" w14:paraId="08A7FABC" w14:textId="77777777" w:rsidTr="003408F5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A7FAB9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B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8A7FAB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408F5" w:rsidRPr="007B7470" w14:paraId="08A7FAC3" w14:textId="77777777" w:rsidTr="003408F5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ABD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BE" w14:textId="528784D4" w:rsidR="003408F5" w:rsidRPr="007B7470" w:rsidRDefault="00D3629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BF" w14:textId="5FD595BC" w:rsidR="003408F5" w:rsidRPr="007B7470" w:rsidRDefault="00D3629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C0" w14:textId="5E1712F6" w:rsidR="003408F5" w:rsidRPr="007B7470" w:rsidRDefault="00D3629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C1" w14:textId="53E2C369" w:rsidR="003408F5" w:rsidRPr="007B7470" w:rsidRDefault="00D36296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2028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FAC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3408F5" w:rsidRPr="007B7470" w14:paraId="08A7FACA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AC4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6" w14:textId="76D66816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7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FAC9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8A7FAD1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DD33" w14:textId="77777777" w:rsidR="003408F5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  <w:p w14:paraId="08A7FACB" w14:textId="77777777" w:rsidR="00AF7A0A" w:rsidRPr="007B7470" w:rsidRDefault="00AF7A0A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C" w14:textId="7D3471EE" w:rsidR="003408F5" w:rsidRPr="007B7470" w:rsidRDefault="00E57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D" w14:textId="1A641D43" w:rsidR="003408F5" w:rsidRPr="007B7470" w:rsidRDefault="0034678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E" w14:textId="5CCF19B5" w:rsidR="003408F5" w:rsidRPr="007B7470" w:rsidRDefault="00A42974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CF" w14:textId="00E87CF4" w:rsidR="003408F5" w:rsidRPr="007B7470" w:rsidRDefault="00A42974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FAD0" w14:textId="0041F6E5" w:rsidR="003408F5" w:rsidRPr="007B7470" w:rsidRDefault="003408F5" w:rsidP="0034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50429" w:rsidRPr="007B7470" w14:paraId="4C65959A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1F1" w14:textId="77777777" w:rsidR="0067616B" w:rsidRDefault="00E50429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616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tom:</w:t>
            </w:r>
          </w:p>
          <w:p w14:paraId="79AAA7E1" w14:textId="013C1987" w:rsidR="00E50429" w:rsidRPr="0067616B" w:rsidRDefault="009F01C4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616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  <w:r w:rsidR="00787A2A" w:rsidRPr="0067616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0 Administratívne poplatky a iné poplatky a platby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76E2F" w14:textId="7B015E15" w:rsidR="00E50429" w:rsidRPr="007B7470" w:rsidRDefault="00E57007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1A8249" w14:textId="77777777" w:rsidR="0067616B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094AB5E7" w14:textId="3924440B" w:rsidR="00E50429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61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91CB4" w14:textId="77777777" w:rsidR="0067616B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12311492" w14:textId="3247A459" w:rsidR="00E50429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61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150 000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8917F8" w14:textId="77777777" w:rsidR="0067616B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7FEEDA9C" w14:textId="0178C779" w:rsidR="00E50429" w:rsidRPr="001561E6" w:rsidRDefault="0067616B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561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150 000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58E02" w14:textId="50B9BAD9" w:rsidR="00E50429" w:rsidRPr="007B7470" w:rsidRDefault="003A7D36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z</w:t>
            </w:r>
            <w:r w:rsidRPr="00346781">
              <w:rPr>
                <w:rFonts w:ascii="Times New Roman" w:eastAsia="Times New Roman" w:hAnsi="Times New Roman" w:cs="Times New Roman"/>
                <w:lang w:eastAsia="sk-SK"/>
              </w:rPr>
              <w:t xml:space="preserve">avedenie poplatku </w:t>
            </w:r>
            <w:r w:rsidRPr="00346781">
              <w:rPr>
                <w:sz w:val="20"/>
                <w:szCs w:val="20"/>
              </w:rPr>
              <w:t xml:space="preserve"> </w:t>
            </w:r>
            <w:r w:rsidRPr="00346781">
              <w:rPr>
                <w:rFonts w:ascii="Times New Roman" w:eastAsia="Times New Roman" w:hAnsi="Times New Roman" w:cs="Times New Roman"/>
                <w:lang w:eastAsia="sk-SK"/>
              </w:rPr>
              <w:t>za posúdenie edukačnej publikácie na účely vydania certifikátu</w:t>
            </w:r>
          </w:p>
        </w:tc>
      </w:tr>
      <w:tr w:rsidR="003408F5" w:rsidRPr="007B7470" w14:paraId="08A7FAD8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AD2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5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6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FAD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8A7FADF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AD9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A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B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C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DD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FADE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8A7FAE6" w14:textId="77777777" w:rsidTr="007B7470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FAE0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E1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E2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E3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7FAE4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7FAE5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3408F5" w:rsidRPr="007B7470" w14:paraId="08A7FAED" w14:textId="77777777" w:rsidTr="003408F5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E7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E8" w14:textId="77777777" w:rsidR="003408F5" w:rsidRPr="007B7470" w:rsidRDefault="003408F5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E9" w14:textId="0F560527" w:rsidR="003408F5" w:rsidRPr="007B7470" w:rsidRDefault="00346781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EA" w14:textId="7885F4B7" w:rsidR="003408F5" w:rsidRPr="007B7470" w:rsidRDefault="00A42974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FAEB" w14:textId="7D99B739" w:rsidR="003408F5" w:rsidRPr="007B7470" w:rsidRDefault="00A42974" w:rsidP="00340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150 00</w:t>
            </w:r>
            <w:r w:rsidR="003408F5" w:rsidRPr="007B74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08A7FAEC" w14:textId="77777777" w:rsidR="003408F5" w:rsidRPr="007B7470" w:rsidRDefault="003408F5" w:rsidP="003408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14:paraId="08A7FAE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14:paraId="08A7FAEF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8A7FAF0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8A7FAF1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8A7FAF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08A7FAF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8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AF9" w14:textId="77777777" w:rsidR="003408F5" w:rsidRPr="007B7470" w:rsidRDefault="003408F5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B02" w14:textId="77777777" w:rsidR="007D5748" w:rsidRPr="007B7470" w:rsidRDefault="007D5748" w:rsidP="00AB1644">
      <w:pPr>
        <w:tabs>
          <w:tab w:val="num" w:pos="1080"/>
        </w:tabs>
        <w:spacing w:after="0" w:line="240" w:lineRule="auto"/>
        <w:ind w:right="-578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08A7FB03" w14:textId="77777777" w:rsidR="007D5748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Tabuľka č. 4/A</w:t>
      </w:r>
    </w:p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4"/>
        <w:gridCol w:w="1420"/>
        <w:gridCol w:w="1440"/>
        <w:gridCol w:w="1418"/>
        <w:gridCol w:w="1418"/>
        <w:gridCol w:w="1420"/>
      </w:tblGrid>
      <w:tr w:rsidR="00190BE7" w:rsidRPr="00987E2A" w14:paraId="1366F48F" w14:textId="77777777" w:rsidTr="0007284F">
        <w:trPr>
          <w:trHeight w:val="315"/>
        </w:trPr>
        <w:tc>
          <w:tcPr>
            <w:tcW w:w="5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742295E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569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39DFEE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7506CB3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190BE7" w:rsidRPr="00987E2A" w14:paraId="746C00FD" w14:textId="77777777" w:rsidTr="0007284F">
        <w:trPr>
          <w:trHeight w:val="315"/>
        </w:trPr>
        <w:tc>
          <w:tcPr>
            <w:tcW w:w="5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C0CA25" w14:textId="77777777" w:rsidR="00987E2A" w:rsidRPr="00987E2A" w:rsidRDefault="00987E2A" w:rsidP="0098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17D01F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9817A4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CFDB60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1FC1D4" w14:textId="77777777" w:rsidR="00987E2A" w:rsidRPr="00987E2A" w:rsidRDefault="00987E2A" w:rsidP="00987E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B8E3A" w14:textId="77777777" w:rsidR="00987E2A" w:rsidRPr="00987E2A" w:rsidRDefault="00987E2A" w:rsidP="00987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394FAE" w:rsidRPr="00987E2A" w14:paraId="2901DDA6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ED368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13365" w14:textId="273847F8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105 058</w:t>
            </w: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0D71D9" w14:textId="63B9F7B4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 210 086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5689A" w14:textId="115A4BF0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17 516 823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1A9C76" w14:textId="1BADD93A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43 555 432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F11D67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0B477723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A0EBFE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A3C14" w14:textId="5324C1F0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66 243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2F85B5" w14:textId="0C6183DC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99 364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964AB" w14:textId="501FE4CB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295 591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7CDE2" w14:textId="777347B4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742 161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2482C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55BA7985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B22134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B09729" w14:textId="6E66C93E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23 815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406D7" w14:textId="7C71876B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A74531" w14:textId="729918D5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106 265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62F89" w14:textId="1C92C917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266 807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A603A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5BA99186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4C518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9A2B7F" w14:textId="5C8294FD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15 000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371B1" w14:textId="5EF94791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AD62E0" w14:textId="765AA274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70 360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70178" w14:textId="46394535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176 658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C0271E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405B38C9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40A39D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18106" w14:textId="7E835605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4F857E" w14:textId="1C3B75C5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C10318" w14:textId="0E173EBE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17 044 607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A0A522" w14:textId="1E20D188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42 369 806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BD51B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76E63C3F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9E57E8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(641 013)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F0D71" w14:textId="0D5F041A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D35756" w14:textId="534763A2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CA22F5" w14:textId="2CCEC994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15 549 617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ABEAFE" w14:textId="6C1308A0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38 631 396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62F1E2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4FED3647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23239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(641 014)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6D9FEE" w14:textId="550A0BF1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9D449B" w14:textId="74C61823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5DAB4C" w14:textId="14180258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17D44" w14:textId="313EC123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AF80CF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466D9922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481AA8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(642 004)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338935" w14:textId="23DC1426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23787E" w14:textId="6E98F232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D24321" w14:textId="781E99B2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640 404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661C28" w14:textId="4F841B7A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1 599 527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31C33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4F59F460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88790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(642 005)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9593D3" w14:textId="3EAF4EA6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4F0E0" w14:textId="7C904F30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A99885" w14:textId="48FB368D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854 586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CE34F" w14:textId="1A1F0744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2 138 883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B921FE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33F8A52D" w14:textId="77777777" w:rsidTr="0007284F">
        <w:trPr>
          <w:trHeight w:val="735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0DE51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987E2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5DA24A" w14:textId="696358AD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27DB0E" w14:textId="7B9AE3ED" w:rsidR="00394FAE" w:rsidRPr="00B3547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0B90AF" w14:textId="6868A6D9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BA794A" w14:textId="33667D6B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CC056B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7BEB0A40" w14:textId="77777777" w:rsidTr="007440CA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577E0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34C5FC" w14:textId="06A78ECB" w:rsidR="00394FAE" w:rsidRPr="004D49BF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19 206 965,95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C26D1" w14:textId="142B9BF1" w:rsidR="00394FAE" w:rsidRPr="004D49BF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12 730 770,35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A0AB2" w14:textId="4261E477" w:rsidR="00394FAE" w:rsidRPr="004D49BF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2 553 000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948A6" w14:textId="5F3E2F72" w:rsidR="00394FAE" w:rsidRPr="003B5745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3B57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1 290 000 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4D70D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4E1B2CF3" w14:textId="77777777" w:rsidTr="007440CA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3543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8F022" w14:textId="62655AB0" w:rsidR="00394FAE" w:rsidRPr="0092509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19 206 965,95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102F3" w14:textId="13DCBCD3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12 730 770,35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AF067" w14:textId="35C4A382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2 553 000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B58E3D" w14:textId="24662C4E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1 290 000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E8684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1D61189A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984C8F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DBB1B" w14:textId="61BE5E8D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FB446" w14:textId="5F3E2422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3EDD9" w14:textId="6DFD0F2E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86099" w14:textId="203C47F5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1E7AFE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0B88410C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97F03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Výdavky z transakcií s finančnými aktívami a finančnými pasívami (800)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A549D" w14:textId="43A13960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03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DD0E46" w14:textId="1B22FAA2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03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795FA1" w14:textId="27F5DBC4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03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569947" w14:textId="1DFCA98C" w:rsidR="00394FAE" w:rsidRPr="00703BBB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03B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4300F4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394FAE" w:rsidRPr="00987E2A" w14:paraId="30A05405" w14:textId="77777777" w:rsidTr="0007284F">
        <w:trPr>
          <w:trHeight w:val="570"/>
        </w:trPr>
        <w:tc>
          <w:tcPr>
            <w:tcW w:w="5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3429E0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3738E9" w14:textId="708EC5E1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19 312 02</w:t>
            </w:r>
            <w:r w:rsidR="001D7CE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A8F27E0" w14:textId="16275C23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12 940 856,35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F97F10" w14:textId="16569F41" w:rsidR="00394FAE" w:rsidRPr="00987E2A" w:rsidRDefault="00394FAE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20 069 823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8C559D" w14:textId="2F574C4C" w:rsidR="00394FAE" w:rsidRPr="00987E2A" w:rsidRDefault="00417F25" w:rsidP="00394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44 845 432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BD48D8" w14:textId="77777777" w:rsidR="00394FAE" w:rsidRPr="00987E2A" w:rsidRDefault="00394FAE" w:rsidP="00394F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238993A" w14:textId="77777777" w:rsidR="00987E2A" w:rsidRDefault="00987E2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DD399A5" w14:textId="77777777" w:rsidR="00987E2A" w:rsidRPr="007B7470" w:rsidRDefault="00987E2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5C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14:paraId="08A7FB5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8A7FB5E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14:paraId="08A7FB5F" w14:textId="77777777" w:rsidR="007D5748" w:rsidRPr="007B7470" w:rsidRDefault="003408F5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</w:t>
      </w:r>
      <w:r w:rsidR="007D5748"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14:paraId="08A7FB6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2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3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4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5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6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7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8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A" w14:textId="77777777" w:rsidR="00440A16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AEEB059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2DE575E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FAB06F7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FDA59BB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859350E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FFA5722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581722E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148BB28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1988DF4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EE085BA" w14:textId="77777777" w:rsidR="00AB1644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20D7658" w14:textId="77777777" w:rsidR="00AB1644" w:rsidRPr="007B7470" w:rsidRDefault="00AB1644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B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C" w14:textId="77777777" w:rsidR="00B801BA" w:rsidRPr="007B7470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D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E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6F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70" w14:textId="77777777" w:rsidR="00B801BA" w:rsidRDefault="00B801B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Tabuľka č. 4/B</w:t>
      </w:r>
    </w:p>
    <w:tbl>
      <w:tblPr>
        <w:tblW w:w="12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1420"/>
        <w:gridCol w:w="1420"/>
        <w:gridCol w:w="1420"/>
        <w:gridCol w:w="1420"/>
        <w:gridCol w:w="1420"/>
      </w:tblGrid>
      <w:tr w:rsidR="00760DAA" w:rsidRPr="00760DAA" w14:paraId="3B014E5F" w14:textId="77777777" w:rsidTr="00760DAA">
        <w:trPr>
          <w:trHeight w:val="315"/>
        </w:trPr>
        <w:tc>
          <w:tcPr>
            <w:tcW w:w="5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3CE17A4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Vplyvy (v metodike ESA 2010)</w:t>
            </w:r>
          </w:p>
        </w:tc>
        <w:tc>
          <w:tcPr>
            <w:tcW w:w="5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6DAE0A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limit verejných výdavkov subjektu verejnej správy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EBAB010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>poznámka</w:t>
            </w:r>
          </w:p>
        </w:tc>
      </w:tr>
      <w:tr w:rsidR="00760DAA" w:rsidRPr="00760DAA" w14:paraId="5EF131FB" w14:textId="77777777" w:rsidTr="00760DAA">
        <w:trPr>
          <w:trHeight w:val="315"/>
        </w:trPr>
        <w:tc>
          <w:tcPr>
            <w:tcW w:w="5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287651" w14:textId="77777777" w:rsidR="00760DAA" w:rsidRPr="00760DAA" w:rsidRDefault="00760DAA" w:rsidP="0076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4FD92A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4B14FF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71547A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C29DFF" w14:textId="77777777" w:rsidR="00760DAA" w:rsidRPr="00760DAA" w:rsidRDefault="00760DAA" w:rsidP="00760D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33F2AA" w14:textId="77777777" w:rsidR="00760DAA" w:rsidRPr="00760DAA" w:rsidRDefault="00760DAA" w:rsidP="00760D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DE4B94" w:rsidRPr="00760DAA" w14:paraId="70BEBEDF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175C4C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3CC1F4" w14:textId="20C2581D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105 058</w:t>
            </w: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9682A" w14:textId="1981B526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 210 086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4DC16B" w14:textId="70228FAA" w:rsidR="00DE4B94" w:rsidRPr="00916A6E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17 516 823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1D526" w14:textId="6BA6302A" w:rsidR="00DE4B94" w:rsidRPr="00916A6E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16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43 555 432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5B043F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3BE26F1A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AD76FB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BA72B1" w14:textId="5ABB207B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66 243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CEE5A5" w14:textId="200F38CA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99 364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4C8971" w14:textId="78EE7174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295 591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4164C1" w14:textId="6192A894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742 161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32800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709DDB1C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D0FE2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E75054" w14:textId="57DA079E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23 815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190D6" w14:textId="030269E3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35 722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E585A" w14:textId="6E83635A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106 265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306325" w14:textId="525A1034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266 807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582C07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10D6922F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BC7D1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Tovary a služby (630)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5D8680" w14:textId="626318AE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15 000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FDB3CA" w14:textId="0EA4EE67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73DAD" w14:textId="41876968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70 360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5E1E6" w14:textId="642C7DF2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176 658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81C69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3F38F06F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B2C4BB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(640)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32017D" w14:textId="0EB6B4B7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00428" w14:textId="685A9D17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5C542A" w14:textId="02E3A269" w:rsidR="00DE4B94" w:rsidRPr="00DE4B94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17 044 607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159CD0" w14:textId="19E88BB3" w:rsidR="00DE4B94" w:rsidRPr="00DE4B94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42 369 806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2D8AF8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7F6329CD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CAFD7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(641 013)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27299" w14:textId="2846303B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3007D" w14:textId="77496A9F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06C25B" w14:textId="71DA51A3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15 549 617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5AFC24" w14:textId="09442341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38 631 396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7DE2D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0569E213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7AC4A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(641 014)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94E73" w14:textId="27B5173C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37B20" w14:textId="568C4BD9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07634D" w14:textId="5F7ABC99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9514C" w14:textId="16092432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309FA9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4C30BBDC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2B7E9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(642 004)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264AA6" w14:textId="69491D6E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A9674" w14:textId="5F46A7DC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3A92F2" w14:textId="02A21706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640 404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24073C" w14:textId="77BE52C0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1 599 527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660EB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31CAAF96" w14:textId="77777777" w:rsidTr="00F805C0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A3D25F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Bežné transfery (642 005)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CA4C1F" w14:textId="34FAED7D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D71149" w14:textId="34A28F92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EF70F" w14:textId="1F59E1B3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854 586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8D69D" w14:textId="5B797F9E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2 138 883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EE088B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E4B94" w:rsidRPr="00760DAA" w14:paraId="7306ABFA" w14:textId="77777777" w:rsidTr="00F805C0">
        <w:trPr>
          <w:trHeight w:val="735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E755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Pr="00760DA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úverom, pôžičkou, návratnou finančnou výpomocou a finančným prenájmom (650)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BD798E" w14:textId="197596CD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ECEF9C" w14:textId="5B6A960D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B12844" w14:textId="196374E5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27519" w14:textId="178837BB" w:rsidR="00DE4B94" w:rsidRPr="00760DAA" w:rsidRDefault="00DE4B94" w:rsidP="00DE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DE4B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3302FE" w14:textId="77777777" w:rsidR="00DE4B94" w:rsidRPr="00760DAA" w:rsidRDefault="00DE4B94" w:rsidP="00DE4B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275F" w:rsidRPr="00760DAA" w14:paraId="1B74C69F" w14:textId="77777777" w:rsidTr="00F9275F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090A0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B93F3D" w14:textId="2E282FCA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19 206 965,95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BBDD54" w14:textId="19FC949D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D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12 730 770,35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26B503" w14:textId="539C5F97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2 553 000</w:t>
            </w: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FAF13B" w14:textId="348EE1A6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1 290 000</w:t>
            </w:r>
            <w:r w:rsidRPr="00987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0546AA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275F" w:rsidRPr="00760DAA" w14:paraId="14DC87CF" w14:textId="77777777" w:rsidTr="00F9275F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47396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0339AD" w14:textId="28721359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19 206 965,95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C8892D" w14:textId="09DDFF7D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12 730 770,35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434955" w14:textId="54E7A39F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2 553 000</w:t>
            </w: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610E61" w14:textId="378814F9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87E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1 290 000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718A88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275F" w:rsidRPr="00760DAA" w14:paraId="36F53392" w14:textId="77777777" w:rsidTr="00612DA2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2C22D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 xml:space="preserve">  Kapitálové transfery (720)</w:t>
            </w:r>
            <w:r w:rsidRPr="00760D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0181B" w14:textId="4959EDF6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D9A30A" w14:textId="1A0AE424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50B1AA" w14:textId="2EDEF087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BCAA7C" w14:textId="39BE2E67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E54E2F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275F" w:rsidRPr="00760DAA" w14:paraId="42DCDD82" w14:textId="77777777" w:rsidTr="00760DAA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8415A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lastRenderedPageBreak/>
              <w:t>Výdavky z transakcií s finančnými aktívami a finančnými pasívami (800)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00750" w14:textId="50070A92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57E60" w14:textId="392D651F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DFB72" w14:textId="1D8D2730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424B3" w14:textId="4B251682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0AA2A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F9275F" w:rsidRPr="00760DAA" w14:paraId="7D78A67F" w14:textId="77777777" w:rsidTr="005E39B6">
        <w:trPr>
          <w:trHeight w:val="5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E2AA350" w14:textId="77777777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60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výdavky verejnej správy celkom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34C7FACC" w14:textId="782BA885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19 312 02</w:t>
            </w:r>
            <w:r w:rsidR="00BB5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76ED2991" w14:textId="16578F7E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12 940 856,35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03608821" w14:textId="307766F8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20 069 823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953158F" w14:textId="2C209EB2" w:rsidR="00F9275F" w:rsidRPr="00760DAA" w:rsidRDefault="00F9275F" w:rsidP="00F92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44 845 432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36ED1EF" w14:textId="17CF9818" w:rsidR="00F9275F" w:rsidRPr="00760DAA" w:rsidRDefault="00F9275F" w:rsidP="00F927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0CBC026A" w14:textId="77777777" w:rsidR="00760DAA" w:rsidRPr="007B7470" w:rsidRDefault="00760DAA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C9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 xml:space="preserve">  2 –  výdavky rozpísať až do </w:t>
      </w:r>
      <w:r w:rsidR="00F20986"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pod</w:t>
      </w:r>
      <w:r w:rsidRPr="007B7470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eastAsia="sk-SK"/>
        </w:rPr>
        <w:t>po</w:t>
      </w: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ložiek platnej ekonomickej klasifikácie</w:t>
      </w:r>
    </w:p>
    <w:p w14:paraId="08A7FBCA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14:paraId="08A7FBCB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 xml:space="preserve">  Poznámka:</w:t>
      </w:r>
    </w:p>
    <w:p w14:paraId="08A7FBCC" w14:textId="77777777" w:rsidR="003408F5" w:rsidRPr="007B7470" w:rsidRDefault="003408F5" w:rsidP="003408F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 xml:space="preserve">  Ak sa vplyv týka viacerých subjektov verejnej správy, vypĺňa sa samostatná tabuľka za každý subjekt.</w:t>
      </w:r>
    </w:p>
    <w:p w14:paraId="08A7FBC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CE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CF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0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1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2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3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4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5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6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7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8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9" w14:textId="77777777" w:rsidR="00440A16" w:rsidRPr="007B7470" w:rsidRDefault="00440A16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B" w14:textId="77777777" w:rsidR="00440A16" w:rsidRPr="007B7470" w:rsidRDefault="00440A16" w:rsidP="001B60AD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C" w14:textId="77777777" w:rsidR="007D5748" w:rsidRPr="007B7470" w:rsidRDefault="007D5748" w:rsidP="002177DB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D" w14:textId="77777777" w:rsidR="007D5748" w:rsidRPr="007B7470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E" w14:textId="77777777" w:rsidR="007D5748" w:rsidRPr="007B7470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</w:p>
    <w:p w14:paraId="4ABFCA21" w14:textId="77777777" w:rsidR="00A13C4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 xml:space="preserve">              </w:t>
      </w:r>
    </w:p>
    <w:p w14:paraId="13F88A21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332B3976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8A54F40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8FC677E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743EDA2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98C57A3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0535584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D26796F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25CFC3D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981628C" w14:textId="77777777" w:rsidR="00A13C40" w:rsidRDefault="00A13C40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8A7FBDF" w14:textId="54458162" w:rsidR="007D5748" w:rsidRPr="007B7470" w:rsidRDefault="00B801BA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Tabuľka č. 5</w:t>
      </w:r>
    </w:p>
    <w:p w14:paraId="08A7FC44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3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1580"/>
        <w:gridCol w:w="1580"/>
        <w:gridCol w:w="1580"/>
        <w:gridCol w:w="1580"/>
        <w:gridCol w:w="1800"/>
      </w:tblGrid>
      <w:tr w:rsidR="0090323F" w:rsidRPr="0090323F" w14:paraId="6F8CC999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F64A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bookmarkStart w:id="1" w:name="RANGE!A1:F14"/>
            <w:bookmarkEnd w:id="1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84F52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DFD8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34040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4CED5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BDB0" w14:textId="618D6329" w:rsidR="0090323F" w:rsidRPr="0090323F" w:rsidRDefault="0090323F" w:rsidP="0090323F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90323F" w:rsidRPr="0090323F" w14:paraId="6F69ABF5" w14:textId="77777777" w:rsidTr="0090323F">
        <w:trPr>
          <w:trHeight w:val="330"/>
        </w:trPr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1EE96C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Zamestnanosť</w:t>
            </w:r>
          </w:p>
        </w:tc>
        <w:tc>
          <w:tcPr>
            <w:tcW w:w="63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ED8B02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EFA9D18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poznámka</w:t>
            </w:r>
          </w:p>
        </w:tc>
      </w:tr>
      <w:tr w:rsidR="0090323F" w:rsidRPr="0090323F" w14:paraId="6641D098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F6DB27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0423876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7D0A24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FAE9E8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EC5985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2028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C334744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323F" w:rsidRPr="0090323F" w14:paraId="2AF86BC7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EC4FB5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Počet zamestnancov celkom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A893A" w14:textId="01F4C830" w:rsidR="0090323F" w:rsidRPr="0090323F" w:rsidRDefault="00D76A05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F51EE" w14:textId="56DDCC14" w:rsidR="0090323F" w:rsidRPr="0090323F" w:rsidRDefault="003E432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70BD3" w14:textId="2C119565" w:rsidR="0090323F" w:rsidRPr="00786FE0" w:rsidRDefault="000165AB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6FE0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47</w:t>
            </w:r>
            <w:r w:rsidR="00F13A19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D7AF1" w14:textId="3BFAC251" w:rsidR="0090323F" w:rsidRPr="00786FE0" w:rsidRDefault="004A759B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6FE0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1</w:t>
            </w:r>
            <w:r w:rsidR="00786FE0" w:rsidRPr="00786FE0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14</w:t>
            </w:r>
            <w:r w:rsidR="002C7FCD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22880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323F" w:rsidRPr="0090323F" w14:paraId="1982FAD0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B6A64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D418A" w14:textId="74F0A737" w:rsidR="0090323F" w:rsidRPr="0090323F" w:rsidRDefault="002B6AE4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  <w:r w:rsidR="0090323F"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08225A" w14:textId="5B4E3F8D" w:rsidR="0090323F" w:rsidRPr="0090323F" w:rsidRDefault="003E432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A9AA7" w14:textId="1E906BFE" w:rsidR="0090323F" w:rsidRPr="00786FE0" w:rsidRDefault="000165AB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6F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47</w:t>
            </w:r>
            <w:r w:rsidR="002C7F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BEF34" w14:textId="79AA4903" w:rsidR="0090323F" w:rsidRPr="00786FE0" w:rsidRDefault="004A759B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86FE0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1</w:t>
            </w:r>
            <w:r w:rsidR="00786FE0" w:rsidRPr="00786FE0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14</w:t>
            </w:r>
            <w:r w:rsidR="002C7FCD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048585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0323F" w:rsidRPr="0090323F" w14:paraId="22A803D5" w14:textId="77777777" w:rsidTr="004A228D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CB994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Priemerný mzdový výdavok (v eurách)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84F90" w14:textId="2ABBA1DE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A11743" w14:textId="6FDF0A9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0637EA" w14:textId="040A8E6D" w:rsidR="0090323F" w:rsidRPr="00CF26FE" w:rsidRDefault="00946A85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1 9</w:t>
            </w:r>
            <w:r w:rsidR="00CF26FE"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32</w:t>
            </w:r>
            <w:r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</w:t>
            </w:r>
            <w:r w:rsidR="00CF26FE"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9BC5ED" w14:textId="26A23660" w:rsidR="0090323F" w:rsidRPr="00CF26FE" w:rsidRDefault="00946A85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1 9</w:t>
            </w:r>
            <w:r w:rsidR="00CF26FE"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86</w:t>
            </w:r>
            <w:r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,</w:t>
            </w:r>
            <w:r w:rsidR="00CF26FE" w:rsidRPr="00CF26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BE2BFA" w14:textId="5FF03510" w:rsidR="0090323F" w:rsidRPr="004A228D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 w:rsidR="00011C97" w:rsidRPr="004A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IT – priemer</w:t>
            </w:r>
            <w:r w:rsidR="00974889" w:rsidRPr="004A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>ný mzdový výdavok informatika</w:t>
            </w:r>
            <w:r w:rsidR="005A0991" w:rsidRPr="004A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– 3752, 4 €</w:t>
            </w:r>
            <w:r w:rsidR="00A53778" w:rsidRPr="004A228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(2 zamestnanci)</w:t>
            </w:r>
            <w:r w:rsidR="00946A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  <w:t xml:space="preserve"> </w:t>
            </w:r>
          </w:p>
          <w:p w14:paraId="1347149D" w14:textId="77777777" w:rsidR="006F397E" w:rsidRPr="004A228D" w:rsidRDefault="006F397E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sk-SK"/>
              </w:rPr>
            </w:pPr>
          </w:p>
          <w:p w14:paraId="6804FE98" w14:textId="30F7880D" w:rsidR="005A0991" w:rsidRPr="0090323F" w:rsidRDefault="005A0991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B62BD0" w:rsidRPr="0090323F" w14:paraId="6777DF55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9C981" w14:textId="77777777" w:rsidR="00B62BD0" w:rsidRPr="0090323F" w:rsidRDefault="00B62BD0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9437C0" w14:textId="77777777" w:rsidR="00B62BD0" w:rsidRDefault="00B62BD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2B8B14" w14:textId="77777777" w:rsidR="00B62BD0" w:rsidRDefault="00B62BD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835F4B" w14:textId="77777777" w:rsidR="00B62BD0" w:rsidRPr="00AC24EE" w:rsidRDefault="00B62BD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EBC912" w14:textId="77777777" w:rsidR="00B62BD0" w:rsidRPr="00AC24EE" w:rsidRDefault="00B62BD0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sk-SK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8D5EBA" w14:textId="77777777" w:rsidR="00B62BD0" w:rsidRPr="0090323F" w:rsidRDefault="00B62BD0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90323F" w:rsidRPr="0090323F" w14:paraId="0807251D" w14:textId="77777777" w:rsidTr="0090323F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7CA76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0EE0AB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CDC4C1" w14:textId="77777777" w:rsidR="0090323F" w:rsidRPr="0090323F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208A4" w14:textId="77777777" w:rsidR="0090323F" w:rsidRPr="00CF26FE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F2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123DF7" w14:textId="77777777" w:rsidR="0090323F" w:rsidRPr="00CF26FE" w:rsidRDefault="0090323F" w:rsidP="00903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CF26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00406" w14:textId="77777777" w:rsidR="0090323F" w:rsidRPr="0090323F" w:rsidRDefault="0090323F" w:rsidP="009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31E59145" w14:textId="77777777" w:rsidTr="00492A73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276F3A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Osobné výdavky celkom (v eurách)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E2C58F" w14:textId="7C4F463A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90 058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C1CF59" w14:textId="3B5F4DA0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135 086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83C5F59" w14:textId="148CDE5A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6326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4 906 818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6F22C740" w14:textId="6CF8984D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37 065 674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442CE00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0E4726C8" w14:textId="77777777" w:rsidTr="00494175">
        <w:trPr>
          <w:trHeight w:val="52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2D18B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Mzdy, platy, služobné príjmy a ostatné osobné vyrovnania (610)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2D944B" w14:textId="3D5185AF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66 243</w:t>
            </w: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9ED013" w14:textId="0BEE8B90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99 364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11FAD" w14:textId="5FF37B05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295 591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490138" w14:textId="17F7BD75" w:rsidR="00446220" w:rsidRPr="00492A73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color w:val="000000"/>
                <w:sz w:val="20"/>
                <w:szCs w:val="20"/>
              </w:rPr>
              <w:t>742 161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0B0B0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71FE68D8" w14:textId="77777777" w:rsidTr="0049417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A78E23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04B97E" w14:textId="27BFE12A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66 243</w:t>
            </w: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CFC60" w14:textId="7FB967F5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99 364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7AD468" w14:textId="1AC3643B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295 591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3520D" w14:textId="162BF22B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742 161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DFA65E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15342321" w14:textId="77777777" w:rsidTr="00F8101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091AAF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Poistné a príspevok do poisťovní (620)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7AED" w14:textId="267E32C2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23 815</w:t>
            </w: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E59748" w14:textId="72B80A6D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35 722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E9A669" w14:textId="54E8F71C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106 265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A1CA5C" w14:textId="2EF62C18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266 807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CF874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145B586A" w14:textId="77777777" w:rsidTr="00F8101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A2F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DA323D" w14:textId="4C590F24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23 815</w:t>
            </w: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C62B99" w14:textId="0F1155B2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35 722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35376" w14:textId="085CD88C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106 265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5CFA0" w14:textId="350671B5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266 807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B0D55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0A21DAA8" w14:textId="77777777" w:rsidTr="0049417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B8884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Bežné transfery (640)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0F7A9" w14:textId="27114EEE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79E1B6" w14:textId="4FF06205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D502B9" w14:textId="6CEC317F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14 504 962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6337E" w14:textId="5344F030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36 056 706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26322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446220" w:rsidRPr="0090323F" w14:paraId="354D6258" w14:textId="77777777" w:rsidTr="00494175">
        <w:trPr>
          <w:trHeight w:val="315"/>
        </w:trPr>
        <w:tc>
          <w:tcPr>
            <w:tcW w:w="4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CE2790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  z toho vplyv na ŠR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0928F" w14:textId="5E0DBBF4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934A39" w14:textId="53ED469D" w:rsidR="00446220" w:rsidRPr="0090323F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3311D" w14:textId="3C33CFA5" w:rsidR="00446220" w:rsidRPr="00632692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92A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14 504 962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01F85" w14:textId="16BF4D90" w:rsidR="00446220" w:rsidRPr="00446220" w:rsidRDefault="00446220" w:rsidP="00446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4462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36 056 706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560011" w14:textId="77777777" w:rsidR="00446220" w:rsidRPr="0090323F" w:rsidRDefault="00446220" w:rsidP="00446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9032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08A7FC45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C46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C47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C48" w14:textId="77777777" w:rsidR="002B63FD" w:rsidRPr="007B7470" w:rsidRDefault="002B63F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803FD4C" w14:textId="18C8C3EC" w:rsidR="00175500" w:rsidRDefault="00175500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07A9AC" w14:textId="77777777" w:rsidR="007C3F96" w:rsidRDefault="007C3F9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D9DC69A" w14:textId="77777777" w:rsidR="007C3F96" w:rsidRDefault="007C3F9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B15F82" w14:textId="77777777" w:rsidR="007C3F96" w:rsidRDefault="007C3F9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5747CA6" w14:textId="77777777" w:rsidR="007C3F96" w:rsidRDefault="007C3F9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8E0BF1A" w14:textId="6E9946A1" w:rsidR="007C3F96" w:rsidRDefault="007C3F9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C3F96">
        <w:rPr>
          <w:noProof/>
        </w:rPr>
        <w:lastRenderedPageBreak/>
        <w:drawing>
          <wp:inline distT="0" distB="0" distL="0" distR="0" wp14:anchorId="53512687" wp14:editId="59D8D612">
            <wp:extent cx="8103235" cy="5759450"/>
            <wp:effectExtent l="0" t="0" r="0" b="0"/>
            <wp:docPr id="448148330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23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8BF50" w14:textId="71223BFA" w:rsidR="00966931" w:rsidRDefault="00A8296D" w:rsidP="007D5748">
      <w:pPr>
        <w:spacing w:after="0" w:line="240" w:lineRule="auto"/>
        <w:rPr>
          <w:noProof/>
        </w:rPr>
      </w:pPr>
      <w:r w:rsidRPr="00A8296D">
        <w:rPr>
          <w:noProof/>
        </w:rPr>
        <w:lastRenderedPageBreak/>
        <w:drawing>
          <wp:inline distT="0" distB="0" distL="0" distR="0" wp14:anchorId="1ADAD34F" wp14:editId="23EDB414">
            <wp:extent cx="8103235" cy="5759450"/>
            <wp:effectExtent l="0" t="0" r="0" b="0"/>
            <wp:docPr id="1403448776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3235" cy="575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F3CC3" w14:textId="77777777" w:rsidR="00A8296D" w:rsidRDefault="00A8296D" w:rsidP="007D5748">
      <w:pPr>
        <w:spacing w:after="0" w:line="240" w:lineRule="auto"/>
        <w:rPr>
          <w:noProof/>
        </w:rPr>
      </w:pPr>
    </w:p>
    <w:p w14:paraId="2227CB12" w14:textId="6D2F2BD1" w:rsidR="00A8296D" w:rsidRDefault="00C255E3" w:rsidP="007D5748">
      <w:pPr>
        <w:spacing w:after="0" w:line="240" w:lineRule="auto"/>
        <w:rPr>
          <w:noProof/>
        </w:rPr>
      </w:pPr>
      <w:r w:rsidRPr="00C255E3">
        <w:rPr>
          <w:noProof/>
        </w:rPr>
        <w:drawing>
          <wp:inline distT="0" distB="0" distL="0" distR="0" wp14:anchorId="154BF5FA" wp14:editId="51ECA13F">
            <wp:extent cx="8891270" cy="3417570"/>
            <wp:effectExtent l="0" t="0" r="5080" b="0"/>
            <wp:docPr id="175078500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7D4E2" w14:textId="77777777" w:rsidR="00A8296D" w:rsidRDefault="00A8296D" w:rsidP="007D5748">
      <w:pPr>
        <w:spacing w:after="0" w:line="240" w:lineRule="auto"/>
        <w:rPr>
          <w:noProof/>
        </w:rPr>
      </w:pPr>
    </w:p>
    <w:p w14:paraId="285A5FC7" w14:textId="77777777" w:rsidR="00A8296D" w:rsidRDefault="00A8296D" w:rsidP="007D5748">
      <w:pPr>
        <w:spacing w:after="0" w:line="240" w:lineRule="auto"/>
        <w:rPr>
          <w:noProof/>
        </w:rPr>
      </w:pPr>
    </w:p>
    <w:p w14:paraId="130A6CE1" w14:textId="77777777" w:rsidR="00A8296D" w:rsidRDefault="00A8296D" w:rsidP="007D5748">
      <w:pPr>
        <w:spacing w:after="0" w:line="240" w:lineRule="auto"/>
        <w:rPr>
          <w:noProof/>
        </w:rPr>
      </w:pPr>
    </w:p>
    <w:p w14:paraId="1637CC3E" w14:textId="77777777" w:rsidR="00A8296D" w:rsidRDefault="00A8296D" w:rsidP="007D5748">
      <w:pPr>
        <w:spacing w:after="0" w:line="240" w:lineRule="auto"/>
        <w:rPr>
          <w:noProof/>
        </w:rPr>
      </w:pPr>
    </w:p>
    <w:p w14:paraId="1098DC1A" w14:textId="77777777" w:rsidR="00A8296D" w:rsidRDefault="00A8296D" w:rsidP="007D5748">
      <w:pPr>
        <w:spacing w:after="0" w:line="240" w:lineRule="auto"/>
        <w:rPr>
          <w:noProof/>
        </w:rPr>
      </w:pPr>
    </w:p>
    <w:p w14:paraId="6DE49BA5" w14:textId="77777777" w:rsidR="00A8296D" w:rsidRDefault="00A8296D" w:rsidP="007D5748">
      <w:pPr>
        <w:spacing w:after="0" w:line="240" w:lineRule="auto"/>
        <w:rPr>
          <w:noProof/>
        </w:rPr>
      </w:pPr>
    </w:p>
    <w:p w14:paraId="42AF0073" w14:textId="77777777" w:rsidR="00A8296D" w:rsidRDefault="00A8296D" w:rsidP="007D5748">
      <w:pPr>
        <w:spacing w:after="0" w:line="240" w:lineRule="auto"/>
        <w:rPr>
          <w:noProof/>
        </w:rPr>
      </w:pPr>
    </w:p>
    <w:p w14:paraId="7C5D4BA2" w14:textId="77777777" w:rsidR="00A8296D" w:rsidRDefault="00A8296D" w:rsidP="007D5748">
      <w:pPr>
        <w:spacing w:after="0" w:line="240" w:lineRule="auto"/>
        <w:rPr>
          <w:noProof/>
        </w:rPr>
      </w:pPr>
    </w:p>
    <w:p w14:paraId="7AD997CB" w14:textId="77777777" w:rsidR="00A8296D" w:rsidRDefault="00A8296D" w:rsidP="007D5748">
      <w:pPr>
        <w:spacing w:after="0" w:line="240" w:lineRule="auto"/>
        <w:rPr>
          <w:noProof/>
        </w:rPr>
      </w:pPr>
    </w:p>
    <w:p w14:paraId="2FF4B58A" w14:textId="77777777" w:rsidR="00A8296D" w:rsidRDefault="00A8296D" w:rsidP="007D5748">
      <w:pPr>
        <w:spacing w:after="0" w:line="240" w:lineRule="auto"/>
        <w:rPr>
          <w:noProof/>
        </w:rPr>
      </w:pPr>
    </w:p>
    <w:p w14:paraId="47FD1A5E" w14:textId="77777777" w:rsidR="00A8296D" w:rsidRDefault="00A8296D" w:rsidP="007D5748">
      <w:pPr>
        <w:spacing w:after="0" w:line="240" w:lineRule="auto"/>
        <w:rPr>
          <w:noProof/>
        </w:rPr>
      </w:pPr>
    </w:p>
    <w:p w14:paraId="3BB454D5" w14:textId="77777777" w:rsidR="00A8296D" w:rsidRDefault="00A8296D" w:rsidP="007D5748">
      <w:pPr>
        <w:spacing w:after="0" w:line="240" w:lineRule="auto"/>
        <w:rPr>
          <w:noProof/>
        </w:rPr>
      </w:pPr>
    </w:p>
    <w:p w14:paraId="4D75E36C" w14:textId="77777777" w:rsidR="00A8296D" w:rsidRDefault="00A8296D" w:rsidP="007D5748">
      <w:pPr>
        <w:spacing w:after="0" w:line="240" w:lineRule="auto"/>
        <w:rPr>
          <w:noProof/>
        </w:rPr>
      </w:pPr>
    </w:p>
    <w:p w14:paraId="7AED0C83" w14:textId="71ACC6F1" w:rsidR="00A8296D" w:rsidRDefault="007E0EBD" w:rsidP="007D5748">
      <w:pPr>
        <w:spacing w:after="0" w:line="240" w:lineRule="auto"/>
        <w:rPr>
          <w:noProof/>
        </w:rPr>
      </w:pPr>
      <w:r w:rsidRPr="007E0EBD">
        <w:rPr>
          <w:noProof/>
        </w:rPr>
        <w:drawing>
          <wp:inline distT="0" distB="0" distL="0" distR="0" wp14:anchorId="26EE91B6" wp14:editId="1D2A19EE">
            <wp:extent cx="8891270" cy="3400425"/>
            <wp:effectExtent l="0" t="0" r="5080" b="9525"/>
            <wp:docPr id="1487643193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8E114" w14:textId="77777777" w:rsidR="00A8296D" w:rsidRDefault="00A8296D" w:rsidP="007D5748">
      <w:pPr>
        <w:spacing w:after="0" w:line="240" w:lineRule="auto"/>
        <w:rPr>
          <w:noProof/>
        </w:rPr>
      </w:pPr>
    </w:p>
    <w:p w14:paraId="2E5642A7" w14:textId="77777777" w:rsidR="00A8296D" w:rsidRDefault="00A8296D" w:rsidP="007D5748">
      <w:pPr>
        <w:spacing w:after="0" w:line="240" w:lineRule="auto"/>
        <w:rPr>
          <w:noProof/>
        </w:rPr>
      </w:pPr>
    </w:p>
    <w:p w14:paraId="61ED690F" w14:textId="77777777" w:rsidR="00A8296D" w:rsidRDefault="00A8296D" w:rsidP="007D5748">
      <w:pPr>
        <w:spacing w:after="0" w:line="240" w:lineRule="auto"/>
        <w:rPr>
          <w:noProof/>
        </w:rPr>
      </w:pPr>
    </w:p>
    <w:p w14:paraId="2E41EE0A" w14:textId="77777777" w:rsidR="00A8296D" w:rsidRDefault="00A8296D" w:rsidP="007D5748">
      <w:pPr>
        <w:spacing w:after="0" w:line="240" w:lineRule="auto"/>
        <w:rPr>
          <w:noProof/>
        </w:rPr>
      </w:pPr>
    </w:p>
    <w:p w14:paraId="1E81439A" w14:textId="77777777" w:rsidR="00A8296D" w:rsidRDefault="00A8296D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56049D" w14:textId="6A94CBEF" w:rsidR="00966931" w:rsidRDefault="00966931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A7FC4C" w14:textId="5025F9D4" w:rsidR="002B63FD" w:rsidRPr="007B7470" w:rsidRDefault="00D922E5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        </w:t>
      </w:r>
    </w:p>
    <w:p w14:paraId="42CD3176" w14:textId="77777777" w:rsidR="009A704C" w:rsidRDefault="009A704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A7BCC29" w14:textId="77777777" w:rsidR="009A704C" w:rsidRDefault="009A704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9ABF7F0" w14:textId="77777777" w:rsidR="009A704C" w:rsidRDefault="009A704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CF6EAD8" w14:textId="77777777" w:rsidR="009A704C" w:rsidRDefault="009A704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3BE3A37F" w14:textId="77777777" w:rsidR="009A704C" w:rsidRDefault="009A704C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5EB9E42" w14:textId="77777777" w:rsidR="005E4F43" w:rsidRDefault="005E4F43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08A7FC4D" w14:textId="0EAFB62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08A7FC4E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C4F" w14:textId="77777777" w:rsidR="002B63FD" w:rsidRPr="007B7470" w:rsidRDefault="002B63FD" w:rsidP="00AB59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08A7FC50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C51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="00D922E5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</w:t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5E3699"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08A7FC52" w14:textId="77777777" w:rsidR="00943733" w:rsidRPr="007B7470" w:rsidRDefault="005B051A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</w:t>
      </w:r>
      <w:r w:rsidR="00024E31"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2B63FD" w:rsidRPr="007B7470" w14:paraId="08A7FC56" w14:textId="77777777" w:rsidTr="005E3699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08A7FC53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08A7FC54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08A7FC55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2B63FD" w:rsidRPr="007B7470" w14:paraId="08A7FC5E" w14:textId="77777777" w:rsidTr="005E3699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08A7FC57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8A7FC58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8A7FC59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08A7FC5A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8A7FC5B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8A7FC5C" w14:textId="77777777" w:rsidR="002B63FD" w:rsidRPr="007B7470" w:rsidRDefault="00024E31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+</w:t>
            </w: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2B63FD"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08A7FC5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8A7FC66" w14:textId="77777777" w:rsidTr="005E3699">
        <w:trPr>
          <w:trHeight w:val="284"/>
        </w:trPr>
        <w:tc>
          <w:tcPr>
            <w:tcW w:w="2943" w:type="dxa"/>
            <w:vAlign w:val="bottom"/>
          </w:tcPr>
          <w:p w14:paraId="08A7FC5F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</w:tcPr>
          <w:p w14:paraId="08A7FC6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6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6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8A7FC6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8A7FC6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08A7FC6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8A7FC6E" w14:textId="77777777" w:rsidTr="005E3699">
        <w:trPr>
          <w:trHeight w:val="284"/>
        </w:trPr>
        <w:tc>
          <w:tcPr>
            <w:tcW w:w="2943" w:type="dxa"/>
          </w:tcPr>
          <w:p w14:paraId="08A7FC67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</w:tcPr>
          <w:p w14:paraId="08A7FC68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69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6A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8A7FC6B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8A7FC6C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08A7FC6D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2B63FD" w:rsidRPr="007B7470" w14:paraId="08A7FC76" w14:textId="77777777" w:rsidTr="005E3699">
        <w:trPr>
          <w:trHeight w:val="284"/>
        </w:trPr>
        <w:tc>
          <w:tcPr>
            <w:tcW w:w="2943" w:type="dxa"/>
          </w:tcPr>
          <w:p w14:paraId="08A7FC6F" w14:textId="77777777" w:rsidR="002B63FD" w:rsidRPr="007B7470" w:rsidRDefault="002B63FD" w:rsidP="00D922E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</w:tcPr>
          <w:p w14:paraId="08A7FC70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71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</w:tcPr>
          <w:p w14:paraId="08A7FC72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</w:tcPr>
          <w:p w14:paraId="08A7FC73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</w:tcPr>
          <w:p w14:paraId="08A7FC74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</w:tcPr>
          <w:p w14:paraId="08A7FC75" w14:textId="77777777" w:rsidR="002B63FD" w:rsidRPr="007B7470" w:rsidRDefault="002B63FD" w:rsidP="002B63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08A7FC77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8A7FC78" w14:textId="77777777" w:rsidR="002B63FD" w:rsidRPr="007B7470" w:rsidRDefault="00D922E5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Poznámka</w:t>
      </w:r>
      <w:r w:rsidR="002B63FD"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</w:p>
    <w:p w14:paraId="08A7FC79" w14:textId="77777777" w:rsidR="002B63FD" w:rsidRPr="007B7470" w:rsidRDefault="002B63FD" w:rsidP="002B63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08A7FC7B" w14:textId="739B2D35" w:rsidR="002B63FD" w:rsidRPr="00372DEC" w:rsidRDefault="002B63FD" w:rsidP="00372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2B63FD" w:rsidRPr="00372D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p w14:paraId="08A7FCFF" w14:textId="77777777" w:rsidR="00CB3623" w:rsidRPr="00A738C0" w:rsidRDefault="00CB3623" w:rsidP="008A4AA1">
      <w:pPr>
        <w:spacing w:after="0" w:line="240" w:lineRule="auto"/>
        <w:rPr>
          <w:color w:val="000000" w:themeColor="text1"/>
        </w:rPr>
      </w:pPr>
    </w:p>
    <w:sectPr w:rsidR="00CB3623" w:rsidRPr="00A73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B993" w14:textId="77777777" w:rsidR="00322562" w:rsidRDefault="00322562">
      <w:pPr>
        <w:spacing w:after="0" w:line="240" w:lineRule="auto"/>
      </w:pPr>
      <w:r>
        <w:separator/>
      </w:r>
    </w:p>
  </w:endnote>
  <w:endnote w:type="continuationSeparator" w:id="0">
    <w:p w14:paraId="448A5124" w14:textId="77777777" w:rsidR="00322562" w:rsidRDefault="0032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7" w14:textId="77777777" w:rsidR="002135D4" w:rsidRDefault="002135D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08A7FD08" w14:textId="77777777" w:rsidR="002135D4" w:rsidRDefault="002135D4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9" w14:textId="77777777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832D80">
      <w:rPr>
        <w:noProof/>
      </w:rPr>
      <w:t>1</w:t>
    </w:r>
    <w:r>
      <w:fldChar w:fldCharType="end"/>
    </w:r>
  </w:p>
  <w:p w14:paraId="08A7FD0A" w14:textId="77777777" w:rsidR="002135D4" w:rsidRDefault="002135D4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C" w14:textId="77777777" w:rsidR="002135D4" w:rsidRDefault="002135D4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08A7FD0D" w14:textId="77777777" w:rsidR="002135D4" w:rsidRDefault="002135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9EE59" w14:textId="77777777" w:rsidR="00322562" w:rsidRDefault="00322562">
      <w:pPr>
        <w:spacing w:after="0" w:line="240" w:lineRule="auto"/>
      </w:pPr>
      <w:r>
        <w:separator/>
      </w:r>
    </w:p>
  </w:footnote>
  <w:footnote w:type="continuationSeparator" w:id="0">
    <w:p w14:paraId="1EC67987" w14:textId="77777777" w:rsidR="00322562" w:rsidRDefault="00322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4" w14:textId="77777777" w:rsidR="002135D4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08A7FD05" w14:textId="77777777" w:rsidR="002135D4" w:rsidRPr="00EB59C8" w:rsidRDefault="002135D4" w:rsidP="002B63FD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6" w14:textId="77777777" w:rsidR="002135D4" w:rsidRPr="0024067A" w:rsidRDefault="002135D4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FD0B" w14:textId="77777777" w:rsidR="002135D4" w:rsidRPr="000A15AE" w:rsidRDefault="002135D4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54B"/>
    <w:multiLevelType w:val="hybridMultilevel"/>
    <w:tmpl w:val="558AF57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C1930"/>
    <w:multiLevelType w:val="multilevel"/>
    <w:tmpl w:val="DEBA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D13A60"/>
    <w:multiLevelType w:val="hybridMultilevel"/>
    <w:tmpl w:val="8B5E2C96"/>
    <w:lvl w:ilvl="0" w:tplc="E85EF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67927"/>
    <w:multiLevelType w:val="hybridMultilevel"/>
    <w:tmpl w:val="498625F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44089"/>
    <w:multiLevelType w:val="hybridMultilevel"/>
    <w:tmpl w:val="25462FE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27E14"/>
    <w:multiLevelType w:val="hybridMultilevel"/>
    <w:tmpl w:val="04FCAC54"/>
    <w:lvl w:ilvl="0" w:tplc="E76E0A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F6FE2"/>
    <w:multiLevelType w:val="hybridMultilevel"/>
    <w:tmpl w:val="D7BE56C4"/>
    <w:lvl w:ilvl="0" w:tplc="E758CF4A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209CE"/>
    <w:multiLevelType w:val="hybridMultilevel"/>
    <w:tmpl w:val="C698590C"/>
    <w:lvl w:ilvl="0" w:tplc="8638A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51748"/>
    <w:multiLevelType w:val="hybridMultilevel"/>
    <w:tmpl w:val="498625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E367C"/>
    <w:multiLevelType w:val="hybridMultilevel"/>
    <w:tmpl w:val="FDD43A90"/>
    <w:lvl w:ilvl="0" w:tplc="CC94CB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7941316">
    <w:abstractNumId w:val="5"/>
  </w:num>
  <w:num w:numId="2" w16cid:durableId="61173952">
    <w:abstractNumId w:val="6"/>
  </w:num>
  <w:num w:numId="3" w16cid:durableId="723679721">
    <w:abstractNumId w:val="4"/>
  </w:num>
  <w:num w:numId="4" w16cid:durableId="1037315500">
    <w:abstractNumId w:val="2"/>
  </w:num>
  <w:num w:numId="5" w16cid:durableId="2026442982">
    <w:abstractNumId w:val="9"/>
  </w:num>
  <w:num w:numId="6" w16cid:durableId="783303638">
    <w:abstractNumId w:val="8"/>
  </w:num>
  <w:num w:numId="7" w16cid:durableId="1241522788">
    <w:abstractNumId w:val="11"/>
  </w:num>
  <w:num w:numId="8" w16cid:durableId="989553366">
    <w:abstractNumId w:val="7"/>
  </w:num>
  <w:num w:numId="9" w16cid:durableId="822233948">
    <w:abstractNumId w:val="10"/>
  </w:num>
  <w:num w:numId="10" w16cid:durableId="889876065">
    <w:abstractNumId w:val="1"/>
  </w:num>
  <w:num w:numId="11" w16cid:durableId="2118986708">
    <w:abstractNumId w:val="0"/>
  </w:num>
  <w:num w:numId="12" w16cid:durableId="1542783693">
    <w:abstractNumId w:val="3"/>
  </w:num>
  <w:num w:numId="13" w16cid:durableId="18541019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00888"/>
    <w:rsid w:val="00000B01"/>
    <w:rsid w:val="00000B83"/>
    <w:rsid w:val="00006760"/>
    <w:rsid w:val="00006A0B"/>
    <w:rsid w:val="00011350"/>
    <w:rsid w:val="00011C97"/>
    <w:rsid w:val="00012438"/>
    <w:rsid w:val="000145F3"/>
    <w:rsid w:val="00015A8D"/>
    <w:rsid w:val="000165AB"/>
    <w:rsid w:val="00020A3C"/>
    <w:rsid w:val="00021DFF"/>
    <w:rsid w:val="000231E0"/>
    <w:rsid w:val="00023300"/>
    <w:rsid w:val="00024E31"/>
    <w:rsid w:val="000332E6"/>
    <w:rsid w:val="00035EB6"/>
    <w:rsid w:val="0003760C"/>
    <w:rsid w:val="00040148"/>
    <w:rsid w:val="00040A42"/>
    <w:rsid w:val="00040F71"/>
    <w:rsid w:val="00041731"/>
    <w:rsid w:val="000459D6"/>
    <w:rsid w:val="00046BFD"/>
    <w:rsid w:val="00046F76"/>
    <w:rsid w:val="00047853"/>
    <w:rsid w:val="0005098B"/>
    <w:rsid w:val="00052565"/>
    <w:rsid w:val="0005493C"/>
    <w:rsid w:val="00055792"/>
    <w:rsid w:val="00056250"/>
    <w:rsid w:val="00057135"/>
    <w:rsid w:val="0005730A"/>
    <w:rsid w:val="0006041E"/>
    <w:rsid w:val="00070B8F"/>
    <w:rsid w:val="00071DB2"/>
    <w:rsid w:val="00072501"/>
    <w:rsid w:val="0007264B"/>
    <w:rsid w:val="0007284F"/>
    <w:rsid w:val="0007509B"/>
    <w:rsid w:val="00076E36"/>
    <w:rsid w:val="000776B1"/>
    <w:rsid w:val="0008217B"/>
    <w:rsid w:val="000873CA"/>
    <w:rsid w:val="00087A66"/>
    <w:rsid w:val="00091206"/>
    <w:rsid w:val="0009348B"/>
    <w:rsid w:val="000935AC"/>
    <w:rsid w:val="000969CC"/>
    <w:rsid w:val="00096C4B"/>
    <w:rsid w:val="000A01AA"/>
    <w:rsid w:val="000A363C"/>
    <w:rsid w:val="000A53A0"/>
    <w:rsid w:val="000A78F0"/>
    <w:rsid w:val="000B3CB2"/>
    <w:rsid w:val="000B509B"/>
    <w:rsid w:val="000B5D28"/>
    <w:rsid w:val="000B75D2"/>
    <w:rsid w:val="000C02D7"/>
    <w:rsid w:val="000C0AE8"/>
    <w:rsid w:val="000D3517"/>
    <w:rsid w:val="000E44EA"/>
    <w:rsid w:val="000E6DFC"/>
    <w:rsid w:val="000F00DA"/>
    <w:rsid w:val="000F01F5"/>
    <w:rsid w:val="000F676E"/>
    <w:rsid w:val="00101104"/>
    <w:rsid w:val="00102AA4"/>
    <w:rsid w:val="001040D2"/>
    <w:rsid w:val="00107CCF"/>
    <w:rsid w:val="00110449"/>
    <w:rsid w:val="001112B2"/>
    <w:rsid w:val="001121A6"/>
    <w:rsid w:val="001127A8"/>
    <w:rsid w:val="00116F99"/>
    <w:rsid w:val="00120062"/>
    <w:rsid w:val="0012245C"/>
    <w:rsid w:val="0012413E"/>
    <w:rsid w:val="001250D4"/>
    <w:rsid w:val="00125455"/>
    <w:rsid w:val="00125613"/>
    <w:rsid w:val="0013067A"/>
    <w:rsid w:val="00136D19"/>
    <w:rsid w:val="0014186C"/>
    <w:rsid w:val="00144B42"/>
    <w:rsid w:val="00153834"/>
    <w:rsid w:val="001561E6"/>
    <w:rsid w:val="00157AFB"/>
    <w:rsid w:val="00157CEE"/>
    <w:rsid w:val="00163865"/>
    <w:rsid w:val="00166866"/>
    <w:rsid w:val="0016688F"/>
    <w:rsid w:val="00167AC5"/>
    <w:rsid w:val="001707EF"/>
    <w:rsid w:val="00170D2B"/>
    <w:rsid w:val="00172139"/>
    <w:rsid w:val="00172715"/>
    <w:rsid w:val="00175500"/>
    <w:rsid w:val="00175F33"/>
    <w:rsid w:val="00176460"/>
    <w:rsid w:val="00176D33"/>
    <w:rsid w:val="0018613E"/>
    <w:rsid w:val="0018628C"/>
    <w:rsid w:val="00186740"/>
    <w:rsid w:val="00190BE7"/>
    <w:rsid w:val="0019288F"/>
    <w:rsid w:val="001A0F87"/>
    <w:rsid w:val="001A1C90"/>
    <w:rsid w:val="001A288F"/>
    <w:rsid w:val="001A5541"/>
    <w:rsid w:val="001A7C48"/>
    <w:rsid w:val="001B17AB"/>
    <w:rsid w:val="001B60AD"/>
    <w:rsid w:val="001B633E"/>
    <w:rsid w:val="001C29DE"/>
    <w:rsid w:val="001C4196"/>
    <w:rsid w:val="001C721D"/>
    <w:rsid w:val="001C79E1"/>
    <w:rsid w:val="001D3A78"/>
    <w:rsid w:val="001D4904"/>
    <w:rsid w:val="001D7CE1"/>
    <w:rsid w:val="001E31B5"/>
    <w:rsid w:val="001F23EC"/>
    <w:rsid w:val="001F2D8E"/>
    <w:rsid w:val="001F4515"/>
    <w:rsid w:val="001F5D86"/>
    <w:rsid w:val="001F624A"/>
    <w:rsid w:val="001F7385"/>
    <w:rsid w:val="001F77EE"/>
    <w:rsid w:val="00200898"/>
    <w:rsid w:val="00203B71"/>
    <w:rsid w:val="00203CEF"/>
    <w:rsid w:val="00212894"/>
    <w:rsid w:val="002135D4"/>
    <w:rsid w:val="00217008"/>
    <w:rsid w:val="002177DB"/>
    <w:rsid w:val="00222E43"/>
    <w:rsid w:val="002234C7"/>
    <w:rsid w:val="0022356E"/>
    <w:rsid w:val="00224BD1"/>
    <w:rsid w:val="00227357"/>
    <w:rsid w:val="002309F4"/>
    <w:rsid w:val="00230A45"/>
    <w:rsid w:val="0023161D"/>
    <w:rsid w:val="00237D65"/>
    <w:rsid w:val="002401DD"/>
    <w:rsid w:val="00240888"/>
    <w:rsid w:val="00241EA1"/>
    <w:rsid w:val="00241F5B"/>
    <w:rsid w:val="0024222E"/>
    <w:rsid w:val="00244DEA"/>
    <w:rsid w:val="0025250D"/>
    <w:rsid w:val="002540A6"/>
    <w:rsid w:val="0025563B"/>
    <w:rsid w:val="00255A47"/>
    <w:rsid w:val="00260099"/>
    <w:rsid w:val="00264084"/>
    <w:rsid w:val="00264B6B"/>
    <w:rsid w:val="00267BE5"/>
    <w:rsid w:val="00271479"/>
    <w:rsid w:val="00271DA5"/>
    <w:rsid w:val="00271E1C"/>
    <w:rsid w:val="002754CF"/>
    <w:rsid w:val="002754E8"/>
    <w:rsid w:val="00276CFE"/>
    <w:rsid w:val="00277A4A"/>
    <w:rsid w:val="0028331F"/>
    <w:rsid w:val="00284845"/>
    <w:rsid w:val="002879BA"/>
    <w:rsid w:val="0029024F"/>
    <w:rsid w:val="002905BC"/>
    <w:rsid w:val="00297A85"/>
    <w:rsid w:val="002A49A9"/>
    <w:rsid w:val="002A4DE8"/>
    <w:rsid w:val="002A5965"/>
    <w:rsid w:val="002A7A4D"/>
    <w:rsid w:val="002B53A5"/>
    <w:rsid w:val="002B53BD"/>
    <w:rsid w:val="002B5AD4"/>
    <w:rsid w:val="002B63FD"/>
    <w:rsid w:val="002B6AE4"/>
    <w:rsid w:val="002C0007"/>
    <w:rsid w:val="002C35FB"/>
    <w:rsid w:val="002C45B7"/>
    <w:rsid w:val="002C46D0"/>
    <w:rsid w:val="002C4D76"/>
    <w:rsid w:val="002C7FCD"/>
    <w:rsid w:val="002D2B97"/>
    <w:rsid w:val="002D3500"/>
    <w:rsid w:val="002D4EDA"/>
    <w:rsid w:val="002D781C"/>
    <w:rsid w:val="002E33EE"/>
    <w:rsid w:val="002F00D0"/>
    <w:rsid w:val="002F1F17"/>
    <w:rsid w:val="002F25E1"/>
    <w:rsid w:val="002F36F6"/>
    <w:rsid w:val="002F4125"/>
    <w:rsid w:val="002F56EF"/>
    <w:rsid w:val="00301E3F"/>
    <w:rsid w:val="00303E49"/>
    <w:rsid w:val="00305BF3"/>
    <w:rsid w:val="00311AAC"/>
    <w:rsid w:val="00313192"/>
    <w:rsid w:val="00316726"/>
    <w:rsid w:val="00317B90"/>
    <w:rsid w:val="003201AD"/>
    <w:rsid w:val="00321AA6"/>
    <w:rsid w:val="00322562"/>
    <w:rsid w:val="003227F2"/>
    <w:rsid w:val="00324099"/>
    <w:rsid w:val="00324D44"/>
    <w:rsid w:val="003254D3"/>
    <w:rsid w:val="003321C0"/>
    <w:rsid w:val="00335AA9"/>
    <w:rsid w:val="003404F5"/>
    <w:rsid w:val="003408F5"/>
    <w:rsid w:val="00340F98"/>
    <w:rsid w:val="00341FF0"/>
    <w:rsid w:val="00344E73"/>
    <w:rsid w:val="003454D2"/>
    <w:rsid w:val="00346781"/>
    <w:rsid w:val="0034755C"/>
    <w:rsid w:val="0035269F"/>
    <w:rsid w:val="00353B62"/>
    <w:rsid w:val="00355040"/>
    <w:rsid w:val="003619B5"/>
    <w:rsid w:val="00366E2E"/>
    <w:rsid w:val="00370B0F"/>
    <w:rsid w:val="00372DEC"/>
    <w:rsid w:val="003731F5"/>
    <w:rsid w:val="00374480"/>
    <w:rsid w:val="00376466"/>
    <w:rsid w:val="00382A51"/>
    <w:rsid w:val="003839A2"/>
    <w:rsid w:val="00384720"/>
    <w:rsid w:val="00384E5B"/>
    <w:rsid w:val="00390F51"/>
    <w:rsid w:val="00394FAE"/>
    <w:rsid w:val="003968FA"/>
    <w:rsid w:val="003A178B"/>
    <w:rsid w:val="003A448B"/>
    <w:rsid w:val="003A5184"/>
    <w:rsid w:val="003A5429"/>
    <w:rsid w:val="003A7D36"/>
    <w:rsid w:val="003B1217"/>
    <w:rsid w:val="003B4605"/>
    <w:rsid w:val="003B5745"/>
    <w:rsid w:val="003B7684"/>
    <w:rsid w:val="003B7882"/>
    <w:rsid w:val="003C0E14"/>
    <w:rsid w:val="003C5D33"/>
    <w:rsid w:val="003C70C7"/>
    <w:rsid w:val="003C7D99"/>
    <w:rsid w:val="003D5DEC"/>
    <w:rsid w:val="003D7AFA"/>
    <w:rsid w:val="003E1477"/>
    <w:rsid w:val="003E16DE"/>
    <w:rsid w:val="003E4320"/>
    <w:rsid w:val="003E702D"/>
    <w:rsid w:val="003F06A1"/>
    <w:rsid w:val="003F0857"/>
    <w:rsid w:val="003F18E8"/>
    <w:rsid w:val="003F2816"/>
    <w:rsid w:val="003F35B7"/>
    <w:rsid w:val="003F478D"/>
    <w:rsid w:val="004013C5"/>
    <w:rsid w:val="004025F9"/>
    <w:rsid w:val="004026C2"/>
    <w:rsid w:val="0040708B"/>
    <w:rsid w:val="004115ED"/>
    <w:rsid w:val="00414588"/>
    <w:rsid w:val="00417F25"/>
    <w:rsid w:val="0042480F"/>
    <w:rsid w:val="00424C6D"/>
    <w:rsid w:val="00426EB2"/>
    <w:rsid w:val="00430060"/>
    <w:rsid w:val="0043264D"/>
    <w:rsid w:val="00440A16"/>
    <w:rsid w:val="00440DFB"/>
    <w:rsid w:val="00440EB4"/>
    <w:rsid w:val="00442F78"/>
    <w:rsid w:val="00446220"/>
    <w:rsid w:val="0044630E"/>
    <w:rsid w:val="00446310"/>
    <w:rsid w:val="00447C49"/>
    <w:rsid w:val="00451163"/>
    <w:rsid w:val="0045176A"/>
    <w:rsid w:val="004549AB"/>
    <w:rsid w:val="004610A1"/>
    <w:rsid w:val="00461AAC"/>
    <w:rsid w:val="004644CD"/>
    <w:rsid w:val="00465672"/>
    <w:rsid w:val="00465AAD"/>
    <w:rsid w:val="00466773"/>
    <w:rsid w:val="00471975"/>
    <w:rsid w:val="0047258E"/>
    <w:rsid w:val="00474F11"/>
    <w:rsid w:val="00475A29"/>
    <w:rsid w:val="00482BED"/>
    <w:rsid w:val="004852E9"/>
    <w:rsid w:val="00486175"/>
    <w:rsid w:val="00487203"/>
    <w:rsid w:val="004929BC"/>
    <w:rsid w:val="00492A73"/>
    <w:rsid w:val="00494175"/>
    <w:rsid w:val="004963A2"/>
    <w:rsid w:val="004A0B87"/>
    <w:rsid w:val="004A228D"/>
    <w:rsid w:val="004A4209"/>
    <w:rsid w:val="004A759B"/>
    <w:rsid w:val="004B06FE"/>
    <w:rsid w:val="004B522F"/>
    <w:rsid w:val="004C3B70"/>
    <w:rsid w:val="004C5AE7"/>
    <w:rsid w:val="004D169C"/>
    <w:rsid w:val="004D1AA3"/>
    <w:rsid w:val="004D34EA"/>
    <w:rsid w:val="004D49BF"/>
    <w:rsid w:val="004D7273"/>
    <w:rsid w:val="004D7B49"/>
    <w:rsid w:val="004E1180"/>
    <w:rsid w:val="004E5E76"/>
    <w:rsid w:val="004F01D6"/>
    <w:rsid w:val="004F1141"/>
    <w:rsid w:val="004F1690"/>
    <w:rsid w:val="005005EC"/>
    <w:rsid w:val="00501361"/>
    <w:rsid w:val="00502678"/>
    <w:rsid w:val="00510E3A"/>
    <w:rsid w:val="005136E1"/>
    <w:rsid w:val="00513B9F"/>
    <w:rsid w:val="00521825"/>
    <w:rsid w:val="00522F64"/>
    <w:rsid w:val="005231AF"/>
    <w:rsid w:val="00526737"/>
    <w:rsid w:val="005307FC"/>
    <w:rsid w:val="00530B15"/>
    <w:rsid w:val="005351ED"/>
    <w:rsid w:val="0053656A"/>
    <w:rsid w:val="005378CC"/>
    <w:rsid w:val="0054068A"/>
    <w:rsid w:val="00543C63"/>
    <w:rsid w:val="00544125"/>
    <w:rsid w:val="00544A57"/>
    <w:rsid w:val="005463B5"/>
    <w:rsid w:val="0054685E"/>
    <w:rsid w:val="005479D7"/>
    <w:rsid w:val="00553724"/>
    <w:rsid w:val="00553992"/>
    <w:rsid w:val="005562E0"/>
    <w:rsid w:val="00556860"/>
    <w:rsid w:val="00557F14"/>
    <w:rsid w:val="00560557"/>
    <w:rsid w:val="00560D0A"/>
    <w:rsid w:val="0056189C"/>
    <w:rsid w:val="0056416B"/>
    <w:rsid w:val="00567726"/>
    <w:rsid w:val="005753D9"/>
    <w:rsid w:val="00575626"/>
    <w:rsid w:val="00584527"/>
    <w:rsid w:val="00592E96"/>
    <w:rsid w:val="00595186"/>
    <w:rsid w:val="00597F87"/>
    <w:rsid w:val="005A0991"/>
    <w:rsid w:val="005A150E"/>
    <w:rsid w:val="005A2C2B"/>
    <w:rsid w:val="005A671E"/>
    <w:rsid w:val="005B051A"/>
    <w:rsid w:val="005B3618"/>
    <w:rsid w:val="005B5F07"/>
    <w:rsid w:val="005B71ED"/>
    <w:rsid w:val="005C10F1"/>
    <w:rsid w:val="005C1A2B"/>
    <w:rsid w:val="005C47E4"/>
    <w:rsid w:val="005C5601"/>
    <w:rsid w:val="005C73CF"/>
    <w:rsid w:val="005C7598"/>
    <w:rsid w:val="005D1189"/>
    <w:rsid w:val="005D2300"/>
    <w:rsid w:val="005D34B0"/>
    <w:rsid w:val="005D5DC6"/>
    <w:rsid w:val="005D6831"/>
    <w:rsid w:val="005D709F"/>
    <w:rsid w:val="005D7BB2"/>
    <w:rsid w:val="005E3699"/>
    <w:rsid w:val="005E39B6"/>
    <w:rsid w:val="005E42CF"/>
    <w:rsid w:val="005E4A1A"/>
    <w:rsid w:val="005E4F43"/>
    <w:rsid w:val="005E5F62"/>
    <w:rsid w:val="005E6941"/>
    <w:rsid w:val="005E76B3"/>
    <w:rsid w:val="005F2ACA"/>
    <w:rsid w:val="005F2DE1"/>
    <w:rsid w:val="00601BBD"/>
    <w:rsid w:val="006033AE"/>
    <w:rsid w:val="00603E53"/>
    <w:rsid w:val="0061076A"/>
    <w:rsid w:val="00610FCA"/>
    <w:rsid w:val="00612861"/>
    <w:rsid w:val="00612DA2"/>
    <w:rsid w:val="00612E73"/>
    <w:rsid w:val="00613829"/>
    <w:rsid w:val="00613F8E"/>
    <w:rsid w:val="00615403"/>
    <w:rsid w:val="006163B9"/>
    <w:rsid w:val="00622707"/>
    <w:rsid w:val="00623D45"/>
    <w:rsid w:val="00630263"/>
    <w:rsid w:val="0063043D"/>
    <w:rsid w:val="0063057E"/>
    <w:rsid w:val="00632692"/>
    <w:rsid w:val="0063394F"/>
    <w:rsid w:val="0063560A"/>
    <w:rsid w:val="00636FF7"/>
    <w:rsid w:val="00642725"/>
    <w:rsid w:val="00642CAF"/>
    <w:rsid w:val="0064404A"/>
    <w:rsid w:val="006474AD"/>
    <w:rsid w:val="00647E56"/>
    <w:rsid w:val="006605C7"/>
    <w:rsid w:val="006615A9"/>
    <w:rsid w:val="00663106"/>
    <w:rsid w:val="00664BC0"/>
    <w:rsid w:val="006657D1"/>
    <w:rsid w:val="00671233"/>
    <w:rsid w:val="0067583A"/>
    <w:rsid w:val="0067616B"/>
    <w:rsid w:val="00686F5B"/>
    <w:rsid w:val="006901D2"/>
    <w:rsid w:val="00690D15"/>
    <w:rsid w:val="00691654"/>
    <w:rsid w:val="00693E14"/>
    <w:rsid w:val="0069508B"/>
    <w:rsid w:val="00695ACD"/>
    <w:rsid w:val="00697B80"/>
    <w:rsid w:val="006A2947"/>
    <w:rsid w:val="006A4F15"/>
    <w:rsid w:val="006A5447"/>
    <w:rsid w:val="006A56E3"/>
    <w:rsid w:val="006A6612"/>
    <w:rsid w:val="006A667C"/>
    <w:rsid w:val="006A6A5B"/>
    <w:rsid w:val="006A767E"/>
    <w:rsid w:val="006B542C"/>
    <w:rsid w:val="006B5937"/>
    <w:rsid w:val="006B7593"/>
    <w:rsid w:val="006C145D"/>
    <w:rsid w:val="006C315F"/>
    <w:rsid w:val="006C3235"/>
    <w:rsid w:val="006C421A"/>
    <w:rsid w:val="006C4F39"/>
    <w:rsid w:val="006D17E7"/>
    <w:rsid w:val="006D1995"/>
    <w:rsid w:val="006D4361"/>
    <w:rsid w:val="006D4E4C"/>
    <w:rsid w:val="006D50AB"/>
    <w:rsid w:val="006E476E"/>
    <w:rsid w:val="006E67FA"/>
    <w:rsid w:val="006F0236"/>
    <w:rsid w:val="006F3052"/>
    <w:rsid w:val="006F397E"/>
    <w:rsid w:val="0070124B"/>
    <w:rsid w:val="00703BBB"/>
    <w:rsid w:val="00705D17"/>
    <w:rsid w:val="00710557"/>
    <w:rsid w:val="00710E23"/>
    <w:rsid w:val="007168E6"/>
    <w:rsid w:val="007215D5"/>
    <w:rsid w:val="007246BD"/>
    <w:rsid w:val="00727689"/>
    <w:rsid w:val="00730E80"/>
    <w:rsid w:val="007324B4"/>
    <w:rsid w:val="00740463"/>
    <w:rsid w:val="007432BF"/>
    <w:rsid w:val="00743B60"/>
    <w:rsid w:val="007440CA"/>
    <w:rsid w:val="007555F9"/>
    <w:rsid w:val="00755A25"/>
    <w:rsid w:val="00755FDF"/>
    <w:rsid w:val="00760DAA"/>
    <w:rsid w:val="007621F6"/>
    <w:rsid w:val="00762593"/>
    <w:rsid w:val="007720C0"/>
    <w:rsid w:val="0077530D"/>
    <w:rsid w:val="00775BCB"/>
    <w:rsid w:val="007813F6"/>
    <w:rsid w:val="00782B91"/>
    <w:rsid w:val="00784A19"/>
    <w:rsid w:val="00785085"/>
    <w:rsid w:val="00785C28"/>
    <w:rsid w:val="00786DA6"/>
    <w:rsid w:val="00786E46"/>
    <w:rsid w:val="00786FE0"/>
    <w:rsid w:val="00787A2A"/>
    <w:rsid w:val="00791DD2"/>
    <w:rsid w:val="00796B89"/>
    <w:rsid w:val="0079760E"/>
    <w:rsid w:val="00797BDF"/>
    <w:rsid w:val="007A34EE"/>
    <w:rsid w:val="007B212F"/>
    <w:rsid w:val="007B3665"/>
    <w:rsid w:val="007B43A9"/>
    <w:rsid w:val="007B6A7F"/>
    <w:rsid w:val="007B7470"/>
    <w:rsid w:val="007C0D8D"/>
    <w:rsid w:val="007C1A32"/>
    <w:rsid w:val="007C3F96"/>
    <w:rsid w:val="007D061E"/>
    <w:rsid w:val="007D2FAD"/>
    <w:rsid w:val="007D3A5E"/>
    <w:rsid w:val="007D3F34"/>
    <w:rsid w:val="007D512A"/>
    <w:rsid w:val="007D5748"/>
    <w:rsid w:val="007D65ED"/>
    <w:rsid w:val="007E01D5"/>
    <w:rsid w:val="007E0EBD"/>
    <w:rsid w:val="007E2EC9"/>
    <w:rsid w:val="007E57D0"/>
    <w:rsid w:val="007F22C9"/>
    <w:rsid w:val="007F2351"/>
    <w:rsid w:val="007F3937"/>
    <w:rsid w:val="007F5995"/>
    <w:rsid w:val="007F60F1"/>
    <w:rsid w:val="0080295C"/>
    <w:rsid w:val="00802990"/>
    <w:rsid w:val="00803007"/>
    <w:rsid w:val="00803747"/>
    <w:rsid w:val="008041E5"/>
    <w:rsid w:val="00814515"/>
    <w:rsid w:val="0081492C"/>
    <w:rsid w:val="00820144"/>
    <w:rsid w:val="008205B7"/>
    <w:rsid w:val="00825FA2"/>
    <w:rsid w:val="008264D0"/>
    <w:rsid w:val="00830F9B"/>
    <w:rsid w:val="0083179C"/>
    <w:rsid w:val="00832D80"/>
    <w:rsid w:val="00834D58"/>
    <w:rsid w:val="00835F2D"/>
    <w:rsid w:val="0083751C"/>
    <w:rsid w:val="00841E26"/>
    <w:rsid w:val="00846972"/>
    <w:rsid w:val="00850398"/>
    <w:rsid w:val="00852B15"/>
    <w:rsid w:val="00854DFA"/>
    <w:rsid w:val="00856065"/>
    <w:rsid w:val="008563F3"/>
    <w:rsid w:val="00860483"/>
    <w:rsid w:val="0086182F"/>
    <w:rsid w:val="00873818"/>
    <w:rsid w:val="00875F8D"/>
    <w:rsid w:val="008835D3"/>
    <w:rsid w:val="0088371B"/>
    <w:rsid w:val="00887207"/>
    <w:rsid w:val="008913D4"/>
    <w:rsid w:val="00893530"/>
    <w:rsid w:val="00893B20"/>
    <w:rsid w:val="00893B76"/>
    <w:rsid w:val="00893C50"/>
    <w:rsid w:val="00897BE7"/>
    <w:rsid w:val="008A0208"/>
    <w:rsid w:val="008A13A4"/>
    <w:rsid w:val="008A16A1"/>
    <w:rsid w:val="008A4AA1"/>
    <w:rsid w:val="008A5D2B"/>
    <w:rsid w:val="008B0100"/>
    <w:rsid w:val="008B03A4"/>
    <w:rsid w:val="008B1770"/>
    <w:rsid w:val="008B364B"/>
    <w:rsid w:val="008B4B32"/>
    <w:rsid w:val="008C1D74"/>
    <w:rsid w:val="008C3B91"/>
    <w:rsid w:val="008C5768"/>
    <w:rsid w:val="008C5B2E"/>
    <w:rsid w:val="008D339D"/>
    <w:rsid w:val="008D47C7"/>
    <w:rsid w:val="008D4A5A"/>
    <w:rsid w:val="008D6105"/>
    <w:rsid w:val="008E03F8"/>
    <w:rsid w:val="008E2736"/>
    <w:rsid w:val="008E501E"/>
    <w:rsid w:val="008F0CF3"/>
    <w:rsid w:val="008F3EE4"/>
    <w:rsid w:val="008F6A7F"/>
    <w:rsid w:val="0090048B"/>
    <w:rsid w:val="0090323F"/>
    <w:rsid w:val="00907BDF"/>
    <w:rsid w:val="00914F53"/>
    <w:rsid w:val="00916A6E"/>
    <w:rsid w:val="0092499D"/>
    <w:rsid w:val="0092509A"/>
    <w:rsid w:val="009258DD"/>
    <w:rsid w:val="00925F72"/>
    <w:rsid w:val="009302D1"/>
    <w:rsid w:val="00933966"/>
    <w:rsid w:val="00934B38"/>
    <w:rsid w:val="00935CBB"/>
    <w:rsid w:val="00936198"/>
    <w:rsid w:val="00940E2A"/>
    <w:rsid w:val="00943733"/>
    <w:rsid w:val="009438B4"/>
    <w:rsid w:val="00944265"/>
    <w:rsid w:val="009447B1"/>
    <w:rsid w:val="00945A2A"/>
    <w:rsid w:val="00946947"/>
    <w:rsid w:val="00946A85"/>
    <w:rsid w:val="00960042"/>
    <w:rsid w:val="0096099C"/>
    <w:rsid w:val="00962881"/>
    <w:rsid w:val="00966931"/>
    <w:rsid w:val="0097059F"/>
    <w:rsid w:val="009706B7"/>
    <w:rsid w:val="00973AA4"/>
    <w:rsid w:val="0097434D"/>
    <w:rsid w:val="00974889"/>
    <w:rsid w:val="009761DE"/>
    <w:rsid w:val="00976D2F"/>
    <w:rsid w:val="00981247"/>
    <w:rsid w:val="00985EF6"/>
    <w:rsid w:val="00987E2A"/>
    <w:rsid w:val="009903AC"/>
    <w:rsid w:val="00993739"/>
    <w:rsid w:val="00993DDA"/>
    <w:rsid w:val="00994B01"/>
    <w:rsid w:val="00997C10"/>
    <w:rsid w:val="009A10F2"/>
    <w:rsid w:val="009A1228"/>
    <w:rsid w:val="009A2252"/>
    <w:rsid w:val="009A23D4"/>
    <w:rsid w:val="009A2743"/>
    <w:rsid w:val="009A2FE7"/>
    <w:rsid w:val="009A6221"/>
    <w:rsid w:val="009A6A77"/>
    <w:rsid w:val="009A6CF4"/>
    <w:rsid w:val="009A704C"/>
    <w:rsid w:val="009A72EB"/>
    <w:rsid w:val="009A7E4E"/>
    <w:rsid w:val="009C0D28"/>
    <w:rsid w:val="009C1032"/>
    <w:rsid w:val="009C2A09"/>
    <w:rsid w:val="009C2F2F"/>
    <w:rsid w:val="009C3B6D"/>
    <w:rsid w:val="009C6D8E"/>
    <w:rsid w:val="009C719D"/>
    <w:rsid w:val="009D1BDF"/>
    <w:rsid w:val="009D25BB"/>
    <w:rsid w:val="009D2E5E"/>
    <w:rsid w:val="009D4DF9"/>
    <w:rsid w:val="009E5414"/>
    <w:rsid w:val="009E6793"/>
    <w:rsid w:val="009F01C4"/>
    <w:rsid w:val="009F1989"/>
    <w:rsid w:val="009F1DE6"/>
    <w:rsid w:val="009F28C5"/>
    <w:rsid w:val="009F4BFA"/>
    <w:rsid w:val="009F4CBE"/>
    <w:rsid w:val="009F4CD3"/>
    <w:rsid w:val="00A002BF"/>
    <w:rsid w:val="00A01277"/>
    <w:rsid w:val="00A05B6B"/>
    <w:rsid w:val="00A100C1"/>
    <w:rsid w:val="00A13C40"/>
    <w:rsid w:val="00A13E14"/>
    <w:rsid w:val="00A13E4C"/>
    <w:rsid w:val="00A21F65"/>
    <w:rsid w:val="00A342CD"/>
    <w:rsid w:val="00A34DFC"/>
    <w:rsid w:val="00A3588E"/>
    <w:rsid w:val="00A37188"/>
    <w:rsid w:val="00A37A29"/>
    <w:rsid w:val="00A40B84"/>
    <w:rsid w:val="00A42974"/>
    <w:rsid w:val="00A44952"/>
    <w:rsid w:val="00A52038"/>
    <w:rsid w:val="00A52B9D"/>
    <w:rsid w:val="00A53778"/>
    <w:rsid w:val="00A56DD7"/>
    <w:rsid w:val="00A63D92"/>
    <w:rsid w:val="00A64EB4"/>
    <w:rsid w:val="00A6551D"/>
    <w:rsid w:val="00A6666A"/>
    <w:rsid w:val="00A72E75"/>
    <w:rsid w:val="00A738C0"/>
    <w:rsid w:val="00A73DE0"/>
    <w:rsid w:val="00A745DF"/>
    <w:rsid w:val="00A77454"/>
    <w:rsid w:val="00A8296D"/>
    <w:rsid w:val="00A82EFF"/>
    <w:rsid w:val="00A85FBE"/>
    <w:rsid w:val="00A86A51"/>
    <w:rsid w:val="00A86C99"/>
    <w:rsid w:val="00A90E08"/>
    <w:rsid w:val="00A9328C"/>
    <w:rsid w:val="00A96113"/>
    <w:rsid w:val="00AA2422"/>
    <w:rsid w:val="00AB1644"/>
    <w:rsid w:val="00AB31B6"/>
    <w:rsid w:val="00AB3C21"/>
    <w:rsid w:val="00AB5919"/>
    <w:rsid w:val="00AB7D5D"/>
    <w:rsid w:val="00AC1130"/>
    <w:rsid w:val="00AC232B"/>
    <w:rsid w:val="00AC24EE"/>
    <w:rsid w:val="00AC35E9"/>
    <w:rsid w:val="00AC6B40"/>
    <w:rsid w:val="00AC6BD4"/>
    <w:rsid w:val="00AC7711"/>
    <w:rsid w:val="00AD1748"/>
    <w:rsid w:val="00AD1D43"/>
    <w:rsid w:val="00AD2EFD"/>
    <w:rsid w:val="00AD624E"/>
    <w:rsid w:val="00AD6A25"/>
    <w:rsid w:val="00AE16F3"/>
    <w:rsid w:val="00AE2679"/>
    <w:rsid w:val="00AE26D5"/>
    <w:rsid w:val="00AE684A"/>
    <w:rsid w:val="00AE6E91"/>
    <w:rsid w:val="00AF254F"/>
    <w:rsid w:val="00AF313F"/>
    <w:rsid w:val="00AF4E0C"/>
    <w:rsid w:val="00AF5061"/>
    <w:rsid w:val="00AF7A0A"/>
    <w:rsid w:val="00B01630"/>
    <w:rsid w:val="00B105DC"/>
    <w:rsid w:val="00B1174F"/>
    <w:rsid w:val="00B12613"/>
    <w:rsid w:val="00B15B33"/>
    <w:rsid w:val="00B24F90"/>
    <w:rsid w:val="00B27385"/>
    <w:rsid w:val="00B35475"/>
    <w:rsid w:val="00B427EB"/>
    <w:rsid w:val="00B44E2B"/>
    <w:rsid w:val="00B4644B"/>
    <w:rsid w:val="00B53F8D"/>
    <w:rsid w:val="00B54E0B"/>
    <w:rsid w:val="00B5535C"/>
    <w:rsid w:val="00B55936"/>
    <w:rsid w:val="00B57B70"/>
    <w:rsid w:val="00B60B39"/>
    <w:rsid w:val="00B62BD0"/>
    <w:rsid w:val="00B70779"/>
    <w:rsid w:val="00B725F6"/>
    <w:rsid w:val="00B728F8"/>
    <w:rsid w:val="00B74B10"/>
    <w:rsid w:val="00B74F53"/>
    <w:rsid w:val="00B7769C"/>
    <w:rsid w:val="00B77F5C"/>
    <w:rsid w:val="00B800E3"/>
    <w:rsid w:val="00B801BA"/>
    <w:rsid w:val="00B804DE"/>
    <w:rsid w:val="00B80DCE"/>
    <w:rsid w:val="00B82E7D"/>
    <w:rsid w:val="00B8566A"/>
    <w:rsid w:val="00B86B30"/>
    <w:rsid w:val="00B92F23"/>
    <w:rsid w:val="00B96E0F"/>
    <w:rsid w:val="00B97C41"/>
    <w:rsid w:val="00B97D97"/>
    <w:rsid w:val="00BA1036"/>
    <w:rsid w:val="00BA2A26"/>
    <w:rsid w:val="00BA2CB2"/>
    <w:rsid w:val="00BA4782"/>
    <w:rsid w:val="00BA587D"/>
    <w:rsid w:val="00BB2B1A"/>
    <w:rsid w:val="00BB2D6E"/>
    <w:rsid w:val="00BB41E8"/>
    <w:rsid w:val="00BB508E"/>
    <w:rsid w:val="00BB5AA1"/>
    <w:rsid w:val="00BB6506"/>
    <w:rsid w:val="00BB6932"/>
    <w:rsid w:val="00BB6CA0"/>
    <w:rsid w:val="00BC3ACF"/>
    <w:rsid w:val="00BC3F10"/>
    <w:rsid w:val="00BC3FFD"/>
    <w:rsid w:val="00BC5F3E"/>
    <w:rsid w:val="00BC63C2"/>
    <w:rsid w:val="00BD1DE7"/>
    <w:rsid w:val="00BD316F"/>
    <w:rsid w:val="00BE096B"/>
    <w:rsid w:val="00BE44A5"/>
    <w:rsid w:val="00BE5D8C"/>
    <w:rsid w:val="00BF0DE8"/>
    <w:rsid w:val="00BF417A"/>
    <w:rsid w:val="00BF4974"/>
    <w:rsid w:val="00BF4EE0"/>
    <w:rsid w:val="00BF7C3D"/>
    <w:rsid w:val="00C023ED"/>
    <w:rsid w:val="00C02B40"/>
    <w:rsid w:val="00C05437"/>
    <w:rsid w:val="00C06140"/>
    <w:rsid w:val="00C1316E"/>
    <w:rsid w:val="00C15212"/>
    <w:rsid w:val="00C156BD"/>
    <w:rsid w:val="00C15D88"/>
    <w:rsid w:val="00C16C1B"/>
    <w:rsid w:val="00C2117B"/>
    <w:rsid w:val="00C21474"/>
    <w:rsid w:val="00C2205B"/>
    <w:rsid w:val="00C255E3"/>
    <w:rsid w:val="00C261FF"/>
    <w:rsid w:val="00C269DA"/>
    <w:rsid w:val="00C3245D"/>
    <w:rsid w:val="00C35ECD"/>
    <w:rsid w:val="00C43E84"/>
    <w:rsid w:val="00C455E9"/>
    <w:rsid w:val="00C5001A"/>
    <w:rsid w:val="00C51C9F"/>
    <w:rsid w:val="00C51FD4"/>
    <w:rsid w:val="00C5333C"/>
    <w:rsid w:val="00C57FD2"/>
    <w:rsid w:val="00C611AD"/>
    <w:rsid w:val="00C622A3"/>
    <w:rsid w:val="00C64BDB"/>
    <w:rsid w:val="00C653D7"/>
    <w:rsid w:val="00C739E8"/>
    <w:rsid w:val="00C74769"/>
    <w:rsid w:val="00C74B77"/>
    <w:rsid w:val="00C775C1"/>
    <w:rsid w:val="00C81321"/>
    <w:rsid w:val="00C81841"/>
    <w:rsid w:val="00C839AF"/>
    <w:rsid w:val="00C87CF3"/>
    <w:rsid w:val="00C91B48"/>
    <w:rsid w:val="00C9310E"/>
    <w:rsid w:val="00C97C4E"/>
    <w:rsid w:val="00CA18F2"/>
    <w:rsid w:val="00CA1F50"/>
    <w:rsid w:val="00CA200A"/>
    <w:rsid w:val="00CA372B"/>
    <w:rsid w:val="00CB04E9"/>
    <w:rsid w:val="00CB3623"/>
    <w:rsid w:val="00CB427B"/>
    <w:rsid w:val="00CB4A11"/>
    <w:rsid w:val="00CB78E7"/>
    <w:rsid w:val="00CC047B"/>
    <w:rsid w:val="00CC0E46"/>
    <w:rsid w:val="00CC21F6"/>
    <w:rsid w:val="00CC3688"/>
    <w:rsid w:val="00CC4846"/>
    <w:rsid w:val="00CD2FBD"/>
    <w:rsid w:val="00CD4BBD"/>
    <w:rsid w:val="00CE0817"/>
    <w:rsid w:val="00CE299A"/>
    <w:rsid w:val="00CE359E"/>
    <w:rsid w:val="00CE5DB4"/>
    <w:rsid w:val="00CF0342"/>
    <w:rsid w:val="00CF26FE"/>
    <w:rsid w:val="00CF2C35"/>
    <w:rsid w:val="00CF5DAA"/>
    <w:rsid w:val="00D02C58"/>
    <w:rsid w:val="00D02C95"/>
    <w:rsid w:val="00D07818"/>
    <w:rsid w:val="00D078BF"/>
    <w:rsid w:val="00D10F8C"/>
    <w:rsid w:val="00D11CA6"/>
    <w:rsid w:val="00D12F79"/>
    <w:rsid w:val="00D13F06"/>
    <w:rsid w:val="00D200BE"/>
    <w:rsid w:val="00D229CB"/>
    <w:rsid w:val="00D23103"/>
    <w:rsid w:val="00D24B7D"/>
    <w:rsid w:val="00D3085E"/>
    <w:rsid w:val="00D314C6"/>
    <w:rsid w:val="00D34561"/>
    <w:rsid w:val="00D3585A"/>
    <w:rsid w:val="00D36296"/>
    <w:rsid w:val="00D36D8A"/>
    <w:rsid w:val="00D445C1"/>
    <w:rsid w:val="00D456F9"/>
    <w:rsid w:val="00D46DA3"/>
    <w:rsid w:val="00D5007A"/>
    <w:rsid w:val="00D50B24"/>
    <w:rsid w:val="00D50BE3"/>
    <w:rsid w:val="00D51A42"/>
    <w:rsid w:val="00D54354"/>
    <w:rsid w:val="00D5461C"/>
    <w:rsid w:val="00D55B20"/>
    <w:rsid w:val="00D55B37"/>
    <w:rsid w:val="00D5668B"/>
    <w:rsid w:val="00D5782C"/>
    <w:rsid w:val="00D61003"/>
    <w:rsid w:val="00D623E8"/>
    <w:rsid w:val="00D628FB"/>
    <w:rsid w:val="00D638F5"/>
    <w:rsid w:val="00D65A59"/>
    <w:rsid w:val="00D7150D"/>
    <w:rsid w:val="00D7154C"/>
    <w:rsid w:val="00D71D10"/>
    <w:rsid w:val="00D7236A"/>
    <w:rsid w:val="00D73ACE"/>
    <w:rsid w:val="00D76A05"/>
    <w:rsid w:val="00D776AE"/>
    <w:rsid w:val="00D8115E"/>
    <w:rsid w:val="00D81771"/>
    <w:rsid w:val="00D81E3A"/>
    <w:rsid w:val="00D82B98"/>
    <w:rsid w:val="00D833FB"/>
    <w:rsid w:val="00D85029"/>
    <w:rsid w:val="00D8530E"/>
    <w:rsid w:val="00D9171A"/>
    <w:rsid w:val="00D922E5"/>
    <w:rsid w:val="00D94CEF"/>
    <w:rsid w:val="00DA437E"/>
    <w:rsid w:val="00DA47FF"/>
    <w:rsid w:val="00DB0A83"/>
    <w:rsid w:val="00DB1E11"/>
    <w:rsid w:val="00DB2992"/>
    <w:rsid w:val="00DB3CAA"/>
    <w:rsid w:val="00DB48FC"/>
    <w:rsid w:val="00DB76B0"/>
    <w:rsid w:val="00DB7FAB"/>
    <w:rsid w:val="00DC0F23"/>
    <w:rsid w:val="00DC1A64"/>
    <w:rsid w:val="00DC1D54"/>
    <w:rsid w:val="00DD00B4"/>
    <w:rsid w:val="00DD5B49"/>
    <w:rsid w:val="00DD6D5D"/>
    <w:rsid w:val="00DE04C5"/>
    <w:rsid w:val="00DE062E"/>
    <w:rsid w:val="00DE0C42"/>
    <w:rsid w:val="00DE1164"/>
    <w:rsid w:val="00DE1898"/>
    <w:rsid w:val="00DE4B94"/>
    <w:rsid w:val="00DE5BF1"/>
    <w:rsid w:val="00DE5E82"/>
    <w:rsid w:val="00DE617F"/>
    <w:rsid w:val="00DE7321"/>
    <w:rsid w:val="00DF3A8C"/>
    <w:rsid w:val="00DF5A85"/>
    <w:rsid w:val="00E025FD"/>
    <w:rsid w:val="00E02668"/>
    <w:rsid w:val="00E03418"/>
    <w:rsid w:val="00E04FBF"/>
    <w:rsid w:val="00E05737"/>
    <w:rsid w:val="00E07CE9"/>
    <w:rsid w:val="00E1322A"/>
    <w:rsid w:val="00E15C62"/>
    <w:rsid w:val="00E166F1"/>
    <w:rsid w:val="00E332EF"/>
    <w:rsid w:val="00E33CCE"/>
    <w:rsid w:val="00E35DD5"/>
    <w:rsid w:val="00E36477"/>
    <w:rsid w:val="00E37BB4"/>
    <w:rsid w:val="00E40DE1"/>
    <w:rsid w:val="00E41ED4"/>
    <w:rsid w:val="00E439F0"/>
    <w:rsid w:val="00E45B3D"/>
    <w:rsid w:val="00E4770B"/>
    <w:rsid w:val="00E50429"/>
    <w:rsid w:val="00E51A11"/>
    <w:rsid w:val="00E57007"/>
    <w:rsid w:val="00E57E42"/>
    <w:rsid w:val="00E61DA6"/>
    <w:rsid w:val="00E662DA"/>
    <w:rsid w:val="00E66B93"/>
    <w:rsid w:val="00E66C36"/>
    <w:rsid w:val="00E74054"/>
    <w:rsid w:val="00E7497C"/>
    <w:rsid w:val="00E80186"/>
    <w:rsid w:val="00E83C4F"/>
    <w:rsid w:val="00E83E0C"/>
    <w:rsid w:val="00E86469"/>
    <w:rsid w:val="00E95B3E"/>
    <w:rsid w:val="00E963A3"/>
    <w:rsid w:val="00E9669B"/>
    <w:rsid w:val="00EA1632"/>
    <w:rsid w:val="00EA1B9E"/>
    <w:rsid w:val="00EA1E90"/>
    <w:rsid w:val="00EA36CB"/>
    <w:rsid w:val="00EB1519"/>
    <w:rsid w:val="00EB38D1"/>
    <w:rsid w:val="00EB5EE7"/>
    <w:rsid w:val="00EB6881"/>
    <w:rsid w:val="00EC21BE"/>
    <w:rsid w:val="00EC4C59"/>
    <w:rsid w:val="00EC5BF3"/>
    <w:rsid w:val="00ED0CB5"/>
    <w:rsid w:val="00ED0DCF"/>
    <w:rsid w:val="00ED2B29"/>
    <w:rsid w:val="00ED3134"/>
    <w:rsid w:val="00ED3BFC"/>
    <w:rsid w:val="00ED43E0"/>
    <w:rsid w:val="00ED4C4D"/>
    <w:rsid w:val="00EE0CA3"/>
    <w:rsid w:val="00EE1294"/>
    <w:rsid w:val="00EE28EB"/>
    <w:rsid w:val="00EE4362"/>
    <w:rsid w:val="00EE714B"/>
    <w:rsid w:val="00EE7A1E"/>
    <w:rsid w:val="00EF4403"/>
    <w:rsid w:val="00EF461F"/>
    <w:rsid w:val="00EF64AE"/>
    <w:rsid w:val="00F0012F"/>
    <w:rsid w:val="00F01031"/>
    <w:rsid w:val="00F03306"/>
    <w:rsid w:val="00F056C5"/>
    <w:rsid w:val="00F1117E"/>
    <w:rsid w:val="00F116F9"/>
    <w:rsid w:val="00F12940"/>
    <w:rsid w:val="00F13A19"/>
    <w:rsid w:val="00F15319"/>
    <w:rsid w:val="00F15854"/>
    <w:rsid w:val="00F20986"/>
    <w:rsid w:val="00F21E20"/>
    <w:rsid w:val="00F22803"/>
    <w:rsid w:val="00F2530E"/>
    <w:rsid w:val="00F255BC"/>
    <w:rsid w:val="00F2773A"/>
    <w:rsid w:val="00F27DA3"/>
    <w:rsid w:val="00F31C99"/>
    <w:rsid w:val="00F348E6"/>
    <w:rsid w:val="00F36797"/>
    <w:rsid w:val="00F40113"/>
    <w:rsid w:val="00F40136"/>
    <w:rsid w:val="00F43D96"/>
    <w:rsid w:val="00F44846"/>
    <w:rsid w:val="00F44EEB"/>
    <w:rsid w:val="00F45F27"/>
    <w:rsid w:val="00F45FAE"/>
    <w:rsid w:val="00F46ED7"/>
    <w:rsid w:val="00F47445"/>
    <w:rsid w:val="00F50419"/>
    <w:rsid w:val="00F521D9"/>
    <w:rsid w:val="00F57309"/>
    <w:rsid w:val="00F60768"/>
    <w:rsid w:val="00F610C7"/>
    <w:rsid w:val="00F63BC7"/>
    <w:rsid w:val="00F65669"/>
    <w:rsid w:val="00F74C26"/>
    <w:rsid w:val="00F74E03"/>
    <w:rsid w:val="00F755C4"/>
    <w:rsid w:val="00F76634"/>
    <w:rsid w:val="00F805C0"/>
    <w:rsid w:val="00F81015"/>
    <w:rsid w:val="00F83E16"/>
    <w:rsid w:val="00F8462E"/>
    <w:rsid w:val="00F91A57"/>
    <w:rsid w:val="00F9275F"/>
    <w:rsid w:val="00F92901"/>
    <w:rsid w:val="00F96F0A"/>
    <w:rsid w:val="00FA4B72"/>
    <w:rsid w:val="00FA51FB"/>
    <w:rsid w:val="00FB0811"/>
    <w:rsid w:val="00FB4A4A"/>
    <w:rsid w:val="00FC0CA4"/>
    <w:rsid w:val="00FC3854"/>
    <w:rsid w:val="00FC4F72"/>
    <w:rsid w:val="00FC59EA"/>
    <w:rsid w:val="00FD1968"/>
    <w:rsid w:val="00FD3157"/>
    <w:rsid w:val="00FD3C1C"/>
    <w:rsid w:val="00FD3E1F"/>
    <w:rsid w:val="00FD773D"/>
    <w:rsid w:val="00FE7857"/>
    <w:rsid w:val="00FE7C23"/>
    <w:rsid w:val="00FF1486"/>
    <w:rsid w:val="00FF1A71"/>
    <w:rsid w:val="00FF337D"/>
    <w:rsid w:val="00FF33B5"/>
    <w:rsid w:val="00FF66FB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F95E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A544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D36296"/>
    <w:pPr>
      <w:spacing w:after="160" w:line="259" w:lineRule="auto"/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D362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362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3629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362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36296"/>
    <w:rPr>
      <w:b/>
      <w:bCs/>
      <w:sz w:val="20"/>
      <w:szCs w:val="20"/>
    </w:rPr>
  </w:style>
  <w:style w:type="paragraph" w:customStyle="1" w:styleId="paragraph">
    <w:name w:val="paragraph"/>
    <w:basedOn w:val="Normlny"/>
    <w:rsid w:val="00A00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002BF"/>
  </w:style>
  <w:style w:type="character" w:customStyle="1" w:styleId="eop">
    <w:name w:val="eop"/>
    <w:basedOn w:val="Predvolenpsmoodseku"/>
    <w:rsid w:val="00A002BF"/>
  </w:style>
  <w:style w:type="character" w:customStyle="1" w:styleId="fadeinm1hgl8">
    <w:name w:val="_fadein_m1hgl_8"/>
    <w:basedOn w:val="Predvolenpsmoodseku"/>
    <w:rsid w:val="00B57B70"/>
  </w:style>
  <w:style w:type="table" w:customStyle="1" w:styleId="Mriekatabuky1">
    <w:name w:val="Mriežka tabuľky1"/>
    <w:basedOn w:val="Normlnatabuka"/>
    <w:next w:val="Mriekatabuky"/>
    <w:uiPriority w:val="39"/>
    <w:rsid w:val="00157C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rz.gov.sk/zmluva/9150187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2.emf"/><Relationship Id="rId7" Type="http://schemas.openxmlformats.org/officeDocument/2006/relationships/styles" Target="styles.xml"/><Relationship Id="rId12" Type="http://schemas.openxmlformats.org/officeDocument/2006/relationships/hyperlink" Target="https://www.crz.gov.sk/zmluva/9150187/" TargetMode="External"/><Relationship Id="rId17" Type="http://schemas.openxmlformats.org/officeDocument/2006/relationships/footer" Target="footer2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1.em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image" Target="media/image4.emf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:fields xmlns:f="http://schemas.fabasoft.com/folio/2007/fields">
  <f:record ref="">
    <f:field ref="objname" par="" edit="true" text="Priloha-2---Analýza-vplyvov-na-rozpočet-verejnej-správy"/>
    <f:field ref="objsubject" par="" edit="true" text=""/>
    <f:field ref="objcreatedby" par="" text="Pavlíková, Katarína, Mgr."/>
    <f:field ref="objcreatedat" par="" text="10.11.2022 9:46:31"/>
    <f:field ref="objchangedby" par="" text="Administrator, System"/>
    <f:field ref="objmodifiedat" par="" text="10.11.2022 9:46:3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A789002F-3FA1-4B97-8B6E-7854BAAC02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E01767-3904-4EBA-AEB6-0D65D689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4132</Words>
  <Characters>23554</Characters>
  <Application>Microsoft Office Word</Application>
  <DocSecurity>0</DocSecurity>
  <Lines>196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27631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Jakubík Karol</cp:lastModifiedBy>
  <cp:revision>2</cp:revision>
  <cp:lastPrinted>2025-08-19T13:29:00Z</cp:lastPrinted>
  <dcterms:created xsi:type="dcterms:W3CDTF">2025-08-19T14:53:00Z</dcterms:created>
  <dcterms:modified xsi:type="dcterms:W3CDTF">2025-08-19T14:53:00Z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2022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Katarína Pavlíková</vt:lpwstr>
  </property>
  <property fmtid="{D5CDD505-2E9C-101B-9397-08002B2CF9AE}" pid="12" name="FSC#SKEDITIONSLOVLEX@103.510:zodppredkladatel">
    <vt:lpwstr>Ing. Karel Hirman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zmien a doplnení Jednotnej metodiky na posudzovanie vybraných vplyvov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Komponent č. 14 Plánu obnovy a odolnosti SR</vt:lpwstr>
  </property>
  <property fmtid="{D5CDD505-2E9C-101B-9397-08002B2CF9AE}" pid="23" name="FSC#SKEDITIONSLOVLEX@103.510:plnynazovpredpis">
    <vt:lpwstr> Návrh zmien a doplnení Jednotnej metodiky na posudzovanie vybraných vplyvov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44877/2022-3213-103108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LP/2022/744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Výrazné pozitívne vplyvy v tejto oblasti sa očakávajú po implementácii ochrany pred neopodstatneným goldplatingom.&lt;/p&gt;&lt;p style="text-align: justify;"&gt;&amp;nbs</vt:lpwstr>
  </property>
  <property fmtid="{D5CDD505-2E9C-101B-9397-08002B2CF9AE}" pid="66" name="FSC#SKEDITIONSLOVLEX@103.510:AttrStrListDocPropAltRiesenia">
    <vt:lpwstr>Nulový variant – zachovanie súčasného stavu vytvára nekontrolovaný priestor na vytváranie takej regulačnej záťaže podnikateľského prostredia, ktorá znižuje konkurencieschopnosť tuzemských podnikateľov. V prípade zachovania súčasného stavu by nebol zaveden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 hospodárstva_x000d_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/>
  </property>
  <property fmtid="{D5CDD505-2E9C-101B-9397-08002B2CF9AE}" pid="142" name="FSC#SKEDITIONSLOVLEX@103.510:funkciaZodpPredAkuzativ">
    <vt:lpwstr/>
  </property>
  <property fmtid="{D5CDD505-2E9C-101B-9397-08002B2CF9AE}" pid="143" name="FSC#SKEDITIONSLOVLEX@103.510:funkciaZodpPredDativ">
    <vt:lpwstr/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Karel Hirman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justify;"&gt;Návrh zmien a doplnení Jednotnej metodiky na posudzovanie vybraných vplyvov predkladá na rokovanie vlády Slovenskej republiky Ministerstvo hospodárstva Slovenskej republiky (ďalej len „MH SR“) v nadväznosti na Komponent č. </vt:lpwstr>
  </property>
  <property fmtid="{D5CDD505-2E9C-101B-9397-08002B2CF9AE}" pid="150" name="FSC#SKEDITIONSLOVLEX@103.510:vytvorenedna">
    <vt:lpwstr>10. 11. 2022</vt:lpwstr>
  </property>
  <property fmtid="{D5CDD505-2E9C-101B-9397-08002B2CF9AE}" pid="151" name="FSC#COOSYSTEM@1.1:Container">
    <vt:lpwstr>COO.2145.1000.3.5328104</vt:lpwstr>
  </property>
  <property fmtid="{D5CDD505-2E9C-101B-9397-08002B2CF9AE}" pid="152" name="FSC#FSCFOLIO@1.1001:docpropproject">
    <vt:lpwstr/>
  </property>
</Properties>
</file>