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10662FB8" w14:textId="77777777" w:rsidTr="0080520C">
        <w:trPr>
          <w:trHeight w:val="534"/>
          <w:jc w:val="center"/>
        </w:trPr>
        <w:tc>
          <w:tcPr>
            <w:tcW w:w="5000" w:type="pct"/>
            <w:gridSpan w:val="3"/>
            <w:tcBorders>
              <w:bottom w:val="single" w:sz="4" w:space="0" w:color="auto"/>
            </w:tcBorders>
            <w:shd w:val="clear" w:color="auto" w:fill="808080" w:themeFill="background1" w:themeFillShade="80"/>
          </w:tcPr>
          <w:p w14:paraId="610C984C"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14:paraId="3B3B95F8"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77F51652"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54B07499" w14:textId="77777777" w:rsidTr="0080520C">
        <w:trPr>
          <w:jc w:val="center"/>
        </w:trPr>
        <w:tc>
          <w:tcPr>
            <w:tcW w:w="5000" w:type="pct"/>
            <w:gridSpan w:val="3"/>
            <w:tcBorders>
              <w:bottom w:val="single" w:sz="4" w:space="0" w:color="auto"/>
            </w:tcBorders>
            <w:shd w:val="clear" w:color="auto" w:fill="A6A6A6" w:themeFill="background1" w:themeFillShade="A6"/>
          </w:tcPr>
          <w:p w14:paraId="3B4156EC"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6AC95C75" w14:textId="77777777" w:rsidTr="0080520C">
        <w:trPr>
          <w:jc w:val="center"/>
        </w:trPr>
        <w:tc>
          <w:tcPr>
            <w:tcW w:w="5000" w:type="pct"/>
            <w:gridSpan w:val="3"/>
            <w:tcBorders>
              <w:bottom w:val="single" w:sz="4" w:space="0" w:color="auto"/>
            </w:tcBorders>
            <w:shd w:val="clear" w:color="auto" w:fill="F2F2F2"/>
          </w:tcPr>
          <w:p w14:paraId="1075FBC2"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194803B7"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7AC34CD5"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316780EA"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0B3A72A7" w14:textId="77777777" w:rsidTr="0080520C">
        <w:trPr>
          <w:trHeight w:val="170"/>
          <w:jc w:val="center"/>
        </w:trPr>
        <w:tc>
          <w:tcPr>
            <w:tcW w:w="129" w:type="pct"/>
            <w:tcBorders>
              <w:top w:val="single" w:sz="4" w:space="0" w:color="auto"/>
              <w:bottom w:val="single" w:sz="4" w:space="0" w:color="auto"/>
            </w:tcBorders>
            <w:shd w:val="clear" w:color="auto" w:fill="DDDDDD"/>
            <w:vAlign w:val="center"/>
          </w:tcPr>
          <w:p w14:paraId="49ECF15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21F33B66"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36F9BCC9" w14:textId="77777777" w:rsidTr="0080520C">
        <w:trPr>
          <w:trHeight w:val="759"/>
          <w:jc w:val="center"/>
        </w:trPr>
        <w:tc>
          <w:tcPr>
            <w:tcW w:w="129" w:type="pct"/>
            <w:tcBorders>
              <w:top w:val="single" w:sz="4" w:space="0" w:color="auto"/>
              <w:bottom w:val="single" w:sz="4" w:space="0" w:color="auto"/>
            </w:tcBorders>
            <w:vAlign w:val="center"/>
          </w:tcPr>
          <w:p w14:paraId="5C4D25CA"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vAlign w:val="center"/>
          </w:tcPr>
          <w:p w14:paraId="16AFAE45"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7716CCD6" w14:textId="604EDDAE" w:rsidR="00AE0669" w:rsidRPr="00AE0669" w:rsidRDefault="00AE0669" w:rsidP="00AE0669">
            <w:pPr>
              <w:spacing w:after="0" w:line="240" w:lineRule="auto"/>
              <w:ind w:left="148"/>
              <w:contextualSpacing/>
              <w:jc w:val="both"/>
              <w:rPr>
                <w:rFonts w:ascii="Times New Roman" w:eastAsia="Calibri" w:hAnsi="Times New Roman" w:cs="Times New Roman"/>
                <w:b/>
                <w:bCs/>
                <w:sz w:val="20"/>
                <w:szCs w:val="20"/>
                <w:lang w:eastAsia="sk-SK"/>
              </w:rPr>
            </w:pPr>
            <w:r w:rsidRPr="00AE0669">
              <w:rPr>
                <w:rFonts w:ascii="Times New Roman" w:eastAsia="Calibri" w:hAnsi="Times New Roman" w:cs="Times New Roman"/>
                <w:b/>
                <w:bCs/>
                <w:sz w:val="20"/>
                <w:szCs w:val="20"/>
                <w:lang w:eastAsia="sk-SK"/>
              </w:rPr>
              <w:t>Povinné predprimárne vzdelávanie v materskej škole</w:t>
            </w:r>
          </w:p>
          <w:p w14:paraId="7B6D4418" w14:textId="77777777" w:rsidR="002644DE" w:rsidRDefault="009F16C0" w:rsidP="00AE0669">
            <w:pPr>
              <w:spacing w:after="0" w:line="240" w:lineRule="auto"/>
              <w:ind w:left="148"/>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Pozitívny vplyv na hospodárenie rodín bude mať zvýšenie normatívu na dieťa plniace povinné predprimárne vzdelávanie a tiež to, že na každé dieťa plniace predprimárne vzdelávanie sa bude v závislosti od finančných možností rozpočtu kapitoly </w:t>
            </w:r>
            <w:proofErr w:type="spellStart"/>
            <w:r>
              <w:rPr>
                <w:rFonts w:ascii="Times New Roman" w:eastAsia="Calibri" w:hAnsi="Times New Roman" w:cs="Times New Roman"/>
                <w:sz w:val="20"/>
                <w:szCs w:val="20"/>
                <w:lang w:eastAsia="sk-SK"/>
              </w:rPr>
              <w:t>MŠVVaM</w:t>
            </w:r>
            <w:proofErr w:type="spellEnd"/>
            <w:r>
              <w:rPr>
                <w:rFonts w:ascii="Times New Roman" w:eastAsia="Calibri" w:hAnsi="Times New Roman" w:cs="Times New Roman"/>
                <w:sz w:val="20"/>
                <w:szCs w:val="20"/>
                <w:lang w:eastAsia="sk-SK"/>
              </w:rPr>
              <w:t xml:space="preserve"> SR vyplácať aj príspevok na súčasti výchovy a vzdelávanie a tiež príspevok na dopravu. Hospodárenie domácností pozitívne ovplyvní aj skutočnosť, že všetky deti plniace povinné predprimárne vzdelávanie budú oslobodené od platenia príspevku na čiastočnú úhradu výdavkov materskej školy. Eliminujú sa skryté poplatky, ktoré doposiaľ vytvárajú bariéru v prístupe detí zo sociálne a ekonomicky znevýhodneného prostredia ku kvalitnému predprimárnemu vzdelávaniu v materskej škole.</w:t>
            </w:r>
            <w:r w:rsidR="0008370F">
              <w:rPr>
                <w:rFonts w:ascii="Times New Roman" w:eastAsia="Calibri" w:hAnsi="Times New Roman" w:cs="Times New Roman"/>
                <w:sz w:val="20"/>
                <w:szCs w:val="20"/>
                <w:lang w:eastAsia="sk-SK"/>
              </w:rPr>
              <w:t xml:space="preserve"> Zároveň sa </w:t>
            </w:r>
            <w:r w:rsidR="0008370F" w:rsidRPr="0008370F">
              <w:rPr>
                <w:rFonts w:ascii="Times New Roman" w:eastAsia="Calibri" w:hAnsi="Times New Roman" w:cs="Times New Roman"/>
                <w:sz w:val="20"/>
                <w:szCs w:val="20"/>
                <w:lang w:eastAsia="sk-SK"/>
              </w:rPr>
              <w:t>zvyšuje šanca detí z vylúčených komunít na pravideln</w:t>
            </w:r>
            <w:r w:rsidR="0008370F">
              <w:rPr>
                <w:rFonts w:ascii="Times New Roman" w:eastAsia="Calibri" w:hAnsi="Times New Roman" w:cs="Times New Roman"/>
                <w:sz w:val="20"/>
                <w:szCs w:val="20"/>
                <w:lang w:eastAsia="sk-SK"/>
              </w:rPr>
              <w:t>ú</w:t>
            </w:r>
            <w:r w:rsidR="0008370F" w:rsidRPr="0008370F">
              <w:rPr>
                <w:rFonts w:ascii="Times New Roman" w:eastAsia="Calibri" w:hAnsi="Times New Roman" w:cs="Times New Roman"/>
                <w:sz w:val="20"/>
                <w:szCs w:val="20"/>
                <w:lang w:eastAsia="sk-SK"/>
              </w:rPr>
              <w:t xml:space="preserve"> dochádz</w:t>
            </w:r>
            <w:r w:rsidR="0008370F">
              <w:rPr>
                <w:rFonts w:ascii="Times New Roman" w:eastAsia="Calibri" w:hAnsi="Times New Roman" w:cs="Times New Roman"/>
                <w:sz w:val="20"/>
                <w:szCs w:val="20"/>
                <w:lang w:eastAsia="sk-SK"/>
              </w:rPr>
              <w:t>ku do materskej školy</w:t>
            </w:r>
            <w:r w:rsidR="0008370F" w:rsidRPr="0008370F">
              <w:rPr>
                <w:rFonts w:ascii="Times New Roman" w:eastAsia="Calibri" w:hAnsi="Times New Roman" w:cs="Times New Roman"/>
                <w:sz w:val="20"/>
                <w:szCs w:val="20"/>
                <w:lang w:eastAsia="sk-SK"/>
              </w:rPr>
              <w:t xml:space="preserve"> a</w:t>
            </w:r>
            <w:r w:rsidR="0008370F">
              <w:rPr>
                <w:rFonts w:ascii="Times New Roman" w:eastAsia="Calibri" w:hAnsi="Times New Roman" w:cs="Times New Roman"/>
                <w:sz w:val="20"/>
                <w:szCs w:val="20"/>
                <w:lang w:eastAsia="sk-SK"/>
              </w:rPr>
              <w:t> </w:t>
            </w:r>
            <w:r w:rsidR="0008370F" w:rsidRPr="0008370F">
              <w:rPr>
                <w:rFonts w:ascii="Times New Roman" w:eastAsia="Calibri" w:hAnsi="Times New Roman" w:cs="Times New Roman"/>
                <w:sz w:val="20"/>
                <w:szCs w:val="20"/>
                <w:lang w:eastAsia="sk-SK"/>
              </w:rPr>
              <w:t>zníženie</w:t>
            </w:r>
            <w:r w:rsidR="0008370F">
              <w:rPr>
                <w:rFonts w:ascii="Times New Roman" w:eastAsia="Calibri" w:hAnsi="Times New Roman" w:cs="Times New Roman"/>
                <w:sz w:val="20"/>
                <w:szCs w:val="20"/>
                <w:lang w:eastAsia="sk-SK"/>
              </w:rPr>
              <w:t xml:space="preserve"> </w:t>
            </w:r>
            <w:r w:rsidR="0008370F" w:rsidRPr="0008370F">
              <w:rPr>
                <w:rFonts w:ascii="Times New Roman" w:eastAsia="Calibri" w:hAnsi="Times New Roman" w:cs="Times New Roman"/>
                <w:sz w:val="20"/>
                <w:szCs w:val="20"/>
                <w:lang w:eastAsia="sk-SK"/>
              </w:rPr>
              <w:t>rizika predčasného ukončenia školskej dochádzky v budúcnosti.</w:t>
            </w:r>
          </w:p>
          <w:p w14:paraId="0693318B" w14:textId="5529FB23" w:rsidR="009B5A0C" w:rsidRPr="00AA058B" w:rsidRDefault="009B5A0C" w:rsidP="009B5A0C">
            <w:pPr>
              <w:spacing w:after="0" w:line="240" w:lineRule="auto"/>
              <w:ind w:left="148"/>
              <w:contextualSpacing/>
              <w:jc w:val="both"/>
              <w:rPr>
                <w:rFonts w:ascii="Times New Roman" w:eastAsia="Calibri" w:hAnsi="Times New Roman" w:cs="Times New Roman"/>
                <w:b/>
                <w:sz w:val="20"/>
                <w:szCs w:val="20"/>
                <w:lang w:eastAsia="sk-SK"/>
              </w:rPr>
            </w:pPr>
            <w:proofErr w:type="spellStart"/>
            <w:r w:rsidRPr="00AA058B">
              <w:rPr>
                <w:rFonts w:ascii="Times New Roman" w:eastAsia="Calibri" w:hAnsi="Times New Roman" w:cs="Times New Roman"/>
                <w:b/>
                <w:sz w:val="20"/>
                <w:szCs w:val="20"/>
                <w:lang w:eastAsia="sk-SK"/>
              </w:rPr>
              <w:t>Druhošancové</w:t>
            </w:r>
            <w:proofErr w:type="spellEnd"/>
            <w:r w:rsidRPr="00AA058B">
              <w:rPr>
                <w:rFonts w:ascii="Times New Roman" w:eastAsia="Calibri" w:hAnsi="Times New Roman" w:cs="Times New Roman"/>
                <w:b/>
                <w:sz w:val="20"/>
                <w:szCs w:val="20"/>
                <w:lang w:eastAsia="sk-SK"/>
              </w:rPr>
              <w:t xml:space="preserve"> vzdelávanie</w:t>
            </w:r>
          </w:p>
          <w:p w14:paraId="49BD7C8B" w14:textId="5434BF13" w:rsidR="009B5A0C" w:rsidRPr="00BE6288" w:rsidRDefault="009B5A0C" w:rsidP="009B5A0C">
            <w:pPr>
              <w:spacing w:after="0" w:line="240" w:lineRule="auto"/>
              <w:ind w:left="148"/>
              <w:contextualSpacing/>
              <w:jc w:val="both"/>
              <w:rPr>
                <w:rFonts w:ascii="Times New Roman" w:eastAsia="Calibri" w:hAnsi="Times New Roman" w:cs="Times New Roman"/>
                <w:sz w:val="20"/>
                <w:szCs w:val="20"/>
                <w:lang w:eastAsia="sk-SK"/>
              </w:rPr>
            </w:pPr>
            <w:r w:rsidRPr="00BE6288">
              <w:rPr>
                <w:rFonts w:ascii="Times New Roman" w:eastAsia="Calibri" w:hAnsi="Times New Roman" w:cs="Times New Roman"/>
                <w:sz w:val="20"/>
                <w:szCs w:val="20"/>
                <w:lang w:eastAsia="sk-SK"/>
              </w:rPr>
              <w:t xml:space="preserve">Rozšírenie </w:t>
            </w:r>
            <w:proofErr w:type="spellStart"/>
            <w:r w:rsidRPr="00BE6288">
              <w:rPr>
                <w:rFonts w:ascii="Times New Roman" w:eastAsia="Calibri" w:hAnsi="Times New Roman" w:cs="Times New Roman"/>
                <w:sz w:val="20"/>
                <w:szCs w:val="20"/>
                <w:lang w:eastAsia="sk-SK"/>
              </w:rPr>
              <w:t>druhošancového</w:t>
            </w:r>
            <w:proofErr w:type="spellEnd"/>
            <w:r w:rsidRPr="00BE6288">
              <w:rPr>
                <w:rFonts w:ascii="Times New Roman" w:eastAsia="Calibri" w:hAnsi="Times New Roman" w:cs="Times New Roman"/>
                <w:sz w:val="20"/>
                <w:szCs w:val="20"/>
                <w:lang w:eastAsia="sk-SK"/>
              </w:rPr>
              <w:t xml:space="preserve"> vzdelávania aj o program na získanie primárneho vzdelania sa týka osôb, ktoré ukončili povinnú školskú dochádzku, no nezískali ani primárne vzdelanie – teda neabsolvovali prvý stupeň základnej školy alebo, v prípade osôb s mentálnym postihnutím, neukončili 9. alebo 10. ročník základnej školy pre žiakov so zdravotným znevýhodnením.</w:t>
            </w:r>
          </w:p>
          <w:p w14:paraId="055FBA44" w14:textId="77777777" w:rsidR="009B5A0C" w:rsidRDefault="009B5A0C" w:rsidP="009B5A0C">
            <w:pPr>
              <w:spacing w:after="0" w:line="240" w:lineRule="auto"/>
              <w:ind w:left="148"/>
              <w:contextualSpacing/>
              <w:jc w:val="both"/>
              <w:rPr>
                <w:rFonts w:ascii="Times New Roman" w:eastAsia="Calibri" w:hAnsi="Times New Roman" w:cs="Times New Roman"/>
                <w:sz w:val="20"/>
                <w:szCs w:val="20"/>
                <w:lang w:eastAsia="sk-SK"/>
              </w:rPr>
            </w:pPr>
            <w:r w:rsidRPr="00BE6288">
              <w:rPr>
                <w:rFonts w:ascii="Times New Roman" w:eastAsia="Calibri" w:hAnsi="Times New Roman" w:cs="Times New Roman"/>
                <w:sz w:val="20"/>
                <w:szCs w:val="20"/>
                <w:lang w:eastAsia="sk-SK"/>
              </w:rPr>
              <w:t>Ide o opatrenie, ktoré predstavuje jednu z mála reálnych ciest z generačnej chudoby, keďže umožňuje týmto osobám najprv získať primárne vzdelanie a následne aj úplné základné vzdelanie prostredníctvom programu na získanie nižšieho stredného vzdelania. Tým sa im otvára možnosť ďalšieho vzdelávania, zvyšovania kvalifikácie a postupného uplatnenia sa na trhu práce, čo môže mať dlhodobo pozitívny vplyv na príjmy ich domácností.</w:t>
            </w:r>
          </w:p>
          <w:p w14:paraId="4479670B" w14:textId="77777777" w:rsidR="009B5A0C" w:rsidRPr="00BE6288" w:rsidRDefault="009B5A0C" w:rsidP="009B5A0C">
            <w:pPr>
              <w:spacing w:after="0" w:line="240" w:lineRule="auto"/>
              <w:ind w:left="148"/>
              <w:contextualSpacing/>
              <w:jc w:val="both"/>
              <w:rPr>
                <w:rFonts w:ascii="Times New Roman" w:eastAsia="Calibri" w:hAnsi="Times New Roman" w:cs="Times New Roman"/>
                <w:sz w:val="20"/>
                <w:szCs w:val="20"/>
                <w:lang w:eastAsia="sk-SK"/>
              </w:rPr>
            </w:pPr>
          </w:p>
          <w:p w14:paraId="6CBD5884" w14:textId="0072EE83" w:rsidR="009B5A0C" w:rsidRPr="002644DE" w:rsidRDefault="009B5A0C" w:rsidP="009B5A0C">
            <w:pPr>
              <w:spacing w:after="0" w:line="240" w:lineRule="auto"/>
              <w:ind w:left="148"/>
              <w:contextualSpacing/>
              <w:jc w:val="both"/>
              <w:rPr>
                <w:rFonts w:ascii="Times New Roman" w:eastAsia="Calibri" w:hAnsi="Times New Roman" w:cs="Times New Roman"/>
                <w:sz w:val="20"/>
                <w:szCs w:val="20"/>
                <w:lang w:eastAsia="sk-SK"/>
              </w:rPr>
            </w:pPr>
            <w:r w:rsidRPr="00BE6288">
              <w:rPr>
                <w:rFonts w:ascii="Times New Roman" w:eastAsia="Calibri" w:hAnsi="Times New Roman" w:cs="Times New Roman"/>
                <w:sz w:val="20"/>
                <w:szCs w:val="20"/>
                <w:lang w:eastAsia="sk-SK"/>
              </w:rPr>
              <w:t xml:space="preserve">Doterajšia právna úprava umožňovala organizovanie </w:t>
            </w:r>
            <w:proofErr w:type="spellStart"/>
            <w:r w:rsidRPr="00BE6288">
              <w:rPr>
                <w:rFonts w:ascii="Times New Roman" w:eastAsia="Calibri" w:hAnsi="Times New Roman" w:cs="Times New Roman"/>
                <w:sz w:val="20"/>
                <w:szCs w:val="20"/>
                <w:lang w:eastAsia="sk-SK"/>
              </w:rPr>
              <w:t>druhošancového</w:t>
            </w:r>
            <w:proofErr w:type="spellEnd"/>
            <w:r w:rsidRPr="00BE6288">
              <w:rPr>
                <w:rFonts w:ascii="Times New Roman" w:eastAsia="Calibri" w:hAnsi="Times New Roman" w:cs="Times New Roman"/>
                <w:sz w:val="20"/>
                <w:szCs w:val="20"/>
                <w:lang w:eastAsia="sk-SK"/>
              </w:rPr>
              <w:t xml:space="preserve"> vzdelávania výlučne na úrovni nižšieho stredného vzdelania, a teda len pre osoby, ktoré už dosiahli primárne vzdelanie. Ministerstvo školstva však v praxi eviduje aj potreby a záujem osôb, ktoré nespĺňajú ani túto podmienku. Tieto osoby sú často v obzvlášť znevýhodnenom postavení, pretože nemajú možnosť zapojiť sa do žiadnej formy dodatočného vzdelávania, čím sa ďalej znižuje ich šanca na pracovné uplatnenie a začlenenie do spoločnosti.</w:t>
            </w:r>
          </w:p>
        </w:tc>
      </w:tr>
      <w:tr w:rsidR="00E0428B" w:rsidRPr="002644DE" w14:paraId="33DD0C28" w14:textId="77777777" w:rsidTr="0080520C">
        <w:trPr>
          <w:trHeight w:val="397"/>
          <w:jc w:val="center"/>
        </w:trPr>
        <w:tc>
          <w:tcPr>
            <w:tcW w:w="129" w:type="pct"/>
            <w:vMerge w:val="restart"/>
            <w:tcBorders>
              <w:top w:val="single" w:sz="4" w:space="0" w:color="auto"/>
            </w:tcBorders>
            <w:vAlign w:val="center"/>
          </w:tcPr>
          <w:p w14:paraId="25CC362D" w14:textId="77777777" w:rsidR="00E0428B" w:rsidRPr="002644DE" w:rsidRDefault="00E0428B"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tcPr>
          <w:p w14:paraId="264716F2" w14:textId="77777777" w:rsidR="00E0428B" w:rsidRPr="002644DE" w:rsidRDefault="00E0428B"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1047F70B" w14:textId="3365CA30" w:rsidR="00E0428B" w:rsidRPr="002644DE" w:rsidRDefault="00E0428B"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Rodiny, ktorých aspoň jeden člen je poberateľom dávky v hmotnej núdzi. </w:t>
            </w:r>
          </w:p>
        </w:tc>
      </w:tr>
      <w:tr w:rsidR="00E0428B" w:rsidRPr="002644DE" w14:paraId="2EF15287" w14:textId="77777777" w:rsidTr="0080520C">
        <w:trPr>
          <w:trHeight w:val="397"/>
          <w:jc w:val="center"/>
        </w:trPr>
        <w:tc>
          <w:tcPr>
            <w:tcW w:w="129" w:type="pct"/>
            <w:vMerge/>
            <w:vAlign w:val="center"/>
          </w:tcPr>
          <w:p w14:paraId="422825FC"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p>
        </w:tc>
        <w:tc>
          <w:tcPr>
            <w:tcW w:w="1642" w:type="pct"/>
          </w:tcPr>
          <w:p w14:paraId="19460B04" w14:textId="30D6FB53" w:rsidR="00E0428B" w:rsidRPr="002644DE" w:rsidRDefault="00E0428B" w:rsidP="00E0428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Rodiny z MRK</w:t>
            </w:r>
          </w:p>
        </w:tc>
        <w:tc>
          <w:tcPr>
            <w:tcW w:w="3229" w:type="pct"/>
            <w:tcBorders>
              <w:top w:val="dotted" w:sz="4" w:space="0" w:color="auto"/>
            </w:tcBorders>
          </w:tcPr>
          <w:p w14:paraId="2F216375" w14:textId="63DEABB4" w:rsidR="00E0428B" w:rsidRPr="002644DE" w:rsidRDefault="0008370F" w:rsidP="00E0428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 xml:space="preserve">Rodiny detí </w:t>
            </w:r>
            <w:r w:rsidR="00E0428B" w:rsidRPr="00834F91">
              <w:rPr>
                <w:rFonts w:ascii="Times New Roman" w:eastAsia="Calibri" w:hAnsi="Times New Roman" w:cs="Times New Roman"/>
                <w:i/>
                <w:sz w:val="18"/>
                <w:szCs w:val="20"/>
                <w:lang w:eastAsia="sk-SK"/>
              </w:rPr>
              <w:t xml:space="preserve"> so </w:t>
            </w:r>
            <w:r w:rsidR="00E0428B" w:rsidRPr="0008370F">
              <w:rPr>
                <w:rFonts w:ascii="Times New Roman" w:eastAsia="Calibri" w:hAnsi="Times New Roman" w:cs="Times New Roman"/>
                <w:i/>
                <w:sz w:val="18"/>
                <w:szCs w:val="20"/>
                <w:lang w:eastAsia="sk-SK"/>
              </w:rPr>
              <w:t>špeciálnymi výchovno-vzdelávacími potrebami</w:t>
            </w:r>
            <w:r w:rsidRPr="0008370F">
              <w:rPr>
                <w:rFonts w:ascii="Times New Roman" w:eastAsia="Calibri" w:hAnsi="Times New Roman" w:cs="Times New Roman"/>
                <w:i/>
                <w:sz w:val="18"/>
                <w:szCs w:val="20"/>
                <w:lang w:eastAsia="sk-SK"/>
              </w:rPr>
              <w:t>.</w:t>
            </w:r>
          </w:p>
        </w:tc>
      </w:tr>
      <w:tr w:rsidR="00E0428B" w:rsidRPr="002644DE" w14:paraId="4A29D8B4" w14:textId="77777777" w:rsidTr="0080520C">
        <w:trPr>
          <w:trHeight w:val="397"/>
          <w:jc w:val="center"/>
        </w:trPr>
        <w:tc>
          <w:tcPr>
            <w:tcW w:w="129" w:type="pct"/>
            <w:vAlign w:val="center"/>
          </w:tcPr>
          <w:p w14:paraId="7AF7C268"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p>
        </w:tc>
        <w:tc>
          <w:tcPr>
            <w:tcW w:w="1642" w:type="pct"/>
          </w:tcPr>
          <w:p w14:paraId="0DEA06EC" w14:textId="77777777" w:rsidR="00E0428B" w:rsidRDefault="00E0428B" w:rsidP="00E0428B">
            <w:pPr>
              <w:spacing w:after="0" w:line="240" w:lineRule="auto"/>
              <w:rPr>
                <w:rFonts w:ascii="Times New Roman" w:eastAsia="Calibri" w:hAnsi="Times New Roman" w:cs="Times New Roman"/>
                <w:i/>
                <w:sz w:val="18"/>
                <w:szCs w:val="20"/>
                <w:lang w:eastAsia="sk-SK"/>
              </w:rPr>
            </w:pPr>
          </w:p>
        </w:tc>
        <w:tc>
          <w:tcPr>
            <w:tcW w:w="3229" w:type="pct"/>
            <w:tcBorders>
              <w:top w:val="dotted" w:sz="4" w:space="0" w:color="auto"/>
            </w:tcBorders>
          </w:tcPr>
          <w:p w14:paraId="66183804" w14:textId="40F8AE39" w:rsidR="00E0428B" w:rsidRDefault="00E0428B" w:rsidP="00E0428B">
            <w:pPr>
              <w:spacing w:after="0" w:line="240" w:lineRule="auto"/>
              <w:rPr>
                <w:rFonts w:ascii="Times New Roman" w:eastAsia="Calibri" w:hAnsi="Times New Roman" w:cs="Times New Roman"/>
                <w:i/>
                <w:sz w:val="18"/>
                <w:szCs w:val="20"/>
                <w:lang w:eastAsia="sk-SK"/>
              </w:rPr>
            </w:pPr>
            <w:r w:rsidRPr="00E0428B">
              <w:rPr>
                <w:rFonts w:ascii="Times New Roman" w:eastAsia="Calibri" w:hAnsi="Times New Roman" w:cs="Times New Roman"/>
                <w:i/>
                <w:sz w:val="18"/>
                <w:szCs w:val="20"/>
                <w:lang w:eastAsia="sk-SK"/>
              </w:rPr>
              <w:t>Jednorodičovské domácnosti a domácnosti s 3 a viac deťmi</w:t>
            </w:r>
          </w:p>
        </w:tc>
      </w:tr>
      <w:tr w:rsidR="00E0428B" w:rsidRPr="002644DE" w14:paraId="50FDE05C" w14:textId="77777777" w:rsidTr="0080520C">
        <w:trPr>
          <w:trHeight w:val="454"/>
          <w:jc w:val="center"/>
        </w:trPr>
        <w:tc>
          <w:tcPr>
            <w:tcW w:w="129" w:type="pct"/>
            <w:tcBorders>
              <w:top w:val="dotted" w:sz="4" w:space="0" w:color="auto"/>
            </w:tcBorders>
            <w:shd w:val="clear" w:color="auto" w:fill="F2F2F2"/>
            <w:vAlign w:val="center"/>
          </w:tcPr>
          <w:p w14:paraId="426B56C5"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2AEC9431" w14:textId="77777777" w:rsidR="00E0428B" w:rsidRPr="002644DE" w:rsidRDefault="00E0428B" w:rsidP="00E0428B">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0428B" w:rsidRPr="002644DE" w14:paraId="20E29468" w14:textId="77777777" w:rsidTr="0080520C">
        <w:trPr>
          <w:trHeight w:val="680"/>
          <w:jc w:val="center"/>
        </w:trPr>
        <w:tc>
          <w:tcPr>
            <w:tcW w:w="129" w:type="pct"/>
            <w:vMerge w:val="restart"/>
            <w:tcBorders>
              <w:top w:val="dotted" w:sz="4" w:space="0" w:color="auto"/>
            </w:tcBorders>
            <w:vAlign w:val="center"/>
          </w:tcPr>
          <w:p w14:paraId="36950AFB"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tcPr>
          <w:p w14:paraId="0ED305B2" w14:textId="77777777" w:rsidR="00E0428B" w:rsidRPr="002644DE" w:rsidRDefault="00E0428B" w:rsidP="00E0428B">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508E2E38" w14:textId="77777777" w:rsidR="00E0428B" w:rsidRPr="002644DE" w:rsidRDefault="00E0428B" w:rsidP="00E0428B">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798FE8CA" w14:textId="52685F4A" w:rsidR="00E0428B" w:rsidRPr="002644DE" w:rsidRDefault="00E0428B" w:rsidP="00E0428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w:t>
            </w:r>
          </w:p>
        </w:tc>
      </w:tr>
      <w:tr w:rsidR="00E0428B" w:rsidRPr="002644DE" w14:paraId="0FC66F25" w14:textId="77777777" w:rsidTr="0080520C">
        <w:trPr>
          <w:trHeight w:val="680"/>
          <w:jc w:val="center"/>
        </w:trPr>
        <w:tc>
          <w:tcPr>
            <w:tcW w:w="129" w:type="pct"/>
            <w:vMerge/>
            <w:vAlign w:val="center"/>
          </w:tcPr>
          <w:p w14:paraId="2F64198C"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p>
        </w:tc>
        <w:tc>
          <w:tcPr>
            <w:tcW w:w="1642" w:type="pct"/>
          </w:tcPr>
          <w:p w14:paraId="2E34D971" w14:textId="272DE83D" w:rsidR="00E0428B" w:rsidRPr="002644DE" w:rsidRDefault="00E0428B" w:rsidP="00E0428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w:t>
            </w:r>
          </w:p>
        </w:tc>
        <w:tc>
          <w:tcPr>
            <w:tcW w:w="3229" w:type="pct"/>
            <w:tcBorders>
              <w:top w:val="dotted" w:sz="4" w:space="0" w:color="auto"/>
            </w:tcBorders>
          </w:tcPr>
          <w:p w14:paraId="3C8685C3" w14:textId="719BE780" w:rsidR="00E0428B" w:rsidRPr="002644DE" w:rsidRDefault="00E0428B" w:rsidP="00E0428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w:t>
            </w:r>
          </w:p>
        </w:tc>
      </w:tr>
      <w:tr w:rsidR="00E0428B" w:rsidRPr="002644DE" w14:paraId="66476935" w14:textId="77777777" w:rsidTr="0080520C">
        <w:trPr>
          <w:trHeight w:val="397"/>
          <w:jc w:val="center"/>
        </w:trPr>
        <w:tc>
          <w:tcPr>
            <w:tcW w:w="129" w:type="pct"/>
            <w:tcBorders>
              <w:top w:val="dotted" w:sz="4" w:space="0" w:color="auto"/>
            </w:tcBorders>
            <w:vAlign w:val="center"/>
          </w:tcPr>
          <w:p w14:paraId="4AA2A818"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tcPr>
          <w:p w14:paraId="5D178FC3" w14:textId="77777777" w:rsidR="00E0428B" w:rsidRPr="002644DE" w:rsidRDefault="00E0428B" w:rsidP="00E0428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tcPr>
          <w:p w14:paraId="42085E91" w14:textId="77777777" w:rsidR="00E0428B" w:rsidRDefault="00E0428B" w:rsidP="00E0428B">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Kvantifikáciu nie je možné vykonať z dôvodu nedostatku vstupných dát, </w:t>
            </w:r>
            <w:r w:rsidRPr="00E0428B">
              <w:rPr>
                <w:rFonts w:ascii="Times New Roman" w:eastAsia="Calibri" w:hAnsi="Times New Roman" w:cs="Times New Roman"/>
                <w:sz w:val="20"/>
                <w:szCs w:val="20"/>
                <w:lang w:eastAsia="sk-SK"/>
              </w:rPr>
              <w:t>napr. o počte detí v jednotlivých skupinách plniacich povinné predprimárne vzdelávanie</w:t>
            </w:r>
            <w:r>
              <w:rPr>
                <w:rFonts w:ascii="Times New Roman" w:eastAsia="Calibri" w:hAnsi="Times New Roman" w:cs="Times New Roman"/>
                <w:sz w:val="20"/>
                <w:szCs w:val="20"/>
                <w:lang w:eastAsia="sk-SK"/>
              </w:rPr>
              <w:t xml:space="preserve"> a </w:t>
            </w:r>
            <w:r w:rsidRPr="00E0428B">
              <w:rPr>
                <w:rFonts w:ascii="Times New Roman" w:eastAsia="Calibri" w:hAnsi="Times New Roman" w:cs="Times New Roman"/>
                <w:sz w:val="20"/>
                <w:szCs w:val="20"/>
                <w:lang w:eastAsia="sk-SK"/>
              </w:rPr>
              <w:t>priemernej výške súčasných poplatko</w:t>
            </w:r>
            <w:r>
              <w:rPr>
                <w:rFonts w:ascii="Times New Roman" w:eastAsia="Calibri" w:hAnsi="Times New Roman" w:cs="Times New Roman"/>
                <w:sz w:val="20"/>
                <w:szCs w:val="20"/>
                <w:lang w:eastAsia="sk-SK"/>
              </w:rPr>
              <w:t>v.</w:t>
            </w:r>
          </w:p>
          <w:p w14:paraId="6BF30D05" w14:textId="46944ADA" w:rsidR="009B5A0C" w:rsidRPr="002644DE" w:rsidRDefault="009B5A0C" w:rsidP="00E0428B">
            <w:pPr>
              <w:spacing w:after="0" w:line="240" w:lineRule="auto"/>
              <w:jc w:val="both"/>
              <w:rPr>
                <w:rFonts w:ascii="Times New Roman" w:eastAsia="Calibri" w:hAnsi="Times New Roman" w:cs="Times New Roman"/>
                <w:sz w:val="20"/>
                <w:szCs w:val="20"/>
                <w:lang w:eastAsia="sk-SK"/>
              </w:rPr>
            </w:pPr>
          </w:p>
        </w:tc>
      </w:tr>
      <w:tr w:rsidR="00E0428B" w:rsidRPr="002644DE" w14:paraId="06ED9BED" w14:textId="77777777" w:rsidTr="0080520C">
        <w:trPr>
          <w:trHeight w:val="170"/>
          <w:jc w:val="center"/>
        </w:trPr>
        <w:tc>
          <w:tcPr>
            <w:tcW w:w="129" w:type="pct"/>
            <w:tcBorders>
              <w:top w:val="nil"/>
              <w:bottom w:val="single" w:sz="4" w:space="0" w:color="auto"/>
            </w:tcBorders>
            <w:shd w:val="clear" w:color="auto" w:fill="F2F2F2"/>
            <w:vAlign w:val="center"/>
          </w:tcPr>
          <w:p w14:paraId="5C9C01C6"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67FCFBDE" w14:textId="77777777" w:rsidR="00E0428B" w:rsidRPr="002644DE" w:rsidRDefault="00E0428B" w:rsidP="00E0428B">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6F5765E9" w14:textId="77777777" w:rsidR="00E0428B" w:rsidRPr="002644DE" w:rsidRDefault="00E0428B" w:rsidP="00E0428B">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E0428B" w:rsidRPr="002644DE" w14:paraId="2845B13B" w14:textId="77777777" w:rsidTr="0080520C">
        <w:trPr>
          <w:trHeight w:val="759"/>
          <w:jc w:val="center"/>
        </w:trPr>
        <w:tc>
          <w:tcPr>
            <w:tcW w:w="129" w:type="pct"/>
            <w:tcBorders>
              <w:top w:val="single" w:sz="4" w:space="0" w:color="auto"/>
              <w:bottom w:val="single" w:sz="4" w:space="0" w:color="auto"/>
            </w:tcBorders>
            <w:vAlign w:val="center"/>
          </w:tcPr>
          <w:p w14:paraId="6483855F"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tcPr>
          <w:p w14:paraId="24A08925" w14:textId="77777777" w:rsidR="00E0428B" w:rsidRPr="002644DE" w:rsidRDefault="00E0428B" w:rsidP="00E0428B">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3B45FB59" w14:textId="77777777" w:rsidR="00E0428B" w:rsidRDefault="00E0428B" w:rsidP="00E0428B">
            <w:pPr>
              <w:spacing w:after="0" w:line="240" w:lineRule="auto"/>
              <w:rPr>
                <w:rFonts w:ascii="Times New Roman" w:eastAsia="Calibri" w:hAnsi="Times New Roman" w:cs="Times New Roman"/>
                <w:sz w:val="20"/>
                <w:szCs w:val="20"/>
                <w:lang w:eastAsia="sk-SK"/>
              </w:rPr>
            </w:pPr>
            <w:r w:rsidRPr="00E0428B">
              <w:rPr>
                <w:rFonts w:ascii="Times New Roman" w:eastAsia="Calibri" w:hAnsi="Times New Roman" w:cs="Times New Roman"/>
                <w:sz w:val="20"/>
                <w:szCs w:val="20"/>
                <w:lang w:eastAsia="sk-SK"/>
              </w:rPr>
              <w:t xml:space="preserve">Zníženie nákladov na predprimárne vzdelávanie zvyšuje dostupnosť a znižuje riziko </w:t>
            </w:r>
            <w:r w:rsidRPr="00AA058B">
              <w:rPr>
                <w:rFonts w:ascii="Times New Roman" w:eastAsia="Calibri" w:hAnsi="Times New Roman" w:cs="Times New Roman"/>
                <w:bCs/>
                <w:sz w:val="20"/>
                <w:szCs w:val="20"/>
                <w:lang w:eastAsia="sk-SK"/>
              </w:rPr>
              <w:t>vylúčenia zo vzdelávacieho systému</w:t>
            </w:r>
            <w:r w:rsidRPr="0080520C">
              <w:rPr>
                <w:rFonts w:ascii="Times New Roman" w:eastAsia="Calibri" w:hAnsi="Times New Roman" w:cs="Times New Roman"/>
                <w:sz w:val="20"/>
                <w:szCs w:val="20"/>
                <w:lang w:eastAsia="sk-SK"/>
              </w:rPr>
              <w:t>.</w:t>
            </w:r>
            <w:r w:rsidRPr="00E0428B">
              <w:rPr>
                <w:rFonts w:ascii="Times New Roman" w:eastAsia="Calibri" w:hAnsi="Times New Roman" w:cs="Times New Roman"/>
                <w:sz w:val="20"/>
                <w:szCs w:val="20"/>
                <w:lang w:eastAsia="sk-SK"/>
              </w:rPr>
              <w:t xml:space="preserve"> </w:t>
            </w:r>
          </w:p>
          <w:p w14:paraId="3DBA1F0B" w14:textId="06C86BEA" w:rsidR="009B5A0C" w:rsidRPr="002644DE" w:rsidRDefault="009B5A0C" w:rsidP="00E0428B">
            <w:pPr>
              <w:spacing w:after="0" w:line="240" w:lineRule="auto"/>
              <w:rPr>
                <w:rFonts w:ascii="Times New Roman" w:eastAsia="Calibri" w:hAnsi="Times New Roman" w:cs="Times New Roman"/>
                <w:sz w:val="20"/>
                <w:szCs w:val="20"/>
                <w:lang w:eastAsia="sk-SK"/>
              </w:rPr>
            </w:pPr>
            <w:r w:rsidRPr="00BE6288">
              <w:rPr>
                <w:rFonts w:ascii="Times New Roman" w:eastAsia="Calibri" w:hAnsi="Times New Roman" w:cs="Times New Roman"/>
                <w:iCs/>
                <w:sz w:val="18"/>
                <w:szCs w:val="20"/>
                <w:lang w:eastAsia="sk-SK"/>
              </w:rPr>
              <w:t xml:space="preserve">Skupina osôb bez primárneho vzdelania sa vo veľkej miere prekrýva so skupinou osôb s nízkymi príjmami. Tieto osoby zároveň čelia zvýšenému riziku dlhodobej nezamestnanosti a závislosti od sociálnych dávok, keďže im chýba aj elementárna kvalifikácia, ktorá je podmienkou pre vstup na trh práce. Zavedenie programu na získanie primárneho vzdelania preto predstavuje kľúčový krok k zníženiu tejto závislosti a k zvýšeniu ich </w:t>
            </w:r>
            <w:proofErr w:type="spellStart"/>
            <w:r w:rsidRPr="00BE6288">
              <w:rPr>
                <w:rFonts w:ascii="Times New Roman" w:eastAsia="Calibri" w:hAnsi="Times New Roman" w:cs="Times New Roman"/>
                <w:iCs/>
                <w:sz w:val="18"/>
                <w:szCs w:val="20"/>
                <w:lang w:eastAsia="sk-SK"/>
              </w:rPr>
              <w:t>zamestnateľnosti</w:t>
            </w:r>
            <w:proofErr w:type="spellEnd"/>
            <w:r w:rsidRPr="00BE6288">
              <w:rPr>
                <w:rFonts w:ascii="Times New Roman" w:eastAsia="Calibri" w:hAnsi="Times New Roman" w:cs="Times New Roman"/>
                <w:iCs/>
                <w:sz w:val="18"/>
                <w:szCs w:val="20"/>
                <w:lang w:eastAsia="sk-SK"/>
              </w:rPr>
              <w:t>.</w:t>
            </w:r>
          </w:p>
        </w:tc>
      </w:tr>
      <w:tr w:rsidR="00E0428B" w:rsidRPr="002644DE" w14:paraId="52C6C5B2" w14:textId="77777777" w:rsidTr="0080520C">
        <w:trPr>
          <w:trHeight w:val="397"/>
          <w:jc w:val="center"/>
        </w:trPr>
        <w:tc>
          <w:tcPr>
            <w:tcW w:w="129" w:type="pct"/>
            <w:vMerge w:val="restart"/>
            <w:tcBorders>
              <w:top w:val="single" w:sz="4" w:space="0" w:color="auto"/>
            </w:tcBorders>
            <w:vAlign w:val="center"/>
          </w:tcPr>
          <w:p w14:paraId="14ACDBCF"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tcPr>
          <w:p w14:paraId="46795097" w14:textId="77777777" w:rsidR="00E0428B" w:rsidRPr="002644DE" w:rsidRDefault="00E0428B" w:rsidP="00E0428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37159A21" w14:textId="309C568C" w:rsidR="00E0428B" w:rsidRPr="002644DE" w:rsidRDefault="00E0428B" w:rsidP="00E0428B">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Rodiny, ktorých aspoň jeden člen je poberateľom dávky v hmotnej núdzi.</w:t>
            </w:r>
          </w:p>
        </w:tc>
      </w:tr>
      <w:tr w:rsidR="00E0428B" w:rsidRPr="002644DE" w14:paraId="676DEA85" w14:textId="77777777" w:rsidTr="0080520C">
        <w:trPr>
          <w:trHeight w:val="397"/>
          <w:jc w:val="center"/>
        </w:trPr>
        <w:tc>
          <w:tcPr>
            <w:tcW w:w="129" w:type="pct"/>
            <w:vMerge/>
            <w:vAlign w:val="center"/>
          </w:tcPr>
          <w:p w14:paraId="2E9B121C"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p>
        </w:tc>
        <w:tc>
          <w:tcPr>
            <w:tcW w:w="1642" w:type="pct"/>
          </w:tcPr>
          <w:p w14:paraId="0E128ADA" w14:textId="7B7D6BAC" w:rsidR="00E0428B" w:rsidRPr="002644DE" w:rsidRDefault="00E0428B" w:rsidP="00E0428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Rodiny z MRK</w:t>
            </w:r>
          </w:p>
        </w:tc>
        <w:tc>
          <w:tcPr>
            <w:tcW w:w="3229" w:type="pct"/>
            <w:tcBorders>
              <w:top w:val="dotted" w:sz="4" w:space="0" w:color="auto"/>
            </w:tcBorders>
          </w:tcPr>
          <w:p w14:paraId="78657607" w14:textId="6AB05E95" w:rsidR="00E0428B" w:rsidRPr="002644DE" w:rsidRDefault="00E0428B" w:rsidP="00E0428B">
            <w:pPr>
              <w:spacing w:after="0" w:line="240" w:lineRule="auto"/>
              <w:rPr>
                <w:rFonts w:ascii="Times New Roman" w:eastAsia="Calibri" w:hAnsi="Times New Roman" w:cs="Times New Roman"/>
                <w:sz w:val="20"/>
                <w:szCs w:val="20"/>
                <w:lang w:eastAsia="sk-SK"/>
              </w:rPr>
            </w:pPr>
            <w:r w:rsidRPr="00E0428B">
              <w:rPr>
                <w:rFonts w:ascii="Times New Roman" w:eastAsia="Calibri" w:hAnsi="Times New Roman" w:cs="Times New Roman"/>
                <w:i/>
                <w:sz w:val="18"/>
                <w:szCs w:val="20"/>
                <w:lang w:eastAsia="sk-SK"/>
              </w:rPr>
              <w:t>Jednorodičovské domácnosti a domácnosti s 3 a viac deťmi</w:t>
            </w:r>
            <w:r>
              <w:rPr>
                <w:rFonts w:ascii="Times New Roman" w:eastAsia="Calibri" w:hAnsi="Times New Roman" w:cs="Times New Roman"/>
                <w:i/>
                <w:sz w:val="18"/>
                <w:szCs w:val="20"/>
                <w:lang w:eastAsia="sk-SK"/>
              </w:rPr>
              <w:t>.</w:t>
            </w:r>
          </w:p>
        </w:tc>
      </w:tr>
      <w:tr w:rsidR="00E0428B" w:rsidRPr="002644DE" w14:paraId="204018E0" w14:textId="77777777" w:rsidTr="0080520C">
        <w:trPr>
          <w:trHeight w:val="397"/>
          <w:jc w:val="center"/>
        </w:trPr>
        <w:tc>
          <w:tcPr>
            <w:tcW w:w="129" w:type="pct"/>
            <w:tcBorders>
              <w:top w:val="dotted" w:sz="4" w:space="0" w:color="auto"/>
            </w:tcBorders>
            <w:shd w:val="clear" w:color="auto" w:fill="F2F2F2"/>
            <w:vAlign w:val="center"/>
          </w:tcPr>
          <w:p w14:paraId="7ECAD371" w14:textId="77777777" w:rsidR="00E0428B" w:rsidRPr="002644DE" w:rsidRDefault="00E0428B" w:rsidP="00E0428B">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461EA22B" w14:textId="77777777" w:rsidR="00E0428B" w:rsidRPr="002644DE" w:rsidRDefault="00E0428B" w:rsidP="00E0428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0428B" w:rsidRPr="002644DE" w14:paraId="3D5962F7" w14:textId="77777777" w:rsidTr="0080520C">
        <w:trPr>
          <w:trHeight w:val="680"/>
          <w:jc w:val="center"/>
        </w:trPr>
        <w:tc>
          <w:tcPr>
            <w:tcW w:w="129" w:type="pct"/>
            <w:vMerge w:val="restart"/>
            <w:tcBorders>
              <w:top w:val="dotted" w:sz="4" w:space="0" w:color="auto"/>
            </w:tcBorders>
            <w:vAlign w:val="center"/>
          </w:tcPr>
          <w:p w14:paraId="56070744"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tcPr>
          <w:p w14:paraId="66AE96E4" w14:textId="77777777" w:rsidR="00E0428B" w:rsidRPr="002644DE" w:rsidRDefault="00E0428B" w:rsidP="00E0428B">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52DF84D7" w14:textId="77777777" w:rsidR="00E0428B" w:rsidRPr="002644DE" w:rsidRDefault="00E0428B" w:rsidP="00E0428B">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63F8080A" w14:textId="40B52A8D" w:rsidR="00E0428B" w:rsidRPr="002644DE" w:rsidRDefault="00E0428B" w:rsidP="00E0428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w:t>
            </w:r>
          </w:p>
        </w:tc>
      </w:tr>
      <w:tr w:rsidR="00E0428B" w:rsidRPr="002644DE" w14:paraId="76027F6C" w14:textId="77777777" w:rsidTr="0080520C">
        <w:trPr>
          <w:trHeight w:val="680"/>
          <w:jc w:val="center"/>
        </w:trPr>
        <w:tc>
          <w:tcPr>
            <w:tcW w:w="129" w:type="pct"/>
            <w:vMerge/>
            <w:vAlign w:val="center"/>
          </w:tcPr>
          <w:p w14:paraId="293676D2"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p>
        </w:tc>
        <w:tc>
          <w:tcPr>
            <w:tcW w:w="1642" w:type="pct"/>
          </w:tcPr>
          <w:p w14:paraId="29792F02" w14:textId="4975F44D" w:rsidR="00E0428B" w:rsidRPr="002644DE" w:rsidRDefault="00E0428B" w:rsidP="00E0428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w:t>
            </w:r>
          </w:p>
        </w:tc>
        <w:tc>
          <w:tcPr>
            <w:tcW w:w="3229" w:type="pct"/>
            <w:tcBorders>
              <w:top w:val="dotted" w:sz="4" w:space="0" w:color="auto"/>
            </w:tcBorders>
          </w:tcPr>
          <w:p w14:paraId="290D159A" w14:textId="64CCCD49" w:rsidR="00E0428B" w:rsidRPr="002644DE" w:rsidRDefault="00E0428B" w:rsidP="00E0428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w:t>
            </w:r>
          </w:p>
        </w:tc>
      </w:tr>
      <w:tr w:rsidR="00E0428B" w:rsidRPr="002644DE" w14:paraId="34F7B30B" w14:textId="77777777" w:rsidTr="0080520C">
        <w:trPr>
          <w:trHeight w:val="350"/>
          <w:jc w:val="center"/>
        </w:trPr>
        <w:tc>
          <w:tcPr>
            <w:tcW w:w="129" w:type="pct"/>
            <w:tcBorders>
              <w:top w:val="dotted" w:sz="4" w:space="0" w:color="auto"/>
              <w:bottom w:val="single" w:sz="4" w:space="0" w:color="auto"/>
            </w:tcBorders>
            <w:vAlign w:val="center"/>
          </w:tcPr>
          <w:p w14:paraId="58DF4134"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tcPr>
          <w:p w14:paraId="07D5422F" w14:textId="77777777" w:rsidR="00E0428B" w:rsidRPr="002644DE" w:rsidRDefault="00E0428B" w:rsidP="00E0428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tcPr>
          <w:p w14:paraId="1B58B3D5" w14:textId="1EDCEDF5" w:rsidR="009B5A0C" w:rsidRPr="002644DE" w:rsidRDefault="00E0428B" w:rsidP="00E0428B">
            <w:pPr>
              <w:spacing w:after="0" w:line="240" w:lineRule="auto"/>
              <w:rPr>
                <w:rFonts w:ascii="Times New Roman" w:eastAsia="Calibri" w:hAnsi="Times New Roman" w:cs="Times New Roman"/>
                <w:sz w:val="20"/>
                <w:szCs w:val="20"/>
                <w:lang w:eastAsia="sk-SK"/>
              </w:rPr>
            </w:pPr>
            <w:r w:rsidRPr="00E0428B">
              <w:rPr>
                <w:rFonts w:ascii="Times New Roman" w:eastAsia="Calibri" w:hAnsi="Times New Roman" w:cs="Times New Roman"/>
                <w:sz w:val="20"/>
                <w:szCs w:val="20"/>
                <w:lang w:eastAsia="sk-SK"/>
              </w:rPr>
              <w:t>Kvantifikáciu nie je možné zabezpečiť pre nedostupnosť dát o výške výdavkov v jednotlivých typoch domácností.</w:t>
            </w:r>
          </w:p>
        </w:tc>
      </w:tr>
      <w:tr w:rsidR="00E0428B" w:rsidRPr="002644DE" w14:paraId="148EB491" w14:textId="77777777" w:rsidTr="0080520C">
        <w:trPr>
          <w:trHeight w:val="170"/>
          <w:jc w:val="center"/>
        </w:trPr>
        <w:tc>
          <w:tcPr>
            <w:tcW w:w="129" w:type="pct"/>
            <w:tcBorders>
              <w:top w:val="single" w:sz="4" w:space="0" w:color="auto"/>
              <w:bottom w:val="single" w:sz="4" w:space="0" w:color="auto"/>
            </w:tcBorders>
            <w:shd w:val="clear" w:color="auto" w:fill="DDDDDD"/>
            <w:vAlign w:val="center"/>
          </w:tcPr>
          <w:p w14:paraId="1D9C7D79"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17864195" w14:textId="77777777" w:rsidR="00E0428B" w:rsidRPr="002644DE" w:rsidRDefault="00E0428B" w:rsidP="00E0428B">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E0428B" w:rsidRPr="002644DE" w14:paraId="1FBBD793" w14:textId="77777777" w:rsidTr="0080520C">
        <w:trPr>
          <w:trHeight w:val="759"/>
          <w:jc w:val="center"/>
        </w:trPr>
        <w:tc>
          <w:tcPr>
            <w:tcW w:w="129" w:type="pct"/>
            <w:tcBorders>
              <w:top w:val="single" w:sz="4" w:space="0" w:color="auto"/>
              <w:bottom w:val="single" w:sz="4" w:space="0" w:color="auto"/>
            </w:tcBorders>
            <w:vAlign w:val="center"/>
          </w:tcPr>
          <w:p w14:paraId="41B1E46F" w14:textId="77777777" w:rsidR="00E0428B" w:rsidRPr="002644DE" w:rsidRDefault="00E0428B" w:rsidP="00E0428B">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60955448" w14:textId="77777777" w:rsidR="00E0428B" w:rsidRPr="002644DE" w:rsidRDefault="00E0428B" w:rsidP="00E0428B">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vAlign w:val="center"/>
          </w:tcPr>
          <w:p w14:paraId="5BCF45D1" w14:textId="77777777" w:rsidR="00E0428B" w:rsidRPr="002644DE" w:rsidRDefault="00E0428B" w:rsidP="00E0428B">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39B63FD6" w14:textId="391517EB" w:rsidR="00E0428B" w:rsidRPr="002644DE" w:rsidRDefault="00AE0669" w:rsidP="00AE0669">
            <w:pPr>
              <w:spacing w:after="0" w:line="240" w:lineRule="auto"/>
              <w:ind w:left="708"/>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E0428B" w:rsidRPr="002644DE" w14:paraId="494ADD9F" w14:textId="77777777" w:rsidTr="0080520C">
        <w:trPr>
          <w:trHeight w:val="397"/>
          <w:jc w:val="center"/>
        </w:trPr>
        <w:tc>
          <w:tcPr>
            <w:tcW w:w="129" w:type="pct"/>
            <w:vMerge w:val="restart"/>
            <w:tcBorders>
              <w:top w:val="single" w:sz="4" w:space="0" w:color="auto"/>
            </w:tcBorders>
            <w:vAlign w:val="center"/>
          </w:tcPr>
          <w:p w14:paraId="0449EC49"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tcPr>
          <w:p w14:paraId="22FA63BE" w14:textId="77777777" w:rsidR="00E0428B" w:rsidRPr="002644DE" w:rsidRDefault="00E0428B" w:rsidP="00E0428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tcPr>
          <w:p w14:paraId="7AD144D7" w14:textId="2B5E9C7F" w:rsidR="00E0428B" w:rsidRPr="002644DE" w:rsidRDefault="00AE0669" w:rsidP="00E0428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w:t>
            </w:r>
          </w:p>
        </w:tc>
      </w:tr>
      <w:tr w:rsidR="00E0428B" w:rsidRPr="002644DE" w14:paraId="251A7013" w14:textId="77777777" w:rsidTr="0080520C">
        <w:trPr>
          <w:trHeight w:val="397"/>
          <w:jc w:val="center"/>
        </w:trPr>
        <w:tc>
          <w:tcPr>
            <w:tcW w:w="129" w:type="pct"/>
            <w:vMerge/>
            <w:tcBorders>
              <w:bottom w:val="single" w:sz="4" w:space="0" w:color="auto"/>
            </w:tcBorders>
            <w:vAlign w:val="center"/>
          </w:tcPr>
          <w:p w14:paraId="5824FDCB"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tcPr>
          <w:p w14:paraId="1E293734" w14:textId="28B5311E" w:rsidR="00E0428B" w:rsidRPr="002644DE" w:rsidRDefault="00AE0669" w:rsidP="00E0428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w:t>
            </w:r>
          </w:p>
        </w:tc>
        <w:tc>
          <w:tcPr>
            <w:tcW w:w="3229" w:type="pct"/>
            <w:tcBorders>
              <w:top w:val="dotted" w:sz="4" w:space="0" w:color="auto"/>
              <w:bottom w:val="single" w:sz="4" w:space="0" w:color="auto"/>
            </w:tcBorders>
          </w:tcPr>
          <w:p w14:paraId="2E37934B" w14:textId="79D5962E" w:rsidR="00E0428B" w:rsidRPr="002644DE" w:rsidRDefault="00AE0669" w:rsidP="00E0428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w:t>
            </w:r>
          </w:p>
        </w:tc>
      </w:tr>
      <w:tr w:rsidR="00E0428B" w:rsidRPr="002644DE" w14:paraId="4D964C1D" w14:textId="77777777" w:rsidTr="0080520C">
        <w:trPr>
          <w:trHeight w:val="397"/>
          <w:jc w:val="center"/>
        </w:trPr>
        <w:tc>
          <w:tcPr>
            <w:tcW w:w="129" w:type="pct"/>
            <w:tcBorders>
              <w:top w:val="single" w:sz="4" w:space="0" w:color="auto"/>
            </w:tcBorders>
            <w:shd w:val="clear" w:color="auto" w:fill="F2F2F2"/>
            <w:vAlign w:val="center"/>
          </w:tcPr>
          <w:p w14:paraId="024A5BDA"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79B27097" w14:textId="77777777" w:rsidR="00E0428B" w:rsidRPr="002644DE" w:rsidRDefault="00E0428B" w:rsidP="00E0428B">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0428B" w:rsidRPr="002644DE" w14:paraId="44C30A59" w14:textId="77777777" w:rsidTr="0080520C">
        <w:trPr>
          <w:trHeight w:val="680"/>
          <w:jc w:val="center"/>
        </w:trPr>
        <w:tc>
          <w:tcPr>
            <w:tcW w:w="129" w:type="pct"/>
            <w:vMerge w:val="restart"/>
            <w:tcBorders>
              <w:top w:val="dotted" w:sz="4" w:space="0" w:color="auto"/>
            </w:tcBorders>
            <w:vAlign w:val="center"/>
          </w:tcPr>
          <w:p w14:paraId="19F2DDAA"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tcPr>
          <w:p w14:paraId="152E702B" w14:textId="77777777" w:rsidR="00E0428B" w:rsidRPr="002644DE" w:rsidRDefault="00E0428B" w:rsidP="00E0428B">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3191D7F2" w14:textId="77777777" w:rsidR="00E0428B" w:rsidRPr="002644DE" w:rsidRDefault="00E0428B" w:rsidP="00E0428B">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43162CD7" w14:textId="4B19964F" w:rsidR="00E0428B" w:rsidRPr="002644DE" w:rsidRDefault="00AE0669" w:rsidP="00E0428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w:t>
            </w:r>
          </w:p>
        </w:tc>
      </w:tr>
      <w:tr w:rsidR="00E0428B" w:rsidRPr="002644DE" w14:paraId="6746AD8E" w14:textId="77777777" w:rsidTr="0080520C">
        <w:trPr>
          <w:trHeight w:val="680"/>
          <w:jc w:val="center"/>
        </w:trPr>
        <w:tc>
          <w:tcPr>
            <w:tcW w:w="129" w:type="pct"/>
            <w:vMerge/>
            <w:vAlign w:val="center"/>
          </w:tcPr>
          <w:p w14:paraId="0970D4CC"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p>
        </w:tc>
        <w:tc>
          <w:tcPr>
            <w:tcW w:w="1642" w:type="pct"/>
          </w:tcPr>
          <w:p w14:paraId="48A04F21" w14:textId="7FB10BD5" w:rsidR="00E0428B" w:rsidRPr="002644DE" w:rsidRDefault="00AE0669" w:rsidP="00E0428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w:t>
            </w:r>
          </w:p>
        </w:tc>
        <w:tc>
          <w:tcPr>
            <w:tcW w:w="3229" w:type="pct"/>
            <w:tcBorders>
              <w:top w:val="dotted" w:sz="4" w:space="0" w:color="auto"/>
            </w:tcBorders>
          </w:tcPr>
          <w:p w14:paraId="49088798" w14:textId="643EBC96" w:rsidR="00E0428B" w:rsidRPr="002644DE" w:rsidRDefault="00AE0669" w:rsidP="00E0428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w:t>
            </w:r>
          </w:p>
        </w:tc>
      </w:tr>
      <w:tr w:rsidR="00E0428B" w:rsidRPr="002644DE" w14:paraId="5631A353" w14:textId="77777777" w:rsidTr="0080520C">
        <w:trPr>
          <w:trHeight w:val="397"/>
          <w:jc w:val="center"/>
        </w:trPr>
        <w:tc>
          <w:tcPr>
            <w:tcW w:w="129" w:type="pct"/>
            <w:tcBorders>
              <w:top w:val="dotted" w:sz="4" w:space="0" w:color="auto"/>
            </w:tcBorders>
            <w:vAlign w:val="center"/>
          </w:tcPr>
          <w:p w14:paraId="1D7D0A89"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tcPr>
          <w:p w14:paraId="6109FD76" w14:textId="77777777" w:rsidR="00E0428B" w:rsidRPr="002644DE" w:rsidRDefault="00E0428B" w:rsidP="00E0428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tcPr>
          <w:p w14:paraId="574D93F3" w14:textId="461FE051" w:rsidR="00E0428B" w:rsidRPr="002644DE" w:rsidRDefault="00AE0669" w:rsidP="00E0428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w:t>
            </w:r>
          </w:p>
        </w:tc>
      </w:tr>
      <w:tr w:rsidR="00E0428B" w:rsidRPr="002644DE" w14:paraId="0C2295D1" w14:textId="77777777" w:rsidTr="0080520C">
        <w:trPr>
          <w:trHeight w:val="227"/>
          <w:jc w:val="center"/>
        </w:trPr>
        <w:tc>
          <w:tcPr>
            <w:tcW w:w="129" w:type="pct"/>
            <w:tcBorders>
              <w:top w:val="nil"/>
              <w:bottom w:val="single" w:sz="4" w:space="0" w:color="auto"/>
            </w:tcBorders>
            <w:shd w:val="clear" w:color="auto" w:fill="F2F2F2"/>
            <w:vAlign w:val="center"/>
          </w:tcPr>
          <w:p w14:paraId="49537D05"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22F008CD" w14:textId="77777777" w:rsidR="00E0428B" w:rsidRPr="002644DE" w:rsidRDefault="00E0428B" w:rsidP="00E0428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6D8E6E19" w14:textId="77777777" w:rsidR="00E0428B" w:rsidRPr="002644DE" w:rsidRDefault="00E0428B" w:rsidP="00E0428B">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E0428B" w:rsidRPr="002644DE" w14:paraId="48A5A785" w14:textId="77777777" w:rsidTr="0080520C">
        <w:trPr>
          <w:trHeight w:val="759"/>
          <w:jc w:val="center"/>
        </w:trPr>
        <w:tc>
          <w:tcPr>
            <w:tcW w:w="129" w:type="pct"/>
            <w:tcBorders>
              <w:top w:val="single" w:sz="4" w:space="0" w:color="auto"/>
              <w:bottom w:val="single" w:sz="4" w:space="0" w:color="auto"/>
            </w:tcBorders>
            <w:vAlign w:val="center"/>
          </w:tcPr>
          <w:p w14:paraId="25DA3996"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tcPr>
          <w:p w14:paraId="3FDFEDFC" w14:textId="77777777" w:rsidR="00E0428B" w:rsidRPr="002644DE" w:rsidRDefault="00E0428B" w:rsidP="00E0428B">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0CB9A2C2" w14:textId="4FED59AB" w:rsidR="00E0428B" w:rsidRPr="002644DE" w:rsidRDefault="00AE0669" w:rsidP="00E0428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w:t>
            </w:r>
          </w:p>
        </w:tc>
      </w:tr>
      <w:tr w:rsidR="00E0428B" w:rsidRPr="002644DE" w14:paraId="08DC092C" w14:textId="77777777" w:rsidTr="0080520C">
        <w:trPr>
          <w:trHeight w:val="397"/>
          <w:jc w:val="center"/>
        </w:trPr>
        <w:tc>
          <w:tcPr>
            <w:tcW w:w="129" w:type="pct"/>
            <w:vMerge w:val="restart"/>
            <w:tcBorders>
              <w:top w:val="single" w:sz="4" w:space="0" w:color="auto"/>
            </w:tcBorders>
            <w:vAlign w:val="center"/>
          </w:tcPr>
          <w:p w14:paraId="16187841"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tcPr>
          <w:p w14:paraId="43CA0E69" w14:textId="77777777" w:rsidR="00E0428B" w:rsidRPr="002644DE" w:rsidRDefault="00E0428B" w:rsidP="00E0428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39979FD9" w14:textId="11962084" w:rsidR="00E0428B" w:rsidRPr="002644DE" w:rsidRDefault="00AE0669" w:rsidP="00E0428B">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w:t>
            </w:r>
          </w:p>
        </w:tc>
      </w:tr>
      <w:tr w:rsidR="00E0428B" w:rsidRPr="002644DE" w14:paraId="21AAA647" w14:textId="77777777" w:rsidTr="0080520C">
        <w:trPr>
          <w:trHeight w:val="397"/>
          <w:jc w:val="center"/>
        </w:trPr>
        <w:tc>
          <w:tcPr>
            <w:tcW w:w="129" w:type="pct"/>
            <w:vMerge/>
            <w:vAlign w:val="center"/>
          </w:tcPr>
          <w:p w14:paraId="7C589F71"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p>
        </w:tc>
        <w:tc>
          <w:tcPr>
            <w:tcW w:w="1642" w:type="pct"/>
          </w:tcPr>
          <w:p w14:paraId="6EE9B6AC" w14:textId="66385C78" w:rsidR="00E0428B" w:rsidRPr="002644DE" w:rsidRDefault="00AE0669" w:rsidP="00E0428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w:t>
            </w:r>
          </w:p>
        </w:tc>
        <w:tc>
          <w:tcPr>
            <w:tcW w:w="3229" w:type="pct"/>
            <w:tcBorders>
              <w:top w:val="dotted" w:sz="4" w:space="0" w:color="auto"/>
            </w:tcBorders>
          </w:tcPr>
          <w:p w14:paraId="1711D1CF" w14:textId="4DFB6D80" w:rsidR="00E0428B" w:rsidRPr="002644DE" w:rsidRDefault="00AE0669" w:rsidP="00E0428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w:t>
            </w:r>
          </w:p>
        </w:tc>
      </w:tr>
      <w:tr w:rsidR="00E0428B" w:rsidRPr="002644DE" w14:paraId="13EB219B" w14:textId="77777777" w:rsidTr="0080520C">
        <w:trPr>
          <w:trHeight w:val="454"/>
          <w:jc w:val="center"/>
        </w:trPr>
        <w:tc>
          <w:tcPr>
            <w:tcW w:w="129" w:type="pct"/>
            <w:tcBorders>
              <w:top w:val="dotted" w:sz="4" w:space="0" w:color="auto"/>
            </w:tcBorders>
            <w:shd w:val="clear" w:color="auto" w:fill="F2F2F2"/>
            <w:vAlign w:val="center"/>
          </w:tcPr>
          <w:p w14:paraId="2AB9AE7D" w14:textId="77777777" w:rsidR="00E0428B" w:rsidRPr="002644DE" w:rsidRDefault="00E0428B" w:rsidP="00E0428B">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lastRenderedPageBreak/>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3067A9D5" w14:textId="77777777" w:rsidR="00E0428B" w:rsidRPr="002644DE" w:rsidRDefault="00E0428B" w:rsidP="00E0428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0428B" w:rsidRPr="002644DE" w14:paraId="65331C9B" w14:textId="77777777" w:rsidTr="0080520C">
        <w:trPr>
          <w:trHeight w:val="680"/>
          <w:jc w:val="center"/>
        </w:trPr>
        <w:tc>
          <w:tcPr>
            <w:tcW w:w="129" w:type="pct"/>
            <w:vMerge w:val="restart"/>
            <w:tcBorders>
              <w:top w:val="dotted" w:sz="4" w:space="0" w:color="auto"/>
            </w:tcBorders>
            <w:vAlign w:val="center"/>
          </w:tcPr>
          <w:p w14:paraId="3E74E6E3"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tcPr>
          <w:p w14:paraId="25CA796B" w14:textId="77777777" w:rsidR="00E0428B" w:rsidRPr="002644DE" w:rsidRDefault="00E0428B" w:rsidP="00E0428B">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63A0C760" w14:textId="77777777" w:rsidR="00E0428B" w:rsidRPr="002644DE" w:rsidRDefault="00E0428B" w:rsidP="00E0428B">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2A0D8EFC" w14:textId="103CB5E6" w:rsidR="00E0428B" w:rsidRPr="002644DE" w:rsidRDefault="00AE0669" w:rsidP="00E0428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w:t>
            </w:r>
          </w:p>
        </w:tc>
      </w:tr>
      <w:tr w:rsidR="00E0428B" w:rsidRPr="002644DE" w14:paraId="5FB13737" w14:textId="77777777" w:rsidTr="0080520C">
        <w:trPr>
          <w:trHeight w:val="680"/>
          <w:jc w:val="center"/>
        </w:trPr>
        <w:tc>
          <w:tcPr>
            <w:tcW w:w="129" w:type="pct"/>
            <w:vMerge/>
            <w:vAlign w:val="center"/>
          </w:tcPr>
          <w:p w14:paraId="74DD55F3"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p>
        </w:tc>
        <w:tc>
          <w:tcPr>
            <w:tcW w:w="1642" w:type="pct"/>
          </w:tcPr>
          <w:p w14:paraId="6A373DD7" w14:textId="2EE57D03" w:rsidR="00E0428B" w:rsidRPr="002644DE" w:rsidRDefault="00AE0669" w:rsidP="00E0428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w:t>
            </w:r>
          </w:p>
        </w:tc>
        <w:tc>
          <w:tcPr>
            <w:tcW w:w="3229" w:type="pct"/>
            <w:tcBorders>
              <w:top w:val="dotted" w:sz="4" w:space="0" w:color="auto"/>
            </w:tcBorders>
          </w:tcPr>
          <w:p w14:paraId="644C56F7" w14:textId="1745676F" w:rsidR="00E0428B" w:rsidRPr="002644DE" w:rsidRDefault="00AE0669" w:rsidP="00E0428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w:t>
            </w:r>
          </w:p>
        </w:tc>
      </w:tr>
      <w:tr w:rsidR="00E0428B" w:rsidRPr="002644DE" w14:paraId="7B19FE0D" w14:textId="77777777" w:rsidTr="0080520C">
        <w:trPr>
          <w:trHeight w:val="454"/>
          <w:jc w:val="center"/>
        </w:trPr>
        <w:tc>
          <w:tcPr>
            <w:tcW w:w="129" w:type="pct"/>
            <w:tcBorders>
              <w:top w:val="dotted" w:sz="4" w:space="0" w:color="auto"/>
              <w:bottom w:val="single" w:sz="4" w:space="0" w:color="auto"/>
            </w:tcBorders>
            <w:vAlign w:val="center"/>
          </w:tcPr>
          <w:p w14:paraId="2CA031FE" w14:textId="77777777" w:rsidR="00E0428B" w:rsidRPr="002644DE" w:rsidRDefault="00E0428B" w:rsidP="00E0428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tcPr>
          <w:p w14:paraId="18AA9E2A" w14:textId="77777777" w:rsidR="00E0428B" w:rsidRPr="002644DE" w:rsidRDefault="00E0428B" w:rsidP="00E0428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tcPr>
          <w:p w14:paraId="64827045" w14:textId="34F9A2AC" w:rsidR="00E0428B" w:rsidRPr="002644DE" w:rsidRDefault="00AE0669" w:rsidP="00E0428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w:t>
            </w:r>
          </w:p>
        </w:tc>
      </w:tr>
    </w:tbl>
    <w:p w14:paraId="2F3423A6" w14:textId="1FC84EA3" w:rsidR="009B5A0C" w:rsidRDefault="009B5A0C" w:rsidP="002644DE"/>
    <w:p w14:paraId="627D78F0" w14:textId="77777777" w:rsidR="009B5A0C" w:rsidRDefault="009B5A0C">
      <w:r>
        <w:br w:type="page"/>
      </w:r>
    </w:p>
    <w:p w14:paraId="6A6AD708" w14:textId="77777777" w:rsidR="002644DE" w:rsidRDefault="002644DE" w:rsidP="002644DE"/>
    <w:p w14:paraId="7E485292" w14:textId="77777777" w:rsidR="002644DE" w:rsidRPr="002644DE" w:rsidRDefault="002644DE" w:rsidP="002644DE">
      <w:pPr>
        <w:sectPr w:rsidR="002644DE" w:rsidRPr="002644DE" w:rsidSect="0080520C">
          <w:headerReference w:type="default" r:id="rId11"/>
          <w:footerReference w:type="default" r:id="rId12"/>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5B9FF0AF" w14:textId="77777777" w:rsidTr="0080520C">
        <w:trPr>
          <w:trHeight w:val="339"/>
          <w:jc w:val="center"/>
        </w:trPr>
        <w:tc>
          <w:tcPr>
            <w:tcW w:w="4998" w:type="pct"/>
            <w:gridSpan w:val="4"/>
            <w:tcBorders>
              <w:bottom w:val="single" w:sz="4" w:space="0" w:color="auto"/>
            </w:tcBorders>
            <w:shd w:val="clear" w:color="auto" w:fill="D9D9D9"/>
          </w:tcPr>
          <w:p w14:paraId="37949EE1"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2644DE" w:rsidRPr="002644DE" w14:paraId="6947DED6" w14:textId="77777777" w:rsidTr="0080520C">
        <w:trPr>
          <w:trHeight w:val="290"/>
          <w:jc w:val="center"/>
        </w:trPr>
        <w:tc>
          <w:tcPr>
            <w:tcW w:w="4998" w:type="pct"/>
            <w:gridSpan w:val="4"/>
            <w:tcBorders>
              <w:bottom w:val="single" w:sz="4" w:space="0" w:color="auto"/>
            </w:tcBorders>
            <w:shd w:val="clear" w:color="auto" w:fill="F2F2F2"/>
            <w:vAlign w:val="center"/>
          </w:tcPr>
          <w:p w14:paraId="21E14656"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5A542622"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44251260" w14:textId="77777777" w:rsidTr="0080520C">
        <w:tblPrEx>
          <w:tblBorders>
            <w:top w:val="none" w:sz="0" w:space="0" w:color="auto"/>
            <w:bottom w:val="none" w:sz="0" w:space="0" w:color="auto"/>
          </w:tblBorders>
        </w:tblPrEx>
        <w:trPr>
          <w:trHeight w:val="557"/>
          <w:jc w:val="center"/>
        </w:trPr>
        <w:tc>
          <w:tcPr>
            <w:tcW w:w="180" w:type="pct"/>
            <w:vAlign w:val="center"/>
          </w:tcPr>
          <w:p w14:paraId="053C949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tcPr>
          <w:p w14:paraId="001CCDA2"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6C09677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3FD4039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439BD17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4BC0835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337CC0F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5404457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42EA79E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3853037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63B975D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5CEB02D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3ED7BE8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75B425A4"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tcPr>
          <w:p w14:paraId="1A949CF8" w14:textId="77777777" w:rsidR="00F65B4A" w:rsidRPr="00F65B4A" w:rsidRDefault="00F65B4A" w:rsidP="00F65B4A">
            <w:pPr>
              <w:spacing w:after="0" w:line="240" w:lineRule="auto"/>
              <w:contextualSpacing/>
              <w:rPr>
                <w:rFonts w:ascii="Times New Roman" w:eastAsia="Calibri" w:hAnsi="Times New Roman" w:cs="Times New Roman"/>
                <w:sz w:val="20"/>
                <w:szCs w:val="20"/>
                <w:lang w:eastAsia="sk-SK"/>
              </w:rPr>
            </w:pPr>
            <w:r w:rsidRPr="00F65B4A">
              <w:rPr>
                <w:rFonts w:ascii="Times New Roman" w:eastAsia="Calibri" w:hAnsi="Times New Roman" w:cs="Times New Roman"/>
                <w:b/>
                <w:bCs/>
                <w:sz w:val="20"/>
                <w:szCs w:val="20"/>
                <w:lang w:eastAsia="sk-SK"/>
              </w:rPr>
              <w:t>Pozitívny vplyv na prístup:</w:t>
            </w:r>
          </w:p>
          <w:p w14:paraId="525695A2" w14:textId="77777777" w:rsidR="00F65B4A" w:rsidRDefault="00F65B4A" w:rsidP="00923F28">
            <w:pPr>
              <w:numPr>
                <w:ilvl w:val="0"/>
                <w:numId w:val="18"/>
              </w:numPr>
              <w:spacing w:after="0" w:line="240" w:lineRule="auto"/>
              <w:contextualSpacing/>
              <w:jc w:val="both"/>
              <w:rPr>
                <w:rFonts w:ascii="Times New Roman" w:eastAsia="Calibri" w:hAnsi="Times New Roman" w:cs="Times New Roman"/>
                <w:sz w:val="20"/>
                <w:szCs w:val="20"/>
                <w:lang w:eastAsia="sk-SK"/>
              </w:rPr>
            </w:pPr>
            <w:r w:rsidRPr="00F65B4A">
              <w:rPr>
                <w:rFonts w:ascii="Times New Roman" w:eastAsia="Calibri" w:hAnsi="Times New Roman" w:cs="Times New Roman"/>
                <w:b/>
                <w:bCs/>
                <w:sz w:val="20"/>
                <w:szCs w:val="20"/>
                <w:lang w:eastAsia="sk-SK"/>
              </w:rPr>
              <w:t>K formálnemu vzdelávaniu</w:t>
            </w:r>
            <w:r w:rsidRPr="00F65B4A">
              <w:rPr>
                <w:rFonts w:ascii="Times New Roman" w:eastAsia="Calibri" w:hAnsi="Times New Roman" w:cs="Times New Roman"/>
                <w:sz w:val="20"/>
                <w:szCs w:val="20"/>
                <w:lang w:eastAsia="sk-SK"/>
              </w:rPr>
              <w:t xml:space="preserve"> – prostredníctvom zvýšenej dostupnosti predprimárneho vzdelávania a rozšírenia </w:t>
            </w:r>
            <w:proofErr w:type="spellStart"/>
            <w:r w:rsidRPr="00F65B4A">
              <w:rPr>
                <w:rFonts w:ascii="Times New Roman" w:eastAsia="Calibri" w:hAnsi="Times New Roman" w:cs="Times New Roman"/>
                <w:sz w:val="20"/>
                <w:szCs w:val="20"/>
                <w:lang w:eastAsia="sk-SK"/>
              </w:rPr>
              <w:t>druhošancového</w:t>
            </w:r>
            <w:proofErr w:type="spellEnd"/>
            <w:r w:rsidRPr="00F65B4A">
              <w:rPr>
                <w:rFonts w:ascii="Times New Roman" w:eastAsia="Calibri" w:hAnsi="Times New Roman" w:cs="Times New Roman"/>
                <w:sz w:val="20"/>
                <w:szCs w:val="20"/>
                <w:lang w:eastAsia="sk-SK"/>
              </w:rPr>
              <w:t xml:space="preserve"> vzdelávania o program na získanie primárneho vzdelania pre osoby, ktoré ukončili povinnú školskú dochádzku bez jeho dosiahnutia.</w:t>
            </w:r>
          </w:p>
          <w:p w14:paraId="5C027D23" w14:textId="77777777" w:rsidR="00F11FAB" w:rsidRPr="00F65B4A" w:rsidRDefault="00F11FAB" w:rsidP="00F11FAB">
            <w:pPr>
              <w:spacing w:after="0" w:line="240" w:lineRule="auto"/>
              <w:ind w:left="360"/>
              <w:contextualSpacing/>
              <w:jc w:val="both"/>
              <w:rPr>
                <w:rFonts w:ascii="Times New Roman" w:eastAsia="Calibri" w:hAnsi="Times New Roman" w:cs="Times New Roman"/>
                <w:sz w:val="20"/>
                <w:szCs w:val="20"/>
                <w:lang w:eastAsia="sk-SK"/>
              </w:rPr>
            </w:pPr>
          </w:p>
          <w:p w14:paraId="5EB742E3" w14:textId="77777777" w:rsidR="00F65B4A" w:rsidRPr="00F65B4A" w:rsidRDefault="00F65B4A" w:rsidP="00923F28">
            <w:pPr>
              <w:numPr>
                <w:ilvl w:val="0"/>
                <w:numId w:val="18"/>
              </w:numPr>
              <w:spacing w:after="0" w:line="240" w:lineRule="auto"/>
              <w:contextualSpacing/>
              <w:jc w:val="both"/>
              <w:rPr>
                <w:rFonts w:ascii="Times New Roman" w:eastAsia="Calibri" w:hAnsi="Times New Roman" w:cs="Times New Roman"/>
                <w:sz w:val="20"/>
                <w:szCs w:val="20"/>
                <w:lang w:eastAsia="sk-SK"/>
              </w:rPr>
            </w:pPr>
            <w:r w:rsidRPr="00F65B4A">
              <w:rPr>
                <w:rFonts w:ascii="Times New Roman" w:eastAsia="Calibri" w:hAnsi="Times New Roman" w:cs="Times New Roman"/>
                <w:b/>
                <w:bCs/>
                <w:sz w:val="20"/>
                <w:szCs w:val="20"/>
                <w:lang w:eastAsia="sk-SK"/>
              </w:rPr>
              <w:t>K spravodlivosti a rovnosti práv pre príslušníkov národnostných menšín</w:t>
            </w:r>
            <w:r w:rsidRPr="00F65B4A">
              <w:rPr>
                <w:rFonts w:ascii="Times New Roman" w:eastAsia="Calibri" w:hAnsi="Times New Roman" w:cs="Times New Roman"/>
                <w:sz w:val="20"/>
                <w:szCs w:val="20"/>
                <w:lang w:eastAsia="sk-SK"/>
              </w:rPr>
              <w:t xml:space="preserve"> – opatrenia zahŕňajú:</w:t>
            </w:r>
          </w:p>
          <w:p w14:paraId="378DF2E7" w14:textId="77777777" w:rsidR="00F65B4A" w:rsidRPr="00F65B4A" w:rsidRDefault="00F65B4A" w:rsidP="00923F28">
            <w:pPr>
              <w:numPr>
                <w:ilvl w:val="1"/>
                <w:numId w:val="19"/>
              </w:numPr>
              <w:spacing w:after="0" w:line="240" w:lineRule="auto"/>
              <w:contextualSpacing/>
              <w:jc w:val="both"/>
              <w:rPr>
                <w:rFonts w:ascii="Times New Roman" w:eastAsia="Calibri" w:hAnsi="Times New Roman" w:cs="Times New Roman"/>
                <w:sz w:val="20"/>
                <w:szCs w:val="20"/>
                <w:lang w:eastAsia="sk-SK"/>
              </w:rPr>
            </w:pPr>
            <w:r w:rsidRPr="00F65B4A">
              <w:rPr>
                <w:rFonts w:ascii="Times New Roman" w:eastAsia="Calibri" w:hAnsi="Times New Roman" w:cs="Times New Roman"/>
                <w:sz w:val="20"/>
                <w:szCs w:val="20"/>
                <w:lang w:eastAsia="sk-SK"/>
              </w:rPr>
              <w:t>úpravu geografických názvov v edukačných materiáloch pre národnostné školy v štátnom jazyku aj v jazyku príslušnej menšiny,</w:t>
            </w:r>
          </w:p>
          <w:p w14:paraId="5BAC6C19" w14:textId="18C91E45" w:rsidR="00F65B4A" w:rsidRPr="00F65B4A" w:rsidRDefault="00F65B4A" w:rsidP="00923F28">
            <w:pPr>
              <w:numPr>
                <w:ilvl w:val="1"/>
                <w:numId w:val="19"/>
              </w:numPr>
              <w:spacing w:after="0" w:line="240" w:lineRule="auto"/>
              <w:contextualSpacing/>
              <w:jc w:val="both"/>
              <w:rPr>
                <w:rFonts w:ascii="Times New Roman" w:eastAsia="Calibri" w:hAnsi="Times New Roman" w:cs="Times New Roman"/>
                <w:sz w:val="20"/>
                <w:szCs w:val="20"/>
                <w:lang w:eastAsia="sk-SK"/>
              </w:rPr>
            </w:pPr>
            <w:r w:rsidRPr="00F65B4A">
              <w:rPr>
                <w:rFonts w:ascii="Times New Roman" w:eastAsia="Calibri" w:hAnsi="Times New Roman" w:cs="Times New Roman"/>
                <w:sz w:val="20"/>
                <w:szCs w:val="20"/>
                <w:lang w:eastAsia="sk-SK"/>
              </w:rPr>
              <w:t xml:space="preserve">možnosť </w:t>
            </w:r>
            <w:r w:rsidR="00117DD3">
              <w:rPr>
                <w:rFonts w:ascii="Times New Roman" w:eastAsia="Calibri" w:hAnsi="Times New Roman" w:cs="Times New Roman"/>
                <w:sz w:val="20"/>
                <w:szCs w:val="20"/>
                <w:lang w:eastAsia="sk-SK"/>
              </w:rPr>
              <w:t>poskytovania odborných činností</w:t>
            </w:r>
            <w:r w:rsidRPr="00F65B4A">
              <w:rPr>
                <w:rFonts w:ascii="Times New Roman" w:eastAsia="Calibri" w:hAnsi="Times New Roman" w:cs="Times New Roman"/>
                <w:sz w:val="20"/>
                <w:szCs w:val="20"/>
                <w:lang w:eastAsia="sk-SK"/>
              </w:rPr>
              <w:t xml:space="preserve"> v materinskom jazyku detí a žiakov v systéme poradenstva a prevencie, čím sa odstraňuje jazyková bariéra,</w:t>
            </w:r>
          </w:p>
          <w:p w14:paraId="70AC1EA2" w14:textId="77777777" w:rsidR="00393291" w:rsidRDefault="00F65B4A" w:rsidP="00923F28">
            <w:pPr>
              <w:numPr>
                <w:ilvl w:val="1"/>
                <w:numId w:val="19"/>
              </w:numPr>
              <w:spacing w:after="0" w:line="240" w:lineRule="auto"/>
              <w:contextualSpacing/>
              <w:jc w:val="both"/>
              <w:rPr>
                <w:rFonts w:ascii="Times New Roman" w:eastAsia="Calibri" w:hAnsi="Times New Roman" w:cs="Times New Roman"/>
                <w:sz w:val="20"/>
                <w:szCs w:val="20"/>
                <w:lang w:eastAsia="sk-SK"/>
              </w:rPr>
            </w:pPr>
            <w:r w:rsidRPr="00F65B4A">
              <w:rPr>
                <w:rFonts w:ascii="Times New Roman" w:eastAsia="Calibri" w:hAnsi="Times New Roman" w:cs="Times New Roman"/>
                <w:sz w:val="20"/>
                <w:szCs w:val="20"/>
                <w:lang w:eastAsia="sk-SK"/>
              </w:rPr>
              <w:t>precizovanie definície národnostného školstva a vedenie pedagogickej dokumentácie v súlade s právnymi záväzkami Slovenskej republiky</w:t>
            </w:r>
            <w:r w:rsidR="00393291">
              <w:rPr>
                <w:rFonts w:ascii="Times New Roman" w:eastAsia="Calibri" w:hAnsi="Times New Roman" w:cs="Times New Roman"/>
                <w:sz w:val="20"/>
                <w:szCs w:val="20"/>
                <w:lang w:eastAsia="sk-SK"/>
              </w:rPr>
              <w:t>,</w:t>
            </w:r>
          </w:p>
          <w:p w14:paraId="592CC1B4" w14:textId="77777777" w:rsidR="003935EB" w:rsidRDefault="00393291" w:rsidP="00923F28">
            <w:pPr>
              <w:numPr>
                <w:ilvl w:val="1"/>
                <w:numId w:val="19"/>
              </w:numPr>
              <w:spacing w:after="0" w:line="240" w:lineRule="auto"/>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umožnenie bilingválneho vzdelávania v jazyku národnostnej menšiny a súčasne v cudzom jazyku</w:t>
            </w:r>
            <w:r w:rsidR="004D1A73">
              <w:rPr>
                <w:rFonts w:ascii="Times New Roman" w:eastAsia="Calibri" w:hAnsi="Times New Roman" w:cs="Times New Roman"/>
                <w:sz w:val="20"/>
                <w:szCs w:val="20"/>
                <w:lang w:eastAsia="sk-SK"/>
              </w:rPr>
              <w:t>,</w:t>
            </w:r>
          </w:p>
          <w:p w14:paraId="2B2BAE01" w14:textId="77777777" w:rsidR="003935EB" w:rsidRPr="003935EB" w:rsidRDefault="003935EB" w:rsidP="003935EB">
            <w:pPr>
              <w:numPr>
                <w:ilvl w:val="1"/>
                <w:numId w:val="19"/>
              </w:numPr>
              <w:spacing w:after="0" w:line="240" w:lineRule="auto"/>
              <w:contextualSpacing/>
              <w:jc w:val="both"/>
              <w:rPr>
                <w:rFonts w:ascii="Times New Roman" w:eastAsia="Calibri" w:hAnsi="Times New Roman" w:cs="Times New Roman"/>
                <w:sz w:val="20"/>
                <w:szCs w:val="20"/>
                <w:lang w:eastAsia="sk-SK"/>
              </w:rPr>
            </w:pPr>
            <w:r w:rsidRPr="003935EB">
              <w:rPr>
                <w:rFonts w:ascii="Times New Roman" w:eastAsia="Calibri" w:hAnsi="Times New Roman" w:cs="Times New Roman"/>
                <w:sz w:val="20"/>
                <w:szCs w:val="20"/>
                <w:lang w:eastAsia="sk-SK"/>
              </w:rPr>
              <w:t>umožnenie bilingválneho vzdelávania v jazyku národnostnej menšiny a súčasne v cudzom jazyku.</w:t>
            </w:r>
          </w:p>
          <w:p w14:paraId="00BBCF4E" w14:textId="4D603B5B" w:rsidR="00F65B4A" w:rsidRDefault="00F65B4A" w:rsidP="003935EB">
            <w:pPr>
              <w:spacing w:after="0" w:line="240" w:lineRule="auto"/>
              <w:ind w:left="1080"/>
              <w:contextualSpacing/>
              <w:jc w:val="both"/>
              <w:rPr>
                <w:rFonts w:ascii="Times New Roman" w:eastAsia="Calibri" w:hAnsi="Times New Roman" w:cs="Times New Roman"/>
                <w:sz w:val="20"/>
                <w:szCs w:val="20"/>
                <w:lang w:eastAsia="sk-SK"/>
              </w:rPr>
            </w:pPr>
          </w:p>
          <w:p w14:paraId="7A593589" w14:textId="77777777" w:rsidR="00F11FAB" w:rsidRPr="00F65B4A" w:rsidRDefault="00F11FAB" w:rsidP="00F11FAB">
            <w:pPr>
              <w:spacing w:after="0" w:line="240" w:lineRule="auto"/>
              <w:ind w:left="1080"/>
              <w:contextualSpacing/>
              <w:jc w:val="both"/>
              <w:rPr>
                <w:rFonts w:ascii="Times New Roman" w:eastAsia="Calibri" w:hAnsi="Times New Roman" w:cs="Times New Roman"/>
                <w:sz w:val="20"/>
                <w:szCs w:val="20"/>
                <w:lang w:eastAsia="sk-SK"/>
              </w:rPr>
            </w:pPr>
          </w:p>
          <w:p w14:paraId="400C9D1B" w14:textId="35E59FB5" w:rsidR="00F65B4A" w:rsidRPr="00F65B4A" w:rsidRDefault="00F65B4A" w:rsidP="00923F28">
            <w:pPr>
              <w:numPr>
                <w:ilvl w:val="0"/>
                <w:numId w:val="18"/>
              </w:numPr>
              <w:spacing w:after="0" w:line="240" w:lineRule="auto"/>
              <w:contextualSpacing/>
              <w:jc w:val="both"/>
              <w:rPr>
                <w:rFonts w:ascii="Times New Roman" w:eastAsia="Calibri" w:hAnsi="Times New Roman" w:cs="Times New Roman"/>
                <w:sz w:val="20"/>
                <w:szCs w:val="20"/>
                <w:lang w:eastAsia="sk-SK"/>
              </w:rPr>
            </w:pPr>
            <w:r w:rsidRPr="00F65B4A">
              <w:rPr>
                <w:rFonts w:ascii="Times New Roman" w:eastAsia="Calibri" w:hAnsi="Times New Roman" w:cs="Times New Roman"/>
                <w:b/>
                <w:bCs/>
                <w:sz w:val="20"/>
                <w:szCs w:val="20"/>
                <w:lang w:eastAsia="sk-SK"/>
              </w:rPr>
              <w:t>Zabezpečenie adekvátnej starostlivosti, ochrana detí s vážnymi poruchami, individualizovaný prístup a transparentnosť služieb</w:t>
            </w:r>
            <w:r w:rsidRPr="00F65B4A">
              <w:rPr>
                <w:rFonts w:ascii="Times New Roman" w:eastAsia="Calibri" w:hAnsi="Times New Roman" w:cs="Times New Roman"/>
                <w:sz w:val="20"/>
                <w:szCs w:val="20"/>
                <w:lang w:eastAsia="sk-SK"/>
              </w:rPr>
              <w:t xml:space="preserve"> – prostredníctvom transformácie špeciálnych výchovných zariadení na </w:t>
            </w:r>
            <w:proofErr w:type="spellStart"/>
            <w:r w:rsidRPr="00F65B4A">
              <w:rPr>
                <w:rFonts w:ascii="Times New Roman" w:eastAsia="Calibri" w:hAnsi="Times New Roman" w:cs="Times New Roman"/>
                <w:sz w:val="20"/>
                <w:szCs w:val="20"/>
                <w:lang w:eastAsia="sk-SK"/>
              </w:rPr>
              <w:t>komunitne</w:t>
            </w:r>
            <w:proofErr w:type="spellEnd"/>
            <w:r w:rsidRPr="00F65B4A">
              <w:rPr>
                <w:rFonts w:ascii="Times New Roman" w:eastAsia="Calibri" w:hAnsi="Times New Roman" w:cs="Times New Roman"/>
                <w:sz w:val="20"/>
                <w:szCs w:val="20"/>
                <w:lang w:eastAsia="sk-SK"/>
              </w:rPr>
              <w:t xml:space="preserve"> orientovaný systém podpory a prevencie. </w:t>
            </w:r>
          </w:p>
          <w:p w14:paraId="3552CA3B" w14:textId="77777777" w:rsidR="002644DE" w:rsidRPr="00F65B4A"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79901C6A" w14:textId="77777777" w:rsidTr="0080520C">
        <w:trPr>
          <w:jc w:val="center"/>
        </w:trPr>
        <w:tc>
          <w:tcPr>
            <w:tcW w:w="180" w:type="pct"/>
            <w:tcBorders>
              <w:bottom w:val="single" w:sz="4" w:space="0" w:color="auto"/>
            </w:tcBorders>
            <w:shd w:val="clear" w:color="auto" w:fill="F2F2F2"/>
            <w:vAlign w:val="center"/>
          </w:tcPr>
          <w:p w14:paraId="5D3EB7A7"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4A186626"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25138989"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14:paraId="56F929F5" w14:textId="77777777" w:rsidTr="0080520C">
        <w:tblPrEx>
          <w:tblBorders>
            <w:top w:val="none" w:sz="0" w:space="0" w:color="auto"/>
          </w:tblBorders>
        </w:tblPrEx>
        <w:trPr>
          <w:trHeight w:val="677"/>
          <w:jc w:val="center"/>
        </w:trPr>
        <w:tc>
          <w:tcPr>
            <w:tcW w:w="179" w:type="pct"/>
            <w:vAlign w:val="center"/>
          </w:tcPr>
          <w:p w14:paraId="289F11EF"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tcPr>
          <w:p w14:paraId="797FC860"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363700D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772701C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2E7D184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1019FB2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4FC4849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41209AD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1AE1AE4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5EE6E6A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5B2A815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08B17C3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príslušníci tretích krajín, azylanti, žiadatelia o azyl,</w:t>
            </w:r>
          </w:p>
          <w:p w14:paraId="1BF722F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tcPr>
          <w:p w14:paraId="589FCDAB" w14:textId="523E83FF" w:rsidR="00F65B4A" w:rsidRDefault="00F65B4A" w:rsidP="00F65B4A">
            <w:pPr>
              <w:spacing w:after="0" w:line="240" w:lineRule="auto"/>
              <w:rPr>
                <w:rFonts w:ascii="Times New Roman" w:eastAsia="Calibri" w:hAnsi="Times New Roman" w:cs="Times New Roman"/>
                <w:sz w:val="20"/>
                <w:lang w:eastAsia="sk-SK"/>
              </w:rPr>
            </w:pPr>
            <w:r w:rsidRPr="00F65B4A">
              <w:rPr>
                <w:rFonts w:ascii="Times New Roman" w:eastAsia="Calibri" w:hAnsi="Times New Roman" w:cs="Times New Roman"/>
                <w:sz w:val="20"/>
                <w:lang w:eastAsia="sk-SK"/>
              </w:rPr>
              <w:lastRenderedPageBreak/>
              <w:t>Áno, návrh má pozitívny vplyv</w:t>
            </w:r>
          </w:p>
          <w:p w14:paraId="31138F3C" w14:textId="2DBFEB6D" w:rsidR="00923F28" w:rsidRDefault="00923F28" w:rsidP="00F65B4A">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lang w:eastAsia="sk-SK"/>
              </w:rPr>
              <w:t>k bodu a) na:</w:t>
            </w:r>
          </w:p>
          <w:p w14:paraId="6586EE08" w14:textId="498722D3" w:rsidR="00F65B4A" w:rsidRPr="00F65B4A" w:rsidRDefault="00923F28" w:rsidP="00F65B4A">
            <w:pPr>
              <w:pStyle w:val="Odsekzoznamu"/>
              <w:numPr>
                <w:ilvl w:val="0"/>
                <w:numId w:val="16"/>
              </w:numPr>
              <w:spacing w:after="0" w:line="240" w:lineRule="auto"/>
              <w:ind w:left="360"/>
              <w:rPr>
                <w:rFonts w:ascii="Times New Roman" w:eastAsia="Calibri" w:hAnsi="Times New Roman" w:cs="Times New Roman"/>
                <w:sz w:val="20"/>
                <w:lang w:eastAsia="sk-SK"/>
              </w:rPr>
            </w:pPr>
            <w:r>
              <w:rPr>
                <w:rFonts w:ascii="Times New Roman" w:eastAsia="Calibri" w:hAnsi="Times New Roman" w:cs="Times New Roman"/>
                <w:sz w:val="20"/>
                <w:lang w:eastAsia="sk-SK"/>
              </w:rPr>
              <w:t>d</w:t>
            </w:r>
            <w:r w:rsidR="00F65B4A" w:rsidRPr="00F65B4A">
              <w:rPr>
                <w:rFonts w:ascii="Times New Roman" w:eastAsia="Calibri" w:hAnsi="Times New Roman" w:cs="Times New Roman"/>
                <w:sz w:val="20"/>
                <w:lang w:eastAsia="sk-SK"/>
              </w:rPr>
              <w:t>eti</w:t>
            </w:r>
            <w:r w:rsidR="00F65B4A">
              <w:rPr>
                <w:rFonts w:ascii="Times New Roman" w:eastAsia="Calibri" w:hAnsi="Times New Roman" w:cs="Times New Roman"/>
                <w:sz w:val="20"/>
                <w:lang w:eastAsia="sk-SK"/>
              </w:rPr>
              <w:t xml:space="preserve"> a žia</w:t>
            </w:r>
            <w:r>
              <w:rPr>
                <w:rFonts w:ascii="Times New Roman" w:eastAsia="Calibri" w:hAnsi="Times New Roman" w:cs="Times New Roman"/>
                <w:sz w:val="20"/>
                <w:lang w:eastAsia="sk-SK"/>
              </w:rPr>
              <w:t>kov</w:t>
            </w:r>
            <w:r w:rsidR="00F65B4A" w:rsidRPr="00F65B4A">
              <w:rPr>
                <w:rFonts w:ascii="Times New Roman" w:eastAsia="Calibri" w:hAnsi="Times New Roman" w:cs="Times New Roman"/>
                <w:sz w:val="20"/>
                <w:lang w:eastAsia="sk-SK"/>
              </w:rPr>
              <w:t xml:space="preserve"> z MRK</w:t>
            </w:r>
          </w:p>
          <w:p w14:paraId="7019785C" w14:textId="40AC5183" w:rsidR="00F65B4A" w:rsidRPr="00F65B4A" w:rsidRDefault="00923F28" w:rsidP="00F65B4A">
            <w:pPr>
              <w:pStyle w:val="Odsekzoznamu"/>
              <w:numPr>
                <w:ilvl w:val="0"/>
                <w:numId w:val="16"/>
              </w:numPr>
              <w:spacing w:after="0" w:line="240" w:lineRule="auto"/>
              <w:ind w:left="360"/>
              <w:rPr>
                <w:rFonts w:ascii="Times New Roman" w:eastAsia="Calibri" w:hAnsi="Times New Roman" w:cs="Times New Roman"/>
                <w:sz w:val="20"/>
                <w:lang w:eastAsia="sk-SK"/>
              </w:rPr>
            </w:pPr>
            <w:r>
              <w:rPr>
                <w:rFonts w:ascii="Times New Roman" w:eastAsia="Calibri" w:hAnsi="Times New Roman" w:cs="Times New Roman"/>
                <w:sz w:val="20"/>
                <w:lang w:eastAsia="sk-SK"/>
              </w:rPr>
              <w:t>d</w:t>
            </w:r>
            <w:r w:rsidR="00F65B4A" w:rsidRPr="00F65B4A">
              <w:rPr>
                <w:rFonts w:ascii="Times New Roman" w:eastAsia="Calibri" w:hAnsi="Times New Roman" w:cs="Times New Roman"/>
                <w:sz w:val="20"/>
                <w:lang w:eastAsia="sk-SK"/>
              </w:rPr>
              <w:t>eti</w:t>
            </w:r>
            <w:r w:rsidR="00F65B4A">
              <w:rPr>
                <w:rFonts w:ascii="Times New Roman" w:eastAsia="Calibri" w:hAnsi="Times New Roman" w:cs="Times New Roman"/>
                <w:sz w:val="20"/>
                <w:lang w:eastAsia="sk-SK"/>
              </w:rPr>
              <w:t xml:space="preserve"> a žia</w:t>
            </w:r>
            <w:r>
              <w:rPr>
                <w:rFonts w:ascii="Times New Roman" w:eastAsia="Calibri" w:hAnsi="Times New Roman" w:cs="Times New Roman"/>
                <w:sz w:val="20"/>
                <w:lang w:eastAsia="sk-SK"/>
              </w:rPr>
              <w:t>kov</w:t>
            </w:r>
            <w:r w:rsidR="00F65B4A" w:rsidRPr="00F65B4A">
              <w:rPr>
                <w:rFonts w:ascii="Times New Roman" w:eastAsia="Calibri" w:hAnsi="Times New Roman" w:cs="Times New Roman"/>
                <w:sz w:val="20"/>
                <w:lang w:eastAsia="sk-SK"/>
              </w:rPr>
              <w:t xml:space="preserve"> s odlišným materinským jazykom</w:t>
            </w:r>
          </w:p>
          <w:p w14:paraId="3C4C8E26" w14:textId="4C5C3847" w:rsidR="00F65B4A" w:rsidRDefault="00923F28" w:rsidP="0080520C">
            <w:pPr>
              <w:pStyle w:val="Odsekzoznamu"/>
              <w:numPr>
                <w:ilvl w:val="0"/>
                <w:numId w:val="16"/>
              </w:numPr>
              <w:spacing w:after="0" w:line="240" w:lineRule="auto"/>
              <w:ind w:left="360"/>
              <w:rPr>
                <w:rFonts w:ascii="Times New Roman" w:eastAsia="Calibri" w:hAnsi="Times New Roman" w:cs="Times New Roman"/>
                <w:sz w:val="20"/>
                <w:lang w:eastAsia="sk-SK"/>
              </w:rPr>
            </w:pPr>
            <w:r>
              <w:rPr>
                <w:rFonts w:ascii="Times New Roman" w:eastAsia="Calibri" w:hAnsi="Times New Roman" w:cs="Times New Roman"/>
                <w:sz w:val="20"/>
                <w:lang w:eastAsia="sk-SK"/>
              </w:rPr>
              <w:t>d</w:t>
            </w:r>
            <w:r w:rsidR="00F65B4A" w:rsidRPr="00F65B4A">
              <w:rPr>
                <w:rFonts w:ascii="Times New Roman" w:eastAsia="Calibri" w:hAnsi="Times New Roman" w:cs="Times New Roman"/>
                <w:sz w:val="20"/>
                <w:lang w:eastAsia="sk-SK"/>
              </w:rPr>
              <w:t xml:space="preserve">eti a žiaci so špeciálnymi výchovno-vzdelávacími potrebami vrátane </w:t>
            </w:r>
            <w:r w:rsidR="00F65B4A">
              <w:rPr>
                <w:rFonts w:ascii="Times New Roman" w:eastAsia="Calibri" w:hAnsi="Times New Roman" w:cs="Times New Roman"/>
                <w:sz w:val="20"/>
                <w:lang w:eastAsia="sk-SK"/>
              </w:rPr>
              <w:t>d</w:t>
            </w:r>
            <w:r w:rsidR="00F65B4A" w:rsidRPr="00F65B4A">
              <w:rPr>
                <w:rFonts w:ascii="Times New Roman" w:eastAsia="Calibri" w:hAnsi="Times New Roman" w:cs="Times New Roman"/>
                <w:sz w:val="20"/>
                <w:lang w:eastAsia="sk-SK"/>
              </w:rPr>
              <w:t>et</w:t>
            </w:r>
            <w:r w:rsidR="00F65B4A">
              <w:rPr>
                <w:rFonts w:ascii="Times New Roman" w:eastAsia="Calibri" w:hAnsi="Times New Roman" w:cs="Times New Roman"/>
                <w:sz w:val="20"/>
                <w:lang w:eastAsia="sk-SK"/>
              </w:rPr>
              <w:t>í a žiakov</w:t>
            </w:r>
            <w:r w:rsidR="00F65B4A" w:rsidRPr="00F65B4A">
              <w:rPr>
                <w:rFonts w:ascii="Times New Roman" w:eastAsia="Calibri" w:hAnsi="Times New Roman" w:cs="Times New Roman"/>
                <w:sz w:val="20"/>
                <w:lang w:eastAsia="sk-SK"/>
              </w:rPr>
              <w:t xml:space="preserve"> zo sociálne znevýhodneného prostredia</w:t>
            </w:r>
          </w:p>
          <w:p w14:paraId="743E89E1" w14:textId="7568175C" w:rsidR="00F65B4A" w:rsidRDefault="00923F28" w:rsidP="0080520C">
            <w:pPr>
              <w:pStyle w:val="Odsekzoznamu"/>
              <w:numPr>
                <w:ilvl w:val="0"/>
                <w:numId w:val="16"/>
              </w:numPr>
              <w:spacing w:after="0" w:line="240" w:lineRule="auto"/>
              <w:ind w:left="360"/>
              <w:rPr>
                <w:rFonts w:ascii="Times New Roman" w:eastAsia="Calibri" w:hAnsi="Times New Roman" w:cs="Times New Roman"/>
                <w:sz w:val="20"/>
                <w:lang w:eastAsia="sk-SK"/>
              </w:rPr>
            </w:pPr>
            <w:r>
              <w:rPr>
                <w:rFonts w:ascii="Times New Roman" w:eastAsia="Calibri" w:hAnsi="Times New Roman" w:cs="Times New Roman"/>
                <w:sz w:val="20"/>
                <w:lang w:eastAsia="sk-SK"/>
              </w:rPr>
              <w:t xml:space="preserve">fyzické osoby, ktoré skončili plnenie povinnej školskej dochádzky v základnej škole bez ukončeného primárneho vzdelania </w:t>
            </w:r>
          </w:p>
          <w:p w14:paraId="1938F42C" w14:textId="77777777" w:rsidR="00923F28" w:rsidRDefault="00923F28" w:rsidP="00923F28">
            <w:pPr>
              <w:pStyle w:val="Odsekzoznamu"/>
              <w:spacing w:after="0" w:line="240" w:lineRule="auto"/>
              <w:ind w:left="360"/>
              <w:rPr>
                <w:rFonts w:ascii="Times New Roman" w:eastAsia="Calibri" w:hAnsi="Times New Roman" w:cs="Times New Roman"/>
                <w:sz w:val="20"/>
                <w:lang w:eastAsia="sk-SK"/>
              </w:rPr>
            </w:pPr>
          </w:p>
          <w:p w14:paraId="3B2DCCDE" w14:textId="1333FED3" w:rsidR="00923F28" w:rsidRDefault="00923F28" w:rsidP="00923F28">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lang w:eastAsia="sk-SK"/>
              </w:rPr>
              <w:t>k bodu b) na:</w:t>
            </w:r>
          </w:p>
          <w:p w14:paraId="38BE9E42" w14:textId="463775AF" w:rsidR="00923F28" w:rsidRDefault="00923F28" w:rsidP="00923F28">
            <w:pPr>
              <w:pStyle w:val="Odsekzoznamu"/>
              <w:numPr>
                <w:ilvl w:val="0"/>
                <w:numId w:val="16"/>
              </w:numPr>
              <w:spacing w:after="0" w:line="240" w:lineRule="auto"/>
              <w:ind w:left="360"/>
              <w:rPr>
                <w:rFonts w:ascii="Times New Roman" w:eastAsia="Calibri" w:hAnsi="Times New Roman" w:cs="Times New Roman"/>
                <w:sz w:val="20"/>
                <w:lang w:eastAsia="sk-SK"/>
              </w:rPr>
            </w:pPr>
            <w:r>
              <w:rPr>
                <w:rFonts w:ascii="Times New Roman" w:eastAsia="Calibri" w:hAnsi="Times New Roman" w:cs="Times New Roman"/>
                <w:sz w:val="20"/>
                <w:lang w:eastAsia="sk-SK"/>
              </w:rPr>
              <w:t>deti a žiakov, ktorí sú príslušníkmi národnostných menšín</w:t>
            </w:r>
          </w:p>
          <w:p w14:paraId="08032C67" w14:textId="77777777" w:rsidR="00923F28" w:rsidRPr="00923F28" w:rsidRDefault="00923F28" w:rsidP="00923F28">
            <w:pPr>
              <w:spacing w:after="0" w:line="240" w:lineRule="auto"/>
              <w:rPr>
                <w:rFonts w:ascii="Times New Roman" w:eastAsia="Calibri" w:hAnsi="Times New Roman" w:cs="Times New Roman"/>
                <w:sz w:val="20"/>
                <w:lang w:eastAsia="sk-SK"/>
              </w:rPr>
            </w:pPr>
          </w:p>
          <w:p w14:paraId="3493F7EA" w14:textId="77777777" w:rsidR="002644DE" w:rsidRDefault="002644DE" w:rsidP="002644DE">
            <w:pPr>
              <w:spacing w:after="0" w:line="240" w:lineRule="auto"/>
              <w:rPr>
                <w:rFonts w:ascii="Times New Roman" w:eastAsia="Calibri" w:hAnsi="Times New Roman" w:cs="Times New Roman"/>
                <w:sz w:val="20"/>
                <w:lang w:eastAsia="sk-SK"/>
              </w:rPr>
            </w:pPr>
          </w:p>
          <w:p w14:paraId="78CE66DA" w14:textId="0F9BDDCA" w:rsidR="00923F28" w:rsidRDefault="00923F28" w:rsidP="002644DE">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lang w:eastAsia="sk-SK"/>
              </w:rPr>
              <w:t>k bodu c) na:</w:t>
            </w:r>
          </w:p>
          <w:p w14:paraId="3C445600" w14:textId="42FD6033" w:rsidR="00923F28" w:rsidRPr="00923F28" w:rsidRDefault="00923F28" w:rsidP="00923F28">
            <w:pPr>
              <w:pStyle w:val="Odsekzoznamu"/>
              <w:numPr>
                <w:ilvl w:val="0"/>
                <w:numId w:val="16"/>
              </w:numPr>
              <w:spacing w:after="0" w:line="240" w:lineRule="auto"/>
              <w:ind w:left="360"/>
              <w:rPr>
                <w:rFonts w:ascii="Times New Roman" w:eastAsia="Calibri" w:hAnsi="Times New Roman" w:cs="Times New Roman"/>
                <w:sz w:val="20"/>
                <w:lang w:eastAsia="sk-SK"/>
              </w:rPr>
            </w:pPr>
            <w:r>
              <w:rPr>
                <w:rFonts w:ascii="Times New Roman" w:eastAsia="Calibri" w:hAnsi="Times New Roman" w:cs="Times New Roman"/>
                <w:sz w:val="20"/>
                <w:lang w:eastAsia="sk-SK"/>
              </w:rPr>
              <w:t>d</w:t>
            </w:r>
            <w:r w:rsidRPr="00923F28">
              <w:rPr>
                <w:rFonts w:ascii="Times New Roman" w:eastAsia="Calibri" w:hAnsi="Times New Roman" w:cs="Times New Roman"/>
                <w:sz w:val="20"/>
                <w:lang w:eastAsia="sk-SK"/>
              </w:rPr>
              <w:t>eti a</w:t>
            </w:r>
            <w:r>
              <w:rPr>
                <w:rFonts w:ascii="Times New Roman" w:eastAsia="Calibri" w:hAnsi="Times New Roman" w:cs="Times New Roman"/>
                <w:sz w:val="20"/>
                <w:lang w:eastAsia="sk-SK"/>
              </w:rPr>
              <w:t xml:space="preserve"> žiaci</w:t>
            </w:r>
            <w:r w:rsidRPr="00923F28">
              <w:rPr>
                <w:rFonts w:ascii="Times New Roman" w:eastAsia="Calibri" w:hAnsi="Times New Roman" w:cs="Times New Roman"/>
                <w:sz w:val="20"/>
                <w:lang w:eastAsia="sk-SK"/>
              </w:rPr>
              <w:t xml:space="preserve"> s poruchami správania</w:t>
            </w:r>
            <w:r>
              <w:rPr>
                <w:rFonts w:ascii="Times New Roman" w:eastAsia="Calibri" w:hAnsi="Times New Roman" w:cs="Times New Roman"/>
                <w:sz w:val="20"/>
                <w:lang w:eastAsia="sk-SK"/>
              </w:rPr>
              <w:t xml:space="preserve"> a ich rodiny</w:t>
            </w:r>
          </w:p>
          <w:p w14:paraId="73066261" w14:textId="3A67E53E" w:rsidR="00923F28" w:rsidRPr="002644DE" w:rsidRDefault="00923F28" w:rsidP="00923F28">
            <w:pPr>
              <w:pStyle w:val="Odsekzoznamu"/>
              <w:numPr>
                <w:ilvl w:val="0"/>
                <w:numId w:val="16"/>
              </w:numPr>
              <w:spacing w:after="0" w:line="240" w:lineRule="auto"/>
              <w:ind w:left="360"/>
              <w:rPr>
                <w:rFonts w:ascii="Times New Roman" w:eastAsia="Calibri" w:hAnsi="Times New Roman" w:cs="Times New Roman"/>
                <w:sz w:val="20"/>
                <w:lang w:eastAsia="sk-SK"/>
              </w:rPr>
            </w:pPr>
            <w:r>
              <w:rPr>
                <w:rFonts w:ascii="Times New Roman" w:eastAsia="Calibri" w:hAnsi="Times New Roman" w:cs="Times New Roman"/>
                <w:sz w:val="20"/>
                <w:lang w:eastAsia="sk-SK"/>
              </w:rPr>
              <w:t>zamestnancov</w:t>
            </w:r>
            <w:r w:rsidRPr="00923F28">
              <w:rPr>
                <w:rFonts w:ascii="Times New Roman" w:eastAsia="Calibri" w:hAnsi="Times New Roman" w:cs="Times New Roman"/>
                <w:sz w:val="20"/>
                <w:lang w:eastAsia="sk-SK"/>
              </w:rPr>
              <w:t xml:space="preserve"> v špeciálnych výchovných zariadeniach</w:t>
            </w:r>
          </w:p>
        </w:tc>
      </w:tr>
    </w:tbl>
    <w:p w14:paraId="2FCB8C9F" w14:textId="77777777" w:rsidR="002644DE" w:rsidRPr="002644DE" w:rsidRDefault="002644DE" w:rsidP="002644DE">
      <w:pPr>
        <w:sectPr w:rsidR="002644DE" w:rsidRPr="002644DE" w:rsidSect="0080520C">
          <w:headerReference w:type="default" r:id="rId13"/>
          <w:footerReference w:type="default" r:id="rId14"/>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64DE8675" w14:textId="77777777" w:rsidTr="0080520C">
        <w:trPr>
          <w:jc w:val="center"/>
        </w:trPr>
        <w:tc>
          <w:tcPr>
            <w:tcW w:w="5000" w:type="pct"/>
            <w:gridSpan w:val="3"/>
            <w:shd w:val="clear" w:color="auto" w:fill="D9D9D9"/>
          </w:tcPr>
          <w:p w14:paraId="2EDE89D4"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2A5A4A3B"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284D394C" w14:textId="77777777" w:rsidTr="0080520C">
        <w:trPr>
          <w:jc w:val="center"/>
        </w:trPr>
        <w:tc>
          <w:tcPr>
            <w:tcW w:w="132" w:type="pct"/>
            <w:tcBorders>
              <w:bottom w:val="single" w:sz="4" w:space="0" w:color="auto"/>
            </w:tcBorders>
            <w:shd w:val="clear" w:color="auto" w:fill="F2F2F2"/>
            <w:vAlign w:val="center"/>
          </w:tcPr>
          <w:p w14:paraId="47D92C37"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71822187"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67C5D43C" w14:textId="77777777" w:rsidTr="0080520C">
        <w:trPr>
          <w:trHeight w:val="928"/>
          <w:jc w:val="center"/>
        </w:trPr>
        <w:tc>
          <w:tcPr>
            <w:tcW w:w="132" w:type="pct"/>
            <w:tcBorders>
              <w:top w:val="nil"/>
              <w:bottom w:val="nil"/>
            </w:tcBorders>
          </w:tcPr>
          <w:p w14:paraId="359BD8D3" w14:textId="77777777" w:rsidR="002644DE" w:rsidRPr="002644DE" w:rsidRDefault="002644DE" w:rsidP="002644DE">
            <w:pPr>
              <w:spacing w:after="0" w:line="240" w:lineRule="auto"/>
              <w:rPr>
                <w:rFonts w:ascii="Times New Roman" w:eastAsia="Calibri" w:hAnsi="Times New Roman" w:cs="Times New Roman"/>
                <w:sz w:val="20"/>
              </w:rPr>
            </w:pPr>
          </w:p>
          <w:p w14:paraId="36D9E3AE" w14:textId="77777777" w:rsidR="002644DE" w:rsidRPr="002644DE" w:rsidRDefault="002644DE" w:rsidP="002644DE">
            <w:pPr>
              <w:spacing w:after="0" w:line="240" w:lineRule="auto"/>
              <w:rPr>
                <w:rFonts w:ascii="Times New Roman" w:eastAsia="Calibri" w:hAnsi="Times New Roman" w:cs="Times New Roman"/>
                <w:i/>
                <w:sz w:val="20"/>
              </w:rPr>
            </w:pPr>
          </w:p>
          <w:p w14:paraId="6000598F" w14:textId="77777777" w:rsidR="002644DE" w:rsidRPr="002644DE" w:rsidRDefault="002644DE" w:rsidP="002644DE">
            <w:pPr>
              <w:spacing w:after="0" w:line="240" w:lineRule="auto"/>
              <w:rPr>
                <w:rFonts w:ascii="Times New Roman" w:eastAsia="Calibri" w:hAnsi="Times New Roman" w:cs="Times New Roman"/>
                <w:i/>
                <w:sz w:val="20"/>
              </w:rPr>
            </w:pPr>
          </w:p>
          <w:p w14:paraId="0878AA81"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1831CB64" w14:textId="77777777" w:rsidR="002644DE" w:rsidRPr="002644DE" w:rsidRDefault="002644DE" w:rsidP="002644DE">
            <w:pPr>
              <w:spacing w:after="0" w:line="240" w:lineRule="auto"/>
              <w:rPr>
                <w:rFonts w:ascii="Times New Roman" w:eastAsia="Calibri" w:hAnsi="Times New Roman" w:cs="Times New Roman"/>
                <w:i/>
                <w:sz w:val="20"/>
              </w:rPr>
            </w:pPr>
          </w:p>
          <w:p w14:paraId="49547B77" w14:textId="77777777" w:rsidR="002644DE" w:rsidRPr="002644DE" w:rsidRDefault="002644DE" w:rsidP="002644DE">
            <w:pPr>
              <w:spacing w:after="0" w:line="240" w:lineRule="auto"/>
              <w:rPr>
                <w:rFonts w:ascii="Times New Roman" w:eastAsia="Calibri" w:hAnsi="Times New Roman" w:cs="Times New Roman"/>
                <w:i/>
                <w:sz w:val="20"/>
              </w:rPr>
            </w:pPr>
          </w:p>
          <w:p w14:paraId="491170A7"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tcPr>
          <w:p w14:paraId="3D1B8A23" w14:textId="7F720C04" w:rsidR="002644DE" w:rsidRPr="002644DE" w:rsidRDefault="00F11FAB" w:rsidP="002644DE">
            <w:pPr>
              <w:rPr>
                <w:rFonts w:ascii="Times New Roman" w:eastAsia="Calibri" w:hAnsi="Times New Roman" w:cs="Times New Roman"/>
                <w:i/>
                <w:sz w:val="20"/>
              </w:rPr>
            </w:pPr>
            <w:r w:rsidRPr="00F11FAB">
              <w:rPr>
                <w:rFonts w:ascii="Times New Roman" w:eastAsia="Calibri" w:hAnsi="Times New Roman" w:cs="Times New Roman"/>
                <w:i/>
                <w:sz w:val="20"/>
              </w:rPr>
              <w:t xml:space="preserve">Návrh podporuje </w:t>
            </w:r>
            <w:r w:rsidRPr="00F11FAB">
              <w:rPr>
                <w:rFonts w:ascii="Times New Roman" w:eastAsia="Calibri" w:hAnsi="Times New Roman" w:cs="Times New Roman"/>
                <w:b/>
                <w:bCs/>
                <w:i/>
                <w:sz w:val="20"/>
              </w:rPr>
              <w:t>rovnaké zaobchádzanie a nediskriminačný prístup</w:t>
            </w:r>
            <w:r w:rsidRPr="00F11FAB">
              <w:rPr>
                <w:rFonts w:ascii="Times New Roman" w:eastAsia="Calibri" w:hAnsi="Times New Roman" w:cs="Times New Roman"/>
                <w:i/>
                <w:sz w:val="20"/>
              </w:rPr>
              <w:t xml:space="preserve"> detí bez ohľadu na pôvod, jazyk či zdravotné znevýhodnenie. Znižuje riziko </w:t>
            </w:r>
            <w:r w:rsidRPr="00F11FAB">
              <w:rPr>
                <w:rFonts w:ascii="Times New Roman" w:eastAsia="Calibri" w:hAnsi="Times New Roman" w:cs="Times New Roman"/>
                <w:b/>
                <w:bCs/>
                <w:i/>
                <w:sz w:val="20"/>
              </w:rPr>
              <w:t>nepriamej diskriminácie</w:t>
            </w:r>
            <w:r w:rsidRPr="00F11FAB">
              <w:rPr>
                <w:rFonts w:ascii="Times New Roman" w:eastAsia="Calibri" w:hAnsi="Times New Roman" w:cs="Times New Roman"/>
                <w:i/>
                <w:sz w:val="20"/>
              </w:rPr>
              <w:t>.</w:t>
            </w:r>
          </w:p>
          <w:p w14:paraId="648F47E4" w14:textId="77777777"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14:paraId="5E67FE4F" w14:textId="77777777" w:rsidTr="0080520C">
        <w:trPr>
          <w:trHeight w:val="345"/>
          <w:jc w:val="center"/>
        </w:trPr>
        <w:tc>
          <w:tcPr>
            <w:tcW w:w="132" w:type="pct"/>
            <w:tcBorders>
              <w:bottom w:val="single" w:sz="4" w:space="0" w:color="auto"/>
            </w:tcBorders>
            <w:shd w:val="clear" w:color="auto" w:fill="F2F2F2"/>
            <w:vAlign w:val="center"/>
          </w:tcPr>
          <w:p w14:paraId="2B6BFCE8"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68D21477"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037C2FBF" w14:textId="77777777" w:rsidTr="0080520C">
        <w:tblPrEx>
          <w:tblBorders>
            <w:top w:val="none" w:sz="0" w:space="0" w:color="auto"/>
            <w:bottom w:val="none" w:sz="0" w:space="0" w:color="auto"/>
          </w:tblBorders>
        </w:tblPrEx>
        <w:trPr>
          <w:trHeight w:val="372"/>
          <w:jc w:val="center"/>
        </w:trPr>
        <w:tc>
          <w:tcPr>
            <w:tcW w:w="132" w:type="pct"/>
            <w:vAlign w:val="center"/>
          </w:tcPr>
          <w:p w14:paraId="5693F7D0"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tcPr>
          <w:p w14:paraId="0596BB9C"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tcPr>
          <w:p w14:paraId="02A8095F" w14:textId="77777777" w:rsidR="002644DE" w:rsidRPr="002644DE" w:rsidRDefault="002644DE" w:rsidP="002644DE">
            <w:pPr>
              <w:spacing w:after="0" w:line="240" w:lineRule="auto"/>
              <w:jc w:val="both"/>
              <w:rPr>
                <w:rFonts w:ascii="Times New Roman" w:eastAsia="Calibri" w:hAnsi="Times New Roman" w:cs="Times New Roman"/>
                <w:sz w:val="20"/>
              </w:rPr>
            </w:pPr>
          </w:p>
        </w:tc>
      </w:tr>
      <w:tr w:rsidR="002644DE" w:rsidRPr="002644DE" w14:paraId="28D993AB" w14:textId="77777777" w:rsidTr="0080520C">
        <w:tblPrEx>
          <w:tblBorders>
            <w:top w:val="none" w:sz="0" w:space="0" w:color="auto"/>
            <w:bottom w:val="none" w:sz="0" w:space="0" w:color="auto"/>
          </w:tblBorders>
        </w:tblPrEx>
        <w:trPr>
          <w:trHeight w:val="371"/>
          <w:jc w:val="center"/>
        </w:trPr>
        <w:tc>
          <w:tcPr>
            <w:tcW w:w="132" w:type="pct"/>
            <w:vAlign w:val="center"/>
          </w:tcPr>
          <w:p w14:paraId="4E4068A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tcPr>
          <w:p w14:paraId="17FB132B"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tcPr>
          <w:p w14:paraId="161B1AA3" w14:textId="5EFC4B40" w:rsidR="002644DE" w:rsidRPr="00F11FAB" w:rsidRDefault="00F11FAB" w:rsidP="002644DE">
            <w:pPr>
              <w:spacing w:after="0" w:line="240" w:lineRule="auto"/>
              <w:jc w:val="both"/>
              <w:rPr>
                <w:rFonts w:ascii="Times New Roman" w:eastAsia="Calibri" w:hAnsi="Times New Roman" w:cs="Times New Roman"/>
                <w:iCs/>
                <w:sz w:val="18"/>
                <w:szCs w:val="18"/>
              </w:rPr>
            </w:pPr>
            <w:r>
              <w:rPr>
                <w:rFonts w:ascii="Times New Roman" w:eastAsia="Calibri" w:hAnsi="Times New Roman" w:cs="Times New Roman"/>
                <w:iCs/>
                <w:sz w:val="18"/>
                <w:szCs w:val="18"/>
              </w:rPr>
              <w:t>Návrh p</w:t>
            </w:r>
            <w:r w:rsidRPr="00F11FAB">
              <w:rPr>
                <w:rFonts w:ascii="Times New Roman" w:eastAsia="Calibri" w:hAnsi="Times New Roman" w:cs="Times New Roman"/>
                <w:iCs/>
                <w:sz w:val="18"/>
                <w:szCs w:val="18"/>
              </w:rPr>
              <w:t>odporuje rovnosť príležitostí žien a mužov nepriamo – uľahčením prístupu detí do predprimárneho vzdelávania sa zlepšuje možnosť uplatnenia rodičov (často matiek) na trhu práce a zosúladenia pracovného a rodinného života.</w:t>
            </w:r>
          </w:p>
        </w:tc>
      </w:tr>
      <w:tr w:rsidR="002644DE" w:rsidRPr="002644DE" w14:paraId="20C53800" w14:textId="77777777" w:rsidTr="0080520C">
        <w:tblPrEx>
          <w:tblBorders>
            <w:top w:val="none" w:sz="0" w:space="0" w:color="auto"/>
            <w:bottom w:val="none" w:sz="0" w:space="0" w:color="auto"/>
          </w:tblBorders>
        </w:tblPrEx>
        <w:trPr>
          <w:trHeight w:val="371"/>
          <w:jc w:val="center"/>
        </w:trPr>
        <w:tc>
          <w:tcPr>
            <w:tcW w:w="132" w:type="pct"/>
            <w:tcBorders>
              <w:bottom w:val="single" w:sz="4" w:space="0" w:color="auto"/>
            </w:tcBorders>
            <w:vAlign w:val="center"/>
          </w:tcPr>
          <w:p w14:paraId="3E02C04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tcPr>
          <w:p w14:paraId="0A97C76E"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tcPr>
          <w:p w14:paraId="7BCA73B1" w14:textId="20E14226" w:rsidR="002644DE" w:rsidRPr="00F11FAB" w:rsidRDefault="00F11FAB" w:rsidP="002644DE">
            <w:pPr>
              <w:spacing w:after="0" w:line="240" w:lineRule="auto"/>
              <w:jc w:val="both"/>
              <w:rPr>
                <w:rFonts w:ascii="Times New Roman" w:eastAsia="Calibri" w:hAnsi="Times New Roman" w:cs="Times New Roman"/>
                <w:iCs/>
                <w:sz w:val="18"/>
                <w:szCs w:val="18"/>
              </w:rPr>
            </w:pPr>
            <w:r w:rsidRPr="00F11FAB">
              <w:rPr>
                <w:rFonts w:ascii="Times New Roman" w:eastAsia="Calibri" w:hAnsi="Times New Roman" w:cs="Times New Roman"/>
                <w:iCs/>
                <w:sz w:val="18"/>
                <w:szCs w:val="18"/>
              </w:rPr>
              <w:t xml:space="preserve">Vplyv je priaznivý aj pre ženy ohrozené viacnásobnou diskrimináciou – napr. matky z MRK alebo </w:t>
            </w:r>
            <w:r>
              <w:rPr>
                <w:rFonts w:ascii="Times New Roman" w:eastAsia="Calibri" w:hAnsi="Times New Roman" w:cs="Times New Roman"/>
                <w:iCs/>
                <w:sz w:val="18"/>
                <w:szCs w:val="18"/>
              </w:rPr>
              <w:t xml:space="preserve">matky detí </w:t>
            </w:r>
            <w:r w:rsidRPr="00F11FAB">
              <w:rPr>
                <w:rFonts w:ascii="Times New Roman" w:eastAsia="Calibri" w:hAnsi="Times New Roman" w:cs="Times New Roman"/>
                <w:iCs/>
                <w:sz w:val="18"/>
                <w:szCs w:val="18"/>
              </w:rPr>
              <w:t>so zdravotným znevýhodnením.</w:t>
            </w:r>
          </w:p>
        </w:tc>
      </w:tr>
      <w:tr w:rsidR="002644DE" w:rsidRPr="002644DE" w14:paraId="24E88A63" w14:textId="77777777" w:rsidTr="0080520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vAlign w:val="center"/>
          </w:tcPr>
          <w:p w14:paraId="490224A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tcPr>
          <w:p w14:paraId="7244ED89"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59599CED"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5DE60930"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5CFB4F27"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30186768"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3343CB43"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4AD991F2"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17C0CB21"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5A3D7F23"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tcPr>
          <w:p w14:paraId="04434CDE" w14:textId="77777777" w:rsidR="002644DE" w:rsidRPr="002644DE" w:rsidRDefault="002644DE" w:rsidP="002644DE">
            <w:pPr>
              <w:spacing w:after="0" w:line="240" w:lineRule="auto"/>
              <w:rPr>
                <w:rFonts w:ascii="Times New Roman" w:eastAsia="Calibri" w:hAnsi="Times New Roman" w:cs="Times New Roman"/>
                <w:sz w:val="20"/>
              </w:rPr>
            </w:pPr>
          </w:p>
        </w:tc>
      </w:tr>
    </w:tbl>
    <w:p w14:paraId="0811B21D"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80520C">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14:paraId="0C20BEDB" w14:textId="77777777" w:rsidTr="0080520C">
        <w:trPr>
          <w:jc w:val="center"/>
        </w:trPr>
        <w:tc>
          <w:tcPr>
            <w:tcW w:w="5000" w:type="pct"/>
            <w:gridSpan w:val="3"/>
            <w:shd w:val="clear" w:color="auto" w:fill="D9D9D9"/>
          </w:tcPr>
          <w:p w14:paraId="29EAB437"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2C1065DE"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38C46407" w14:textId="77777777" w:rsidTr="0080520C">
        <w:trPr>
          <w:trHeight w:val="287"/>
          <w:jc w:val="center"/>
        </w:trPr>
        <w:tc>
          <w:tcPr>
            <w:tcW w:w="129" w:type="pct"/>
            <w:tcBorders>
              <w:top w:val="nil"/>
              <w:bottom w:val="single" w:sz="4" w:space="0" w:color="auto"/>
            </w:tcBorders>
            <w:shd w:val="clear" w:color="auto" w:fill="F2F2F2"/>
            <w:vAlign w:val="center"/>
          </w:tcPr>
          <w:p w14:paraId="5F469CC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32F9EB4B"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2490D0BC" w14:textId="77777777" w:rsidTr="0080520C">
        <w:trPr>
          <w:trHeight w:val="567"/>
          <w:jc w:val="center"/>
        </w:trPr>
        <w:tc>
          <w:tcPr>
            <w:tcW w:w="129" w:type="pct"/>
            <w:tcBorders>
              <w:top w:val="nil"/>
              <w:bottom w:val="single" w:sz="4" w:space="0" w:color="auto"/>
            </w:tcBorders>
            <w:shd w:val="clear" w:color="auto" w:fill="FFFFFF"/>
            <w:vAlign w:val="center"/>
          </w:tcPr>
          <w:p w14:paraId="613E3AD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2B63D280"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2F8F392A" w14:textId="625364A1" w:rsidR="002644DE" w:rsidRPr="002644DE" w:rsidRDefault="00820DA7"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14:paraId="09BCDCBF" w14:textId="77777777" w:rsidTr="0080520C">
        <w:trPr>
          <w:trHeight w:val="270"/>
          <w:jc w:val="center"/>
        </w:trPr>
        <w:tc>
          <w:tcPr>
            <w:tcW w:w="129" w:type="pct"/>
            <w:tcBorders>
              <w:bottom w:val="single" w:sz="4" w:space="0" w:color="auto"/>
            </w:tcBorders>
            <w:shd w:val="clear" w:color="auto" w:fill="F2F2F2"/>
            <w:vAlign w:val="center"/>
          </w:tcPr>
          <w:p w14:paraId="62A472E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59D98B2B"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73F85911" w14:textId="77777777" w:rsidTr="0080520C">
        <w:trPr>
          <w:trHeight w:val="454"/>
          <w:jc w:val="center"/>
        </w:trPr>
        <w:tc>
          <w:tcPr>
            <w:tcW w:w="129" w:type="pct"/>
            <w:tcBorders>
              <w:bottom w:val="single" w:sz="4" w:space="0" w:color="auto"/>
            </w:tcBorders>
            <w:shd w:val="clear" w:color="auto" w:fill="FFFFFF"/>
            <w:vAlign w:val="center"/>
          </w:tcPr>
          <w:p w14:paraId="2D6D42F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53AF8ED8"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1107D162" w14:textId="73CE4E7A" w:rsidR="002644DE" w:rsidRPr="002644DE" w:rsidRDefault="00820DA7"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14:paraId="14DDC411" w14:textId="77777777" w:rsidTr="0080520C">
        <w:trPr>
          <w:trHeight w:val="248"/>
          <w:jc w:val="center"/>
        </w:trPr>
        <w:tc>
          <w:tcPr>
            <w:tcW w:w="129" w:type="pct"/>
            <w:tcBorders>
              <w:bottom w:val="single" w:sz="4" w:space="0" w:color="auto"/>
            </w:tcBorders>
            <w:shd w:val="clear" w:color="auto" w:fill="F2F2F2"/>
            <w:vAlign w:val="center"/>
          </w:tcPr>
          <w:p w14:paraId="197DD16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0AD7D39C"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7C2A7FA1" w14:textId="77777777" w:rsidTr="0080520C">
        <w:trPr>
          <w:trHeight w:val="209"/>
          <w:jc w:val="center"/>
        </w:trPr>
        <w:tc>
          <w:tcPr>
            <w:tcW w:w="129" w:type="pct"/>
            <w:tcBorders>
              <w:bottom w:val="single" w:sz="4" w:space="0" w:color="auto"/>
            </w:tcBorders>
            <w:shd w:val="clear" w:color="auto" w:fill="FFFFFF"/>
            <w:vAlign w:val="center"/>
          </w:tcPr>
          <w:p w14:paraId="1AB7831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0D2CC4B4"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0982DB7A" w14:textId="3B8511EC" w:rsidR="002644DE" w:rsidRPr="002644DE" w:rsidRDefault="00820DA7"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14:paraId="0A2D833F" w14:textId="77777777" w:rsidTr="0080520C">
        <w:trPr>
          <w:trHeight w:val="208"/>
          <w:jc w:val="center"/>
        </w:trPr>
        <w:tc>
          <w:tcPr>
            <w:tcW w:w="129" w:type="pct"/>
            <w:tcBorders>
              <w:bottom w:val="single" w:sz="4" w:space="0" w:color="auto"/>
            </w:tcBorders>
            <w:shd w:val="clear" w:color="auto" w:fill="F2F2F2"/>
            <w:vAlign w:val="center"/>
          </w:tcPr>
          <w:p w14:paraId="056F390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16EC816A"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54892181" w14:textId="77777777" w:rsidTr="0080520C">
        <w:trPr>
          <w:trHeight w:val="794"/>
          <w:jc w:val="center"/>
        </w:trPr>
        <w:tc>
          <w:tcPr>
            <w:tcW w:w="129" w:type="pct"/>
            <w:tcBorders>
              <w:bottom w:val="single" w:sz="4" w:space="0" w:color="auto"/>
            </w:tcBorders>
            <w:shd w:val="clear" w:color="auto" w:fill="FFFFFF"/>
            <w:vAlign w:val="center"/>
          </w:tcPr>
          <w:p w14:paraId="0F10C32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111BA303"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6C495685" w14:textId="406538E6" w:rsidR="002644DE" w:rsidRPr="002644DE" w:rsidRDefault="002A3598" w:rsidP="002A3598">
            <w:pPr>
              <w:spacing w:after="0" w:line="240" w:lineRule="auto"/>
              <w:jc w:val="both"/>
              <w:rPr>
                <w:rFonts w:ascii="Times New Roman" w:eastAsia="Calibri" w:hAnsi="Times New Roman" w:cs="Times New Roman"/>
                <w:sz w:val="20"/>
                <w:szCs w:val="18"/>
              </w:rPr>
            </w:pPr>
            <w:r w:rsidRPr="002A3598">
              <w:rPr>
                <w:rFonts w:ascii="Times New Roman" w:eastAsia="Calibri" w:hAnsi="Times New Roman" w:cs="Times New Roman"/>
                <w:sz w:val="20"/>
                <w:szCs w:val="18"/>
              </w:rPr>
              <w:t xml:space="preserve">Osoby, ktoré ukončili povinnú školskú dochádzku bez získania primárneho vzdelania, budú mať možnosť dosiahnuť základnú kvalifikáciu, čo zvýši ich šance na vstup na trh práce a zníži mieru funkčnej negramotnosti. Opatrenia tým zvyšujú </w:t>
            </w:r>
            <w:proofErr w:type="spellStart"/>
            <w:r w:rsidRPr="002A3598">
              <w:rPr>
                <w:rFonts w:ascii="Times New Roman" w:eastAsia="Calibri" w:hAnsi="Times New Roman" w:cs="Times New Roman"/>
                <w:sz w:val="20"/>
                <w:szCs w:val="18"/>
              </w:rPr>
              <w:t>zamestnateľnosť</w:t>
            </w:r>
            <w:proofErr w:type="spellEnd"/>
            <w:r w:rsidRPr="002A3598">
              <w:rPr>
                <w:rFonts w:ascii="Times New Roman" w:eastAsia="Calibri" w:hAnsi="Times New Roman" w:cs="Times New Roman"/>
                <w:sz w:val="20"/>
                <w:szCs w:val="18"/>
              </w:rPr>
              <w:t xml:space="preserve"> osôb bez ukončeného základného vzdelania a znižujú riziko ich dlhodobej nezamestnanosti.</w:t>
            </w:r>
          </w:p>
        </w:tc>
      </w:tr>
      <w:tr w:rsidR="002644DE" w:rsidRPr="002644DE" w14:paraId="306FF464" w14:textId="77777777" w:rsidTr="0080520C">
        <w:trPr>
          <w:trHeight w:val="324"/>
          <w:jc w:val="center"/>
        </w:trPr>
        <w:tc>
          <w:tcPr>
            <w:tcW w:w="129" w:type="pct"/>
            <w:tcBorders>
              <w:bottom w:val="single" w:sz="4" w:space="0" w:color="auto"/>
            </w:tcBorders>
            <w:shd w:val="clear" w:color="auto" w:fill="F2F2F2"/>
            <w:vAlign w:val="center"/>
          </w:tcPr>
          <w:p w14:paraId="2BD72F0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7932E45E"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16B9E3D3" w14:textId="77777777" w:rsidTr="0080520C">
        <w:trPr>
          <w:trHeight w:val="216"/>
          <w:jc w:val="center"/>
        </w:trPr>
        <w:tc>
          <w:tcPr>
            <w:tcW w:w="129" w:type="pct"/>
            <w:tcBorders>
              <w:bottom w:val="single" w:sz="4" w:space="0" w:color="auto"/>
            </w:tcBorders>
            <w:shd w:val="clear" w:color="auto" w:fill="FFFFFF"/>
            <w:vAlign w:val="center"/>
          </w:tcPr>
          <w:p w14:paraId="51FF7F1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51BC4CC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3FD9846B" w14:textId="7CEE65A5" w:rsidR="002644DE" w:rsidRPr="002644DE" w:rsidRDefault="00F11FAB"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14:paraId="38B970A4" w14:textId="77777777" w:rsidTr="0080520C">
        <w:trPr>
          <w:trHeight w:val="219"/>
          <w:jc w:val="center"/>
        </w:trPr>
        <w:tc>
          <w:tcPr>
            <w:tcW w:w="129" w:type="pct"/>
            <w:tcBorders>
              <w:bottom w:val="single" w:sz="4" w:space="0" w:color="auto"/>
            </w:tcBorders>
            <w:shd w:val="clear" w:color="auto" w:fill="F2F2F2"/>
            <w:vAlign w:val="center"/>
          </w:tcPr>
          <w:p w14:paraId="7465DF2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032EE2A4"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1F992651" w14:textId="77777777" w:rsidTr="0080520C">
        <w:trPr>
          <w:trHeight w:val="497"/>
          <w:jc w:val="center"/>
        </w:trPr>
        <w:tc>
          <w:tcPr>
            <w:tcW w:w="129" w:type="pct"/>
            <w:tcBorders>
              <w:bottom w:val="single" w:sz="4" w:space="0" w:color="auto"/>
            </w:tcBorders>
            <w:shd w:val="clear" w:color="auto" w:fill="FFFFFF"/>
            <w:vAlign w:val="center"/>
          </w:tcPr>
          <w:p w14:paraId="3D230CD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04B13722"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1D9CB359" w14:textId="434D6C8F" w:rsidR="002644DE" w:rsidRPr="002644DE" w:rsidRDefault="00F11FAB"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bl>
    <w:p w14:paraId="382856E0" w14:textId="13AA7CBE" w:rsidR="0068061F" w:rsidRDefault="0068061F" w:rsidP="00AA058B">
      <w:pPr>
        <w:spacing w:after="0" w:line="240" w:lineRule="auto"/>
        <w:outlineLvl w:val="0"/>
      </w:pPr>
    </w:p>
    <w:sectPr w:rsidR="006806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1B0F" w14:textId="77777777" w:rsidR="009C43A0" w:rsidRDefault="009C43A0" w:rsidP="002644DE">
      <w:pPr>
        <w:spacing w:after="0" w:line="240" w:lineRule="auto"/>
      </w:pPr>
      <w:r>
        <w:separator/>
      </w:r>
    </w:p>
  </w:endnote>
  <w:endnote w:type="continuationSeparator" w:id="0">
    <w:p w14:paraId="6E481C11" w14:textId="77777777" w:rsidR="009C43A0" w:rsidRDefault="009C43A0"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628070"/>
      <w:docPartObj>
        <w:docPartGallery w:val="Page Numbers (Bottom of Page)"/>
        <w:docPartUnique/>
      </w:docPartObj>
    </w:sdtPr>
    <w:sdtEndPr>
      <w:rPr>
        <w:rFonts w:ascii="Times New Roman" w:hAnsi="Times New Roman" w:cs="Times New Roman"/>
      </w:rPr>
    </w:sdtEndPr>
    <w:sdtContent>
      <w:p w14:paraId="1D7C1FD4" w14:textId="77777777" w:rsidR="0080520C" w:rsidRPr="001D6749" w:rsidRDefault="0080520C">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Pr>
            <w:rFonts w:ascii="Times New Roman" w:hAnsi="Times New Roman" w:cs="Times New Roman"/>
            <w:noProof/>
          </w:rPr>
          <w:t>1</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902475"/>
      <w:docPartObj>
        <w:docPartGallery w:val="Page Numbers (Bottom of Page)"/>
        <w:docPartUnique/>
      </w:docPartObj>
    </w:sdtPr>
    <w:sdtEndPr>
      <w:rPr>
        <w:rFonts w:ascii="Times New Roman" w:hAnsi="Times New Roman" w:cs="Times New Roman"/>
      </w:rPr>
    </w:sdtEndPr>
    <w:sdtContent>
      <w:p w14:paraId="611F6498" w14:textId="77777777" w:rsidR="0080520C" w:rsidRPr="001D6749" w:rsidRDefault="0080520C">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t>5</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06AB3" w14:textId="77777777" w:rsidR="009C43A0" w:rsidRDefault="009C43A0" w:rsidP="002644DE">
      <w:pPr>
        <w:spacing w:after="0" w:line="240" w:lineRule="auto"/>
      </w:pPr>
      <w:r>
        <w:separator/>
      </w:r>
    </w:p>
  </w:footnote>
  <w:footnote w:type="continuationSeparator" w:id="0">
    <w:p w14:paraId="28E415C8" w14:textId="77777777" w:rsidR="009C43A0" w:rsidRDefault="009C43A0"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46B5" w14:textId="77777777" w:rsidR="0080520C" w:rsidRPr="00CD4982" w:rsidRDefault="0080520C" w:rsidP="0080520C">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55C5" w14:textId="77777777" w:rsidR="0080520C" w:rsidRPr="00CD4982" w:rsidRDefault="0080520C"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14:paraId="2C4F5217" w14:textId="77777777" w:rsidR="0080520C" w:rsidRPr="00433C47" w:rsidRDefault="0080520C"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F265337"/>
    <w:multiLevelType w:val="hybridMultilevel"/>
    <w:tmpl w:val="5DB09692"/>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258A593F"/>
    <w:multiLevelType w:val="hybridMultilevel"/>
    <w:tmpl w:val="7A14CC86"/>
    <w:lvl w:ilvl="0" w:tplc="FFFFFFFF">
      <w:start w:val="1"/>
      <w:numFmt w:val="lowerLetter"/>
      <w:lvlText w:val="%1)"/>
      <w:lvlJc w:val="left"/>
      <w:pPr>
        <w:ind w:left="360" w:hanging="360"/>
      </w:pPr>
    </w:lvl>
    <w:lvl w:ilvl="1" w:tplc="75327702">
      <w:numFmt w:val="bullet"/>
      <w:lvlText w:val="-"/>
      <w:lvlJc w:val="left"/>
      <w:pPr>
        <w:ind w:left="1080" w:hanging="360"/>
      </w:pPr>
      <w:rPr>
        <w:rFonts w:ascii="Times New Roman" w:eastAsiaTheme="minorHAnsi"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5F42BDF"/>
    <w:multiLevelType w:val="hybridMultilevel"/>
    <w:tmpl w:val="7A14D92A"/>
    <w:lvl w:ilvl="0" w:tplc="7532770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CFC2F73"/>
    <w:multiLevelType w:val="multilevel"/>
    <w:tmpl w:val="0FB4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75304F"/>
    <w:multiLevelType w:val="multilevel"/>
    <w:tmpl w:val="F54AB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BE4597C"/>
    <w:multiLevelType w:val="hybridMultilevel"/>
    <w:tmpl w:val="6F9ACB4E"/>
    <w:lvl w:ilvl="0" w:tplc="75327702">
      <w:numFmt w:val="bullet"/>
      <w:lvlText w:val="-"/>
      <w:lvlJc w:val="left"/>
      <w:pPr>
        <w:ind w:left="360" w:hanging="360"/>
      </w:pPr>
      <w:rPr>
        <w:rFonts w:ascii="Times New Roman" w:eastAsiaTheme="minorHAnsi"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22784628">
    <w:abstractNumId w:val="5"/>
  </w:num>
  <w:num w:numId="2" w16cid:durableId="868301349">
    <w:abstractNumId w:val="7"/>
  </w:num>
  <w:num w:numId="3" w16cid:durableId="40909413">
    <w:abstractNumId w:val="4"/>
  </w:num>
  <w:num w:numId="4" w16cid:durableId="1774738740">
    <w:abstractNumId w:val="17"/>
  </w:num>
  <w:num w:numId="5" w16cid:durableId="110632638">
    <w:abstractNumId w:val="12"/>
  </w:num>
  <w:num w:numId="6" w16cid:durableId="1338188181">
    <w:abstractNumId w:val="13"/>
  </w:num>
  <w:num w:numId="7" w16cid:durableId="901402838">
    <w:abstractNumId w:val="6"/>
  </w:num>
  <w:num w:numId="8" w16cid:durableId="1099522652">
    <w:abstractNumId w:val="9"/>
  </w:num>
  <w:num w:numId="9" w16cid:durableId="1113553694">
    <w:abstractNumId w:val="8"/>
  </w:num>
  <w:num w:numId="10" w16cid:durableId="175930098">
    <w:abstractNumId w:val="0"/>
  </w:num>
  <w:num w:numId="11" w16cid:durableId="1143620887">
    <w:abstractNumId w:val="15"/>
  </w:num>
  <w:num w:numId="12" w16cid:durableId="1605067566">
    <w:abstractNumId w:val="16"/>
  </w:num>
  <w:num w:numId="13" w16cid:durableId="1283148738">
    <w:abstractNumId w:val="18"/>
  </w:num>
  <w:num w:numId="14" w16cid:durableId="81727219">
    <w:abstractNumId w:val="10"/>
  </w:num>
  <w:num w:numId="15" w16cid:durableId="942878532">
    <w:abstractNumId w:val="11"/>
  </w:num>
  <w:num w:numId="16" w16cid:durableId="59140084">
    <w:abstractNumId w:val="3"/>
  </w:num>
  <w:num w:numId="17" w16cid:durableId="1266956453">
    <w:abstractNumId w:val="14"/>
  </w:num>
  <w:num w:numId="18" w16cid:durableId="1596860690">
    <w:abstractNumId w:val="1"/>
  </w:num>
  <w:num w:numId="19" w16cid:durableId="974406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DE"/>
    <w:rsid w:val="00025211"/>
    <w:rsid w:val="00060EEC"/>
    <w:rsid w:val="0008370F"/>
    <w:rsid w:val="000D262D"/>
    <w:rsid w:val="00117DD3"/>
    <w:rsid w:val="00220CA1"/>
    <w:rsid w:val="002644DE"/>
    <w:rsid w:val="002A3598"/>
    <w:rsid w:val="00340449"/>
    <w:rsid w:val="00340F98"/>
    <w:rsid w:val="003470A4"/>
    <w:rsid w:val="00382021"/>
    <w:rsid w:val="00393291"/>
    <w:rsid w:val="003935EB"/>
    <w:rsid w:val="0040256B"/>
    <w:rsid w:val="0042727F"/>
    <w:rsid w:val="00433C47"/>
    <w:rsid w:val="00481A57"/>
    <w:rsid w:val="004D1A73"/>
    <w:rsid w:val="004D6465"/>
    <w:rsid w:val="00514B5D"/>
    <w:rsid w:val="00540B6A"/>
    <w:rsid w:val="00636449"/>
    <w:rsid w:val="006405E0"/>
    <w:rsid w:val="0068061F"/>
    <w:rsid w:val="007227A6"/>
    <w:rsid w:val="007B14D6"/>
    <w:rsid w:val="007D74D6"/>
    <w:rsid w:val="007E57E7"/>
    <w:rsid w:val="007F58AE"/>
    <w:rsid w:val="007F6319"/>
    <w:rsid w:val="0080520C"/>
    <w:rsid w:val="00820DA7"/>
    <w:rsid w:val="008801B5"/>
    <w:rsid w:val="00923F28"/>
    <w:rsid w:val="0092550A"/>
    <w:rsid w:val="0095188C"/>
    <w:rsid w:val="009B5A0C"/>
    <w:rsid w:val="009C43A0"/>
    <w:rsid w:val="009E09F7"/>
    <w:rsid w:val="009F16C0"/>
    <w:rsid w:val="00A9062A"/>
    <w:rsid w:val="00AA058B"/>
    <w:rsid w:val="00AE0669"/>
    <w:rsid w:val="00BC0320"/>
    <w:rsid w:val="00BD141A"/>
    <w:rsid w:val="00BE6288"/>
    <w:rsid w:val="00D01E3D"/>
    <w:rsid w:val="00D028CC"/>
    <w:rsid w:val="00D165C3"/>
    <w:rsid w:val="00DD3CE8"/>
    <w:rsid w:val="00E01B8A"/>
    <w:rsid w:val="00E0428B"/>
    <w:rsid w:val="00E86041"/>
    <w:rsid w:val="00F11FAB"/>
    <w:rsid w:val="00F65B4A"/>
    <w:rsid w:val="00F67F68"/>
    <w:rsid w:val="00F91F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7B6B"/>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Odsekzoznamu">
    <w:name w:val="List Paragraph"/>
    <w:basedOn w:val="Normlny"/>
    <w:uiPriority w:val="34"/>
    <w:qFormat/>
    <w:rsid w:val="00F65B4A"/>
    <w:pPr>
      <w:ind w:left="720"/>
      <w:contextualSpacing/>
    </w:pPr>
  </w:style>
  <w:style w:type="paragraph" w:styleId="Textbubliny">
    <w:name w:val="Balloon Text"/>
    <w:basedOn w:val="Normlny"/>
    <w:link w:val="TextbublinyChar"/>
    <w:uiPriority w:val="99"/>
    <w:semiHidden/>
    <w:unhideWhenUsed/>
    <w:rsid w:val="0080520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0520C"/>
    <w:rPr>
      <w:rFonts w:ascii="Segoe UI" w:hAnsi="Segoe UI" w:cs="Segoe UI"/>
      <w:sz w:val="18"/>
      <w:szCs w:val="18"/>
    </w:rPr>
  </w:style>
  <w:style w:type="paragraph" w:styleId="Revzia">
    <w:name w:val="Revision"/>
    <w:hidden/>
    <w:uiPriority w:val="99"/>
    <w:semiHidden/>
    <w:rsid w:val="00AA058B"/>
    <w:pPr>
      <w:spacing w:after="0" w:line="240" w:lineRule="auto"/>
    </w:pPr>
  </w:style>
  <w:style w:type="character" w:styleId="Odkaznakomentr">
    <w:name w:val="annotation reference"/>
    <w:basedOn w:val="Predvolenpsmoodseku"/>
    <w:uiPriority w:val="99"/>
    <w:semiHidden/>
    <w:unhideWhenUsed/>
    <w:rsid w:val="0042727F"/>
    <w:rPr>
      <w:sz w:val="16"/>
      <w:szCs w:val="16"/>
    </w:rPr>
  </w:style>
  <w:style w:type="paragraph" w:styleId="Textkomentra">
    <w:name w:val="annotation text"/>
    <w:basedOn w:val="Normlny"/>
    <w:link w:val="TextkomentraChar"/>
    <w:uiPriority w:val="99"/>
    <w:semiHidden/>
    <w:unhideWhenUsed/>
    <w:rsid w:val="0042727F"/>
    <w:pPr>
      <w:spacing w:line="240" w:lineRule="auto"/>
    </w:pPr>
    <w:rPr>
      <w:sz w:val="20"/>
      <w:szCs w:val="20"/>
    </w:rPr>
  </w:style>
  <w:style w:type="character" w:customStyle="1" w:styleId="TextkomentraChar">
    <w:name w:val="Text komentára Char"/>
    <w:basedOn w:val="Predvolenpsmoodseku"/>
    <w:link w:val="Textkomentra"/>
    <w:uiPriority w:val="99"/>
    <w:semiHidden/>
    <w:rsid w:val="0042727F"/>
    <w:rPr>
      <w:sz w:val="20"/>
      <w:szCs w:val="20"/>
    </w:rPr>
  </w:style>
  <w:style w:type="paragraph" w:styleId="Predmetkomentra">
    <w:name w:val="annotation subject"/>
    <w:basedOn w:val="Textkomentra"/>
    <w:next w:val="Textkomentra"/>
    <w:link w:val="PredmetkomentraChar"/>
    <w:uiPriority w:val="99"/>
    <w:semiHidden/>
    <w:unhideWhenUsed/>
    <w:rsid w:val="0042727F"/>
    <w:rPr>
      <w:b/>
      <w:bCs/>
    </w:rPr>
  </w:style>
  <w:style w:type="character" w:customStyle="1" w:styleId="PredmetkomentraChar">
    <w:name w:val="Predmet komentára Char"/>
    <w:basedOn w:val="TextkomentraChar"/>
    <w:link w:val="Predmetkomentra"/>
    <w:uiPriority w:val="99"/>
    <w:semiHidden/>
    <w:rsid w:val="004272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45468">
      <w:bodyDiv w:val="1"/>
      <w:marLeft w:val="0"/>
      <w:marRight w:val="0"/>
      <w:marTop w:val="0"/>
      <w:marBottom w:val="0"/>
      <w:divBdr>
        <w:top w:val="none" w:sz="0" w:space="0" w:color="auto"/>
        <w:left w:val="none" w:sz="0" w:space="0" w:color="auto"/>
        <w:bottom w:val="none" w:sz="0" w:space="0" w:color="auto"/>
        <w:right w:val="none" w:sz="0" w:space="0" w:color="auto"/>
      </w:divBdr>
    </w:div>
    <w:div w:id="390888887">
      <w:bodyDiv w:val="1"/>
      <w:marLeft w:val="0"/>
      <w:marRight w:val="0"/>
      <w:marTop w:val="0"/>
      <w:marBottom w:val="0"/>
      <w:divBdr>
        <w:top w:val="none" w:sz="0" w:space="0" w:color="auto"/>
        <w:left w:val="none" w:sz="0" w:space="0" w:color="auto"/>
        <w:bottom w:val="none" w:sz="0" w:space="0" w:color="auto"/>
        <w:right w:val="none" w:sz="0" w:space="0" w:color="auto"/>
      </w:divBdr>
    </w:div>
    <w:div w:id="401801284">
      <w:bodyDiv w:val="1"/>
      <w:marLeft w:val="0"/>
      <w:marRight w:val="0"/>
      <w:marTop w:val="0"/>
      <w:marBottom w:val="0"/>
      <w:divBdr>
        <w:top w:val="none" w:sz="0" w:space="0" w:color="auto"/>
        <w:left w:val="none" w:sz="0" w:space="0" w:color="auto"/>
        <w:bottom w:val="none" w:sz="0" w:space="0" w:color="auto"/>
        <w:right w:val="none" w:sz="0" w:space="0" w:color="auto"/>
      </w:divBdr>
    </w:div>
    <w:div w:id="617685785">
      <w:bodyDiv w:val="1"/>
      <w:marLeft w:val="0"/>
      <w:marRight w:val="0"/>
      <w:marTop w:val="0"/>
      <w:marBottom w:val="0"/>
      <w:divBdr>
        <w:top w:val="none" w:sz="0" w:space="0" w:color="auto"/>
        <w:left w:val="none" w:sz="0" w:space="0" w:color="auto"/>
        <w:bottom w:val="none" w:sz="0" w:space="0" w:color="auto"/>
        <w:right w:val="none" w:sz="0" w:space="0" w:color="auto"/>
      </w:divBdr>
    </w:div>
    <w:div w:id="640579455">
      <w:bodyDiv w:val="1"/>
      <w:marLeft w:val="0"/>
      <w:marRight w:val="0"/>
      <w:marTop w:val="0"/>
      <w:marBottom w:val="0"/>
      <w:divBdr>
        <w:top w:val="none" w:sz="0" w:space="0" w:color="auto"/>
        <w:left w:val="none" w:sz="0" w:space="0" w:color="auto"/>
        <w:bottom w:val="none" w:sz="0" w:space="0" w:color="auto"/>
        <w:right w:val="none" w:sz="0" w:space="0" w:color="auto"/>
      </w:divBdr>
    </w:div>
    <w:div w:id="769741053">
      <w:bodyDiv w:val="1"/>
      <w:marLeft w:val="0"/>
      <w:marRight w:val="0"/>
      <w:marTop w:val="0"/>
      <w:marBottom w:val="0"/>
      <w:divBdr>
        <w:top w:val="none" w:sz="0" w:space="0" w:color="auto"/>
        <w:left w:val="none" w:sz="0" w:space="0" w:color="auto"/>
        <w:bottom w:val="none" w:sz="0" w:space="0" w:color="auto"/>
        <w:right w:val="none" w:sz="0" w:space="0" w:color="auto"/>
      </w:divBdr>
    </w:div>
    <w:div w:id="1263951844">
      <w:bodyDiv w:val="1"/>
      <w:marLeft w:val="0"/>
      <w:marRight w:val="0"/>
      <w:marTop w:val="0"/>
      <w:marBottom w:val="0"/>
      <w:divBdr>
        <w:top w:val="none" w:sz="0" w:space="0" w:color="auto"/>
        <w:left w:val="none" w:sz="0" w:space="0" w:color="auto"/>
        <w:bottom w:val="none" w:sz="0" w:space="0" w:color="auto"/>
        <w:right w:val="none" w:sz="0" w:space="0" w:color="auto"/>
      </w:divBdr>
    </w:div>
    <w:div w:id="1356269123">
      <w:bodyDiv w:val="1"/>
      <w:marLeft w:val="0"/>
      <w:marRight w:val="0"/>
      <w:marTop w:val="0"/>
      <w:marBottom w:val="0"/>
      <w:divBdr>
        <w:top w:val="none" w:sz="0" w:space="0" w:color="auto"/>
        <w:left w:val="none" w:sz="0" w:space="0" w:color="auto"/>
        <w:bottom w:val="none" w:sz="0" w:space="0" w:color="auto"/>
        <w:right w:val="none" w:sz="0" w:space="0" w:color="auto"/>
      </w:divBdr>
    </w:div>
    <w:div w:id="1782340624">
      <w:bodyDiv w:val="1"/>
      <w:marLeft w:val="0"/>
      <w:marRight w:val="0"/>
      <w:marTop w:val="0"/>
      <w:marBottom w:val="0"/>
      <w:divBdr>
        <w:top w:val="none" w:sz="0" w:space="0" w:color="auto"/>
        <w:left w:val="none" w:sz="0" w:space="0" w:color="auto"/>
        <w:bottom w:val="none" w:sz="0" w:space="0" w:color="auto"/>
        <w:right w:val="none" w:sz="0" w:space="0" w:color="auto"/>
      </w:divBdr>
    </w:div>
    <w:div w:id="1863854116">
      <w:bodyDiv w:val="1"/>
      <w:marLeft w:val="0"/>
      <w:marRight w:val="0"/>
      <w:marTop w:val="0"/>
      <w:marBottom w:val="0"/>
      <w:divBdr>
        <w:top w:val="none" w:sz="0" w:space="0" w:color="auto"/>
        <w:left w:val="none" w:sz="0" w:space="0" w:color="auto"/>
        <w:bottom w:val="none" w:sz="0" w:space="0" w:color="auto"/>
        <w:right w:val="none" w:sz="0" w:space="0" w:color="auto"/>
      </w:divBdr>
    </w:div>
    <w:div w:id="191288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115226f-3026-41da-876f-0ae5fb400f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DA296C13A84419E90F82BA6E810F3" ma:contentTypeVersion="15" ma:contentTypeDescription="Create a new document." ma:contentTypeScope="" ma:versionID="a87e19f027c7fd1e740897afcb91c96c">
  <xsd:schema xmlns:xsd="http://www.w3.org/2001/XMLSchema" xmlns:xs="http://www.w3.org/2001/XMLSchema" xmlns:p="http://schemas.microsoft.com/office/2006/metadata/properties" xmlns:ns3="a115226f-3026-41da-876f-0ae5fb400f98" xmlns:ns4="60a37057-a097-4c5d-9cdb-7513119fa912" targetNamespace="http://schemas.microsoft.com/office/2006/metadata/properties" ma:root="true" ma:fieldsID="60ac48f8e934b60dff261c6634136500" ns3:_="" ns4:_="">
    <xsd:import namespace="a115226f-3026-41da-876f-0ae5fb400f98"/>
    <xsd:import namespace="60a37057-a097-4c5d-9cdb-7513119fa91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5226f-3026-41da-876f-0ae5fb400f9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a37057-a097-4c5d-9cdb-7513119fa91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7A606A37-BB51-4F38-B5B3-EEF62176359F}">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www.w3.org/XML/1998/namespace"/>
    <ds:schemaRef ds:uri="a115226f-3026-41da-876f-0ae5fb400f98"/>
    <ds:schemaRef ds:uri="http://schemas.openxmlformats.org/package/2006/metadata/core-properties"/>
    <ds:schemaRef ds:uri="http://schemas.microsoft.com/office/infopath/2007/PartnerControls"/>
    <ds:schemaRef ds:uri="60a37057-a097-4c5d-9cdb-7513119fa912"/>
  </ds:schemaRefs>
</ds:datastoreItem>
</file>

<file path=customXml/itemProps2.xml><?xml version="1.0" encoding="utf-8"?>
<ds:datastoreItem xmlns:ds="http://schemas.openxmlformats.org/officeDocument/2006/customXml" ds:itemID="{77C95AE0-D3B2-4AFB-BB6F-DFBFCE4069A0}">
  <ds:schemaRefs>
    <ds:schemaRef ds:uri="http://schemas.microsoft.com/sharepoint/v3/contenttype/forms"/>
  </ds:schemaRefs>
</ds:datastoreItem>
</file>

<file path=customXml/itemProps3.xml><?xml version="1.0" encoding="utf-8"?>
<ds:datastoreItem xmlns:ds="http://schemas.openxmlformats.org/officeDocument/2006/customXml" ds:itemID="{B02A45AF-6391-4AA5-BFBC-5AB055507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5226f-3026-41da-876f-0ae5fb400f98"/>
    <ds:schemaRef ds:uri="60a37057-a097-4c5d-9cdb-7513119fa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2506</Words>
  <Characters>14287</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Veningerová Slávka</cp:lastModifiedBy>
  <cp:revision>4</cp:revision>
  <dcterms:created xsi:type="dcterms:W3CDTF">2025-08-07T09:50:00Z</dcterms:created>
  <dcterms:modified xsi:type="dcterms:W3CDTF">2025-08-07T09:51:00Z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y fmtid="{D5CDD505-2E9C-101B-9397-08002B2CF9AE}" pid="153" name="ContentTypeId">
    <vt:lpwstr>0x010100B37DA296C13A84419E90F82BA6E810F3</vt:lpwstr>
  </property>
</Properties>
</file>