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2EC" w:rsidRPr="00BD05D3" w:rsidP="00C3513B">
      <w:pPr>
        <w:autoSpaceDE/>
        <w:ind w:left="360"/>
        <w:jc w:val="center"/>
        <w:rPr>
          <w:b/>
          <w:sz w:val="22"/>
          <w:szCs w:val="22"/>
        </w:rPr>
      </w:pPr>
      <w:r w:rsidRPr="00BD05D3">
        <w:rPr>
          <w:b/>
          <w:sz w:val="22"/>
          <w:szCs w:val="22"/>
        </w:rPr>
        <w:t>TABUĽKA ZHODY</w:t>
      </w:r>
    </w:p>
    <w:p w:rsidR="002762EC" w:rsidRPr="00BD05D3" w:rsidP="00C3513B">
      <w:pPr>
        <w:autoSpaceDE/>
        <w:ind w:left="360"/>
        <w:jc w:val="center"/>
        <w:rPr>
          <w:b/>
          <w:sz w:val="22"/>
          <w:szCs w:val="22"/>
        </w:rPr>
      </w:pPr>
      <w:r w:rsidRPr="00BD05D3" w:rsidR="00727D31">
        <w:rPr>
          <w:b/>
          <w:sz w:val="22"/>
          <w:szCs w:val="22"/>
        </w:rPr>
        <w:t xml:space="preserve">návrhu </w:t>
      </w:r>
      <w:r w:rsidRPr="00BD05D3">
        <w:rPr>
          <w:b/>
          <w:sz w:val="22"/>
          <w:szCs w:val="22"/>
        </w:rPr>
        <w:t>právneho predpisu s právom Európskej únie</w:t>
      </w:r>
    </w:p>
    <w:p w:rsidR="002762EC" w:rsidRPr="00BD05D3" w:rsidP="00C3513B">
      <w:pPr>
        <w:autoSpaceDE/>
        <w:jc w:val="both"/>
        <w:rPr>
          <w:sz w:val="22"/>
          <w:szCs w:val="22"/>
        </w:rPr>
      </w:pPr>
    </w:p>
    <w:tbl>
      <w:tblPr>
        <w:tblStyle w:val="TableNormal"/>
        <w:tblW w:w="15217" w:type="dxa"/>
        <w:tblInd w:w="-572" w:type="dxa"/>
        <w:tblLayout w:type="fixed"/>
        <w:tblCellMar>
          <w:left w:w="43" w:type="dxa"/>
          <w:right w:w="43" w:type="dxa"/>
        </w:tblCellMar>
        <w:tblLook w:val="0000"/>
      </w:tblPr>
      <w:tblGrid>
        <w:gridCol w:w="757"/>
        <w:gridCol w:w="4536"/>
        <w:gridCol w:w="425"/>
        <w:gridCol w:w="709"/>
        <w:gridCol w:w="709"/>
        <w:gridCol w:w="4819"/>
        <w:gridCol w:w="709"/>
        <w:gridCol w:w="851"/>
        <w:gridCol w:w="851"/>
        <w:gridCol w:w="851"/>
      </w:tblGrid>
      <w:tr w:rsidTr="000A5F3A">
        <w:tblPrEx>
          <w:tblW w:w="15217" w:type="dxa"/>
          <w:tblInd w:w="-572" w:type="dxa"/>
          <w:tblLayout w:type="fixed"/>
          <w:tblCellMar>
            <w:left w:w="43" w:type="dxa"/>
            <w:right w:w="43" w:type="dxa"/>
          </w:tblCellMar>
          <w:tblLook w:val="0000"/>
        </w:tblPrEx>
        <w:trPr>
          <w:cantSplit/>
          <w:trHeight w:val="567"/>
        </w:trPr>
        <w:tc>
          <w:tcPr>
            <w:tcW w:w="5293" w:type="dxa"/>
            <w:gridSpan w:val="2"/>
            <w:tcBorders>
              <w:top w:val="single" w:sz="4" w:space="0" w:color="000000"/>
              <w:left w:val="single" w:sz="4" w:space="0" w:color="000000"/>
              <w:bottom w:val="single" w:sz="4" w:space="0" w:color="000000"/>
            </w:tcBorders>
          </w:tcPr>
          <w:p w:rsidR="000C42D6" w:rsidRPr="00BD05D3" w:rsidP="003B4053">
            <w:pPr>
              <w:jc w:val="both"/>
              <w:rPr>
                <w:b/>
                <w:sz w:val="22"/>
                <w:szCs w:val="22"/>
              </w:rPr>
            </w:pPr>
            <w:r w:rsidRPr="00BD05D3">
              <w:rPr>
                <w:b/>
                <w:sz w:val="22"/>
                <w:szCs w:val="22"/>
              </w:rPr>
              <w:t>SMERNICA EURÓPSKEHO PARLAMENTU A RADY (EÚ) 2016/801</w:t>
            </w:r>
          </w:p>
          <w:p w:rsidR="000C42D6" w:rsidRPr="0040646D" w:rsidP="003B4053">
            <w:pPr>
              <w:jc w:val="both"/>
              <w:rPr>
                <w:b/>
                <w:sz w:val="22"/>
                <w:szCs w:val="22"/>
              </w:rPr>
            </w:pPr>
            <w:r w:rsidRPr="0040646D" w:rsidR="0040646D">
              <w:rPr>
                <w:b/>
                <w:color w:val="000000"/>
              </w:rPr>
              <w:t>z 11. mája 2016 o podmienkach vstupu a pobytu štátnych príslušníkov tretích krajín na účely výskumu, štúdia, odborného vzdelávania, dobrovoľníckej služby, výmenných programov žiakov alebo vzdelávacích projektov a činnosti aupair (prepracované znenie) (Ú. v. EÚ L 132, 21.5.2016) v</w:t>
            </w:r>
            <w:r w:rsidRPr="0040646D" w:rsidR="0040646D">
              <w:rPr>
                <w:b/>
                <w:color w:val="000000"/>
              </w:rPr>
              <w:t xml:space="preserve"> platnom znení</w:t>
            </w:r>
            <w:r w:rsidR="0040646D">
              <w:rPr>
                <w:b/>
                <w:color w:val="000000"/>
              </w:rPr>
              <w:t xml:space="preserve"> </w:t>
            </w:r>
          </w:p>
          <w:p w:rsidR="000C42D6" w:rsidRPr="00BD05D3" w:rsidP="00C3513B">
            <w:pPr>
              <w:jc w:val="both"/>
              <w:rPr>
                <w:b/>
                <w:sz w:val="22"/>
                <w:szCs w:val="22"/>
              </w:rPr>
            </w:pPr>
          </w:p>
        </w:tc>
        <w:tc>
          <w:tcPr>
            <w:tcW w:w="9924" w:type="dxa"/>
            <w:gridSpan w:val="8"/>
            <w:tcBorders>
              <w:top w:val="single" w:sz="4" w:space="0" w:color="000000"/>
              <w:left w:val="single" w:sz="4" w:space="0" w:color="000000"/>
              <w:bottom w:val="single" w:sz="4" w:space="0" w:color="000000"/>
              <w:right w:val="single" w:sz="4" w:space="0" w:color="000000"/>
            </w:tcBorders>
          </w:tcPr>
          <w:p w:rsidR="000C42D6" w:rsidP="00093254">
            <w:pPr>
              <w:jc w:val="both"/>
              <w:rPr>
                <w:b/>
                <w:sz w:val="22"/>
                <w:szCs w:val="22"/>
              </w:rPr>
            </w:pPr>
            <w:r w:rsidR="001008F3">
              <w:rPr>
                <w:b/>
                <w:sz w:val="22"/>
                <w:szCs w:val="22"/>
              </w:rPr>
              <w:t xml:space="preserve">1. </w:t>
            </w:r>
            <w:r w:rsidRPr="000C42D6">
              <w:rPr>
                <w:b/>
                <w:sz w:val="22"/>
                <w:szCs w:val="22"/>
              </w:rPr>
              <w:t>Návrh zákona o vysokých školách a o zmene a doplnení niektorých zákonov</w:t>
            </w:r>
          </w:p>
          <w:p w:rsidR="001008F3" w:rsidP="00093254">
            <w:pPr>
              <w:jc w:val="both"/>
              <w:rPr>
                <w:b/>
                <w:sz w:val="22"/>
                <w:szCs w:val="22"/>
              </w:rPr>
            </w:pPr>
            <w:r>
              <w:rPr>
                <w:b/>
                <w:sz w:val="22"/>
                <w:szCs w:val="22"/>
              </w:rPr>
              <w:t xml:space="preserve">2. Zákon č. 311/2001 Z. </w:t>
            </w:r>
            <w:r>
              <w:rPr>
                <w:b/>
                <w:sz w:val="22"/>
                <w:szCs w:val="22"/>
              </w:rPr>
              <w:t xml:space="preserve">z. Zákonník práce </w:t>
            </w:r>
          </w:p>
          <w:p w:rsidR="001008F3" w:rsidP="00093254">
            <w:pPr>
              <w:jc w:val="both"/>
              <w:rPr>
                <w:b/>
                <w:sz w:val="22"/>
                <w:szCs w:val="22"/>
              </w:rPr>
            </w:pPr>
            <w:r>
              <w:rPr>
                <w:b/>
                <w:sz w:val="22"/>
                <w:szCs w:val="22"/>
              </w:rPr>
              <w:t>3. Zákon č. 245/2008 Z. z. o výchove a vzdelávaní</w:t>
            </w:r>
            <w:r w:rsidRPr="009749A3" w:rsidR="009749A3">
              <w:rPr>
                <w:rFonts w:ascii="Source Sans Pro" w:hAnsi="Source Sans Pro"/>
                <w:b/>
                <w:bCs/>
                <w:color w:val="000000"/>
                <w:sz w:val="29"/>
                <w:szCs w:val="29"/>
                <w:shd w:val="clear" w:color="auto" w:fill="FFFFFF"/>
              </w:rPr>
              <w:t xml:space="preserve"> </w:t>
            </w:r>
            <w:r w:rsidR="009749A3">
              <w:rPr>
                <w:b/>
                <w:sz w:val="22"/>
                <w:szCs w:val="22"/>
              </w:rPr>
              <w:t xml:space="preserve">(školský zákon) </w:t>
            </w:r>
            <w:r w:rsidRPr="009749A3" w:rsidR="009749A3">
              <w:rPr>
                <w:b/>
                <w:bCs/>
                <w:sz w:val="22"/>
                <w:szCs w:val="22"/>
              </w:rPr>
              <w:t>a o zmene a doplnení niektorých zákonov</w:t>
            </w:r>
            <w:r w:rsidR="009749A3">
              <w:rPr>
                <w:b/>
                <w:bCs/>
                <w:sz w:val="22"/>
                <w:szCs w:val="22"/>
              </w:rPr>
              <w:t xml:space="preserve">  </w:t>
            </w:r>
          </w:p>
          <w:p w:rsidR="001008F3" w:rsidRPr="000C42D6" w:rsidP="00093254">
            <w:pPr>
              <w:jc w:val="both"/>
              <w:rPr>
                <w:b/>
                <w:sz w:val="22"/>
                <w:szCs w:val="22"/>
              </w:rPr>
            </w:pPr>
            <w:r>
              <w:rPr>
                <w:b/>
                <w:sz w:val="22"/>
                <w:szCs w:val="22"/>
              </w:rPr>
              <w:t>3. Zákon č. 404/2011 Z. z.</w:t>
            </w:r>
            <w:r w:rsidRPr="001008F3">
              <w:rPr>
                <w:rFonts w:ascii="Source Sans Pro" w:hAnsi="Source Sans Pro"/>
                <w:b/>
                <w:bCs/>
                <w:color w:val="000000"/>
                <w:sz w:val="29"/>
                <w:szCs w:val="29"/>
                <w:shd w:val="clear" w:color="auto" w:fill="FFFFFF"/>
              </w:rPr>
              <w:t xml:space="preserve"> </w:t>
            </w:r>
            <w:r w:rsidRPr="001008F3">
              <w:rPr>
                <w:b/>
                <w:bCs/>
                <w:sz w:val="22"/>
                <w:szCs w:val="22"/>
              </w:rPr>
              <w:t>o pobyte cudzincov a o zmene a doplnení niektorých zákonov</w:t>
            </w:r>
            <w:r>
              <w:rPr>
                <w:b/>
                <w:bCs/>
                <w:sz w:val="22"/>
                <w:szCs w:val="22"/>
              </w:rPr>
              <w:t xml:space="preserve"> </w:t>
            </w: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C3513B">
            <w:pPr>
              <w:snapToGrid w:val="0"/>
              <w:jc w:val="center"/>
              <w:rPr>
                <w:sz w:val="22"/>
                <w:szCs w:val="22"/>
              </w:rPr>
            </w:pPr>
            <w:r w:rsidRPr="00BD05D3">
              <w:rPr>
                <w:sz w:val="22"/>
                <w:szCs w:val="22"/>
              </w:rPr>
              <w:t>1</w:t>
            </w:r>
          </w:p>
        </w:tc>
        <w:tc>
          <w:tcPr>
            <w:tcW w:w="4536" w:type="dxa"/>
            <w:tcBorders>
              <w:top w:val="single" w:sz="4" w:space="0" w:color="000000"/>
              <w:left w:val="single" w:sz="4" w:space="0" w:color="000000"/>
              <w:bottom w:val="single" w:sz="4" w:space="0" w:color="000000"/>
            </w:tcBorders>
          </w:tcPr>
          <w:p w:rsidR="000C42D6" w:rsidRPr="00BD05D3" w:rsidP="00C3513B">
            <w:pPr>
              <w:snapToGrid w:val="0"/>
              <w:jc w:val="center"/>
              <w:rPr>
                <w:sz w:val="22"/>
                <w:szCs w:val="22"/>
              </w:rPr>
            </w:pPr>
            <w:r w:rsidRPr="00BD05D3">
              <w:rPr>
                <w:sz w:val="22"/>
                <w:szCs w:val="22"/>
              </w:rPr>
              <w:t>2</w:t>
            </w:r>
          </w:p>
        </w:tc>
        <w:tc>
          <w:tcPr>
            <w:tcW w:w="425" w:type="dxa"/>
            <w:tcBorders>
              <w:top w:val="single" w:sz="4" w:space="0" w:color="000000"/>
              <w:left w:val="single" w:sz="4" w:space="0" w:color="000000"/>
              <w:bottom w:val="single" w:sz="4" w:space="0" w:color="000000"/>
            </w:tcBorders>
          </w:tcPr>
          <w:p w:rsidR="000C42D6" w:rsidRPr="00BD05D3" w:rsidP="00C3513B">
            <w:pPr>
              <w:snapToGrid w:val="0"/>
              <w:jc w:val="center"/>
              <w:rPr>
                <w:sz w:val="22"/>
                <w:szCs w:val="22"/>
              </w:rPr>
            </w:pPr>
            <w:r w:rsidRPr="00BD05D3">
              <w:rPr>
                <w:sz w:val="22"/>
                <w:szCs w:val="22"/>
              </w:rPr>
              <w:t>3</w:t>
            </w:r>
          </w:p>
        </w:tc>
        <w:tc>
          <w:tcPr>
            <w:tcW w:w="709" w:type="dxa"/>
            <w:tcBorders>
              <w:top w:val="single" w:sz="4" w:space="0" w:color="000000"/>
              <w:left w:val="single" w:sz="4" w:space="0" w:color="000000"/>
              <w:bottom w:val="single" w:sz="4" w:space="0" w:color="000000"/>
            </w:tcBorders>
          </w:tcPr>
          <w:p w:rsidR="000C42D6" w:rsidRPr="00BD05D3" w:rsidP="00C3513B">
            <w:pPr>
              <w:snapToGrid w:val="0"/>
              <w:jc w:val="center"/>
              <w:rPr>
                <w:sz w:val="22"/>
                <w:szCs w:val="22"/>
              </w:rPr>
            </w:pPr>
            <w:r w:rsidRPr="00BD05D3">
              <w:rPr>
                <w:sz w:val="22"/>
                <w:szCs w:val="22"/>
              </w:rPr>
              <w:t>4</w:t>
            </w:r>
          </w:p>
        </w:tc>
        <w:tc>
          <w:tcPr>
            <w:tcW w:w="709" w:type="dxa"/>
            <w:tcBorders>
              <w:top w:val="single" w:sz="4" w:space="0" w:color="000000"/>
              <w:left w:val="single" w:sz="4" w:space="0" w:color="000000"/>
              <w:bottom w:val="single" w:sz="4" w:space="0" w:color="000000"/>
            </w:tcBorders>
          </w:tcPr>
          <w:p w:rsidR="000C42D6" w:rsidRPr="00BD05D3" w:rsidP="00C3513B">
            <w:pPr>
              <w:pStyle w:val="BodyTextIndent"/>
              <w:snapToGrid w:val="0"/>
              <w:spacing w:after="0" w:line="240" w:lineRule="exact"/>
              <w:jc w:val="center"/>
              <w:rPr>
                <w:sz w:val="22"/>
                <w:szCs w:val="22"/>
              </w:rPr>
            </w:pPr>
            <w:r w:rsidRPr="00BD05D3">
              <w:rPr>
                <w:sz w:val="22"/>
                <w:szCs w:val="22"/>
              </w:rPr>
              <w:t>5</w:t>
            </w:r>
          </w:p>
        </w:tc>
        <w:tc>
          <w:tcPr>
            <w:tcW w:w="4819" w:type="dxa"/>
            <w:tcBorders>
              <w:top w:val="single" w:sz="4" w:space="0" w:color="000000"/>
              <w:left w:val="single" w:sz="4" w:space="0" w:color="000000"/>
              <w:bottom w:val="single" w:sz="4" w:space="0" w:color="000000"/>
            </w:tcBorders>
          </w:tcPr>
          <w:p w:rsidR="000C42D6" w:rsidRPr="00BD05D3" w:rsidP="00C3513B">
            <w:pPr>
              <w:pStyle w:val="BodyTextIndent"/>
              <w:snapToGrid w:val="0"/>
              <w:spacing w:after="0" w:line="240" w:lineRule="exact"/>
              <w:jc w:val="center"/>
              <w:rPr>
                <w:sz w:val="22"/>
                <w:szCs w:val="22"/>
              </w:rPr>
            </w:pPr>
            <w:r w:rsidRPr="00BD05D3">
              <w:rPr>
                <w:sz w:val="22"/>
                <w:szCs w:val="22"/>
              </w:rPr>
              <w:t>6</w:t>
            </w:r>
          </w:p>
        </w:tc>
        <w:tc>
          <w:tcPr>
            <w:tcW w:w="709" w:type="dxa"/>
            <w:tcBorders>
              <w:top w:val="single" w:sz="4" w:space="0" w:color="000000"/>
              <w:left w:val="single" w:sz="4" w:space="0" w:color="000000"/>
              <w:bottom w:val="single" w:sz="4" w:space="0" w:color="000000"/>
            </w:tcBorders>
          </w:tcPr>
          <w:p w:rsidR="000C42D6" w:rsidRPr="00BD05D3" w:rsidP="00C3513B">
            <w:pPr>
              <w:snapToGrid w:val="0"/>
              <w:jc w:val="center"/>
              <w:rPr>
                <w:sz w:val="22"/>
                <w:szCs w:val="22"/>
              </w:rPr>
            </w:pPr>
            <w:r w:rsidRPr="00BD05D3">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snapToGrid w:val="0"/>
              <w:jc w:val="center"/>
              <w:rPr>
                <w:sz w:val="22"/>
                <w:szCs w:val="22"/>
              </w:rPr>
            </w:pPr>
            <w:r w:rsidRPr="00BD05D3">
              <w:rPr>
                <w:sz w:val="22"/>
                <w:szCs w:val="22"/>
              </w:rPr>
              <w:t>8</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snapToGrid w:val="0"/>
              <w:jc w:val="center"/>
              <w:rPr>
                <w:sz w:val="22"/>
                <w:szCs w:val="22"/>
              </w:rPr>
            </w:pPr>
            <w:r>
              <w:rPr>
                <w:sz w:val="22"/>
                <w:szCs w:val="22"/>
              </w:rPr>
              <w:t>10</w:t>
            </w: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6C5AD8">
            <w:pPr>
              <w:pStyle w:val="Normlny"/>
              <w:snapToGrid w:val="0"/>
              <w:ind w:left="-137" w:right="-185"/>
              <w:jc w:val="center"/>
              <w:rPr>
                <w:sz w:val="22"/>
                <w:szCs w:val="22"/>
              </w:rPr>
            </w:pPr>
            <w:r w:rsidRPr="00BD05D3">
              <w:rPr>
                <w:sz w:val="22"/>
                <w:szCs w:val="22"/>
              </w:rPr>
              <w:t>Článok</w:t>
            </w:r>
          </w:p>
          <w:p w:rsidR="000C42D6" w:rsidRPr="00BD05D3" w:rsidP="006C5AD8">
            <w:pPr>
              <w:pStyle w:val="Normlny"/>
              <w:jc w:val="center"/>
              <w:rPr>
                <w:sz w:val="22"/>
                <w:szCs w:val="22"/>
              </w:rPr>
            </w:pPr>
            <w:r w:rsidRPr="00BD05D3">
              <w:rPr>
                <w:sz w:val="22"/>
                <w:szCs w:val="22"/>
              </w:rPr>
              <w:t>(Č, O,</w:t>
            </w:r>
          </w:p>
          <w:p w:rsidR="000C42D6" w:rsidRPr="00BD05D3" w:rsidP="006C5AD8">
            <w:pPr>
              <w:pStyle w:val="Normlny"/>
              <w:jc w:val="center"/>
              <w:rPr>
                <w:sz w:val="22"/>
                <w:szCs w:val="22"/>
              </w:rPr>
            </w:pPr>
            <w:r w:rsidRPr="00BD05D3">
              <w:rPr>
                <w:sz w:val="22"/>
                <w:szCs w:val="22"/>
              </w:rPr>
              <w:t>V, P)</w:t>
            </w:r>
          </w:p>
        </w:tc>
        <w:tc>
          <w:tcPr>
            <w:tcW w:w="4536" w:type="dxa"/>
            <w:tcBorders>
              <w:top w:val="single" w:sz="4" w:space="0" w:color="000000"/>
              <w:left w:val="single" w:sz="4" w:space="0" w:color="000000"/>
              <w:bottom w:val="single" w:sz="4" w:space="0" w:color="000000"/>
            </w:tcBorders>
          </w:tcPr>
          <w:p w:rsidR="000C42D6" w:rsidRPr="00BD05D3" w:rsidP="006C5AD8">
            <w:pPr>
              <w:pStyle w:val="Normlny"/>
              <w:snapToGrid w:val="0"/>
              <w:jc w:val="center"/>
              <w:rPr>
                <w:sz w:val="22"/>
                <w:szCs w:val="22"/>
              </w:rPr>
            </w:pPr>
            <w:r w:rsidRPr="00BD05D3">
              <w:rPr>
                <w:sz w:val="22"/>
                <w:szCs w:val="22"/>
              </w:rPr>
              <w:t>Text</w:t>
            </w:r>
          </w:p>
        </w:tc>
        <w:tc>
          <w:tcPr>
            <w:tcW w:w="425" w:type="dxa"/>
            <w:tcBorders>
              <w:top w:val="single" w:sz="4" w:space="0" w:color="000000"/>
              <w:left w:val="single" w:sz="4" w:space="0" w:color="000000"/>
              <w:bottom w:val="single" w:sz="4" w:space="0" w:color="000000"/>
            </w:tcBorders>
          </w:tcPr>
          <w:p w:rsidR="000C42D6" w:rsidRPr="00BD05D3" w:rsidP="000C42D6">
            <w:pPr>
              <w:pStyle w:val="Normlny"/>
              <w:snapToGrid w:val="0"/>
              <w:ind w:left="-43" w:right="-116"/>
              <w:jc w:val="center"/>
              <w:rPr>
                <w:sz w:val="22"/>
                <w:szCs w:val="22"/>
              </w:rPr>
            </w:pPr>
            <w:r w:rsidRPr="00BD05D3">
              <w:rPr>
                <w:sz w:val="22"/>
                <w:szCs w:val="22"/>
              </w:rPr>
              <w:t>Spôsob transp</w:t>
            </w:r>
            <w:r>
              <w:rPr>
                <w:sz w:val="22"/>
                <w:szCs w:val="22"/>
              </w:rPr>
              <w:t>ozície</w:t>
            </w:r>
          </w:p>
        </w:tc>
        <w:tc>
          <w:tcPr>
            <w:tcW w:w="709" w:type="dxa"/>
            <w:tcBorders>
              <w:top w:val="single" w:sz="4" w:space="0" w:color="000000"/>
              <w:left w:val="single" w:sz="4" w:space="0" w:color="000000"/>
              <w:bottom w:val="single" w:sz="4" w:space="0" w:color="000000"/>
            </w:tcBorders>
          </w:tcPr>
          <w:p w:rsidR="000C42D6" w:rsidRPr="00BD05D3" w:rsidP="006C5AD8">
            <w:pPr>
              <w:pStyle w:val="Normlny"/>
              <w:snapToGrid w:val="0"/>
              <w:jc w:val="center"/>
              <w:rPr>
                <w:sz w:val="22"/>
                <w:szCs w:val="22"/>
              </w:rPr>
            </w:pPr>
            <w:r w:rsidRPr="00BD05D3">
              <w:rPr>
                <w:sz w:val="22"/>
                <w:szCs w:val="22"/>
              </w:rPr>
              <w:t>Číslo</w:t>
            </w:r>
          </w:p>
        </w:tc>
        <w:tc>
          <w:tcPr>
            <w:tcW w:w="709" w:type="dxa"/>
            <w:tcBorders>
              <w:top w:val="single" w:sz="4" w:space="0" w:color="000000"/>
              <w:left w:val="single" w:sz="4" w:space="0" w:color="000000"/>
              <w:bottom w:val="single" w:sz="4" w:space="0" w:color="000000"/>
            </w:tcBorders>
          </w:tcPr>
          <w:p w:rsidR="000C42D6" w:rsidRPr="00BD05D3" w:rsidP="006C5AD8">
            <w:pPr>
              <w:pStyle w:val="Normlny"/>
              <w:snapToGrid w:val="0"/>
              <w:ind w:left="-172" w:right="-185"/>
              <w:jc w:val="center"/>
              <w:rPr>
                <w:sz w:val="22"/>
                <w:szCs w:val="22"/>
              </w:rPr>
            </w:pPr>
            <w:r w:rsidRPr="00BD05D3">
              <w:rPr>
                <w:sz w:val="22"/>
                <w:szCs w:val="22"/>
              </w:rPr>
              <w:t>Článok     (Č, §,</w:t>
            </w:r>
          </w:p>
          <w:p w:rsidR="000C42D6" w:rsidRPr="00BD05D3" w:rsidP="006C5AD8">
            <w:pPr>
              <w:pStyle w:val="Normlny"/>
              <w:snapToGrid w:val="0"/>
              <w:ind w:left="-172" w:right="-185"/>
              <w:jc w:val="center"/>
              <w:rPr>
                <w:sz w:val="22"/>
                <w:szCs w:val="22"/>
              </w:rPr>
            </w:pPr>
            <w:r w:rsidRPr="00BD05D3">
              <w:rPr>
                <w:sz w:val="22"/>
                <w:szCs w:val="22"/>
              </w:rPr>
              <w:t>O, V,</w:t>
            </w:r>
          </w:p>
          <w:p w:rsidR="000C42D6" w:rsidRPr="00BD05D3" w:rsidP="006C5AD8">
            <w:pPr>
              <w:pStyle w:val="Normlny"/>
              <w:snapToGrid w:val="0"/>
              <w:ind w:left="-172" w:right="-185"/>
              <w:jc w:val="center"/>
              <w:rPr>
                <w:sz w:val="22"/>
                <w:szCs w:val="22"/>
              </w:rPr>
            </w:pPr>
            <w:r w:rsidRPr="00BD05D3">
              <w:rPr>
                <w:sz w:val="22"/>
                <w:szCs w:val="22"/>
              </w:rPr>
              <w:t>P)</w:t>
            </w:r>
          </w:p>
        </w:tc>
        <w:tc>
          <w:tcPr>
            <w:tcW w:w="4819" w:type="dxa"/>
            <w:tcBorders>
              <w:top w:val="single" w:sz="4" w:space="0" w:color="000000"/>
              <w:left w:val="single" w:sz="4" w:space="0" w:color="000000"/>
              <w:bottom w:val="single" w:sz="4" w:space="0" w:color="000000"/>
            </w:tcBorders>
          </w:tcPr>
          <w:p w:rsidR="000C42D6" w:rsidRPr="00BD05D3" w:rsidP="006C5AD8">
            <w:pPr>
              <w:pStyle w:val="Normlny"/>
              <w:snapToGrid w:val="0"/>
              <w:jc w:val="center"/>
              <w:rPr>
                <w:sz w:val="22"/>
                <w:szCs w:val="22"/>
              </w:rPr>
            </w:pPr>
            <w:r w:rsidRPr="00BD05D3">
              <w:rPr>
                <w:sz w:val="22"/>
                <w:szCs w:val="22"/>
              </w:rPr>
              <w:t>Text</w:t>
            </w:r>
          </w:p>
        </w:tc>
        <w:tc>
          <w:tcPr>
            <w:tcW w:w="709" w:type="dxa"/>
            <w:tcBorders>
              <w:top w:val="single" w:sz="4" w:space="0" w:color="000000"/>
              <w:left w:val="single" w:sz="4" w:space="0" w:color="000000"/>
              <w:bottom w:val="single" w:sz="4" w:space="0" w:color="000000"/>
            </w:tcBorders>
          </w:tcPr>
          <w:p w:rsidR="000C42D6" w:rsidRPr="00BD05D3" w:rsidP="006C5AD8">
            <w:pPr>
              <w:pStyle w:val="Normlny"/>
              <w:snapToGrid w:val="0"/>
              <w:ind w:left="-43" w:right="-43"/>
              <w:jc w:val="center"/>
              <w:rPr>
                <w:sz w:val="22"/>
                <w:szCs w:val="22"/>
              </w:rPr>
            </w:pPr>
            <w:r w:rsidRPr="00BD05D3">
              <w:rPr>
                <w:sz w:val="22"/>
                <w:szCs w:val="22"/>
              </w:rPr>
              <w:t>Zhoda</w:t>
            </w:r>
          </w:p>
          <w:p w:rsidR="000C42D6" w:rsidRPr="00BD05D3" w:rsidP="006C5AD8">
            <w:pPr>
              <w:pStyle w:val="Normlny"/>
              <w:snapToGrid w:val="0"/>
              <w:jc w:val="center"/>
              <w:rPr>
                <w:sz w:val="22"/>
                <w:szCs w:val="22"/>
              </w:rPr>
            </w:pPr>
            <w:r w:rsidRPr="00BD05D3">
              <w:rPr>
                <w:sz w:val="22"/>
                <w:szCs w:val="22"/>
              </w:rPr>
              <w:t>(Ú, Č, R, 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Normlny"/>
              <w:snapToGrid w:val="0"/>
              <w:jc w:val="center"/>
              <w:rPr>
                <w:sz w:val="22"/>
                <w:szCs w:val="22"/>
              </w:rPr>
            </w:pPr>
            <w:r w:rsidRPr="00BD05D3">
              <w:rPr>
                <w:sz w:val="22"/>
                <w:szCs w:val="22"/>
              </w:rPr>
              <w:t>Poznámky</w:t>
            </w:r>
          </w:p>
          <w:p w:rsidR="000C42D6" w:rsidRPr="00BD05D3" w:rsidP="00952AFF">
            <w:pPr>
              <w:pStyle w:val="Normlny"/>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Normlny"/>
              <w:snapToGrid w:val="0"/>
              <w:jc w:val="center"/>
              <w:rPr>
                <w:sz w:val="22"/>
                <w:szCs w:val="22"/>
              </w:rPr>
            </w:pPr>
            <w:r w:rsidRPr="001A67A5">
              <w:t>Identi fikáci a goldp latingu</w:t>
            </w:r>
          </w:p>
        </w:tc>
        <w:tc>
          <w:tcPr>
            <w:tcW w:w="851" w:type="dxa"/>
            <w:tcBorders>
              <w:top w:val="single" w:sz="4" w:space="0" w:color="000000"/>
              <w:left w:val="single" w:sz="4" w:space="0" w:color="000000"/>
              <w:bottom w:val="single" w:sz="4" w:space="0" w:color="000000"/>
              <w:right w:val="single" w:sz="4" w:space="0" w:color="000000"/>
            </w:tcBorders>
          </w:tcPr>
          <w:p w:rsidR="000C42D6" w:rsidRPr="001A67A5" w:rsidP="000C42D6">
            <w:pPr>
              <w:pStyle w:val="TableParagraph"/>
              <w:jc w:val="center"/>
              <w:rPr>
                <w:sz w:val="20"/>
                <w:szCs w:val="20"/>
              </w:rPr>
            </w:pPr>
            <w:r w:rsidRPr="001A67A5">
              <w:rPr>
                <w:sz w:val="20"/>
                <w:szCs w:val="20"/>
              </w:rPr>
              <w:t>Identifi</w:t>
            </w:r>
          </w:p>
          <w:p w:rsidR="000C42D6" w:rsidRPr="001A67A5" w:rsidP="000C42D6">
            <w:pPr>
              <w:pStyle w:val="TableParagraph"/>
              <w:jc w:val="center"/>
              <w:rPr>
                <w:sz w:val="20"/>
                <w:szCs w:val="20"/>
              </w:rPr>
            </w:pPr>
            <w:r w:rsidRPr="001A67A5">
              <w:rPr>
                <w:sz w:val="20"/>
                <w:szCs w:val="20"/>
              </w:rPr>
              <w:t>kácia</w:t>
            </w:r>
          </w:p>
          <w:p w:rsidR="000C42D6" w:rsidRPr="001A67A5" w:rsidP="000C42D6">
            <w:pPr>
              <w:pStyle w:val="TableParagraph"/>
              <w:jc w:val="center"/>
              <w:rPr>
                <w:sz w:val="20"/>
                <w:szCs w:val="20"/>
              </w:rPr>
            </w:pPr>
            <w:r w:rsidRPr="001A67A5">
              <w:rPr>
                <w:sz w:val="20"/>
                <w:szCs w:val="20"/>
              </w:rPr>
              <w:t>oblasti</w:t>
            </w:r>
          </w:p>
          <w:p w:rsidR="000C42D6" w:rsidRPr="001A67A5" w:rsidP="000C42D6">
            <w:pPr>
              <w:pStyle w:val="TableParagraph"/>
              <w:jc w:val="center"/>
              <w:rPr>
                <w:sz w:val="20"/>
                <w:szCs w:val="20"/>
              </w:rPr>
            </w:pPr>
            <w:r w:rsidRPr="001A67A5">
              <w:rPr>
                <w:sz w:val="20"/>
                <w:szCs w:val="20"/>
              </w:rPr>
              <w:t>gold-</w:t>
            </w:r>
          </w:p>
          <w:p w:rsidR="000C42D6" w:rsidRPr="001A67A5" w:rsidP="000C42D6">
            <w:pPr>
              <w:pStyle w:val="TableParagraph"/>
              <w:jc w:val="center"/>
              <w:rPr>
                <w:sz w:val="20"/>
                <w:szCs w:val="20"/>
              </w:rPr>
            </w:pPr>
            <w:r w:rsidRPr="001A67A5">
              <w:rPr>
                <w:sz w:val="20"/>
                <w:szCs w:val="20"/>
              </w:rPr>
              <w:t>plating</w:t>
            </w:r>
          </w:p>
          <w:p w:rsidR="000C42D6" w:rsidRPr="001A67A5" w:rsidP="000C42D6">
            <w:pPr>
              <w:pStyle w:val="TableParagraph"/>
              <w:jc w:val="center"/>
              <w:rPr>
                <w:sz w:val="20"/>
                <w:szCs w:val="20"/>
              </w:rPr>
            </w:pPr>
            <w:r w:rsidRPr="001A67A5">
              <w:rPr>
                <w:sz w:val="20"/>
                <w:szCs w:val="20"/>
              </w:rPr>
              <w:t>u a</w:t>
            </w:r>
          </w:p>
          <w:p w:rsidR="000C42D6" w:rsidRPr="001A67A5" w:rsidP="000C42D6">
            <w:pPr>
              <w:pStyle w:val="TableParagraph"/>
              <w:jc w:val="center"/>
              <w:rPr>
                <w:sz w:val="20"/>
                <w:szCs w:val="20"/>
              </w:rPr>
            </w:pPr>
            <w:r w:rsidRPr="001A67A5">
              <w:rPr>
                <w:sz w:val="20"/>
                <w:szCs w:val="20"/>
              </w:rPr>
              <w:t>vyjadre</w:t>
            </w:r>
          </w:p>
          <w:p w:rsidR="000C42D6" w:rsidRPr="001A67A5" w:rsidP="000C42D6">
            <w:pPr>
              <w:pStyle w:val="TableParagraph"/>
              <w:jc w:val="center"/>
              <w:rPr>
                <w:sz w:val="20"/>
                <w:szCs w:val="20"/>
              </w:rPr>
            </w:pPr>
            <w:r w:rsidRPr="001A67A5">
              <w:rPr>
                <w:sz w:val="20"/>
                <w:szCs w:val="20"/>
              </w:rPr>
              <w:t>nie k</w:t>
            </w:r>
          </w:p>
          <w:p w:rsidR="000C42D6" w:rsidRPr="001A67A5" w:rsidP="000C42D6">
            <w:pPr>
              <w:pStyle w:val="TableParagraph"/>
              <w:jc w:val="center"/>
              <w:rPr>
                <w:sz w:val="20"/>
                <w:szCs w:val="20"/>
              </w:rPr>
            </w:pPr>
            <w:r w:rsidRPr="001A67A5">
              <w:rPr>
                <w:sz w:val="20"/>
                <w:szCs w:val="20"/>
              </w:rPr>
              <w:t>opodsta</w:t>
            </w:r>
          </w:p>
          <w:p w:rsidR="000C42D6" w:rsidRPr="001A67A5" w:rsidP="000C42D6">
            <w:pPr>
              <w:pStyle w:val="TableParagraph"/>
              <w:jc w:val="center"/>
              <w:rPr>
                <w:sz w:val="20"/>
                <w:szCs w:val="20"/>
              </w:rPr>
            </w:pPr>
            <w:r w:rsidRPr="001A67A5">
              <w:rPr>
                <w:sz w:val="20"/>
                <w:szCs w:val="20"/>
              </w:rPr>
              <w:t>tnenosti</w:t>
            </w:r>
          </w:p>
          <w:p w:rsidR="000C42D6" w:rsidRPr="001A67A5" w:rsidP="000C42D6">
            <w:pPr>
              <w:pStyle w:val="TableParagraph"/>
              <w:jc w:val="center"/>
              <w:rPr>
                <w:sz w:val="20"/>
                <w:szCs w:val="20"/>
              </w:rPr>
            </w:pPr>
            <w:r w:rsidRPr="001A67A5">
              <w:rPr>
                <w:sz w:val="20"/>
                <w:szCs w:val="20"/>
              </w:rPr>
              <w:t>goldpla</w:t>
            </w:r>
          </w:p>
          <w:p w:rsidR="000C42D6" w:rsidRPr="00BD05D3" w:rsidP="000C42D6">
            <w:pPr>
              <w:pStyle w:val="Normlny"/>
              <w:snapToGrid w:val="0"/>
              <w:jc w:val="center"/>
              <w:rPr>
                <w:sz w:val="22"/>
                <w:szCs w:val="22"/>
              </w:rPr>
            </w:pPr>
            <w:r w:rsidRPr="001A67A5">
              <w:t>tingu*</w:t>
            </w: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31365">
            <w:pPr>
              <w:snapToGrid w:val="0"/>
              <w:jc w:val="both"/>
              <w:rPr>
                <w:sz w:val="22"/>
                <w:szCs w:val="22"/>
              </w:rPr>
            </w:pPr>
            <w:r w:rsidRPr="00BD05D3">
              <w:rPr>
                <w:sz w:val="22"/>
                <w:szCs w:val="22"/>
              </w:rPr>
              <w:t>C: 3</w:t>
            </w:r>
          </w:p>
          <w:p w:rsidR="000C42D6" w:rsidRPr="00BD05D3" w:rsidP="00031365">
            <w:pPr>
              <w:snapToGrid w:val="0"/>
              <w:jc w:val="both"/>
              <w:rPr>
                <w:sz w:val="22"/>
                <w:szCs w:val="22"/>
              </w:rPr>
            </w:pPr>
            <w:r w:rsidRPr="00BD05D3">
              <w:rPr>
                <w:sz w:val="22"/>
                <w:szCs w:val="22"/>
              </w:rPr>
              <w:t>O: 3</w:t>
            </w:r>
          </w:p>
        </w:tc>
        <w:tc>
          <w:tcPr>
            <w:tcW w:w="4536" w:type="dxa"/>
            <w:tcBorders>
              <w:top w:val="single" w:sz="4" w:space="0" w:color="000000"/>
              <w:left w:val="single" w:sz="4" w:space="0" w:color="000000"/>
              <w:bottom w:val="single" w:sz="4" w:space="0" w:color="000000"/>
            </w:tcBorders>
          </w:tcPr>
          <w:p w:rsidR="000C42D6" w:rsidRPr="00BD05D3" w:rsidP="00031365">
            <w:pPr>
              <w:jc w:val="both"/>
              <w:rPr>
                <w:sz w:val="22"/>
                <w:szCs w:val="22"/>
              </w:rPr>
            </w:pPr>
            <w:r w:rsidRPr="00BD05D3">
              <w:rPr>
                <w:sz w:val="22"/>
                <w:szCs w:val="22"/>
              </w:rPr>
              <w:t>„študent“ je štátny príslušník tretej krajiny, ktorý je prijatý inštitúciou vysokoškolského vzdelávania a je prijatý na územie členského štátu, aby vykonával ako hlavnú činnosť štúdium vedúce k získaniu kvalifikácie vysokoškolského vzdelania uznanej týmto členským štátom vrátane diplomov, o</w:t>
            </w:r>
            <w:r w:rsidRPr="00BD05D3">
              <w:rPr>
                <w:sz w:val="22"/>
                <w:szCs w:val="22"/>
              </w:rPr>
              <w:t>svedčení alebo doktorandských titulov získaných v inštitúcii vysokoškolského vzdelávania, ktoré môže zahŕňať prípravný kurz pred takýmto vzdelávaním v súlade s vnútroštátnym právom alebo povinnú odbornú prípravu;</w:t>
            </w:r>
          </w:p>
        </w:tc>
        <w:tc>
          <w:tcPr>
            <w:tcW w:w="425" w:type="dxa"/>
            <w:tcBorders>
              <w:top w:val="single" w:sz="4" w:space="0" w:color="auto"/>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N</w:t>
            </w:r>
          </w:p>
        </w:tc>
        <w:tc>
          <w:tcPr>
            <w:tcW w:w="709" w:type="dxa"/>
            <w:tcBorders>
              <w:top w:val="single" w:sz="4" w:space="0" w:color="auto"/>
              <w:left w:val="single" w:sz="4" w:space="0" w:color="000000"/>
              <w:bottom w:val="single" w:sz="4" w:space="0" w:color="000000"/>
            </w:tcBorders>
          </w:tcPr>
          <w:p w:rsidR="000C42D6" w:rsidRPr="00BD05D3" w:rsidP="006C5AD8">
            <w:pPr>
              <w:snapToGrid w:val="0"/>
              <w:jc w:val="center"/>
              <w:rPr>
                <w:sz w:val="22"/>
                <w:szCs w:val="22"/>
              </w:rPr>
            </w:pPr>
            <w:r w:rsidRPr="00BD05D3">
              <w:rPr>
                <w:sz w:val="22"/>
                <w:szCs w:val="22"/>
              </w:rPr>
              <w:t>Návrh zákona Čl. I</w:t>
            </w:r>
          </w:p>
        </w:tc>
        <w:tc>
          <w:tcPr>
            <w:tcW w:w="709" w:type="dxa"/>
            <w:tcBorders>
              <w:top w:val="single" w:sz="4" w:space="0" w:color="auto"/>
              <w:left w:val="single" w:sz="4" w:space="0" w:color="000000"/>
              <w:bottom w:val="single" w:sz="4" w:space="0" w:color="000000"/>
            </w:tcBorders>
          </w:tcPr>
          <w:p w:rsidR="000C42D6" w:rsidRPr="00BD05D3" w:rsidP="00BE30FC">
            <w:pPr>
              <w:pStyle w:val="Normlny"/>
              <w:snapToGrid w:val="0"/>
              <w:jc w:val="both"/>
              <w:rPr>
                <w:sz w:val="22"/>
                <w:szCs w:val="22"/>
              </w:rPr>
            </w:pPr>
            <w:r w:rsidRPr="00BD05D3">
              <w:rPr>
                <w:sz w:val="22"/>
                <w:szCs w:val="22"/>
              </w:rPr>
              <w:t>§ 67</w:t>
            </w:r>
          </w:p>
          <w:p w:rsidR="000C42D6" w:rsidRPr="00BD05D3" w:rsidP="00BE30FC">
            <w:pPr>
              <w:pStyle w:val="Normlny"/>
              <w:snapToGrid w:val="0"/>
              <w:jc w:val="both"/>
              <w:rPr>
                <w:sz w:val="22"/>
                <w:szCs w:val="22"/>
              </w:rPr>
            </w:pPr>
            <w:r w:rsidRPr="00BD05D3">
              <w:rPr>
                <w:sz w:val="22"/>
                <w:szCs w:val="22"/>
              </w:rPr>
              <w:t>O:1</w:t>
            </w:r>
          </w:p>
          <w:p w:rsidR="000C42D6" w:rsidP="00BE30FC">
            <w:pPr>
              <w:pStyle w:val="Normlny"/>
              <w:snapToGrid w:val="0"/>
              <w:jc w:val="both"/>
              <w:rPr>
                <w:sz w:val="22"/>
                <w:szCs w:val="22"/>
              </w:rPr>
            </w:pPr>
          </w:p>
          <w:p w:rsidR="00793D04" w:rsidP="00BE30FC">
            <w:pPr>
              <w:pStyle w:val="Normlny"/>
              <w:snapToGrid w:val="0"/>
              <w:jc w:val="both"/>
              <w:rPr>
                <w:sz w:val="22"/>
                <w:szCs w:val="22"/>
              </w:rPr>
            </w:pPr>
          </w:p>
          <w:p w:rsidR="00793D04" w:rsidP="00BE30FC">
            <w:pPr>
              <w:pStyle w:val="Normlny"/>
              <w:snapToGrid w:val="0"/>
              <w:jc w:val="both"/>
              <w:rPr>
                <w:sz w:val="22"/>
                <w:szCs w:val="22"/>
              </w:rPr>
            </w:pPr>
            <w:r>
              <w:rPr>
                <w:sz w:val="22"/>
                <w:szCs w:val="22"/>
              </w:rPr>
              <w:t>§ 31</w:t>
            </w:r>
          </w:p>
          <w:p w:rsidR="00793D04" w:rsidP="00BE30FC">
            <w:pPr>
              <w:pStyle w:val="Normlny"/>
              <w:snapToGrid w:val="0"/>
              <w:jc w:val="both"/>
              <w:rPr>
                <w:sz w:val="22"/>
                <w:szCs w:val="22"/>
              </w:rPr>
            </w:pPr>
            <w:r>
              <w:rPr>
                <w:sz w:val="22"/>
                <w:szCs w:val="22"/>
              </w:rPr>
              <w:t>O:3</w:t>
            </w:r>
          </w:p>
          <w:p w:rsidR="00793D04" w:rsidRPr="00BD05D3" w:rsidP="00BE30FC">
            <w:pPr>
              <w:pStyle w:val="Normlny"/>
              <w:snapToGrid w:val="0"/>
              <w:jc w:val="both"/>
              <w:rPr>
                <w:sz w:val="22"/>
                <w:szCs w:val="22"/>
              </w:rPr>
            </w:pPr>
            <w:r>
              <w:rPr>
                <w:sz w:val="22"/>
                <w:szCs w:val="22"/>
              </w:rPr>
              <w:t>P:</w:t>
            </w:r>
            <w:r>
              <w:rPr>
                <w:sz w:val="22"/>
                <w:szCs w:val="22"/>
              </w:rPr>
              <w:t>f)</w:t>
            </w:r>
          </w:p>
          <w:p w:rsidR="000C42D6" w:rsidRPr="00BD05D3" w:rsidP="00BE30FC">
            <w:pPr>
              <w:pStyle w:val="Normlny"/>
              <w:snapToGrid w:val="0"/>
              <w:jc w:val="both"/>
              <w:rPr>
                <w:sz w:val="22"/>
                <w:szCs w:val="22"/>
              </w:rPr>
            </w:pPr>
          </w:p>
          <w:p w:rsidR="000C42D6" w:rsidP="00BE30FC">
            <w:pPr>
              <w:pStyle w:val="Normlny"/>
              <w:snapToGrid w:val="0"/>
              <w:jc w:val="both"/>
              <w:rPr>
                <w:sz w:val="22"/>
                <w:szCs w:val="22"/>
              </w:rPr>
            </w:pPr>
            <w:r w:rsidR="00793D04">
              <w:rPr>
                <w:sz w:val="22"/>
                <w:szCs w:val="22"/>
              </w:rPr>
              <w:t>§ 70</w:t>
            </w:r>
          </w:p>
          <w:p w:rsidR="00793D04" w:rsidP="00BE30FC">
            <w:pPr>
              <w:pStyle w:val="Normlny"/>
              <w:snapToGrid w:val="0"/>
              <w:jc w:val="both"/>
              <w:rPr>
                <w:sz w:val="22"/>
                <w:szCs w:val="22"/>
              </w:rPr>
            </w:pPr>
            <w:r>
              <w:rPr>
                <w:sz w:val="22"/>
                <w:szCs w:val="22"/>
              </w:rPr>
              <w:t>O:3</w:t>
            </w:r>
          </w:p>
          <w:p w:rsidR="00793D04" w:rsidRPr="00BD05D3" w:rsidP="00BE30FC">
            <w:pPr>
              <w:pStyle w:val="Normlny"/>
              <w:snapToGrid w:val="0"/>
              <w:jc w:val="both"/>
              <w:rPr>
                <w:sz w:val="22"/>
                <w:szCs w:val="22"/>
              </w:rPr>
            </w:pPr>
            <w:r>
              <w:rPr>
                <w:sz w:val="22"/>
                <w:szCs w:val="22"/>
              </w:rPr>
              <w:t>P:f)</w:t>
            </w: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r w:rsidRPr="00BD05D3">
              <w:rPr>
                <w:sz w:val="22"/>
                <w:szCs w:val="22"/>
              </w:rPr>
              <w:t>§ 88</w:t>
            </w:r>
          </w:p>
          <w:p w:rsidR="000C42D6" w:rsidRPr="00BD05D3" w:rsidP="00BE30FC">
            <w:pPr>
              <w:pStyle w:val="Normlny"/>
              <w:snapToGrid w:val="0"/>
              <w:jc w:val="both"/>
              <w:rPr>
                <w:sz w:val="22"/>
                <w:szCs w:val="22"/>
              </w:rPr>
            </w:pPr>
            <w:r w:rsidRPr="00BD05D3">
              <w:rPr>
                <w:sz w:val="22"/>
                <w:szCs w:val="22"/>
              </w:rPr>
              <w:t>O: 3</w:t>
            </w:r>
          </w:p>
          <w:p w:rsidR="000C42D6" w:rsidRPr="00BD05D3" w:rsidP="00BE30FC">
            <w:pPr>
              <w:pStyle w:val="Normlny"/>
              <w:snapToGrid w:val="0"/>
              <w:jc w:val="both"/>
              <w:rPr>
                <w:sz w:val="22"/>
                <w:szCs w:val="22"/>
              </w:rPr>
            </w:pPr>
          </w:p>
        </w:tc>
        <w:tc>
          <w:tcPr>
            <w:tcW w:w="4819" w:type="dxa"/>
            <w:tcBorders>
              <w:top w:val="single" w:sz="4" w:space="0" w:color="auto"/>
              <w:left w:val="single" w:sz="4" w:space="0" w:color="000000"/>
              <w:bottom w:val="single" w:sz="4" w:space="0" w:color="000000"/>
            </w:tcBorders>
          </w:tcPr>
          <w:p w:rsidR="000C42D6" w:rsidRPr="00BD05D3" w:rsidP="00C3513B">
            <w:pPr>
              <w:pStyle w:val="Normlny"/>
              <w:snapToGrid w:val="0"/>
              <w:jc w:val="both"/>
              <w:rPr>
                <w:sz w:val="22"/>
                <w:szCs w:val="22"/>
              </w:rPr>
            </w:pPr>
            <w:r w:rsidRPr="00BD05D3">
              <w:rPr>
                <w:sz w:val="22"/>
                <w:szCs w:val="22"/>
              </w:rPr>
              <w:t xml:space="preserve"> (1)</w:t>
              <w:tab/>
              <w:t>Každý má právo študovať na vysokej škole zvolený študijný program, ak splní podmienky prijatia na štúdium.</w:t>
            </w:r>
          </w:p>
          <w:p w:rsidR="000C42D6" w:rsidRPr="00BD05D3" w:rsidP="00C3513B">
            <w:pPr>
              <w:pStyle w:val="Normlny"/>
              <w:snapToGrid w:val="0"/>
              <w:jc w:val="both"/>
              <w:rPr>
                <w:sz w:val="22"/>
                <w:szCs w:val="22"/>
              </w:rPr>
            </w:pPr>
          </w:p>
          <w:p w:rsidR="000C42D6" w:rsidP="00BD05D3">
            <w:pPr>
              <w:pStyle w:val="ListParagraph0"/>
              <w:spacing w:after="0" w:line="240" w:lineRule="auto"/>
              <w:ind w:left="0"/>
              <w:jc w:val="both"/>
              <w:rPr>
                <w:rFonts w:ascii="Times New Roman" w:hAnsi="Times New Roman"/>
              </w:rPr>
            </w:pPr>
          </w:p>
          <w:p w:rsidR="000C42D6" w:rsidRPr="00793D04" w:rsidP="00BD05D3">
            <w:pPr>
              <w:pStyle w:val="ListParagraph0"/>
              <w:spacing w:after="0" w:line="240" w:lineRule="auto"/>
              <w:ind w:left="0"/>
              <w:jc w:val="both"/>
              <w:rPr>
                <w:rFonts w:ascii="Times New Roman" w:eastAsia="Times New Roman" w:hAnsi="Times New Roman"/>
                <w:lang w:eastAsia="ar-SA"/>
              </w:rPr>
            </w:pPr>
            <w:r w:rsidRPr="00793D04" w:rsidR="00793D04">
              <w:rPr>
                <w:rFonts w:ascii="Times New Roman" w:eastAsia="Times New Roman" w:hAnsi="Times New Roman"/>
                <w:lang w:eastAsia="ar-SA"/>
              </w:rPr>
              <w:t>Štatút obsahuje najmä  </w:t>
            </w:r>
          </w:p>
          <w:p w:rsidR="00793D04" w:rsidRPr="00793D04" w:rsidP="00BD05D3">
            <w:pPr>
              <w:pStyle w:val="ListParagraph0"/>
              <w:spacing w:after="0" w:line="240" w:lineRule="auto"/>
              <w:ind w:left="0"/>
              <w:jc w:val="both"/>
              <w:rPr>
                <w:rFonts w:ascii="Times New Roman" w:eastAsia="Times New Roman" w:hAnsi="Times New Roman"/>
                <w:lang w:eastAsia="ar-SA"/>
              </w:rPr>
            </w:pPr>
            <w:r w:rsidRPr="00793D04">
              <w:rPr>
                <w:rFonts w:ascii="Times New Roman" w:eastAsia="Times New Roman" w:hAnsi="Times New Roman"/>
                <w:lang w:eastAsia="ar-SA"/>
              </w:rPr>
              <w:t>f) rámcové podmienky štúdia cudzincov,</w:t>
            </w:r>
          </w:p>
          <w:p w:rsidR="00793D04" w:rsidP="00BD05D3">
            <w:pPr>
              <w:pStyle w:val="ListParagraph0"/>
              <w:spacing w:after="0" w:line="240" w:lineRule="auto"/>
              <w:ind w:left="0"/>
              <w:jc w:val="both"/>
              <w:rPr>
                <w:rFonts w:ascii="Times New Roman" w:hAnsi="Times New Roman"/>
              </w:rPr>
            </w:pPr>
          </w:p>
          <w:p w:rsidR="00793D04" w:rsidP="00BD05D3">
            <w:pPr>
              <w:pStyle w:val="ListParagraph0"/>
              <w:spacing w:after="0" w:line="240" w:lineRule="auto"/>
              <w:ind w:left="0"/>
              <w:jc w:val="both"/>
              <w:rPr>
                <w:rStyle w:val="normaltextrun"/>
                <w:color w:val="000000"/>
                <w:shd w:val="clear" w:color="auto" w:fill="FFFFFF"/>
              </w:rPr>
            </w:pPr>
          </w:p>
          <w:p w:rsidR="00793D04" w:rsidRPr="00793D04" w:rsidP="00BD05D3">
            <w:pPr>
              <w:pStyle w:val="ListParagraph0"/>
              <w:spacing w:after="0" w:line="240" w:lineRule="auto"/>
              <w:ind w:left="0"/>
              <w:jc w:val="both"/>
              <w:rPr>
                <w:rFonts w:ascii="Times New Roman" w:eastAsia="Times New Roman" w:hAnsi="Times New Roman"/>
                <w:lang w:eastAsia="ar-SA"/>
              </w:rPr>
            </w:pPr>
            <w:r w:rsidRPr="00793D04">
              <w:rPr>
                <w:rFonts w:ascii="Times New Roman" w:eastAsia="Times New Roman" w:hAnsi="Times New Roman"/>
                <w:lang w:eastAsia="ar-SA"/>
              </w:rPr>
              <w:t>V prihláške uvedie uchádzač  </w:t>
            </w:r>
          </w:p>
          <w:p w:rsidR="00793D04" w:rsidRPr="00793D04" w:rsidP="00BD05D3">
            <w:pPr>
              <w:pStyle w:val="ListParagraph0"/>
              <w:spacing w:after="0" w:line="240" w:lineRule="auto"/>
              <w:ind w:left="0"/>
              <w:jc w:val="both"/>
              <w:rPr>
                <w:rFonts w:ascii="Times New Roman" w:eastAsia="Times New Roman" w:hAnsi="Times New Roman"/>
                <w:lang w:eastAsia="ar-SA"/>
              </w:rPr>
            </w:pPr>
            <w:r w:rsidRPr="00793D04">
              <w:rPr>
                <w:rFonts w:ascii="Times New Roman" w:eastAsia="Times New Roman" w:hAnsi="Times New Roman"/>
                <w:lang w:eastAsia="ar-SA"/>
              </w:rPr>
              <w:t>f) miesto pobytu</w:t>
            </w:r>
            <w:r w:rsidRPr="00793D04">
              <w:rPr>
                <w:rFonts w:ascii="Times New Roman" w:eastAsia="Times New Roman" w:hAnsi="Times New Roman"/>
                <w:lang w:eastAsia="ar-SA"/>
              </w:rPr>
              <w:t xml:space="preserve"> v Slovenskej republike, ak ide o cudzinca, </w:t>
            </w:r>
          </w:p>
          <w:p w:rsidR="00793D04" w:rsidP="00BD05D3">
            <w:pPr>
              <w:pStyle w:val="ListParagraph0"/>
              <w:spacing w:after="0" w:line="240" w:lineRule="auto"/>
              <w:ind w:left="0"/>
              <w:jc w:val="both"/>
              <w:rPr>
                <w:rFonts w:ascii="Times New Roman" w:hAnsi="Times New Roman"/>
              </w:rPr>
            </w:pPr>
          </w:p>
          <w:p w:rsidR="00793D04" w:rsidP="00BD05D3">
            <w:pPr>
              <w:pStyle w:val="ListParagraph0"/>
              <w:spacing w:after="0" w:line="240" w:lineRule="auto"/>
              <w:ind w:left="0"/>
              <w:jc w:val="both"/>
              <w:rPr>
                <w:rFonts w:ascii="Times New Roman" w:hAnsi="Times New Roman"/>
              </w:rPr>
            </w:pPr>
          </w:p>
          <w:p w:rsidR="000C42D6" w:rsidRPr="00BD05D3" w:rsidP="00BD05D3">
            <w:pPr>
              <w:pStyle w:val="ListParagraph0"/>
              <w:spacing w:after="0" w:line="240" w:lineRule="auto"/>
              <w:ind w:left="0"/>
              <w:jc w:val="both"/>
              <w:rPr>
                <w:rFonts w:ascii="Times New Roman" w:hAnsi="Times New Roman"/>
              </w:rPr>
            </w:pPr>
            <w:r>
              <w:rPr>
                <w:rFonts w:ascii="Times New Roman" w:hAnsi="Times New Roman"/>
              </w:rPr>
              <w:t xml:space="preserve">(3) </w:t>
            </w:r>
            <w:r w:rsidRPr="00BD05D3">
              <w:rPr>
                <w:rFonts w:ascii="Times New Roman" w:hAnsi="Times New Roman"/>
              </w:rPr>
              <w:t>Preukaz študenta je doklad, ktorý potvrdzuje postavenie študenta, ktoré ho oprávňuje využívať práva a výhody študenta vyplývajúce z právnych predpisov, z vnútorných predpisov vysokej školy a z dohôd s inými právnickými osobami. Tento doklad slúži aj na preukázanie zapísaných údajov. Preukaz študenta vydá vysoká škola po zápise do registra študentov. Technické vyhotovenie preukazu študenta určí ministerstvo školstva.</w:t>
            </w:r>
          </w:p>
          <w:p w:rsidR="000C42D6" w:rsidRPr="00BD05D3" w:rsidP="00C3513B">
            <w:pPr>
              <w:pStyle w:val="Normlny"/>
              <w:snapToGrid w:val="0"/>
              <w:jc w:val="both"/>
              <w:rPr>
                <w:sz w:val="22"/>
                <w:szCs w:val="22"/>
              </w:rPr>
            </w:pPr>
          </w:p>
        </w:tc>
        <w:tc>
          <w:tcPr>
            <w:tcW w:w="709" w:type="dxa"/>
            <w:tcBorders>
              <w:top w:val="single" w:sz="4" w:space="0" w:color="000000"/>
              <w:left w:val="single" w:sz="4" w:space="0" w:color="000000"/>
              <w:bottom w:val="single" w:sz="4" w:space="0" w:color="000000"/>
            </w:tcBorders>
          </w:tcPr>
          <w:p w:rsidR="000C42D6" w:rsidP="00AF0B3B">
            <w:pPr>
              <w:snapToGrid w:val="0"/>
              <w:jc w:val="center"/>
              <w:rPr>
                <w:sz w:val="22"/>
                <w:szCs w:val="22"/>
              </w:rPr>
            </w:pPr>
            <w:r w:rsidRPr="00BD05D3">
              <w:rPr>
                <w:sz w:val="22"/>
                <w:szCs w:val="22"/>
              </w:rPr>
              <w:t>Ú</w:t>
            </w:r>
          </w:p>
          <w:p w:rsidR="00580914" w:rsidP="00AF0B3B">
            <w:pPr>
              <w:snapToGrid w:val="0"/>
              <w:jc w:val="center"/>
              <w:rPr>
                <w:sz w:val="22"/>
                <w:szCs w:val="22"/>
              </w:rPr>
            </w:pPr>
          </w:p>
          <w:p w:rsidR="00580914" w:rsidP="00AF0B3B">
            <w:pPr>
              <w:snapToGrid w:val="0"/>
              <w:jc w:val="center"/>
              <w:rPr>
                <w:sz w:val="22"/>
                <w:szCs w:val="22"/>
              </w:rPr>
            </w:pPr>
          </w:p>
          <w:p w:rsidR="00580914" w:rsidP="00AF0B3B">
            <w:pPr>
              <w:snapToGrid w:val="0"/>
              <w:jc w:val="center"/>
              <w:rPr>
                <w:sz w:val="22"/>
                <w:szCs w:val="22"/>
              </w:rPr>
            </w:pPr>
          </w:p>
          <w:p w:rsidR="00580914" w:rsidP="00AF0B3B">
            <w:pPr>
              <w:snapToGrid w:val="0"/>
              <w:jc w:val="center"/>
              <w:rPr>
                <w:sz w:val="22"/>
                <w:szCs w:val="22"/>
              </w:rPr>
            </w:pPr>
          </w:p>
          <w:p w:rsidR="00580914" w:rsidP="00AF0B3B">
            <w:pPr>
              <w:snapToGrid w:val="0"/>
              <w:jc w:val="center"/>
              <w:rPr>
                <w:sz w:val="22"/>
                <w:szCs w:val="22"/>
              </w:rPr>
            </w:pPr>
          </w:p>
          <w:p w:rsidR="00580914" w:rsidP="00580914">
            <w:pPr>
              <w:snapToGrid w:val="0"/>
              <w:rPr>
                <w:sz w:val="22"/>
                <w:szCs w:val="22"/>
              </w:rPr>
            </w:pPr>
            <w:r>
              <w:rPr>
                <w:sz w:val="22"/>
                <w:szCs w:val="22"/>
              </w:rPr>
              <w:t xml:space="preserve">    </w:t>
            </w:r>
          </w:p>
          <w:p w:rsidR="00580914" w:rsidP="00580914">
            <w:pPr>
              <w:snapToGrid w:val="0"/>
              <w:rPr>
                <w:sz w:val="22"/>
                <w:szCs w:val="22"/>
              </w:rPr>
            </w:pPr>
          </w:p>
          <w:p w:rsidR="00580914" w:rsidP="00580914">
            <w:pPr>
              <w:snapToGrid w:val="0"/>
              <w:rPr>
                <w:sz w:val="22"/>
                <w:szCs w:val="22"/>
              </w:rPr>
            </w:pPr>
          </w:p>
          <w:p w:rsidR="00580914" w:rsidP="00580914">
            <w:pPr>
              <w:snapToGrid w:val="0"/>
              <w:rPr>
                <w:sz w:val="22"/>
                <w:szCs w:val="22"/>
              </w:rPr>
            </w:pPr>
          </w:p>
          <w:p w:rsidR="00580914" w:rsidRPr="00BD05D3" w:rsidP="00580914">
            <w:pPr>
              <w:snapToGrid w:val="0"/>
              <w:rPr>
                <w:sz w:val="22"/>
                <w:szCs w:val="22"/>
              </w:rPr>
            </w:pPr>
            <w:r>
              <w:rPr>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31365">
            <w:pPr>
              <w:snapToGrid w:val="0"/>
              <w:jc w:val="both"/>
              <w:rPr>
                <w:sz w:val="22"/>
                <w:szCs w:val="22"/>
              </w:rPr>
            </w:pPr>
            <w:r w:rsidRPr="00BD05D3">
              <w:rPr>
                <w:sz w:val="22"/>
                <w:szCs w:val="22"/>
              </w:rPr>
              <w:t>C: 3</w:t>
            </w:r>
          </w:p>
          <w:p w:rsidR="000C42D6" w:rsidRPr="00BD05D3" w:rsidP="00031365">
            <w:pPr>
              <w:snapToGrid w:val="0"/>
              <w:jc w:val="both"/>
              <w:rPr>
                <w:sz w:val="22"/>
                <w:szCs w:val="22"/>
              </w:rPr>
            </w:pPr>
            <w:r w:rsidRPr="00BD05D3">
              <w:rPr>
                <w:sz w:val="22"/>
                <w:szCs w:val="22"/>
              </w:rPr>
              <w:t>O: 12</w:t>
            </w:r>
          </w:p>
        </w:tc>
        <w:tc>
          <w:tcPr>
            <w:tcW w:w="4536" w:type="dxa"/>
            <w:tcBorders>
              <w:top w:val="single" w:sz="4" w:space="0" w:color="000000"/>
              <w:left w:val="single" w:sz="4" w:space="0" w:color="000000"/>
              <w:bottom w:val="single" w:sz="4" w:space="0" w:color="000000"/>
            </w:tcBorders>
          </w:tcPr>
          <w:p w:rsidR="000C42D6" w:rsidRPr="00BD05D3" w:rsidP="00031365">
            <w:pPr>
              <w:jc w:val="both"/>
              <w:rPr>
                <w:sz w:val="22"/>
                <w:szCs w:val="22"/>
              </w:rPr>
            </w:pPr>
            <w:r w:rsidRPr="00BD05D3">
              <w:rPr>
                <w:sz w:val="22"/>
                <w:szCs w:val="22"/>
              </w:rPr>
              <w:t>„</w:t>
            </w:r>
            <w:r w:rsidRPr="00BD05D3">
              <w:rPr>
                <w:sz w:val="22"/>
                <w:szCs w:val="22"/>
              </w:rPr>
              <w:t>vzdelávací projekt“ je súbor vzdelávacích činností vypracovaných vzdelávacím zariadením členského štátu v spolupráci s podobnými zariadeniami v tretej krajine na účely vzájomnej kultúrnej a vedomostnej výmeny;</w:t>
            </w:r>
          </w:p>
        </w:tc>
        <w:tc>
          <w:tcPr>
            <w:tcW w:w="425"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N</w:t>
            </w:r>
          </w:p>
        </w:tc>
        <w:tc>
          <w:tcPr>
            <w:tcW w:w="709" w:type="dxa"/>
            <w:tcBorders>
              <w:top w:val="single" w:sz="4" w:space="0" w:color="000000"/>
              <w:left w:val="single" w:sz="4" w:space="0" w:color="000000"/>
              <w:bottom w:val="single" w:sz="4" w:space="0" w:color="000000"/>
            </w:tcBorders>
          </w:tcPr>
          <w:p w:rsidR="000C42D6" w:rsidRPr="00BD05D3" w:rsidP="00057463">
            <w:pPr>
              <w:snapToGrid w:val="0"/>
              <w:jc w:val="center"/>
              <w:rPr>
                <w:sz w:val="22"/>
                <w:szCs w:val="22"/>
              </w:rPr>
            </w:pPr>
            <w:r w:rsidRPr="00BD05D3">
              <w:rPr>
                <w:sz w:val="22"/>
                <w:szCs w:val="22"/>
              </w:rPr>
              <w:t>Návrh zákona Čl. I</w:t>
            </w:r>
          </w:p>
        </w:tc>
        <w:tc>
          <w:tcPr>
            <w:tcW w:w="709" w:type="dxa"/>
            <w:tcBorders>
              <w:top w:val="single" w:sz="4" w:space="0" w:color="000000"/>
              <w:left w:val="single" w:sz="4" w:space="0" w:color="000000"/>
              <w:bottom w:val="single" w:sz="4" w:space="0" w:color="000000"/>
            </w:tcBorders>
          </w:tcPr>
          <w:p w:rsidR="00B46100" w:rsidP="001B1D27">
            <w:pPr>
              <w:pStyle w:val="Normlny"/>
              <w:snapToGrid w:val="0"/>
              <w:jc w:val="both"/>
              <w:rPr>
                <w:sz w:val="22"/>
                <w:szCs w:val="22"/>
              </w:rPr>
            </w:pPr>
            <w:r>
              <w:rPr>
                <w:sz w:val="22"/>
                <w:szCs w:val="22"/>
              </w:rPr>
              <w:t>§ 57</w:t>
            </w:r>
          </w:p>
          <w:p w:rsidR="00B46100" w:rsidP="001B1D27">
            <w:pPr>
              <w:pStyle w:val="Normlny"/>
              <w:snapToGrid w:val="0"/>
              <w:jc w:val="both"/>
              <w:rPr>
                <w:sz w:val="22"/>
                <w:szCs w:val="22"/>
              </w:rPr>
            </w:pPr>
          </w:p>
          <w:p w:rsidR="00B46100" w:rsidP="001B1D27">
            <w:pPr>
              <w:pStyle w:val="Normlny"/>
              <w:snapToGrid w:val="0"/>
              <w:jc w:val="both"/>
              <w:rPr>
                <w:sz w:val="22"/>
                <w:szCs w:val="22"/>
              </w:rPr>
            </w:pPr>
            <w:r>
              <w:rPr>
                <w:sz w:val="22"/>
                <w:szCs w:val="22"/>
              </w:rPr>
              <w:t>O: 1 až 4</w:t>
            </w: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RPr="00BD05D3" w:rsidP="001B1D27">
            <w:pPr>
              <w:pStyle w:val="Normlny"/>
              <w:snapToGrid w:val="0"/>
              <w:jc w:val="both"/>
              <w:rPr>
                <w:sz w:val="22"/>
                <w:szCs w:val="22"/>
              </w:rPr>
            </w:pPr>
          </w:p>
          <w:p w:rsidR="000C42D6" w:rsidP="001B1D27">
            <w:pPr>
              <w:pStyle w:val="Normlny"/>
              <w:snapToGrid w:val="0"/>
              <w:jc w:val="both"/>
              <w:rPr>
                <w:sz w:val="22"/>
                <w:szCs w:val="22"/>
              </w:rPr>
            </w:pPr>
            <w:r w:rsidR="00B46100">
              <w:rPr>
                <w:sz w:val="22"/>
                <w:szCs w:val="22"/>
              </w:rPr>
              <w:t>§ 71</w:t>
            </w:r>
          </w:p>
          <w:p w:rsidR="00B46100" w:rsidRPr="00BD05D3" w:rsidP="001B1D27">
            <w:pPr>
              <w:pStyle w:val="Normlny"/>
              <w:snapToGrid w:val="0"/>
              <w:jc w:val="both"/>
              <w:rPr>
                <w:sz w:val="22"/>
                <w:szCs w:val="22"/>
              </w:rPr>
            </w:pPr>
            <w:r>
              <w:rPr>
                <w:sz w:val="22"/>
                <w:szCs w:val="22"/>
              </w:rPr>
              <w:t>O:3</w:t>
            </w:r>
          </w:p>
          <w:p w:rsidR="000C42D6" w:rsidRPr="00BD05D3" w:rsidP="001B1D27">
            <w:pPr>
              <w:pStyle w:val="Normlny"/>
              <w:snapToGrid w:val="0"/>
              <w:jc w:val="both"/>
              <w:rPr>
                <w:sz w:val="22"/>
                <w:szCs w:val="22"/>
              </w:rPr>
            </w:pPr>
          </w:p>
          <w:p w:rsidR="000C42D6" w:rsidRPr="00BD05D3" w:rsidP="001B1D27">
            <w:pPr>
              <w:pStyle w:val="Normlny"/>
              <w:snapToGrid w:val="0"/>
              <w:jc w:val="both"/>
              <w:rPr>
                <w:sz w:val="22"/>
                <w:szCs w:val="22"/>
              </w:rPr>
            </w:pPr>
          </w:p>
          <w:p w:rsidR="000C42D6" w:rsidRPr="00BD05D3" w:rsidP="001B1D27">
            <w:pPr>
              <w:pStyle w:val="Normlny"/>
              <w:snapToGrid w:val="0"/>
              <w:jc w:val="both"/>
              <w:rPr>
                <w:sz w:val="22"/>
                <w:szCs w:val="22"/>
              </w:rPr>
            </w:pPr>
          </w:p>
          <w:p w:rsidR="000C42D6" w:rsidRPr="00BD05D3" w:rsidP="001B1D27">
            <w:pPr>
              <w:pStyle w:val="Normlny"/>
              <w:snapToGrid w:val="0"/>
              <w:jc w:val="both"/>
              <w:rPr>
                <w:sz w:val="22"/>
                <w:szCs w:val="22"/>
              </w:rPr>
            </w:pPr>
          </w:p>
          <w:p w:rsidR="000C42D6" w:rsidRPr="00BD05D3" w:rsidP="001B1D27">
            <w:pPr>
              <w:pStyle w:val="Normlny"/>
              <w:snapToGrid w:val="0"/>
              <w:jc w:val="both"/>
              <w:rPr>
                <w:sz w:val="22"/>
                <w:szCs w:val="22"/>
              </w:rPr>
            </w:pPr>
          </w:p>
          <w:p w:rsidR="000C42D6" w:rsidP="001B1D27">
            <w:pPr>
              <w:pStyle w:val="Normlny"/>
              <w:snapToGrid w:val="0"/>
              <w:jc w:val="both"/>
              <w:rPr>
                <w:sz w:val="22"/>
                <w:szCs w:val="22"/>
              </w:rPr>
            </w:pPr>
          </w:p>
          <w:p w:rsidR="00B46100" w:rsidP="001B1D27">
            <w:pPr>
              <w:pStyle w:val="Normlny"/>
              <w:snapToGrid w:val="0"/>
              <w:jc w:val="both"/>
              <w:rPr>
                <w:sz w:val="22"/>
                <w:szCs w:val="22"/>
              </w:rPr>
            </w:pPr>
          </w:p>
          <w:p w:rsidR="00B46100" w:rsidP="00B46100">
            <w:pPr>
              <w:pStyle w:val="Normlny"/>
              <w:snapToGrid w:val="0"/>
              <w:jc w:val="both"/>
              <w:rPr>
                <w:sz w:val="22"/>
                <w:szCs w:val="22"/>
              </w:rPr>
            </w:pPr>
            <w:r>
              <w:rPr>
                <w:sz w:val="22"/>
                <w:szCs w:val="22"/>
              </w:rPr>
              <w:t>§ 80</w:t>
            </w:r>
          </w:p>
          <w:p w:rsidR="00B46100" w:rsidRPr="00BD05D3" w:rsidP="00B46100">
            <w:pPr>
              <w:pStyle w:val="Normlny"/>
              <w:snapToGrid w:val="0"/>
              <w:jc w:val="both"/>
              <w:rPr>
                <w:sz w:val="22"/>
                <w:szCs w:val="22"/>
              </w:rPr>
            </w:pPr>
            <w:r>
              <w:rPr>
                <w:sz w:val="22"/>
                <w:szCs w:val="22"/>
              </w:rPr>
              <w:t>O: 1 až 3</w:t>
            </w: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B46100"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580914" w:rsidP="001B1D27">
            <w:pPr>
              <w:pStyle w:val="Normlny"/>
              <w:snapToGrid w:val="0"/>
              <w:jc w:val="both"/>
              <w:rPr>
                <w:sz w:val="22"/>
                <w:szCs w:val="22"/>
              </w:rPr>
            </w:pPr>
          </w:p>
          <w:p w:rsidR="000C42D6" w:rsidRPr="00BD05D3" w:rsidP="00B46100">
            <w:pPr>
              <w:pStyle w:val="Normlny"/>
              <w:snapToGrid w:val="0"/>
              <w:jc w:val="both"/>
              <w:rPr>
                <w:sz w:val="22"/>
                <w:szCs w:val="22"/>
              </w:rPr>
            </w:pPr>
          </w:p>
        </w:tc>
        <w:tc>
          <w:tcPr>
            <w:tcW w:w="4819" w:type="dxa"/>
            <w:tcBorders>
              <w:top w:val="single" w:sz="4" w:space="0" w:color="000000"/>
              <w:left w:val="single" w:sz="4" w:space="0" w:color="000000"/>
              <w:bottom w:val="single" w:sz="4" w:space="0" w:color="000000"/>
            </w:tcBorders>
          </w:tcPr>
          <w:p w:rsidR="00B46100" w:rsidRPr="00BD05D3" w:rsidP="00A752A6">
            <w:pPr>
              <w:numPr>
                <w:ilvl w:val="0"/>
                <w:numId w:val="2"/>
              </w:numPr>
              <w:suppressAutoHyphens w:val="0"/>
              <w:autoSpaceDE/>
              <w:spacing w:line="276" w:lineRule="auto"/>
              <w:ind w:left="284" w:hanging="284"/>
              <w:jc w:val="both"/>
              <w:rPr>
                <w:rFonts w:eastAsia="Calibri"/>
                <w:sz w:val="22"/>
                <w:szCs w:val="22"/>
              </w:rPr>
            </w:pPr>
            <w:r w:rsidRPr="00BD05D3">
              <w:rPr>
                <w:rFonts w:eastAsia="Calibri"/>
                <w:sz w:val="22"/>
                <w:szCs w:val="22"/>
              </w:rPr>
              <w:t xml:space="preserve">Vysoká škola môže zabezpečovať študijný program v spolupráci s inými vysokými školami vrátane vysokých škôl so sídlom mimo územia Slovenskej republiky (ďalej len „spoločný študijný program"). </w:t>
            </w:r>
          </w:p>
          <w:p w:rsidR="00B46100" w:rsidRPr="00BD05D3" w:rsidP="00B46100">
            <w:pPr>
              <w:spacing w:line="276" w:lineRule="auto"/>
              <w:ind w:left="284" w:hanging="284"/>
              <w:jc w:val="both"/>
              <w:rPr>
                <w:rFonts w:eastAsia="Calibri"/>
                <w:sz w:val="22"/>
                <w:szCs w:val="22"/>
              </w:rPr>
            </w:pPr>
          </w:p>
          <w:p w:rsidR="00B46100" w:rsidP="00A752A6">
            <w:pPr>
              <w:numPr>
                <w:ilvl w:val="0"/>
                <w:numId w:val="2"/>
              </w:numPr>
              <w:suppressAutoHyphens w:val="0"/>
              <w:autoSpaceDE/>
              <w:spacing w:line="276" w:lineRule="auto"/>
              <w:ind w:left="284" w:hanging="284"/>
              <w:jc w:val="both"/>
              <w:rPr>
                <w:rFonts w:eastAsia="Calibri"/>
                <w:sz w:val="22"/>
                <w:szCs w:val="22"/>
              </w:rPr>
            </w:pPr>
            <w:r w:rsidRPr="00BD05D3">
              <w:rPr>
                <w:rFonts w:eastAsia="Calibri"/>
                <w:sz w:val="22"/>
                <w:szCs w:val="22"/>
              </w:rPr>
              <w:t>Spolupracujúce vysoké školy sa podieľajú na tvorbe a uskutočňovaní spoločného študijného programu, rozhodovaní o prijímacom konaní a rozhodovaní o splnení podmienok na riadne skončeni</w:t>
            </w:r>
            <w:r w:rsidRPr="00BD05D3">
              <w:rPr>
                <w:rFonts w:eastAsia="Calibri"/>
                <w:sz w:val="22"/>
                <w:szCs w:val="22"/>
              </w:rPr>
              <w:t xml:space="preserve">e štúdia. </w:t>
            </w:r>
          </w:p>
          <w:p w:rsidR="00B46100" w:rsidP="00B46100">
            <w:pPr>
              <w:suppressAutoHyphens w:val="0"/>
              <w:autoSpaceDE/>
              <w:spacing w:line="276" w:lineRule="auto"/>
              <w:jc w:val="both"/>
              <w:rPr>
                <w:rFonts w:eastAsia="Calibri"/>
                <w:sz w:val="22"/>
                <w:szCs w:val="22"/>
              </w:rPr>
            </w:pPr>
          </w:p>
          <w:p w:rsidR="00B46100" w:rsidRPr="00BD05D3" w:rsidP="00A752A6">
            <w:pPr>
              <w:numPr>
                <w:ilvl w:val="0"/>
                <w:numId w:val="2"/>
              </w:numPr>
              <w:suppressAutoHyphens w:val="0"/>
              <w:autoSpaceDE/>
              <w:spacing w:line="276" w:lineRule="auto"/>
              <w:ind w:left="284" w:hanging="284"/>
              <w:jc w:val="both"/>
              <w:rPr>
                <w:rFonts w:eastAsia="Calibri"/>
                <w:sz w:val="22"/>
                <w:szCs w:val="22"/>
              </w:rPr>
            </w:pPr>
            <w:r w:rsidRPr="00BD05D3">
              <w:rPr>
                <w:rFonts w:eastAsia="Calibri"/>
                <w:sz w:val="22"/>
                <w:szCs w:val="22"/>
              </w:rPr>
              <w:t xml:space="preserve">Podmienky spolupráce podľa odseku 2 určí dohoda vysokých škôl. V dohode sa upravia najmä </w:t>
            </w:r>
          </w:p>
          <w:p w:rsidR="00B46100" w:rsidRPr="00BD05D3" w:rsidP="00A752A6">
            <w:pPr>
              <w:numPr>
                <w:ilvl w:val="1"/>
                <w:numId w:val="2"/>
              </w:numPr>
              <w:suppressAutoHyphens w:val="0"/>
              <w:autoSpaceDE/>
              <w:spacing w:line="276" w:lineRule="auto"/>
              <w:ind w:left="284" w:firstLine="0"/>
              <w:jc w:val="both"/>
              <w:rPr>
                <w:rFonts w:eastAsia="Calibri"/>
                <w:sz w:val="22"/>
                <w:szCs w:val="22"/>
              </w:rPr>
            </w:pPr>
            <w:r w:rsidRPr="00BD05D3">
              <w:rPr>
                <w:rFonts w:eastAsia="Calibri"/>
                <w:sz w:val="22"/>
                <w:szCs w:val="22"/>
              </w:rPr>
              <w:t xml:space="preserve">podmienky prijatia na spoločný študijný program, </w:t>
            </w:r>
          </w:p>
          <w:p w:rsidR="00B46100" w:rsidRPr="00BD05D3" w:rsidP="00A752A6">
            <w:pPr>
              <w:numPr>
                <w:ilvl w:val="1"/>
                <w:numId w:val="2"/>
              </w:numPr>
              <w:suppressAutoHyphens w:val="0"/>
              <w:autoSpaceDE/>
              <w:spacing w:line="276" w:lineRule="auto"/>
              <w:ind w:left="284" w:firstLine="0"/>
              <w:jc w:val="both"/>
              <w:rPr>
                <w:rFonts w:eastAsia="Calibri"/>
                <w:sz w:val="22"/>
                <w:szCs w:val="22"/>
              </w:rPr>
            </w:pPr>
            <w:r w:rsidRPr="00BD05D3">
              <w:rPr>
                <w:rFonts w:eastAsia="Calibri"/>
                <w:sz w:val="22"/>
                <w:szCs w:val="22"/>
              </w:rPr>
              <w:t xml:space="preserve">podrobnosti o organizácii štúdia, </w:t>
            </w:r>
          </w:p>
          <w:p w:rsidR="00B46100" w:rsidRPr="00BD05D3" w:rsidP="00A752A6">
            <w:pPr>
              <w:numPr>
                <w:ilvl w:val="1"/>
                <w:numId w:val="2"/>
              </w:numPr>
              <w:suppressAutoHyphens w:val="0"/>
              <w:autoSpaceDE/>
              <w:spacing w:line="276" w:lineRule="auto"/>
              <w:ind w:left="284" w:firstLine="0"/>
              <w:jc w:val="both"/>
              <w:rPr>
                <w:rFonts w:eastAsia="Calibri"/>
                <w:sz w:val="22"/>
                <w:szCs w:val="22"/>
              </w:rPr>
            </w:pPr>
            <w:r w:rsidRPr="00BD05D3">
              <w:rPr>
                <w:rFonts w:eastAsia="Calibri"/>
                <w:sz w:val="22"/>
                <w:szCs w:val="22"/>
              </w:rPr>
              <w:t>podmienky absolvovania spoločného študijného programu,</w:t>
            </w:r>
          </w:p>
          <w:p w:rsidR="00B46100" w:rsidRPr="00BD05D3" w:rsidP="00A752A6">
            <w:pPr>
              <w:numPr>
                <w:ilvl w:val="1"/>
                <w:numId w:val="2"/>
              </w:numPr>
              <w:suppressAutoHyphens w:val="0"/>
              <w:autoSpaceDE/>
              <w:spacing w:line="276" w:lineRule="auto"/>
              <w:ind w:left="284" w:firstLine="0"/>
              <w:jc w:val="both"/>
              <w:rPr>
                <w:rFonts w:eastAsia="Calibri"/>
                <w:sz w:val="22"/>
                <w:szCs w:val="22"/>
              </w:rPr>
            </w:pPr>
            <w:r w:rsidRPr="00BD05D3">
              <w:rPr>
                <w:rFonts w:eastAsia="Calibri"/>
                <w:sz w:val="22"/>
                <w:szCs w:val="22"/>
              </w:rPr>
              <w:t xml:space="preserve">udeľovaný akademický titul, </w:t>
            </w:r>
            <w:r w:rsidRPr="00BD05D3">
              <w:rPr>
                <w:rFonts w:eastAsia="Calibri"/>
                <w:sz w:val="22"/>
                <w:szCs w:val="22"/>
              </w:rPr>
              <w:t xml:space="preserve">ktorý môže byť iný ako akademické tituly podľa tohto zákona, ak je </w:t>
            </w:r>
            <w:r w:rsidRPr="00BD05D3">
              <w:rPr>
                <w:sz w:val="22"/>
                <w:szCs w:val="22"/>
              </w:rPr>
              <w:t>najmenej</w:t>
            </w:r>
            <w:r w:rsidRPr="00BD05D3">
              <w:rPr>
                <w:rFonts w:eastAsia="Calibri"/>
                <w:sz w:val="22"/>
                <w:szCs w:val="22"/>
              </w:rPr>
              <w:t xml:space="preserve"> jedna vysoká škola, ktorá uskutočňuje spoločný študijný program, oprávnená ho udeľovať,</w:t>
            </w:r>
          </w:p>
          <w:p w:rsidR="00B46100" w:rsidRPr="00BD05D3" w:rsidP="00A752A6">
            <w:pPr>
              <w:numPr>
                <w:ilvl w:val="1"/>
                <w:numId w:val="2"/>
              </w:numPr>
              <w:suppressAutoHyphens w:val="0"/>
              <w:autoSpaceDE/>
              <w:spacing w:line="276" w:lineRule="auto"/>
              <w:ind w:left="284" w:firstLine="0"/>
              <w:jc w:val="both"/>
              <w:rPr>
                <w:rFonts w:eastAsia="Calibri"/>
                <w:sz w:val="22"/>
                <w:szCs w:val="22"/>
              </w:rPr>
            </w:pPr>
            <w:r w:rsidRPr="00BD05D3">
              <w:rPr>
                <w:rFonts w:eastAsia="Calibri"/>
                <w:sz w:val="22"/>
                <w:szCs w:val="22"/>
              </w:rPr>
              <w:t>podrobnosti o dokladoch o skončení štúdia,</w:t>
            </w:r>
          </w:p>
          <w:p w:rsidR="00B46100" w:rsidRPr="00BD05D3" w:rsidP="00B46100">
            <w:pPr>
              <w:spacing w:line="276" w:lineRule="auto"/>
              <w:ind w:left="284"/>
              <w:jc w:val="both"/>
              <w:rPr>
                <w:rFonts w:eastAsia="Calibri"/>
                <w:sz w:val="22"/>
                <w:szCs w:val="22"/>
              </w:rPr>
            </w:pPr>
            <w:r w:rsidRPr="00BD05D3">
              <w:rPr>
                <w:rFonts w:eastAsia="Calibri"/>
                <w:sz w:val="22"/>
                <w:szCs w:val="22"/>
              </w:rPr>
              <w:t>f) podmienky platnosti vnútorných p</w:t>
            </w:r>
            <w:r w:rsidRPr="00BD05D3">
              <w:rPr>
                <w:rFonts w:eastAsia="Calibri"/>
                <w:sz w:val="22"/>
                <w:szCs w:val="22"/>
              </w:rPr>
              <w:t>redpisov vysokej školy pre študentov spoločných študijných programov a rozhodovanie o ich akademických právach a povinnostiach v súlade s vnútornými predpismi vysokej školy a právnymi predpismi štátu, v ktorom sa štúdium uskutočňuje.</w:t>
            </w:r>
          </w:p>
          <w:p w:rsidR="00B46100" w:rsidRPr="00BD05D3" w:rsidP="00B46100">
            <w:pPr>
              <w:spacing w:line="276" w:lineRule="auto"/>
              <w:ind w:left="284" w:hanging="284"/>
              <w:jc w:val="both"/>
              <w:rPr>
                <w:rFonts w:eastAsia="Calibri"/>
                <w:sz w:val="22"/>
                <w:szCs w:val="22"/>
              </w:rPr>
            </w:pPr>
          </w:p>
          <w:p w:rsidR="00B46100" w:rsidRPr="00BD05D3" w:rsidP="00A752A6">
            <w:pPr>
              <w:numPr>
                <w:ilvl w:val="0"/>
                <w:numId w:val="2"/>
              </w:numPr>
              <w:suppressAutoHyphens w:val="0"/>
              <w:autoSpaceDE/>
              <w:spacing w:line="276" w:lineRule="auto"/>
              <w:ind w:left="284" w:hanging="284"/>
              <w:jc w:val="both"/>
              <w:rPr>
                <w:rFonts w:eastAsia="Calibri"/>
                <w:sz w:val="22"/>
                <w:szCs w:val="22"/>
              </w:rPr>
            </w:pPr>
            <w:r w:rsidRPr="00BD05D3">
              <w:rPr>
                <w:rFonts w:eastAsia="Calibri"/>
                <w:sz w:val="22"/>
                <w:szCs w:val="22"/>
              </w:rPr>
              <w:t xml:space="preserve">Študent prijatý na štúdium spoločného študijného programu je počas štúdia študentom všetkých spolupracujúcich vysokých škôl. To neplatí na štatistické a rozpočtové účely, keď </w:t>
            </w:r>
            <w:r>
              <w:rPr>
                <w:rFonts w:eastAsia="Calibri"/>
                <w:sz w:val="22"/>
                <w:szCs w:val="22"/>
              </w:rPr>
              <w:t>sa považuje</w:t>
            </w:r>
            <w:r w:rsidRPr="00BD05D3">
              <w:rPr>
                <w:rFonts w:eastAsia="Calibri"/>
                <w:sz w:val="22"/>
                <w:szCs w:val="22"/>
              </w:rPr>
              <w:t xml:space="preserve"> za študenta tej vysokej školy, ktorá mu v príslušnej časti štúdia zabezpečuje vzdelávanie.</w:t>
            </w:r>
          </w:p>
          <w:p w:rsidR="00B46100" w:rsidRPr="00BD05D3" w:rsidP="00B46100">
            <w:pPr>
              <w:suppressAutoHyphens w:val="0"/>
              <w:autoSpaceDE/>
              <w:spacing w:line="276" w:lineRule="auto"/>
              <w:jc w:val="both"/>
              <w:rPr>
                <w:rFonts w:eastAsia="Calibri"/>
                <w:sz w:val="22"/>
                <w:szCs w:val="22"/>
              </w:rPr>
            </w:pPr>
          </w:p>
          <w:p w:rsidR="000C42D6" w:rsidRPr="00BD05D3" w:rsidP="001B1D27">
            <w:pPr>
              <w:pStyle w:val="Normlny"/>
              <w:snapToGrid w:val="0"/>
              <w:jc w:val="both"/>
              <w:rPr>
                <w:sz w:val="22"/>
                <w:szCs w:val="22"/>
              </w:rPr>
            </w:pPr>
          </w:p>
          <w:p w:rsidR="000C42D6" w:rsidRPr="00580914" w:rsidP="00580914">
            <w:pPr>
              <w:pStyle w:val="ListParagraph0"/>
              <w:spacing w:after="0" w:line="240" w:lineRule="auto"/>
              <w:ind w:left="0"/>
              <w:jc w:val="both"/>
              <w:rPr>
                <w:rFonts w:ascii="Times New Roman" w:hAnsi="Times New Roman"/>
              </w:rPr>
            </w:pPr>
            <w:r w:rsidRPr="00BD05D3">
              <w:rPr>
                <w:rFonts w:ascii="Times New Roman" w:hAnsi="Times New Roman"/>
              </w:rPr>
              <w:t xml:space="preserve"> (3) Vysoká škola môže na akademickú mobilitu študentov prijať študenta vysokej školy so sídlom mimo územia Slovenskej republiky aj bez prijímacieho konania v súlade s podmienkami výmenného programu alebo na základe zmluvy medzi prijímajúcou vysokou školou a vysielajúcou vysokou školou alebo zahraničnou inštitúciou.</w:t>
            </w:r>
          </w:p>
          <w:p w:rsidR="00580914" w:rsidP="00D31E7E">
            <w:pPr>
              <w:pStyle w:val="Normlny"/>
              <w:snapToGrid w:val="0"/>
              <w:jc w:val="both"/>
              <w:rPr>
                <w:sz w:val="22"/>
                <w:szCs w:val="22"/>
              </w:rPr>
            </w:pPr>
          </w:p>
          <w:p w:rsidR="00580914" w:rsidP="00D31E7E">
            <w:pPr>
              <w:pStyle w:val="Normlny"/>
              <w:snapToGrid w:val="0"/>
              <w:jc w:val="both"/>
              <w:rPr>
                <w:sz w:val="22"/>
                <w:szCs w:val="22"/>
              </w:rPr>
            </w:pPr>
          </w:p>
          <w:p w:rsidR="00580914" w:rsidP="00D31E7E">
            <w:pPr>
              <w:pStyle w:val="Normlny"/>
              <w:snapToGrid w:val="0"/>
              <w:jc w:val="both"/>
              <w:rPr>
                <w:sz w:val="22"/>
                <w:szCs w:val="22"/>
              </w:rPr>
            </w:pPr>
          </w:p>
          <w:p w:rsidR="00580914" w:rsidRPr="00B46100" w:rsidP="00580914">
            <w:pPr>
              <w:pStyle w:val="paragraph"/>
              <w:spacing w:before="0" w:beforeAutospacing="0" w:after="0" w:afterAutospacing="0"/>
              <w:jc w:val="both"/>
              <w:textAlignment w:val="baseline"/>
              <w:rPr>
                <w:rFonts w:eastAsia="Calibri"/>
                <w:sz w:val="22"/>
                <w:szCs w:val="22"/>
                <w:lang w:eastAsia="en-US"/>
              </w:rPr>
            </w:pPr>
            <w:r w:rsidRPr="00B46100">
              <w:rPr>
                <w:rFonts w:eastAsia="Calibri"/>
                <w:sz w:val="22"/>
                <w:szCs w:val="22"/>
                <w:lang w:eastAsia="en-US"/>
              </w:rPr>
              <w:t>(1) Kreditová mobilita je prenos kreditov získaných na akademickej mobilite študentov. Kreditová mobilita môže mať aj formu zahraničnej študijnej stáže. </w:t>
            </w:r>
          </w:p>
          <w:p w:rsidR="00580914" w:rsidRPr="00B46100" w:rsidP="00580914">
            <w:pPr>
              <w:pStyle w:val="paragraph"/>
              <w:spacing w:before="0" w:beforeAutospacing="0" w:after="0" w:afterAutospacing="0"/>
              <w:ind w:left="270" w:hanging="270"/>
              <w:jc w:val="both"/>
              <w:textAlignment w:val="baseline"/>
              <w:rPr>
                <w:rFonts w:eastAsia="Calibri"/>
                <w:sz w:val="22"/>
                <w:szCs w:val="22"/>
                <w:lang w:eastAsia="en-US"/>
              </w:rPr>
            </w:pPr>
            <w:r w:rsidRPr="00B46100">
              <w:rPr>
                <w:rFonts w:eastAsia="Calibri"/>
                <w:sz w:val="22"/>
                <w:szCs w:val="22"/>
                <w:lang w:eastAsia="en-US"/>
              </w:rPr>
              <w:t> </w:t>
            </w:r>
          </w:p>
          <w:p w:rsidR="00580914" w:rsidRPr="00B46100" w:rsidP="00580914">
            <w:pPr>
              <w:pStyle w:val="paragraph"/>
              <w:spacing w:before="0" w:beforeAutospacing="0" w:after="0" w:afterAutospacing="0"/>
              <w:jc w:val="both"/>
              <w:textAlignment w:val="baseline"/>
              <w:rPr>
                <w:rFonts w:eastAsia="Calibri"/>
                <w:sz w:val="22"/>
                <w:szCs w:val="22"/>
                <w:lang w:eastAsia="en-US"/>
              </w:rPr>
            </w:pPr>
            <w:r w:rsidRPr="00B46100">
              <w:rPr>
                <w:rFonts w:eastAsia="Calibri"/>
                <w:sz w:val="22"/>
                <w:szCs w:val="22"/>
                <w:lang w:eastAsia="en-US"/>
              </w:rPr>
              <w:t xml:space="preserve">(2) Vysielajúca vysoká škola so </w:t>
            </w:r>
            <w:r w:rsidRPr="00B46100">
              <w:rPr>
                <w:rFonts w:eastAsia="Calibri"/>
                <w:sz w:val="22"/>
                <w:szCs w:val="22"/>
                <w:lang w:eastAsia="en-US"/>
              </w:rPr>
              <w:t>sídlom na území  Slovenskej republiky uzná študentovi kredity podľa § 78 ods. 3 písm. b) na základe výpisu výsledkov štúdia, ktorý vyhotoví prijímajúca vysoká škola na záver akademickej mobility študentov. Počet kreditov získaných za predmet absolvovaný na prijímajúcej vysokej škole zodpovedá počtu kreditov uvedených vo výpise výsledkov štúdia. Výpis výsledkov štúdia sa stáva súčasťou dokladov o štúdiu študenta vedených vysielajúcou vysokou školou. Ak ide o kreditovú mobilitu formou zahraničnej  stáže, pren</w:t>
            </w:r>
            <w:r w:rsidRPr="00B46100">
              <w:rPr>
                <w:rFonts w:eastAsia="Calibri"/>
                <w:sz w:val="22"/>
                <w:szCs w:val="22"/>
                <w:lang w:eastAsia="en-US"/>
              </w:rPr>
              <w:t>os kreditov sa zaznamenáva v  doklade o zahraničnej  stáži. </w:t>
            </w:r>
          </w:p>
          <w:p w:rsidR="00580914" w:rsidRPr="00B46100" w:rsidP="00580914">
            <w:pPr>
              <w:pStyle w:val="paragraph"/>
              <w:spacing w:before="0" w:beforeAutospacing="0" w:after="0" w:afterAutospacing="0"/>
              <w:ind w:left="270" w:hanging="270"/>
              <w:jc w:val="both"/>
              <w:textAlignment w:val="baseline"/>
              <w:rPr>
                <w:rFonts w:eastAsia="Calibri"/>
                <w:sz w:val="22"/>
                <w:szCs w:val="22"/>
                <w:lang w:eastAsia="en-US"/>
              </w:rPr>
            </w:pPr>
            <w:r w:rsidRPr="00B46100">
              <w:rPr>
                <w:rFonts w:eastAsia="Calibri"/>
                <w:sz w:val="22"/>
                <w:szCs w:val="22"/>
                <w:lang w:eastAsia="en-US"/>
              </w:rPr>
              <w:t> </w:t>
            </w:r>
          </w:p>
          <w:p w:rsidR="00580914" w:rsidRPr="00B46100" w:rsidP="00580914">
            <w:pPr>
              <w:pStyle w:val="paragraph"/>
              <w:spacing w:before="0" w:beforeAutospacing="0" w:after="0" w:afterAutospacing="0"/>
              <w:jc w:val="both"/>
              <w:textAlignment w:val="baseline"/>
              <w:rPr>
                <w:rFonts w:eastAsia="Calibri"/>
                <w:sz w:val="22"/>
                <w:szCs w:val="22"/>
                <w:lang w:eastAsia="en-US"/>
              </w:rPr>
            </w:pPr>
            <w:r w:rsidRPr="00B46100">
              <w:rPr>
                <w:rFonts w:eastAsia="Calibri"/>
                <w:sz w:val="22"/>
                <w:szCs w:val="22"/>
                <w:lang w:eastAsia="en-US"/>
              </w:rPr>
              <w:t>(3) Predmet absolvovaný na prijímajúcej vysokej škole v rámci schválenej akademickej mobility  študentov </w:t>
            </w:r>
          </w:p>
          <w:p w:rsidR="00580914" w:rsidRPr="00B46100" w:rsidP="00580914">
            <w:pPr>
              <w:pStyle w:val="paragraph"/>
              <w:spacing w:before="0" w:beforeAutospacing="0" w:after="0" w:afterAutospacing="0"/>
              <w:jc w:val="both"/>
              <w:textAlignment w:val="baseline"/>
              <w:rPr>
                <w:rFonts w:eastAsia="Calibri"/>
                <w:sz w:val="22"/>
                <w:szCs w:val="22"/>
                <w:lang w:eastAsia="en-US"/>
              </w:rPr>
            </w:pPr>
          </w:p>
          <w:p w:rsidR="00580914" w:rsidRPr="00B46100" w:rsidP="00580914">
            <w:pPr>
              <w:pStyle w:val="paragraph"/>
              <w:spacing w:before="0" w:beforeAutospacing="0" w:after="0" w:afterAutospacing="0"/>
              <w:jc w:val="both"/>
              <w:textAlignment w:val="baseline"/>
              <w:rPr>
                <w:rFonts w:eastAsia="Calibri"/>
                <w:sz w:val="22"/>
                <w:szCs w:val="22"/>
                <w:lang w:eastAsia="en-US"/>
              </w:rPr>
            </w:pPr>
            <w:r w:rsidRPr="00B46100">
              <w:rPr>
                <w:rFonts w:eastAsia="Calibri"/>
                <w:sz w:val="22"/>
                <w:szCs w:val="22"/>
                <w:lang w:eastAsia="en-US"/>
              </w:rPr>
              <w:t>a) sa uznáva ako absolvovaný namiesto príslušného predmetu zo študijného programu, na ktorý bol študent zapísaný, ak bol uvedený v zmluve o  štúdiu alebo bol absolvovaný v súlade s pravidlami výmenného programu,   </w:t>
            </w:r>
          </w:p>
          <w:p w:rsidR="00580914" w:rsidRPr="00B46100" w:rsidP="00580914">
            <w:pPr>
              <w:pStyle w:val="paragraph"/>
              <w:spacing w:before="0" w:beforeAutospacing="0" w:after="0" w:afterAutospacing="0"/>
              <w:jc w:val="both"/>
              <w:textAlignment w:val="baseline"/>
              <w:rPr>
                <w:rFonts w:eastAsia="Calibri"/>
                <w:sz w:val="22"/>
                <w:szCs w:val="22"/>
                <w:lang w:eastAsia="en-US"/>
              </w:rPr>
            </w:pPr>
          </w:p>
          <w:p w:rsidR="00580914" w:rsidRPr="00B46100" w:rsidP="00580914">
            <w:pPr>
              <w:pStyle w:val="paragraph"/>
              <w:spacing w:before="0" w:beforeAutospacing="0" w:after="0" w:afterAutospacing="0"/>
              <w:jc w:val="both"/>
              <w:textAlignment w:val="baseline"/>
              <w:rPr>
                <w:rFonts w:eastAsia="Calibri"/>
                <w:sz w:val="22"/>
                <w:szCs w:val="22"/>
                <w:lang w:eastAsia="en-US"/>
              </w:rPr>
            </w:pPr>
            <w:r w:rsidRPr="00B46100">
              <w:rPr>
                <w:rFonts w:eastAsia="Calibri"/>
                <w:sz w:val="22"/>
                <w:szCs w:val="22"/>
                <w:lang w:eastAsia="en-US"/>
              </w:rPr>
              <w:t>b) môže uznať vysoká škola na základe písomnej žiadosti študenta ako absolvovaný namiesto predmetu z príslušného študijného pr</w:t>
            </w:r>
            <w:r w:rsidRPr="00B46100">
              <w:rPr>
                <w:rFonts w:eastAsia="Calibri"/>
                <w:sz w:val="22"/>
                <w:szCs w:val="22"/>
                <w:lang w:eastAsia="en-US"/>
              </w:rPr>
              <w:t>ogramu, ak nie sú splnené podmienky podľa písmena a). </w:t>
            </w:r>
          </w:p>
          <w:p w:rsidR="00580914" w:rsidRPr="00B46100" w:rsidP="00D31E7E">
            <w:pPr>
              <w:pStyle w:val="Normlny"/>
              <w:snapToGrid w:val="0"/>
              <w:jc w:val="both"/>
              <w:rPr>
                <w:rFonts w:eastAsia="Calibri"/>
                <w:sz w:val="22"/>
                <w:szCs w:val="22"/>
                <w:lang w:eastAsia="en-US"/>
              </w:rPr>
            </w:pPr>
          </w:p>
          <w:p w:rsidR="00580914" w:rsidRPr="00B46100" w:rsidP="00D31E7E">
            <w:pPr>
              <w:pStyle w:val="Normlny"/>
              <w:snapToGrid w:val="0"/>
              <w:jc w:val="both"/>
              <w:rPr>
                <w:rFonts w:eastAsia="Calibri"/>
                <w:sz w:val="22"/>
                <w:szCs w:val="22"/>
                <w:lang w:eastAsia="en-US"/>
              </w:rPr>
            </w:pPr>
          </w:p>
          <w:p w:rsidR="00B46100" w:rsidP="00D31E7E">
            <w:pPr>
              <w:pStyle w:val="Normlny"/>
              <w:snapToGrid w:val="0"/>
              <w:jc w:val="both"/>
              <w:rPr>
                <w:sz w:val="22"/>
                <w:szCs w:val="22"/>
              </w:rPr>
            </w:pPr>
          </w:p>
          <w:p w:rsidR="00B46100" w:rsidP="00D31E7E">
            <w:pPr>
              <w:pStyle w:val="Normlny"/>
              <w:snapToGrid w:val="0"/>
              <w:jc w:val="both"/>
              <w:rPr>
                <w:sz w:val="22"/>
                <w:szCs w:val="22"/>
              </w:rPr>
            </w:pPr>
          </w:p>
          <w:p w:rsidR="00580914" w:rsidRPr="00BD05D3" w:rsidP="00580914">
            <w:pPr>
              <w:spacing w:line="276" w:lineRule="auto"/>
              <w:ind w:left="284"/>
              <w:jc w:val="both"/>
              <w:rPr>
                <w:rFonts w:eastAsia="Calibri"/>
                <w:sz w:val="22"/>
                <w:szCs w:val="22"/>
              </w:rPr>
            </w:pPr>
          </w:p>
          <w:p w:rsidR="00580914" w:rsidRPr="00BD05D3" w:rsidP="00B46100">
            <w:pPr>
              <w:suppressAutoHyphens w:val="0"/>
              <w:autoSpaceDE/>
              <w:spacing w:line="276" w:lineRule="auto"/>
              <w:jc w:val="both"/>
              <w:rPr>
                <w:sz w:val="22"/>
                <w:szCs w:val="22"/>
              </w:rPr>
            </w:pPr>
          </w:p>
        </w:tc>
        <w:tc>
          <w:tcPr>
            <w:tcW w:w="709"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31365">
            <w:pPr>
              <w:snapToGrid w:val="0"/>
              <w:jc w:val="both"/>
              <w:rPr>
                <w:sz w:val="22"/>
                <w:szCs w:val="22"/>
              </w:rPr>
            </w:pPr>
            <w:r w:rsidRPr="00BD05D3">
              <w:rPr>
                <w:sz w:val="22"/>
                <w:szCs w:val="22"/>
              </w:rPr>
              <w:t>C: 3</w:t>
            </w:r>
          </w:p>
          <w:p w:rsidR="000C42D6" w:rsidRPr="00BD05D3" w:rsidP="00031365">
            <w:pPr>
              <w:snapToGrid w:val="0"/>
              <w:jc w:val="both"/>
              <w:rPr>
                <w:sz w:val="22"/>
                <w:szCs w:val="22"/>
              </w:rPr>
            </w:pPr>
            <w:r w:rsidRPr="00BD05D3">
              <w:rPr>
                <w:sz w:val="22"/>
                <w:szCs w:val="22"/>
              </w:rPr>
              <w:t>O: 13</w:t>
            </w:r>
          </w:p>
        </w:tc>
        <w:tc>
          <w:tcPr>
            <w:tcW w:w="4536" w:type="dxa"/>
            <w:tcBorders>
              <w:top w:val="single" w:sz="4" w:space="0" w:color="000000"/>
              <w:left w:val="single" w:sz="4" w:space="0" w:color="000000"/>
              <w:bottom w:val="single" w:sz="4" w:space="0" w:color="000000"/>
            </w:tcBorders>
          </w:tcPr>
          <w:p w:rsidR="000C42D6" w:rsidRPr="00BD05D3" w:rsidP="00031365">
            <w:pPr>
              <w:jc w:val="both"/>
              <w:rPr>
                <w:sz w:val="22"/>
                <w:szCs w:val="22"/>
              </w:rPr>
            </w:pPr>
            <w:r w:rsidRPr="00BD05D3">
              <w:rPr>
                <w:sz w:val="22"/>
                <w:szCs w:val="22"/>
              </w:rPr>
              <w:t>„inštitúcia vysokoškolského vzdelávania“ je akýkoľvek druh inštitúcie vysokoškolského vzdelávania, ktorá sa za takú uznáva alebo považuje v súlade s vnútroštátnym právom a ktorá v súlade s vnútroštátnym právom alebo postupmi ponúka uznané tituly vysokoškolského vzdelania alebo iné uznané kvalifikácie terciárneho stupňa bez ohľadu na názov takéhot</w:t>
            </w:r>
            <w:r w:rsidRPr="00BD05D3">
              <w:rPr>
                <w:sz w:val="22"/>
                <w:szCs w:val="22"/>
              </w:rPr>
              <w:t>o zariadenia, alebo akákoľvek inštitúcia, ktorá v súlade s vnútroštátnym právom al</w:t>
            </w:r>
            <w:r w:rsidRPr="00BD05D3">
              <w:rPr>
                <w:sz w:val="22"/>
                <w:szCs w:val="22"/>
              </w:rPr>
              <w:t>ebo vnútroštátnymi postupmi ponúka odborné vzdelávanie alebo prípravu na terciárnom stupni;</w:t>
            </w:r>
          </w:p>
        </w:tc>
        <w:tc>
          <w:tcPr>
            <w:tcW w:w="425"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N</w:t>
            </w:r>
          </w:p>
        </w:tc>
        <w:tc>
          <w:tcPr>
            <w:tcW w:w="709" w:type="dxa"/>
            <w:tcBorders>
              <w:top w:val="single" w:sz="4" w:space="0" w:color="000000"/>
              <w:left w:val="single" w:sz="4" w:space="0" w:color="000000"/>
              <w:bottom w:val="single" w:sz="4" w:space="0" w:color="000000"/>
            </w:tcBorders>
          </w:tcPr>
          <w:p w:rsidR="000C42D6" w:rsidRPr="00BD05D3" w:rsidP="006C5AD8">
            <w:pPr>
              <w:snapToGrid w:val="0"/>
              <w:jc w:val="center"/>
              <w:rPr>
                <w:sz w:val="22"/>
                <w:szCs w:val="22"/>
              </w:rPr>
            </w:pPr>
            <w:r w:rsidRPr="00BD05D3">
              <w:rPr>
                <w:sz w:val="22"/>
                <w:szCs w:val="22"/>
              </w:rPr>
              <w:t>Návrh zákona Čl. I</w:t>
            </w:r>
          </w:p>
        </w:tc>
        <w:tc>
          <w:tcPr>
            <w:tcW w:w="709" w:type="dxa"/>
            <w:tcBorders>
              <w:top w:val="single" w:sz="4" w:space="0" w:color="000000"/>
              <w:left w:val="single" w:sz="4" w:space="0" w:color="000000"/>
              <w:bottom w:val="single" w:sz="4" w:space="0" w:color="000000"/>
            </w:tcBorders>
          </w:tcPr>
          <w:p w:rsidR="000C42D6" w:rsidRPr="00BD05D3" w:rsidP="00057463">
            <w:pPr>
              <w:pStyle w:val="Normlny"/>
              <w:snapToGrid w:val="0"/>
              <w:jc w:val="both"/>
              <w:rPr>
                <w:sz w:val="22"/>
                <w:szCs w:val="22"/>
              </w:rPr>
            </w:pPr>
            <w:r w:rsidRPr="00BD05D3">
              <w:rPr>
                <w:sz w:val="22"/>
                <w:szCs w:val="22"/>
              </w:rPr>
              <w:t>§ 3</w:t>
            </w:r>
          </w:p>
          <w:p w:rsidR="000C42D6" w:rsidRPr="00BD05D3" w:rsidP="00057463">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RPr="00BD05D3" w:rsidP="00BE30FC">
            <w:pPr>
              <w:pStyle w:val="Normlny"/>
              <w:snapToGrid w:val="0"/>
              <w:jc w:val="both"/>
              <w:rPr>
                <w:sz w:val="22"/>
                <w:szCs w:val="22"/>
              </w:rPr>
            </w:pPr>
          </w:p>
          <w:p w:rsidR="000C42D6" w:rsidP="00057463">
            <w:pPr>
              <w:pStyle w:val="Normlny"/>
              <w:snapToGrid w:val="0"/>
              <w:jc w:val="both"/>
              <w:rPr>
                <w:sz w:val="22"/>
                <w:szCs w:val="22"/>
              </w:rPr>
            </w:pPr>
          </w:p>
          <w:p w:rsidR="000C42D6" w:rsidP="00057463">
            <w:pPr>
              <w:pStyle w:val="Normlny"/>
              <w:snapToGrid w:val="0"/>
              <w:jc w:val="both"/>
              <w:rPr>
                <w:sz w:val="22"/>
                <w:szCs w:val="22"/>
              </w:rPr>
            </w:pPr>
          </w:p>
          <w:p w:rsidR="000C42D6" w:rsidP="00057463">
            <w:pPr>
              <w:pStyle w:val="Normlny"/>
              <w:snapToGrid w:val="0"/>
              <w:jc w:val="both"/>
              <w:rPr>
                <w:sz w:val="22"/>
                <w:szCs w:val="22"/>
              </w:rPr>
            </w:pPr>
          </w:p>
          <w:p w:rsidR="000C42D6" w:rsidP="00057463">
            <w:pPr>
              <w:pStyle w:val="Normlny"/>
              <w:snapToGrid w:val="0"/>
              <w:jc w:val="both"/>
              <w:rPr>
                <w:sz w:val="22"/>
                <w:szCs w:val="22"/>
              </w:rPr>
            </w:pPr>
          </w:p>
          <w:p w:rsidR="000C42D6" w:rsidP="00057463">
            <w:pPr>
              <w:pStyle w:val="Normlny"/>
              <w:snapToGrid w:val="0"/>
              <w:jc w:val="both"/>
              <w:rPr>
                <w:sz w:val="22"/>
                <w:szCs w:val="22"/>
              </w:rPr>
            </w:pPr>
          </w:p>
          <w:p w:rsidR="000C42D6" w:rsidRPr="00BD05D3" w:rsidP="00057463">
            <w:pPr>
              <w:pStyle w:val="Normlny"/>
              <w:snapToGrid w:val="0"/>
              <w:jc w:val="both"/>
              <w:rPr>
                <w:sz w:val="22"/>
                <w:szCs w:val="22"/>
              </w:rPr>
            </w:pPr>
            <w:r w:rsidRPr="00BD05D3">
              <w:rPr>
                <w:sz w:val="22"/>
                <w:szCs w:val="22"/>
              </w:rPr>
              <w:t>§: 4</w:t>
            </w:r>
          </w:p>
          <w:p w:rsidR="000C42D6" w:rsidRPr="00BD05D3" w:rsidP="00BE30FC">
            <w:pPr>
              <w:pStyle w:val="Normlny"/>
              <w:snapToGrid w:val="0"/>
              <w:jc w:val="both"/>
              <w:rPr>
                <w:sz w:val="22"/>
                <w:szCs w:val="22"/>
              </w:rPr>
            </w:pPr>
          </w:p>
        </w:tc>
        <w:tc>
          <w:tcPr>
            <w:tcW w:w="4819" w:type="dxa"/>
            <w:tcBorders>
              <w:top w:val="single" w:sz="4" w:space="0" w:color="000000"/>
              <w:left w:val="single" w:sz="4" w:space="0" w:color="000000"/>
              <w:bottom w:val="single" w:sz="4" w:space="0" w:color="000000"/>
            </w:tcBorders>
          </w:tcPr>
          <w:p w:rsidR="000C42D6" w:rsidRPr="00BD05D3" w:rsidP="006E03C2">
            <w:pPr>
              <w:pStyle w:val="Normlny"/>
              <w:snapToGrid w:val="0"/>
              <w:jc w:val="both"/>
              <w:rPr>
                <w:sz w:val="22"/>
                <w:szCs w:val="22"/>
              </w:rPr>
            </w:pPr>
            <w:r w:rsidRPr="00BD05D3">
              <w:rPr>
                <w:sz w:val="22"/>
                <w:szCs w:val="22"/>
              </w:rPr>
              <w:t xml:space="preserve"> </w:t>
            </w:r>
            <w:r>
              <w:rPr>
                <w:sz w:val="22"/>
                <w:szCs w:val="22"/>
              </w:rPr>
              <w:t xml:space="preserve">(1) </w:t>
            </w:r>
            <w:r w:rsidRPr="00BD05D3">
              <w:rPr>
                <w:sz w:val="22"/>
                <w:szCs w:val="22"/>
              </w:rPr>
              <w:t>Vysoké školy sú právnické osoby.</w:t>
            </w:r>
          </w:p>
          <w:p w:rsidR="000C42D6" w:rsidRPr="00BD05D3" w:rsidP="006E03C2">
            <w:pPr>
              <w:pStyle w:val="Normlny"/>
              <w:snapToGrid w:val="0"/>
              <w:jc w:val="both"/>
              <w:rPr>
                <w:sz w:val="22"/>
                <w:szCs w:val="22"/>
              </w:rPr>
            </w:pPr>
          </w:p>
          <w:p w:rsidR="000C42D6" w:rsidRPr="00BD05D3" w:rsidP="006E03C2">
            <w:pPr>
              <w:pStyle w:val="Normlny"/>
              <w:snapToGrid w:val="0"/>
              <w:jc w:val="both"/>
              <w:rPr>
                <w:sz w:val="22"/>
                <w:szCs w:val="22"/>
              </w:rPr>
            </w:pPr>
            <w:r>
              <w:rPr>
                <w:sz w:val="22"/>
                <w:szCs w:val="22"/>
              </w:rPr>
              <w:t xml:space="preserve">(2) </w:t>
            </w:r>
            <w:r w:rsidRPr="00BD05D3">
              <w:rPr>
                <w:sz w:val="22"/>
                <w:szCs w:val="22"/>
              </w:rPr>
              <w:t>Vysoké školy majú výhradné právo</w:t>
            </w:r>
          </w:p>
          <w:p w:rsidR="000C42D6" w:rsidRPr="00BD05D3" w:rsidP="006E03C2">
            <w:pPr>
              <w:pStyle w:val="Normlny"/>
              <w:snapToGrid w:val="0"/>
              <w:jc w:val="both"/>
              <w:rPr>
                <w:sz w:val="22"/>
                <w:szCs w:val="22"/>
              </w:rPr>
            </w:pPr>
            <w:r w:rsidRPr="00BD05D3">
              <w:rPr>
                <w:sz w:val="22"/>
                <w:szCs w:val="22"/>
              </w:rPr>
              <w:t>a)</w:t>
              <w:tab/>
              <w:t>poskytovať, organizovať a zabezpečovať vysokoškolské vzdelávanie; na poskytovaní vy</w:t>
            </w:r>
            <w:r w:rsidRPr="00BD05D3">
              <w:rPr>
                <w:sz w:val="22"/>
                <w:szCs w:val="22"/>
              </w:rPr>
              <w:t>sokoškolského vzdelávania sa môžu podieľať aj iné osoby, ak to ustanovuje tento zákon, v rozsahu a spôsobom, ktorý zákon ustanoví,</w:t>
            </w:r>
          </w:p>
          <w:p w:rsidR="000C42D6" w:rsidRPr="00BD05D3" w:rsidP="006E03C2">
            <w:pPr>
              <w:pStyle w:val="Normlny"/>
              <w:snapToGrid w:val="0"/>
              <w:jc w:val="both"/>
              <w:rPr>
                <w:sz w:val="22"/>
                <w:szCs w:val="22"/>
              </w:rPr>
            </w:pPr>
            <w:r w:rsidRPr="00BD05D3">
              <w:rPr>
                <w:sz w:val="22"/>
                <w:szCs w:val="22"/>
              </w:rPr>
              <w:t>b)</w:t>
              <w:tab/>
              <w:t>prijímať uchádzačov o štúdium, ktoré vedie k získaniu vysokoškolského vzdelania</w:t>
            </w:r>
            <w:r w:rsidRPr="00BD05D3">
              <w:rPr>
                <w:sz w:val="22"/>
                <w:szCs w:val="22"/>
              </w:rPr>
              <w:t>,</w:t>
            </w:r>
          </w:p>
          <w:p w:rsidR="000C42D6" w:rsidRPr="00BD05D3" w:rsidP="006E03C2">
            <w:pPr>
              <w:pStyle w:val="Normlny"/>
              <w:snapToGrid w:val="0"/>
              <w:jc w:val="both"/>
              <w:rPr>
                <w:sz w:val="22"/>
                <w:szCs w:val="22"/>
              </w:rPr>
            </w:pPr>
            <w:r w:rsidRPr="00BD05D3">
              <w:rPr>
                <w:sz w:val="22"/>
                <w:szCs w:val="22"/>
              </w:rPr>
              <w:t>c)</w:t>
              <w:tab/>
              <w:t>udeľovať akademické tituly, vedecko-pedagogické tituly a umelecko-pedagogické tituly, používať akademické insígnie a vykonávať akademické obrady.</w:t>
            </w:r>
          </w:p>
          <w:p w:rsidR="000C42D6" w:rsidRPr="00BD05D3" w:rsidP="00057463">
            <w:pPr>
              <w:pStyle w:val="Normlny"/>
              <w:snapToGrid w:val="0"/>
              <w:jc w:val="both"/>
              <w:rPr>
                <w:sz w:val="22"/>
                <w:szCs w:val="22"/>
              </w:rPr>
            </w:pPr>
          </w:p>
          <w:p w:rsidR="000C42D6" w:rsidRPr="00BD05D3" w:rsidP="006E03C2">
            <w:pPr>
              <w:pStyle w:val="Normlny"/>
              <w:snapToGrid w:val="0"/>
              <w:jc w:val="both"/>
              <w:rPr>
                <w:sz w:val="22"/>
                <w:szCs w:val="22"/>
              </w:rPr>
            </w:pPr>
            <w:r w:rsidRPr="00BD05D3">
              <w:rPr>
                <w:sz w:val="22"/>
                <w:szCs w:val="22"/>
              </w:rPr>
              <w:t>Vysoké školy sú</w:t>
            </w:r>
          </w:p>
          <w:p w:rsidR="000C42D6" w:rsidRPr="00BD05D3" w:rsidP="006E03C2">
            <w:pPr>
              <w:pStyle w:val="Normlny"/>
              <w:snapToGrid w:val="0"/>
              <w:jc w:val="both"/>
              <w:rPr>
                <w:sz w:val="22"/>
                <w:szCs w:val="22"/>
              </w:rPr>
            </w:pPr>
            <w:r w:rsidRPr="00BD05D3">
              <w:rPr>
                <w:sz w:val="22"/>
                <w:szCs w:val="22"/>
              </w:rPr>
              <w:t>a)</w:t>
              <w:tab/>
              <w:t>verejné vysoké školy so sídlom na území Slovenskej republiky,</w:t>
            </w:r>
          </w:p>
          <w:p w:rsidR="000C42D6" w:rsidRPr="00BD05D3" w:rsidP="006E03C2">
            <w:pPr>
              <w:pStyle w:val="Normlny"/>
              <w:snapToGrid w:val="0"/>
              <w:jc w:val="both"/>
              <w:rPr>
                <w:sz w:val="22"/>
                <w:szCs w:val="22"/>
              </w:rPr>
            </w:pPr>
            <w:r w:rsidRPr="00BD05D3">
              <w:rPr>
                <w:sz w:val="22"/>
                <w:szCs w:val="22"/>
              </w:rPr>
              <w:t>b)</w:t>
              <w:tab/>
              <w:t xml:space="preserve">štátne vysoké školy </w:t>
            </w:r>
            <w:r w:rsidRPr="00BD05D3">
              <w:rPr>
                <w:sz w:val="22"/>
                <w:szCs w:val="22"/>
              </w:rPr>
              <w:t>so sídlom na území Slovenskej republiky,</w:t>
            </w:r>
          </w:p>
          <w:p w:rsidR="000C42D6" w:rsidRPr="00BD05D3" w:rsidP="006E03C2">
            <w:pPr>
              <w:pStyle w:val="Normlny"/>
              <w:snapToGrid w:val="0"/>
              <w:jc w:val="both"/>
              <w:rPr>
                <w:sz w:val="22"/>
                <w:szCs w:val="22"/>
              </w:rPr>
            </w:pPr>
            <w:r w:rsidRPr="00BD05D3">
              <w:rPr>
                <w:sz w:val="22"/>
                <w:szCs w:val="22"/>
              </w:rPr>
              <w:t>c)</w:t>
              <w:tab/>
              <w:t>súkromné vysoké školy so sídlom na území Slovenskej republiky alebo na území členského štátu a</w:t>
            </w:r>
          </w:p>
          <w:p w:rsidR="000C42D6" w:rsidRPr="00BD05D3" w:rsidP="006E03C2">
            <w:pPr>
              <w:pStyle w:val="Normlny"/>
              <w:snapToGrid w:val="0"/>
              <w:jc w:val="both"/>
              <w:rPr>
                <w:sz w:val="22"/>
                <w:szCs w:val="22"/>
              </w:rPr>
            </w:pPr>
            <w:r w:rsidRPr="00BD05D3">
              <w:rPr>
                <w:sz w:val="22"/>
                <w:szCs w:val="22"/>
              </w:rPr>
              <w:t>d)</w:t>
              <w:tab/>
              <w:t>zahraničné vysoké školy so sídlom na území členského štátu.</w:t>
            </w:r>
          </w:p>
          <w:p w:rsidR="000C42D6" w:rsidRPr="00BD05D3" w:rsidP="006E03C2">
            <w:pPr>
              <w:pStyle w:val="Normlny"/>
              <w:snapToGrid w:val="0"/>
              <w:jc w:val="both"/>
              <w:rPr>
                <w:sz w:val="22"/>
                <w:szCs w:val="22"/>
              </w:rPr>
            </w:pPr>
          </w:p>
          <w:p w:rsidR="000C42D6" w:rsidRPr="00BD05D3" w:rsidP="006E03C2">
            <w:pPr>
              <w:rPr>
                <w:sz w:val="22"/>
                <w:szCs w:val="22"/>
              </w:rPr>
            </w:pPr>
          </w:p>
        </w:tc>
        <w:tc>
          <w:tcPr>
            <w:tcW w:w="709"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31365">
            <w:pPr>
              <w:snapToGrid w:val="0"/>
              <w:jc w:val="both"/>
              <w:rPr>
                <w:sz w:val="22"/>
                <w:szCs w:val="22"/>
              </w:rPr>
            </w:pPr>
            <w:r w:rsidRPr="00BD05D3">
              <w:rPr>
                <w:sz w:val="22"/>
                <w:szCs w:val="22"/>
              </w:rPr>
              <w:t>C: 3</w:t>
            </w:r>
          </w:p>
          <w:p w:rsidR="000C42D6" w:rsidRPr="00BD05D3" w:rsidP="00031365">
            <w:pPr>
              <w:snapToGrid w:val="0"/>
              <w:jc w:val="both"/>
              <w:rPr>
                <w:sz w:val="22"/>
                <w:szCs w:val="22"/>
              </w:rPr>
            </w:pPr>
            <w:r w:rsidRPr="00BD05D3">
              <w:rPr>
                <w:sz w:val="22"/>
                <w:szCs w:val="22"/>
              </w:rPr>
              <w:t>O: 14</w:t>
            </w:r>
          </w:p>
        </w:tc>
        <w:tc>
          <w:tcPr>
            <w:tcW w:w="4536" w:type="dxa"/>
            <w:tcBorders>
              <w:top w:val="single" w:sz="4" w:space="0" w:color="000000"/>
              <w:left w:val="single" w:sz="4" w:space="0" w:color="000000"/>
              <w:bottom w:val="single" w:sz="4" w:space="0" w:color="000000"/>
            </w:tcBorders>
          </w:tcPr>
          <w:p w:rsidR="000C42D6" w:rsidRPr="00BD05D3" w:rsidP="00031365">
            <w:pPr>
              <w:jc w:val="both"/>
              <w:rPr>
                <w:sz w:val="22"/>
                <w:szCs w:val="22"/>
              </w:rPr>
            </w:pPr>
            <w:r w:rsidRPr="00BD05D3">
              <w:rPr>
                <w:sz w:val="22"/>
                <w:szCs w:val="22"/>
              </w:rPr>
              <w:t>„hostiteľský subjekt“ je výskumná organizácia, inštitúcia vyso</w:t>
            </w:r>
            <w:r w:rsidRPr="00BD05D3">
              <w:rPr>
                <w:sz w:val="22"/>
                <w:szCs w:val="22"/>
              </w:rPr>
              <w:t xml:space="preserve">koškolského vzdelávania, vzdelávacie zariadenie, organizácia zodpovedná za program dobrovoľníckej služby alebo subjekt prijímajúci stážistov, ku ktorému je pridelený štátny príslušník tretej krajiny na účely tejto smernice a </w:t>
            </w:r>
            <w:r w:rsidRPr="00BD05D3">
              <w:rPr>
                <w:sz w:val="22"/>
                <w:szCs w:val="22"/>
              </w:rPr>
              <w:t>ktorý sa nachádza na území dotknutého členského štátu, bez ohľadu na jeho právnu formu v súlade s vnútroštátnym právom;</w:t>
            </w:r>
          </w:p>
        </w:tc>
        <w:tc>
          <w:tcPr>
            <w:tcW w:w="425"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N</w:t>
            </w:r>
          </w:p>
        </w:tc>
        <w:tc>
          <w:tcPr>
            <w:tcW w:w="709" w:type="dxa"/>
            <w:tcBorders>
              <w:top w:val="single" w:sz="4" w:space="0" w:color="000000"/>
              <w:left w:val="single" w:sz="4" w:space="0" w:color="000000"/>
              <w:bottom w:val="single" w:sz="4" w:space="0" w:color="000000"/>
            </w:tcBorders>
          </w:tcPr>
          <w:p w:rsidR="000C42D6" w:rsidP="00093254">
            <w:pPr>
              <w:snapToGrid w:val="0"/>
              <w:rPr>
                <w:sz w:val="22"/>
                <w:szCs w:val="22"/>
              </w:rPr>
            </w:pPr>
            <w:r w:rsidRPr="00BD05D3">
              <w:rPr>
                <w:sz w:val="22"/>
                <w:szCs w:val="22"/>
              </w:rPr>
              <w:t>Návrh zákona Čl. I</w:t>
            </w:r>
          </w:p>
          <w:p w:rsidR="001008F3" w:rsidP="00093254">
            <w:pPr>
              <w:snapToGrid w:val="0"/>
              <w:rPr>
                <w:sz w:val="22"/>
                <w:szCs w:val="22"/>
              </w:rPr>
            </w:pPr>
          </w:p>
          <w:p w:rsidR="001008F3" w:rsidP="00093254">
            <w:pPr>
              <w:snapToGrid w:val="0"/>
              <w:rPr>
                <w:sz w:val="22"/>
                <w:szCs w:val="22"/>
              </w:rPr>
            </w:pPr>
          </w:p>
          <w:p w:rsidR="001008F3" w:rsidP="00093254">
            <w:pPr>
              <w:snapToGrid w:val="0"/>
              <w:rPr>
                <w:sz w:val="22"/>
                <w:szCs w:val="22"/>
              </w:rPr>
            </w:pPr>
          </w:p>
          <w:p w:rsidR="001008F3" w:rsidP="00093254">
            <w:pPr>
              <w:snapToGrid w:val="0"/>
              <w:rPr>
                <w:sz w:val="22"/>
                <w:szCs w:val="22"/>
              </w:rPr>
            </w:pPr>
          </w:p>
          <w:p w:rsidR="001008F3" w:rsidP="00093254">
            <w:pPr>
              <w:snapToGrid w:val="0"/>
              <w:rPr>
                <w:sz w:val="22"/>
                <w:szCs w:val="22"/>
              </w:rPr>
            </w:pPr>
          </w:p>
          <w:p w:rsidR="001008F3" w:rsidP="00093254">
            <w:pPr>
              <w:snapToGrid w:val="0"/>
              <w:rPr>
                <w:sz w:val="22"/>
                <w:szCs w:val="22"/>
              </w:rPr>
            </w:pPr>
          </w:p>
          <w:p w:rsidR="001008F3" w:rsidRPr="00BD05D3" w:rsidP="00093254">
            <w:pPr>
              <w:snapToGrid w:val="0"/>
              <w:rPr>
                <w:sz w:val="22"/>
                <w:szCs w:val="22"/>
              </w:rPr>
            </w:pPr>
            <w:r>
              <w:rPr>
                <w:sz w:val="22"/>
                <w:szCs w:val="22"/>
              </w:rPr>
              <w:t>Zákon č. 404/2011 Z. z.</w:t>
            </w:r>
          </w:p>
        </w:tc>
        <w:tc>
          <w:tcPr>
            <w:tcW w:w="709" w:type="dxa"/>
            <w:tcBorders>
              <w:top w:val="single" w:sz="4" w:space="0" w:color="000000"/>
              <w:left w:val="single" w:sz="4" w:space="0" w:color="000000"/>
              <w:bottom w:val="single" w:sz="4" w:space="0" w:color="000000"/>
            </w:tcBorders>
          </w:tcPr>
          <w:p w:rsidR="000C42D6" w:rsidRPr="00BD05D3" w:rsidP="005F52DE">
            <w:pPr>
              <w:pStyle w:val="Normlny"/>
              <w:snapToGrid w:val="0"/>
              <w:jc w:val="both"/>
              <w:rPr>
                <w:sz w:val="22"/>
                <w:szCs w:val="22"/>
              </w:rPr>
            </w:pPr>
            <w:r w:rsidRPr="00BD05D3">
              <w:rPr>
                <w:sz w:val="22"/>
                <w:szCs w:val="22"/>
              </w:rPr>
              <w:t>§ 71</w:t>
            </w:r>
          </w:p>
          <w:p w:rsidR="000C42D6" w:rsidRPr="00BD05D3" w:rsidP="005F52DE">
            <w:pPr>
              <w:pStyle w:val="Normlny"/>
              <w:snapToGrid w:val="0"/>
              <w:jc w:val="both"/>
              <w:rPr>
                <w:sz w:val="22"/>
                <w:szCs w:val="22"/>
              </w:rPr>
            </w:pPr>
            <w:r w:rsidRPr="00BD05D3">
              <w:rPr>
                <w:sz w:val="22"/>
                <w:szCs w:val="22"/>
              </w:rPr>
              <w:t>O: 3</w:t>
            </w:r>
          </w:p>
          <w:p w:rsidR="000C42D6" w:rsidP="00BE30FC">
            <w:pPr>
              <w:pStyle w:val="Normlny"/>
              <w:snapToGrid w:val="0"/>
              <w:jc w:val="both"/>
              <w:rPr>
                <w:sz w:val="22"/>
                <w:szCs w:val="22"/>
              </w:rPr>
            </w:pPr>
          </w:p>
          <w:p w:rsidR="001008F3" w:rsidP="00BE30FC">
            <w:pPr>
              <w:pStyle w:val="Normlny"/>
              <w:snapToGrid w:val="0"/>
              <w:jc w:val="both"/>
              <w:rPr>
                <w:sz w:val="22"/>
                <w:szCs w:val="22"/>
              </w:rPr>
            </w:pPr>
          </w:p>
          <w:p w:rsidR="001008F3" w:rsidP="00BE30FC">
            <w:pPr>
              <w:pStyle w:val="Normlny"/>
              <w:snapToGrid w:val="0"/>
              <w:jc w:val="both"/>
              <w:rPr>
                <w:sz w:val="22"/>
                <w:szCs w:val="22"/>
              </w:rPr>
            </w:pPr>
          </w:p>
          <w:p w:rsidR="001008F3" w:rsidP="00BE30FC">
            <w:pPr>
              <w:pStyle w:val="Normlny"/>
              <w:snapToGrid w:val="0"/>
              <w:jc w:val="both"/>
              <w:rPr>
                <w:sz w:val="22"/>
                <w:szCs w:val="22"/>
              </w:rPr>
            </w:pPr>
          </w:p>
          <w:p w:rsidR="001008F3" w:rsidP="00BE30FC">
            <w:pPr>
              <w:pStyle w:val="Normlny"/>
              <w:snapToGrid w:val="0"/>
              <w:jc w:val="both"/>
              <w:rPr>
                <w:sz w:val="22"/>
                <w:szCs w:val="22"/>
              </w:rPr>
            </w:pPr>
          </w:p>
          <w:p w:rsidR="001008F3" w:rsidP="00BE30FC">
            <w:pPr>
              <w:pStyle w:val="Normlny"/>
              <w:snapToGrid w:val="0"/>
              <w:jc w:val="both"/>
              <w:rPr>
                <w:sz w:val="22"/>
                <w:szCs w:val="22"/>
              </w:rPr>
            </w:pPr>
          </w:p>
          <w:p w:rsidR="001008F3" w:rsidP="00BE30FC">
            <w:pPr>
              <w:pStyle w:val="Normlny"/>
              <w:snapToGrid w:val="0"/>
              <w:jc w:val="both"/>
              <w:rPr>
                <w:sz w:val="22"/>
                <w:szCs w:val="22"/>
              </w:rPr>
            </w:pPr>
          </w:p>
          <w:p w:rsidR="001008F3" w:rsidP="00BE30FC">
            <w:pPr>
              <w:pStyle w:val="Normlny"/>
              <w:snapToGrid w:val="0"/>
              <w:jc w:val="both"/>
              <w:rPr>
                <w:sz w:val="22"/>
                <w:szCs w:val="22"/>
              </w:rPr>
            </w:pPr>
            <w:r>
              <w:rPr>
                <w:sz w:val="22"/>
                <w:szCs w:val="22"/>
              </w:rPr>
              <w:t>§ 2</w:t>
            </w:r>
          </w:p>
          <w:p w:rsidR="001008F3" w:rsidP="00BE30FC">
            <w:pPr>
              <w:pStyle w:val="Normlny"/>
              <w:snapToGrid w:val="0"/>
              <w:jc w:val="both"/>
              <w:rPr>
                <w:sz w:val="22"/>
                <w:szCs w:val="22"/>
              </w:rPr>
            </w:pPr>
            <w:r>
              <w:rPr>
                <w:sz w:val="22"/>
                <w:szCs w:val="22"/>
              </w:rPr>
              <w:t>O:1</w:t>
            </w:r>
          </w:p>
          <w:p w:rsidR="001008F3" w:rsidRPr="00BD05D3" w:rsidP="00BE30FC">
            <w:pPr>
              <w:pStyle w:val="Normlny"/>
              <w:snapToGrid w:val="0"/>
              <w:jc w:val="both"/>
              <w:rPr>
                <w:sz w:val="22"/>
                <w:szCs w:val="22"/>
              </w:rPr>
            </w:pPr>
            <w:r>
              <w:rPr>
                <w:sz w:val="22"/>
                <w:szCs w:val="22"/>
              </w:rPr>
              <w:t>P: d)</w:t>
            </w:r>
          </w:p>
        </w:tc>
        <w:tc>
          <w:tcPr>
            <w:tcW w:w="4819" w:type="dxa"/>
            <w:tcBorders>
              <w:top w:val="single" w:sz="4" w:space="0" w:color="000000"/>
              <w:left w:val="single" w:sz="4" w:space="0" w:color="000000"/>
              <w:bottom w:val="single" w:sz="4" w:space="0" w:color="000000"/>
            </w:tcBorders>
          </w:tcPr>
          <w:p w:rsidR="000C42D6" w:rsidRPr="00BD05D3" w:rsidP="006E03C2">
            <w:pPr>
              <w:pStyle w:val="ListParagraph0"/>
              <w:spacing w:after="0" w:line="240" w:lineRule="auto"/>
              <w:ind w:left="0"/>
              <w:jc w:val="both"/>
              <w:rPr>
                <w:rFonts w:ascii="Times New Roman" w:hAnsi="Times New Roman"/>
              </w:rPr>
            </w:pPr>
            <w:r w:rsidRPr="00BD05D3">
              <w:rPr>
                <w:rFonts w:ascii="Times New Roman" w:hAnsi="Times New Roman"/>
              </w:rPr>
              <w:t xml:space="preserve"> (3) Vysoká škola môže na akademickú mobilitu študentov prijať študenta vysokej školy so sídlom mimo územia </w:t>
            </w:r>
            <w:r w:rsidRPr="00BD05D3">
              <w:rPr>
                <w:rFonts w:ascii="Times New Roman" w:hAnsi="Times New Roman"/>
              </w:rPr>
              <w:t>Slovenskej republiky aj bez prijímacieho konania v súlade s podmienkami výmenného programu alebo na základe zmluvy medzi prijímajúcou vysokou školou a vysielajúcou vysokou školou alebo zahraničnou inšti</w:t>
            </w:r>
            <w:r w:rsidRPr="00BD05D3">
              <w:rPr>
                <w:rFonts w:ascii="Times New Roman" w:hAnsi="Times New Roman"/>
              </w:rPr>
              <w:t>túciou.</w:t>
            </w:r>
          </w:p>
          <w:p w:rsidR="000C42D6" w:rsidRPr="00BD05D3" w:rsidP="001A25A3">
            <w:pPr>
              <w:pStyle w:val="Normlny"/>
              <w:snapToGrid w:val="0"/>
              <w:jc w:val="both"/>
              <w:rPr>
                <w:sz w:val="22"/>
                <w:szCs w:val="22"/>
              </w:rPr>
            </w:pPr>
          </w:p>
          <w:p w:rsidR="000C42D6" w:rsidP="00057463">
            <w:pPr>
              <w:pStyle w:val="Normlny"/>
              <w:snapToGrid w:val="0"/>
              <w:jc w:val="both"/>
              <w:rPr>
                <w:sz w:val="22"/>
                <w:szCs w:val="22"/>
              </w:rPr>
            </w:pPr>
          </w:p>
          <w:p w:rsidR="001008F3" w:rsidP="00057463">
            <w:pPr>
              <w:pStyle w:val="Normlny"/>
              <w:snapToGrid w:val="0"/>
              <w:jc w:val="both"/>
              <w:rPr>
                <w:sz w:val="22"/>
                <w:szCs w:val="22"/>
              </w:rPr>
            </w:pPr>
          </w:p>
          <w:p w:rsidR="001008F3" w:rsidP="00057463">
            <w:pPr>
              <w:pStyle w:val="Normlny"/>
              <w:snapToGrid w:val="0"/>
              <w:jc w:val="both"/>
              <w:rPr>
                <w:sz w:val="22"/>
                <w:szCs w:val="22"/>
              </w:rPr>
            </w:pPr>
          </w:p>
          <w:p w:rsidR="001008F3" w:rsidRPr="00BD05D3" w:rsidP="00057463">
            <w:pPr>
              <w:pStyle w:val="Normlny"/>
              <w:snapToGrid w:val="0"/>
              <w:jc w:val="both"/>
              <w:rPr>
                <w:sz w:val="22"/>
                <w:szCs w:val="22"/>
              </w:rPr>
            </w:pPr>
            <w:r>
              <w:rPr>
                <w:sz w:val="22"/>
                <w:szCs w:val="22"/>
              </w:rPr>
              <w:t xml:space="preserve">d) </w:t>
            </w:r>
            <w:r w:rsidRPr="001008F3">
              <w:rPr>
                <w:sz w:val="22"/>
                <w:szCs w:val="22"/>
              </w:rPr>
              <w:t>hostiteľským subjektom zamestnávateľ, ku ktorému je zamestnanec presunutý v rámci zamestnávateľa alebo v rámci tej istej skupiny zamestnávateľov, bez ohľadu na jeho právnu formu, a ktorý má sídlo na území Slovenskej republiky alebo členského</w:t>
            </w:r>
            <w:r w:rsidRPr="001008F3">
              <w:rPr>
                <w:sz w:val="22"/>
                <w:szCs w:val="22"/>
              </w:rPr>
              <w:t xml:space="preserve"> štátu,</w:t>
            </w:r>
          </w:p>
        </w:tc>
        <w:tc>
          <w:tcPr>
            <w:tcW w:w="709"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001008F3">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B531EC">
            <w:pPr>
              <w:snapToGrid w:val="0"/>
              <w:jc w:val="both"/>
              <w:rPr>
                <w:sz w:val="22"/>
                <w:szCs w:val="22"/>
              </w:rPr>
            </w:pPr>
            <w:r w:rsidRPr="00BD05D3">
              <w:rPr>
                <w:sz w:val="22"/>
                <w:szCs w:val="22"/>
              </w:rPr>
              <w:t>C: 18</w:t>
            </w:r>
          </w:p>
          <w:p w:rsidR="000C42D6" w:rsidRPr="00BD05D3" w:rsidP="00B531EC">
            <w:pPr>
              <w:snapToGrid w:val="0"/>
              <w:jc w:val="both"/>
              <w:rPr>
                <w:sz w:val="22"/>
                <w:szCs w:val="22"/>
              </w:rPr>
            </w:pPr>
            <w:r w:rsidRPr="00BD05D3">
              <w:rPr>
                <w:sz w:val="22"/>
                <w:szCs w:val="22"/>
              </w:rPr>
              <w:t>O: 3</w:t>
            </w:r>
          </w:p>
        </w:tc>
        <w:tc>
          <w:tcPr>
            <w:tcW w:w="4536" w:type="dxa"/>
            <w:tcBorders>
              <w:top w:val="single" w:sz="4" w:space="0" w:color="000000"/>
              <w:left w:val="single" w:sz="4" w:space="0" w:color="000000"/>
              <w:bottom w:val="single" w:sz="4" w:space="0" w:color="000000"/>
            </w:tcBorders>
          </w:tcPr>
          <w:p w:rsidR="000C42D6" w:rsidRPr="00BD05D3" w:rsidP="00031365">
            <w:pPr>
              <w:jc w:val="both"/>
              <w:rPr>
                <w:sz w:val="22"/>
                <w:szCs w:val="22"/>
              </w:rPr>
            </w:pPr>
            <w:r w:rsidRPr="00BD05D3">
              <w:rPr>
                <w:sz w:val="22"/>
                <w:szCs w:val="22"/>
              </w:rPr>
              <w:t>Členské štáty môžu stanoviť, že celková dĺžka pobytu na účely štúdia nesmie prekročiť maximálnu dĺžku štúdia vymedzenú vo vnútroštátnom práve.</w:t>
            </w:r>
          </w:p>
        </w:tc>
        <w:tc>
          <w:tcPr>
            <w:tcW w:w="425"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Pr="00BD05D3">
              <w:rPr>
                <w:sz w:val="22"/>
                <w:szCs w:val="22"/>
              </w:rPr>
              <w:t>D</w:t>
            </w:r>
          </w:p>
        </w:tc>
        <w:tc>
          <w:tcPr>
            <w:tcW w:w="709" w:type="dxa"/>
            <w:tcBorders>
              <w:top w:val="single" w:sz="4" w:space="0" w:color="000000"/>
              <w:left w:val="single" w:sz="4" w:space="0" w:color="000000"/>
              <w:bottom w:val="single" w:sz="4" w:space="0" w:color="000000"/>
            </w:tcBorders>
          </w:tcPr>
          <w:p w:rsidR="000C42D6" w:rsidRPr="00BD05D3" w:rsidP="006C5AD8">
            <w:pPr>
              <w:snapToGrid w:val="0"/>
              <w:jc w:val="center"/>
              <w:rPr>
                <w:sz w:val="22"/>
                <w:szCs w:val="22"/>
              </w:rPr>
            </w:pPr>
            <w:r w:rsidRPr="00BD05D3">
              <w:rPr>
                <w:sz w:val="22"/>
                <w:szCs w:val="22"/>
              </w:rPr>
              <w:t>Návrh zákona Čl. I</w:t>
            </w:r>
          </w:p>
        </w:tc>
        <w:tc>
          <w:tcPr>
            <w:tcW w:w="709" w:type="dxa"/>
            <w:tcBorders>
              <w:top w:val="single" w:sz="4" w:space="0" w:color="000000"/>
              <w:left w:val="single" w:sz="4" w:space="0" w:color="000000"/>
              <w:bottom w:val="single" w:sz="4" w:space="0" w:color="000000"/>
            </w:tcBorders>
          </w:tcPr>
          <w:p w:rsidR="000C42D6" w:rsidRPr="00BD05D3" w:rsidP="00BE30FC">
            <w:pPr>
              <w:pStyle w:val="Normlny"/>
              <w:snapToGrid w:val="0"/>
              <w:jc w:val="both"/>
              <w:rPr>
                <w:sz w:val="22"/>
                <w:szCs w:val="22"/>
              </w:rPr>
            </w:pPr>
            <w:r w:rsidRPr="00BD05D3">
              <w:rPr>
                <w:sz w:val="22"/>
                <w:szCs w:val="22"/>
              </w:rPr>
              <w:t>§ 56</w:t>
            </w:r>
          </w:p>
          <w:p w:rsidR="000C42D6" w:rsidRPr="00BD05D3" w:rsidP="00BE30FC">
            <w:pPr>
              <w:pStyle w:val="Normlny"/>
              <w:snapToGrid w:val="0"/>
              <w:jc w:val="both"/>
              <w:rPr>
                <w:sz w:val="22"/>
                <w:szCs w:val="22"/>
              </w:rPr>
            </w:pPr>
            <w:r w:rsidRPr="00BD05D3">
              <w:rPr>
                <w:sz w:val="22"/>
                <w:szCs w:val="22"/>
              </w:rPr>
              <w:t>O: 1</w:t>
            </w:r>
          </w:p>
          <w:p w:rsidR="000C42D6" w:rsidRPr="00BD05D3" w:rsidP="00BE30FC">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P="00A840F5">
            <w:pPr>
              <w:pStyle w:val="Normlny"/>
              <w:snapToGrid w:val="0"/>
              <w:jc w:val="both"/>
              <w:rPr>
                <w:sz w:val="22"/>
                <w:szCs w:val="22"/>
              </w:rPr>
            </w:pPr>
          </w:p>
          <w:p w:rsidR="000C42D6" w:rsidP="00A840F5">
            <w:pPr>
              <w:pStyle w:val="Normlny"/>
              <w:snapToGrid w:val="0"/>
              <w:jc w:val="both"/>
              <w:rPr>
                <w:sz w:val="22"/>
                <w:szCs w:val="22"/>
              </w:rPr>
            </w:pPr>
          </w:p>
          <w:p w:rsidR="000C42D6" w:rsidP="00A840F5">
            <w:pPr>
              <w:pStyle w:val="Normlny"/>
              <w:snapToGrid w:val="0"/>
              <w:jc w:val="both"/>
              <w:rPr>
                <w:sz w:val="22"/>
                <w:szCs w:val="22"/>
              </w:rPr>
            </w:pPr>
          </w:p>
          <w:p w:rsidR="000C42D6" w:rsidP="00A840F5">
            <w:pPr>
              <w:pStyle w:val="Normlny"/>
              <w:snapToGrid w:val="0"/>
              <w:jc w:val="both"/>
              <w:rPr>
                <w:sz w:val="22"/>
                <w:szCs w:val="22"/>
              </w:rPr>
            </w:pPr>
          </w:p>
          <w:p w:rsidR="000C42D6"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r w:rsidRPr="00BD05D3">
              <w:rPr>
                <w:sz w:val="22"/>
                <w:szCs w:val="22"/>
              </w:rPr>
              <w:t>§ 86</w:t>
            </w:r>
          </w:p>
          <w:p w:rsidR="000C42D6" w:rsidRPr="00BD05D3" w:rsidP="00A840F5">
            <w:pPr>
              <w:pStyle w:val="Normlny"/>
              <w:snapToGrid w:val="0"/>
              <w:jc w:val="both"/>
              <w:rPr>
                <w:sz w:val="22"/>
                <w:szCs w:val="22"/>
              </w:rPr>
            </w:pPr>
            <w:r w:rsidRPr="00BD05D3">
              <w:rPr>
                <w:sz w:val="22"/>
                <w:szCs w:val="22"/>
              </w:rPr>
              <w:t xml:space="preserve">O: </w:t>
            </w:r>
            <w:r w:rsidR="00E31FDB">
              <w:rPr>
                <w:sz w:val="22"/>
                <w:szCs w:val="22"/>
              </w:rPr>
              <w:t>2</w:t>
            </w: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p w:rsidR="000C42D6" w:rsidRPr="00BD05D3" w:rsidP="00A840F5">
            <w:pPr>
              <w:pStyle w:val="Normlny"/>
              <w:snapToGrid w:val="0"/>
              <w:jc w:val="both"/>
              <w:rPr>
                <w:sz w:val="22"/>
                <w:szCs w:val="22"/>
              </w:rPr>
            </w:pPr>
          </w:p>
        </w:tc>
        <w:tc>
          <w:tcPr>
            <w:tcW w:w="4819" w:type="dxa"/>
            <w:tcBorders>
              <w:top w:val="single" w:sz="4" w:space="0" w:color="000000"/>
              <w:left w:val="single" w:sz="4" w:space="0" w:color="000000"/>
              <w:bottom w:val="single" w:sz="4" w:space="0" w:color="000000"/>
            </w:tcBorders>
          </w:tcPr>
          <w:p w:rsidR="000C42D6" w:rsidRPr="00BD05D3" w:rsidP="000C42D6">
            <w:pPr>
              <w:suppressAutoHyphens w:val="0"/>
              <w:autoSpaceDE/>
              <w:spacing w:line="276" w:lineRule="auto"/>
              <w:jc w:val="both"/>
              <w:rPr>
                <w:rFonts w:eastAsia="Calibri"/>
                <w:sz w:val="22"/>
                <w:szCs w:val="22"/>
              </w:rPr>
            </w:pPr>
            <w:r w:rsidRPr="000C42D6">
              <w:rPr>
                <w:sz w:val="22"/>
                <w:szCs w:val="22"/>
              </w:rPr>
              <w:t xml:space="preserve">(1) </w:t>
            </w:r>
            <w:r w:rsidRPr="00BD05D3">
              <w:rPr>
                <w:rFonts w:eastAsia="Calibri"/>
                <w:sz w:val="22"/>
                <w:szCs w:val="22"/>
              </w:rPr>
              <w:t>Štandardná dĺžka štúdia vr</w:t>
            </w:r>
            <w:r w:rsidRPr="00BD05D3">
              <w:rPr>
                <w:rFonts w:eastAsia="Calibri"/>
                <w:sz w:val="22"/>
                <w:szCs w:val="22"/>
              </w:rPr>
              <w:t>átane praktického vyučovania sa určuje na účel povinnosti úhrady školného a najdlhšej prípustnej dĺžky štúdia. Štandardná dĺžka štúdia je pre študijný program</w:t>
            </w:r>
          </w:p>
          <w:p w:rsidR="000C42D6" w:rsidRPr="00BD05D3" w:rsidP="000C42D6">
            <w:pPr>
              <w:spacing w:line="276" w:lineRule="auto"/>
              <w:jc w:val="both"/>
              <w:rPr>
                <w:rFonts w:eastAsia="Calibri"/>
                <w:sz w:val="22"/>
                <w:szCs w:val="22"/>
              </w:rPr>
            </w:pPr>
            <w:r w:rsidRPr="00BD05D3">
              <w:rPr>
                <w:rFonts w:eastAsia="Calibri"/>
                <w:sz w:val="22"/>
                <w:szCs w:val="22"/>
              </w:rPr>
              <w:t>a) prvého stupňa tri akademické roky alebo štyri akademické roky,</w:t>
            </w:r>
          </w:p>
          <w:p w:rsidR="000C42D6" w:rsidRPr="00BD05D3" w:rsidP="000C42D6">
            <w:pPr>
              <w:spacing w:line="276" w:lineRule="auto"/>
              <w:jc w:val="both"/>
              <w:rPr>
                <w:rFonts w:eastAsia="Calibri"/>
                <w:sz w:val="22"/>
                <w:szCs w:val="22"/>
              </w:rPr>
            </w:pPr>
            <w:r w:rsidRPr="00BD05D3">
              <w:rPr>
                <w:rFonts w:eastAsia="Calibri"/>
                <w:sz w:val="22"/>
                <w:szCs w:val="22"/>
              </w:rPr>
              <w:t xml:space="preserve">b) druhého stupňa jeden, dva alebo tri akademické roky, </w:t>
            </w:r>
          </w:p>
          <w:p w:rsidR="000C42D6" w:rsidRPr="00BD05D3" w:rsidP="000C42D6">
            <w:pPr>
              <w:spacing w:line="276" w:lineRule="auto"/>
              <w:jc w:val="both"/>
              <w:rPr>
                <w:rFonts w:eastAsia="Calibri"/>
                <w:sz w:val="22"/>
                <w:szCs w:val="22"/>
              </w:rPr>
            </w:pPr>
            <w:r w:rsidRPr="00BD05D3">
              <w:rPr>
                <w:rFonts w:eastAsia="Calibri"/>
                <w:sz w:val="22"/>
                <w:szCs w:val="22"/>
              </w:rPr>
              <w:t xml:space="preserve">c) spájajúci prvý a druhý stupeň päť alebo šesť akademických rokov, </w:t>
            </w:r>
          </w:p>
          <w:p w:rsidR="000C42D6" w:rsidRPr="00BD05D3" w:rsidP="000C42D6">
            <w:pPr>
              <w:spacing w:line="276" w:lineRule="auto"/>
              <w:jc w:val="both"/>
              <w:rPr>
                <w:rFonts w:eastAsia="Calibri"/>
                <w:sz w:val="22"/>
                <w:szCs w:val="22"/>
              </w:rPr>
            </w:pPr>
            <w:r w:rsidRPr="00BD05D3">
              <w:rPr>
                <w:rFonts w:eastAsia="Calibri"/>
                <w:sz w:val="22"/>
                <w:szCs w:val="22"/>
              </w:rPr>
              <w:t xml:space="preserve">d) tretieho stupňa tri, štyri alebo päť akademických rokov.  </w:t>
            </w:r>
          </w:p>
          <w:p w:rsidR="000C42D6" w:rsidRPr="00BD05D3" w:rsidP="000C42D6">
            <w:pPr>
              <w:jc w:val="both"/>
              <w:rPr>
                <w:rFonts w:eastAsia="Calibri"/>
                <w:sz w:val="22"/>
                <w:szCs w:val="22"/>
              </w:rPr>
            </w:pPr>
          </w:p>
          <w:p w:rsidR="000C42D6" w:rsidRPr="00BD05D3" w:rsidP="00E31FDB">
            <w:pPr>
              <w:suppressAutoHyphens w:val="0"/>
              <w:autoSpaceDE/>
              <w:jc w:val="both"/>
              <w:rPr>
                <w:rFonts w:eastAsia="Calibri"/>
                <w:sz w:val="22"/>
                <w:szCs w:val="22"/>
              </w:rPr>
            </w:pPr>
            <w:r w:rsidR="00E31FDB">
              <w:rPr>
                <w:rFonts w:eastAsia="Calibri"/>
                <w:sz w:val="22"/>
                <w:szCs w:val="22"/>
              </w:rPr>
              <w:t>(2)</w:t>
            </w:r>
            <w:r w:rsidRPr="00BD05D3">
              <w:rPr>
                <w:rFonts w:eastAsia="Calibri"/>
                <w:sz w:val="22"/>
                <w:szCs w:val="22"/>
              </w:rPr>
              <w:t xml:space="preserve">Štúdium študijného programu nesmie presiahnuť jeho štandardnú dĺžku </w:t>
            </w:r>
          </w:p>
          <w:p w:rsidR="000C42D6" w:rsidRPr="00BD05D3" w:rsidP="00A752A6">
            <w:pPr>
              <w:numPr>
                <w:ilvl w:val="1"/>
                <w:numId w:val="3"/>
              </w:numPr>
              <w:suppressAutoHyphens w:val="0"/>
              <w:autoSpaceDE/>
              <w:ind w:left="284" w:firstLine="0"/>
              <w:jc w:val="both"/>
              <w:rPr>
                <w:rFonts w:eastAsia="Calibri"/>
                <w:sz w:val="22"/>
                <w:szCs w:val="22"/>
              </w:rPr>
            </w:pPr>
            <w:r w:rsidRPr="00BD05D3">
              <w:rPr>
                <w:rFonts w:eastAsia="Calibri"/>
                <w:sz w:val="22"/>
                <w:szCs w:val="22"/>
              </w:rPr>
              <w:t xml:space="preserve">v dennej forme štúdia o viac ako dva roky, </w:t>
            </w:r>
          </w:p>
          <w:p w:rsidR="000C42D6" w:rsidRPr="00BD05D3" w:rsidP="00A752A6">
            <w:pPr>
              <w:numPr>
                <w:ilvl w:val="1"/>
                <w:numId w:val="3"/>
              </w:numPr>
              <w:suppressAutoHyphens w:val="0"/>
              <w:autoSpaceDE/>
              <w:ind w:left="284" w:firstLine="0"/>
              <w:jc w:val="both"/>
              <w:rPr>
                <w:rFonts w:eastAsia="Calibri"/>
                <w:sz w:val="22"/>
                <w:szCs w:val="22"/>
              </w:rPr>
            </w:pPr>
            <w:r w:rsidRPr="00BD05D3">
              <w:rPr>
                <w:rFonts w:eastAsia="Calibri"/>
                <w:sz w:val="22"/>
                <w:szCs w:val="22"/>
              </w:rPr>
              <w:t>v externej forme štúdia o viac ako tri roky.</w:t>
            </w:r>
          </w:p>
          <w:p w:rsidR="000C42D6" w:rsidRPr="00BD05D3" w:rsidP="00B05F44">
            <w:pPr>
              <w:pStyle w:val="Normlny"/>
              <w:snapToGrid w:val="0"/>
              <w:jc w:val="both"/>
              <w:rPr>
                <w:sz w:val="22"/>
                <w:szCs w:val="22"/>
                <w:highlight w:val="yellow"/>
              </w:rPr>
            </w:pPr>
          </w:p>
          <w:p w:rsidR="000C42D6" w:rsidRPr="00BD05D3" w:rsidP="00B05F44">
            <w:pPr>
              <w:pStyle w:val="Normlny"/>
              <w:snapToGrid w:val="0"/>
              <w:jc w:val="both"/>
              <w:rPr>
                <w:sz w:val="22"/>
                <w:szCs w:val="22"/>
                <w:highlight w:val="yellow"/>
              </w:rPr>
            </w:pPr>
          </w:p>
          <w:p w:rsidR="000C42D6" w:rsidRPr="00BD05D3" w:rsidP="00D31E7E">
            <w:pPr>
              <w:pStyle w:val="Normlny"/>
              <w:snapToGrid w:val="0"/>
              <w:jc w:val="both"/>
              <w:rPr>
                <w:sz w:val="22"/>
                <w:szCs w:val="22"/>
                <w:highlight w:val="yellow"/>
              </w:rPr>
            </w:pPr>
          </w:p>
        </w:tc>
        <w:tc>
          <w:tcPr>
            <w:tcW w:w="709" w:type="dxa"/>
            <w:tcBorders>
              <w:top w:val="single" w:sz="4" w:space="0" w:color="000000"/>
              <w:left w:val="single" w:sz="4" w:space="0" w:color="000000"/>
              <w:bottom w:val="single" w:sz="4" w:space="0" w:color="000000"/>
            </w:tcBorders>
          </w:tcPr>
          <w:p w:rsidR="000C42D6" w:rsidRPr="00BD05D3" w:rsidP="00AF0B3B">
            <w:pPr>
              <w:snapToGrid w:val="0"/>
              <w:jc w:val="center"/>
              <w:rPr>
                <w:sz w:val="22"/>
                <w:szCs w:val="22"/>
              </w:rPr>
            </w:pPr>
            <w:r w:rsidR="001008F3">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952AFF">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B7F2B">
            <w:pPr>
              <w:snapToGrid w:val="0"/>
              <w:jc w:val="both"/>
              <w:rPr>
                <w:sz w:val="22"/>
                <w:szCs w:val="22"/>
              </w:rPr>
            </w:pPr>
            <w:r w:rsidRPr="00BD05D3">
              <w:rPr>
                <w:sz w:val="22"/>
                <w:szCs w:val="22"/>
              </w:rPr>
              <w:t>C: 21</w:t>
            </w:r>
          </w:p>
          <w:p w:rsidR="000C42D6" w:rsidRPr="00BD05D3" w:rsidP="000B7F2B">
            <w:pPr>
              <w:snapToGrid w:val="0"/>
              <w:jc w:val="both"/>
              <w:rPr>
                <w:sz w:val="22"/>
                <w:szCs w:val="22"/>
              </w:rPr>
            </w:pPr>
            <w:r w:rsidRPr="00BD05D3">
              <w:rPr>
                <w:sz w:val="22"/>
                <w:szCs w:val="22"/>
              </w:rPr>
              <w:t>O: 2</w:t>
            </w:r>
          </w:p>
          <w:p w:rsidR="000C42D6" w:rsidRPr="00BD05D3" w:rsidP="000B7F2B">
            <w:pPr>
              <w:snapToGrid w:val="0"/>
              <w:jc w:val="both"/>
              <w:rPr>
                <w:sz w:val="22"/>
                <w:szCs w:val="22"/>
              </w:rPr>
            </w:pPr>
            <w:r w:rsidRPr="00BD05D3">
              <w:rPr>
                <w:sz w:val="22"/>
                <w:szCs w:val="22"/>
              </w:rPr>
              <w:t>P: f</w:t>
            </w:r>
          </w:p>
        </w:tc>
        <w:tc>
          <w:tcPr>
            <w:tcW w:w="4536" w:type="dxa"/>
            <w:tcBorders>
              <w:top w:val="single" w:sz="4" w:space="0" w:color="000000"/>
              <w:left w:val="single" w:sz="4" w:space="0" w:color="000000"/>
              <w:bottom w:val="single" w:sz="4" w:space="0" w:color="000000"/>
            </w:tcBorders>
          </w:tcPr>
          <w:p w:rsidR="00B46100" w:rsidP="000B7F2B">
            <w:pPr>
              <w:jc w:val="both"/>
              <w:rPr>
                <w:sz w:val="22"/>
                <w:szCs w:val="22"/>
              </w:rPr>
            </w:pPr>
            <w:r>
              <w:rPr>
                <w:sz w:val="22"/>
                <w:szCs w:val="22"/>
              </w:rPr>
              <w:t>Členské štáty môžu odňať alebo odmietnuť obnoviť povolenie, ak:</w:t>
            </w:r>
          </w:p>
          <w:p w:rsidR="000C42D6" w:rsidRPr="00BD05D3" w:rsidP="000B7F2B">
            <w:pPr>
              <w:jc w:val="both"/>
              <w:rPr>
                <w:sz w:val="22"/>
                <w:szCs w:val="22"/>
              </w:rPr>
            </w:pPr>
            <w:r w:rsidRPr="00BD05D3">
              <w:rPr>
                <w:sz w:val="22"/>
                <w:szCs w:val="22"/>
              </w:rPr>
              <w:t>f) sa v prípade študentov nedodržiavajú obmedzenia prístupu k zárobkovej činnosti podľa článku 24 alebo ak daný študent nedosahuje dostatočný pokrok v relevantnom štúdiu v súlade s vnútroštátnym právom alebo administratívnymi postupmi.</w:t>
            </w:r>
          </w:p>
        </w:tc>
        <w:tc>
          <w:tcPr>
            <w:tcW w:w="425"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Pr="00BD05D3">
              <w:rPr>
                <w:sz w:val="22"/>
                <w:szCs w:val="22"/>
              </w:rPr>
              <w:t>D</w:t>
            </w:r>
          </w:p>
        </w:tc>
        <w:tc>
          <w:tcPr>
            <w:tcW w:w="709"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Pr="00BD05D3">
              <w:rPr>
                <w:sz w:val="22"/>
                <w:szCs w:val="22"/>
              </w:rPr>
              <w:t>Návrh zákona Čl. I</w:t>
            </w:r>
          </w:p>
        </w:tc>
        <w:tc>
          <w:tcPr>
            <w:tcW w:w="709" w:type="dxa"/>
            <w:tcBorders>
              <w:top w:val="single" w:sz="4" w:space="0" w:color="000000"/>
              <w:left w:val="single" w:sz="4" w:space="0" w:color="000000"/>
              <w:bottom w:val="single" w:sz="4" w:space="0" w:color="000000"/>
            </w:tcBorders>
          </w:tcPr>
          <w:p w:rsidR="000C42D6" w:rsidRPr="00BD05D3" w:rsidP="000B7F2B">
            <w:pPr>
              <w:pStyle w:val="Normlny"/>
              <w:snapToGrid w:val="0"/>
              <w:jc w:val="both"/>
              <w:rPr>
                <w:sz w:val="22"/>
                <w:szCs w:val="22"/>
              </w:rPr>
            </w:pPr>
            <w:r w:rsidRPr="00BD05D3">
              <w:rPr>
                <w:sz w:val="22"/>
                <w:szCs w:val="22"/>
              </w:rPr>
              <w:t>§ 87</w:t>
            </w:r>
          </w:p>
          <w:p w:rsidR="000C42D6" w:rsidRPr="00BD05D3" w:rsidP="000B7F2B">
            <w:pPr>
              <w:pStyle w:val="Normlny"/>
              <w:snapToGrid w:val="0"/>
              <w:jc w:val="both"/>
              <w:rPr>
                <w:sz w:val="22"/>
                <w:szCs w:val="22"/>
              </w:rPr>
            </w:pPr>
            <w:r w:rsidRPr="00BD05D3">
              <w:rPr>
                <w:sz w:val="22"/>
                <w:szCs w:val="22"/>
              </w:rPr>
              <w:t>O: 1</w:t>
            </w:r>
          </w:p>
          <w:p w:rsidR="000C42D6" w:rsidRPr="00BD05D3" w:rsidP="000B7F2B">
            <w:pPr>
              <w:pStyle w:val="Normlny"/>
              <w:snapToGrid w:val="0"/>
              <w:jc w:val="both"/>
              <w:rPr>
                <w:sz w:val="22"/>
                <w:szCs w:val="22"/>
              </w:rPr>
            </w:pPr>
            <w:r w:rsidRPr="00BD05D3">
              <w:rPr>
                <w:sz w:val="22"/>
                <w:szCs w:val="22"/>
              </w:rPr>
              <w:t>P: b a c</w:t>
            </w:r>
          </w:p>
        </w:tc>
        <w:tc>
          <w:tcPr>
            <w:tcW w:w="4819" w:type="dxa"/>
            <w:tcBorders>
              <w:top w:val="single" w:sz="4" w:space="0" w:color="000000"/>
              <w:left w:val="single" w:sz="4" w:space="0" w:color="000000"/>
              <w:bottom w:val="single" w:sz="4" w:space="0" w:color="000000"/>
            </w:tcBorders>
          </w:tcPr>
          <w:p w:rsidR="000C42D6" w:rsidRPr="00EC7FD0" w:rsidP="00EC7FD0">
            <w:pPr>
              <w:pStyle w:val="ListParagraph0"/>
              <w:spacing w:after="0" w:line="240" w:lineRule="auto"/>
              <w:ind w:left="0"/>
              <w:jc w:val="both"/>
              <w:rPr>
                <w:rFonts w:ascii="Times New Roman" w:hAnsi="Times New Roman"/>
              </w:rPr>
            </w:pPr>
            <w:r w:rsidRPr="00EC7FD0" w:rsidR="00B46100">
              <w:rPr>
                <w:rFonts w:ascii="Times New Roman" w:eastAsia="Times New Roman" w:hAnsi="Times New Roman"/>
                <w:lang w:eastAsia="ar-SA"/>
              </w:rPr>
              <w:t xml:space="preserve"> </w:t>
            </w:r>
            <w:r w:rsidRPr="00EC7FD0" w:rsidR="00EC7FD0">
              <w:rPr>
                <w:rFonts w:ascii="Times New Roman" w:eastAsia="Times New Roman" w:hAnsi="Times New Roman"/>
                <w:lang w:eastAsia="ar-SA"/>
              </w:rPr>
              <w:t xml:space="preserve">(1) </w:t>
            </w:r>
            <w:r w:rsidRPr="00EC7FD0">
              <w:rPr>
                <w:rFonts w:ascii="Times New Roman" w:hAnsi="Times New Roman"/>
              </w:rPr>
              <w:t>Okrem riadneho skončenia štúdia sa štúdium skončí</w:t>
            </w:r>
          </w:p>
          <w:p w:rsidR="000C42D6" w:rsidRPr="00EC7FD0" w:rsidP="00C926B1">
            <w:pPr>
              <w:pStyle w:val="ListParagraph0"/>
              <w:spacing w:after="0" w:line="240" w:lineRule="auto"/>
              <w:ind w:left="0"/>
              <w:jc w:val="both"/>
              <w:rPr>
                <w:rFonts w:ascii="Times New Roman" w:hAnsi="Times New Roman"/>
              </w:rPr>
            </w:pPr>
            <w:r w:rsidRPr="00EC7FD0">
              <w:rPr>
                <w:rFonts w:ascii="Times New Roman" w:hAnsi="Times New Roman"/>
              </w:rPr>
              <w:t xml:space="preserve">b) neskončením štúdia v </w:t>
            </w:r>
            <w:r w:rsidR="00B46100">
              <w:rPr>
                <w:rFonts w:ascii="Times New Roman" w:hAnsi="Times New Roman"/>
              </w:rPr>
              <w:t>dobe</w:t>
            </w:r>
            <w:r w:rsidRPr="00EC7FD0">
              <w:rPr>
                <w:rFonts w:ascii="Times New Roman" w:hAnsi="Times New Roman"/>
              </w:rPr>
              <w:t xml:space="preserve"> podľa § 86 ods. 2,</w:t>
            </w:r>
          </w:p>
          <w:p w:rsidR="000C42D6" w:rsidP="00C926B1">
            <w:pPr>
              <w:pStyle w:val="ListParagraph0"/>
              <w:spacing w:after="0" w:line="240" w:lineRule="auto"/>
              <w:ind w:left="0"/>
              <w:jc w:val="both"/>
              <w:rPr>
                <w:rFonts w:ascii="Times New Roman" w:hAnsi="Times New Roman"/>
              </w:rPr>
            </w:pPr>
            <w:r w:rsidRPr="00EC7FD0">
              <w:rPr>
                <w:rFonts w:ascii="Times New Roman" w:hAnsi="Times New Roman"/>
              </w:rPr>
              <w:t xml:space="preserve">c) vylúčením zo štúdia pre nesplnenie požiadaviek, </w:t>
            </w:r>
            <w:r w:rsidRPr="00B46100" w:rsidR="00B46100">
              <w:rPr>
                <w:rFonts w:ascii="Times New Roman" w:hAnsi="Times New Roman"/>
              </w:rPr>
              <w:t>ktoré vyplývajú zo študijného programu a zo študijného poriadku vysokej školy,</w:t>
            </w:r>
          </w:p>
          <w:p w:rsidR="00B46100" w:rsidRPr="00BD05D3" w:rsidP="00C926B1">
            <w:pPr>
              <w:pStyle w:val="ListParagraph0"/>
              <w:spacing w:after="0" w:line="240" w:lineRule="auto"/>
              <w:ind w:left="0"/>
              <w:jc w:val="both"/>
              <w:rPr>
                <w:rFonts w:ascii="Times New Roman" w:hAnsi="Times New Roman"/>
              </w:rPr>
            </w:pPr>
          </w:p>
          <w:p w:rsidR="000C42D6" w:rsidRPr="00BD05D3" w:rsidP="00534908">
            <w:pPr>
              <w:pStyle w:val="ListParagraph0"/>
              <w:spacing w:after="0" w:line="240" w:lineRule="auto"/>
              <w:ind w:left="284"/>
              <w:jc w:val="both"/>
              <w:rPr>
                <w:rFonts w:ascii="Times New Roman" w:hAnsi="Times New Roman"/>
              </w:rPr>
            </w:pPr>
          </w:p>
        </w:tc>
        <w:tc>
          <w:tcPr>
            <w:tcW w:w="709"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Pr="00BD05D3">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B7F2B">
            <w:pPr>
              <w:snapToGrid w:val="0"/>
              <w:jc w:val="both"/>
              <w:rPr>
                <w:sz w:val="22"/>
                <w:szCs w:val="22"/>
              </w:rPr>
            </w:pPr>
            <w:r w:rsidRPr="00BD05D3">
              <w:rPr>
                <w:sz w:val="22"/>
                <w:szCs w:val="22"/>
              </w:rPr>
              <w:t>C: 22</w:t>
            </w:r>
          </w:p>
          <w:p w:rsidR="000C42D6" w:rsidRPr="00BD05D3" w:rsidP="000B7F2B">
            <w:pPr>
              <w:snapToGrid w:val="0"/>
              <w:jc w:val="both"/>
              <w:rPr>
                <w:sz w:val="22"/>
                <w:szCs w:val="22"/>
              </w:rPr>
            </w:pPr>
            <w:r w:rsidRPr="00BD05D3">
              <w:rPr>
                <w:sz w:val="22"/>
                <w:szCs w:val="22"/>
              </w:rPr>
              <w:t>O: 1</w:t>
            </w:r>
          </w:p>
        </w:tc>
        <w:tc>
          <w:tcPr>
            <w:tcW w:w="4536" w:type="dxa"/>
            <w:tcBorders>
              <w:top w:val="single" w:sz="4" w:space="0" w:color="000000"/>
              <w:left w:val="single" w:sz="4" w:space="0" w:color="000000"/>
              <w:bottom w:val="single" w:sz="4" w:space="0" w:color="000000"/>
            </w:tcBorders>
          </w:tcPr>
          <w:p w:rsidR="000C42D6" w:rsidRPr="00BD05D3" w:rsidP="000B7F2B">
            <w:pPr>
              <w:jc w:val="both"/>
              <w:rPr>
                <w:sz w:val="22"/>
                <w:szCs w:val="22"/>
              </w:rPr>
            </w:pPr>
            <w:r w:rsidRPr="00BD05D3">
              <w:rPr>
                <w:sz w:val="22"/>
                <w:szCs w:val="22"/>
              </w:rPr>
              <w:t>Výskumní pracovníci majú právo na to, aby sa s nimi zaobchádzalo rovnako ako so štátnymi príslušníkmi dotknutého členského štátu v súlade s článkom 12 ods. 1 a 4 smernice 2011/98/EÚ.</w:t>
            </w:r>
          </w:p>
        </w:tc>
        <w:tc>
          <w:tcPr>
            <w:tcW w:w="425"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Pr="00BD05D3">
              <w:rPr>
                <w:sz w:val="22"/>
                <w:szCs w:val="22"/>
              </w:rPr>
              <w:t>N</w:t>
            </w:r>
          </w:p>
        </w:tc>
        <w:tc>
          <w:tcPr>
            <w:tcW w:w="709" w:type="dxa"/>
            <w:tcBorders>
              <w:top w:val="single" w:sz="4" w:space="0" w:color="000000"/>
              <w:left w:val="single" w:sz="4" w:space="0" w:color="000000"/>
              <w:bottom w:val="single" w:sz="4" w:space="0" w:color="000000"/>
            </w:tcBorders>
          </w:tcPr>
          <w:p w:rsidR="000C42D6" w:rsidP="00EC7FD0">
            <w:pPr>
              <w:snapToGrid w:val="0"/>
              <w:rPr>
                <w:sz w:val="22"/>
                <w:szCs w:val="22"/>
              </w:rPr>
            </w:pPr>
            <w:r w:rsidRPr="00BD05D3">
              <w:rPr>
                <w:sz w:val="22"/>
                <w:szCs w:val="22"/>
              </w:rPr>
              <w:t>Návrh zákona Čl. I</w:t>
            </w: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P="00EC7FD0">
            <w:pPr>
              <w:snapToGrid w:val="0"/>
              <w:rPr>
                <w:sz w:val="22"/>
                <w:szCs w:val="22"/>
              </w:rPr>
            </w:pPr>
          </w:p>
          <w:p w:rsidR="001008F3" w:rsidRPr="00BD05D3" w:rsidP="00EC7FD0">
            <w:pPr>
              <w:snapToGrid w:val="0"/>
              <w:rPr>
                <w:sz w:val="22"/>
                <w:szCs w:val="22"/>
              </w:rPr>
            </w:pPr>
            <w:r>
              <w:rPr>
                <w:sz w:val="22"/>
                <w:szCs w:val="22"/>
              </w:rPr>
              <w:t>Zákon č. 245/2008 Z. z.</w:t>
            </w:r>
          </w:p>
        </w:tc>
        <w:tc>
          <w:tcPr>
            <w:tcW w:w="709" w:type="dxa"/>
            <w:tcBorders>
              <w:top w:val="single" w:sz="4" w:space="0" w:color="000000"/>
              <w:left w:val="single" w:sz="4" w:space="0" w:color="000000"/>
              <w:bottom w:val="single" w:sz="4" w:space="0" w:color="000000"/>
            </w:tcBorders>
          </w:tcPr>
          <w:p w:rsidR="000C42D6" w:rsidP="000B7F2B">
            <w:pPr>
              <w:pStyle w:val="Normlny"/>
              <w:snapToGrid w:val="0"/>
              <w:jc w:val="both"/>
              <w:rPr>
                <w:sz w:val="22"/>
                <w:szCs w:val="22"/>
              </w:rPr>
            </w:pPr>
            <w:r w:rsidR="001008F3">
              <w:rPr>
                <w:sz w:val="22"/>
                <w:szCs w:val="22"/>
              </w:rPr>
              <w:t>§ 67</w:t>
            </w:r>
          </w:p>
          <w:p w:rsidR="001008F3" w:rsidP="000B7F2B">
            <w:pPr>
              <w:pStyle w:val="Normlny"/>
              <w:snapToGrid w:val="0"/>
              <w:jc w:val="both"/>
              <w:rPr>
                <w:sz w:val="22"/>
                <w:szCs w:val="22"/>
              </w:rPr>
            </w:pPr>
          </w:p>
          <w:p w:rsidR="001008F3" w:rsidP="000B7F2B">
            <w:pPr>
              <w:pStyle w:val="Normlny"/>
              <w:snapToGrid w:val="0"/>
              <w:jc w:val="both"/>
              <w:rPr>
                <w:sz w:val="22"/>
                <w:szCs w:val="22"/>
              </w:rPr>
            </w:pPr>
            <w:r>
              <w:rPr>
                <w:sz w:val="22"/>
                <w:szCs w:val="22"/>
              </w:rPr>
              <w:t>O: 1,2</w:t>
            </w: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p>
          <w:p w:rsidR="001008F3" w:rsidP="000B7F2B">
            <w:pPr>
              <w:pStyle w:val="Normlny"/>
              <w:snapToGrid w:val="0"/>
              <w:jc w:val="both"/>
              <w:rPr>
                <w:sz w:val="22"/>
                <w:szCs w:val="22"/>
              </w:rPr>
            </w:pPr>
            <w:r>
              <w:rPr>
                <w:sz w:val="22"/>
                <w:szCs w:val="22"/>
              </w:rPr>
              <w:t>§ 3</w:t>
            </w:r>
          </w:p>
          <w:p w:rsidR="001008F3" w:rsidRPr="00BD05D3" w:rsidP="000B7F2B">
            <w:pPr>
              <w:pStyle w:val="Normlny"/>
              <w:snapToGrid w:val="0"/>
              <w:jc w:val="both"/>
              <w:rPr>
                <w:sz w:val="22"/>
                <w:szCs w:val="22"/>
              </w:rPr>
            </w:pPr>
            <w:r>
              <w:rPr>
                <w:sz w:val="22"/>
                <w:szCs w:val="22"/>
              </w:rPr>
              <w:t>P: d)</w:t>
            </w:r>
          </w:p>
          <w:p w:rsidR="000C42D6" w:rsidRPr="00BD05D3" w:rsidP="000B7F2B">
            <w:pPr>
              <w:pStyle w:val="Normlny"/>
              <w:snapToGrid w:val="0"/>
              <w:jc w:val="both"/>
              <w:rPr>
                <w:sz w:val="22"/>
                <w:szCs w:val="22"/>
              </w:rPr>
            </w:pPr>
          </w:p>
        </w:tc>
        <w:tc>
          <w:tcPr>
            <w:tcW w:w="4819" w:type="dxa"/>
            <w:tcBorders>
              <w:top w:val="single" w:sz="4" w:space="0" w:color="000000"/>
              <w:left w:val="single" w:sz="4" w:space="0" w:color="000000"/>
              <w:bottom w:val="single" w:sz="4" w:space="0" w:color="000000"/>
            </w:tcBorders>
          </w:tcPr>
          <w:p w:rsidR="000C42D6" w:rsidRPr="00BD05D3" w:rsidP="000E025C">
            <w:pPr>
              <w:pStyle w:val="Normlny"/>
              <w:snapToGrid w:val="0"/>
              <w:jc w:val="both"/>
              <w:rPr>
                <w:sz w:val="22"/>
                <w:szCs w:val="22"/>
              </w:rPr>
            </w:pPr>
            <w:r w:rsidRPr="00BD05D3" w:rsidR="00EC7FD0">
              <w:rPr>
                <w:sz w:val="22"/>
                <w:szCs w:val="22"/>
              </w:rPr>
              <w:t xml:space="preserve"> </w:t>
            </w:r>
            <w:r w:rsidRPr="00BD05D3">
              <w:rPr>
                <w:sz w:val="22"/>
                <w:szCs w:val="22"/>
              </w:rPr>
              <w:t>(1)</w:t>
              <w:tab/>
              <w:t>Každý má právo študovať n</w:t>
            </w:r>
            <w:r w:rsidRPr="00BD05D3">
              <w:rPr>
                <w:sz w:val="22"/>
                <w:szCs w:val="22"/>
              </w:rPr>
              <w:t>a vysokej škole zvolený študijný program, ak splní podmienky prijatia na štúdium.</w:t>
            </w:r>
          </w:p>
          <w:p w:rsidR="000C42D6" w:rsidRPr="00BD05D3" w:rsidP="000E025C">
            <w:pPr>
              <w:pStyle w:val="Normlny"/>
              <w:snapToGrid w:val="0"/>
              <w:jc w:val="both"/>
              <w:rPr>
                <w:sz w:val="22"/>
                <w:szCs w:val="22"/>
              </w:rPr>
            </w:pPr>
          </w:p>
          <w:p w:rsidR="000C42D6" w:rsidRPr="00BD05D3" w:rsidP="00BD05D3">
            <w:pPr>
              <w:pStyle w:val="ListParagraph0"/>
              <w:spacing w:after="0" w:line="240" w:lineRule="auto"/>
              <w:ind w:left="0"/>
              <w:jc w:val="both"/>
              <w:rPr>
                <w:rFonts w:ascii="Times New Roman" w:hAnsi="Times New Roman"/>
              </w:rPr>
            </w:pPr>
            <w:r w:rsidRPr="00BD05D3">
              <w:rPr>
                <w:rFonts w:ascii="Times New Roman" w:hAnsi="Times New Roman"/>
              </w:rPr>
              <w:t>(2)Práva ustanovené týmto zákonom sa zaručujú rovnako všetkým uchádzačom a študentom v súlade so zásadou rovnakého zaobchádzania vo vzdelaní ustanovenou osobitným zákonom</w:t>
            </w:r>
            <w:r w:rsidR="00B46100">
              <w:rPr>
                <w:rFonts w:ascii="Times New Roman" w:hAnsi="Times New Roman"/>
                <w:vertAlign w:val="superscript"/>
              </w:rPr>
              <w:t>49</w:t>
            </w:r>
            <w:r w:rsidRPr="00BD05D3">
              <w:rPr>
                <w:rFonts w:ascii="Times New Roman" w:hAnsi="Times New Roman"/>
              </w:rPr>
              <w:t xml:space="preserve">) Diskriminácia sa zakazuje. </w:t>
            </w:r>
          </w:p>
          <w:p w:rsidR="000C42D6" w:rsidRPr="00BD05D3" w:rsidP="000E025C">
            <w:pPr>
              <w:pStyle w:val="Normlny"/>
              <w:snapToGrid w:val="0"/>
              <w:jc w:val="both"/>
              <w:rPr>
                <w:sz w:val="22"/>
                <w:szCs w:val="22"/>
              </w:rPr>
            </w:pPr>
          </w:p>
          <w:p w:rsidR="000C42D6" w:rsidRPr="00BD05D3" w:rsidP="000E025C">
            <w:pPr>
              <w:pStyle w:val="Normlny"/>
              <w:snapToGrid w:val="0"/>
              <w:jc w:val="both"/>
              <w:rPr>
                <w:sz w:val="22"/>
                <w:szCs w:val="22"/>
              </w:rPr>
            </w:pPr>
            <w:r w:rsidRPr="00BD05D3">
              <w:rPr>
                <w:sz w:val="22"/>
                <w:szCs w:val="22"/>
              </w:rPr>
              <w:t>Poznámka pod čiarou znie: Zákon č. 365/2004 Z. z. o rovnakom zaobchádzaní v niektorých oblastiach a o ochrane pred diskrimináciou a o zmene a doplnení niektorých zákonov (antidiskriminačný zákon) v znení neskorších predpisov.</w:t>
            </w:r>
          </w:p>
          <w:p w:rsidR="000C42D6" w:rsidRPr="00BD05D3" w:rsidP="000B7F2B">
            <w:pPr>
              <w:pStyle w:val="Normlny"/>
              <w:snapToGrid w:val="0"/>
              <w:jc w:val="both"/>
              <w:rPr>
                <w:sz w:val="22"/>
                <w:szCs w:val="22"/>
                <w:highlight w:val="yellow"/>
              </w:rPr>
            </w:pPr>
          </w:p>
          <w:p w:rsidR="000C42D6" w:rsidP="000B7F2B">
            <w:pPr>
              <w:pStyle w:val="Normlny"/>
              <w:snapToGrid w:val="0"/>
              <w:jc w:val="both"/>
              <w:rPr>
                <w:sz w:val="22"/>
                <w:szCs w:val="22"/>
              </w:rPr>
            </w:pPr>
          </w:p>
          <w:p w:rsidR="001008F3" w:rsidP="000B7F2B">
            <w:pPr>
              <w:pStyle w:val="Normlny"/>
              <w:snapToGrid w:val="0"/>
              <w:jc w:val="both"/>
              <w:rPr>
                <w:sz w:val="22"/>
                <w:szCs w:val="22"/>
              </w:rPr>
            </w:pPr>
          </w:p>
          <w:p w:rsidR="001008F3" w:rsidRPr="00BD05D3" w:rsidP="000B7F2B">
            <w:pPr>
              <w:pStyle w:val="Normlny"/>
              <w:snapToGrid w:val="0"/>
              <w:jc w:val="both"/>
              <w:rPr>
                <w:sz w:val="22"/>
                <w:szCs w:val="22"/>
              </w:rPr>
            </w:pPr>
            <w:r>
              <w:rPr>
                <w:sz w:val="22"/>
                <w:szCs w:val="22"/>
              </w:rPr>
              <w:t xml:space="preserve">d) </w:t>
            </w:r>
            <w:r w:rsidRPr="001008F3">
              <w:rPr>
                <w:sz w:val="22"/>
                <w:szCs w:val="22"/>
              </w:rPr>
              <w:t>rovnoprávnosti prístupu k výchove a vzdelávaniu so zohľadnením výchovno-vzdelávacích potrieb jednotlivca a jeho spoluzodpovednosti za svoje vzdelávanie,</w:t>
            </w:r>
            <w:r>
              <w:rPr>
                <w:sz w:val="22"/>
                <w:szCs w:val="22"/>
              </w:rPr>
              <w:t xml:space="preserve"> </w:t>
            </w:r>
          </w:p>
        </w:tc>
        <w:tc>
          <w:tcPr>
            <w:tcW w:w="709"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001008F3">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B7F2B">
            <w:pPr>
              <w:snapToGrid w:val="0"/>
              <w:jc w:val="both"/>
              <w:rPr>
                <w:sz w:val="22"/>
                <w:szCs w:val="22"/>
              </w:rPr>
            </w:pPr>
            <w:r w:rsidRPr="00BD05D3">
              <w:rPr>
                <w:sz w:val="22"/>
                <w:szCs w:val="22"/>
              </w:rPr>
              <w:t>C: 22</w:t>
            </w:r>
          </w:p>
          <w:p w:rsidR="000C42D6" w:rsidRPr="00BD05D3" w:rsidP="000B7F2B">
            <w:pPr>
              <w:snapToGrid w:val="0"/>
              <w:jc w:val="both"/>
              <w:rPr>
                <w:sz w:val="22"/>
                <w:szCs w:val="22"/>
              </w:rPr>
            </w:pPr>
            <w:r w:rsidRPr="00BD05D3">
              <w:rPr>
                <w:sz w:val="22"/>
                <w:szCs w:val="22"/>
              </w:rPr>
              <w:t>O: 3</w:t>
            </w:r>
          </w:p>
        </w:tc>
        <w:tc>
          <w:tcPr>
            <w:tcW w:w="4536" w:type="dxa"/>
            <w:tcBorders>
              <w:top w:val="single" w:sz="4" w:space="0" w:color="000000"/>
              <w:left w:val="single" w:sz="4" w:space="0" w:color="000000"/>
              <w:bottom w:val="single" w:sz="4" w:space="0" w:color="000000"/>
            </w:tcBorders>
          </w:tcPr>
          <w:p w:rsidR="000C42D6" w:rsidRPr="00BD05D3" w:rsidP="000B7F2B">
            <w:pPr>
              <w:jc w:val="both"/>
              <w:rPr>
                <w:sz w:val="22"/>
                <w:szCs w:val="22"/>
              </w:rPr>
            </w:pPr>
            <w:r w:rsidRPr="00BD05D3">
              <w:rPr>
                <w:sz w:val="22"/>
                <w:szCs w:val="22"/>
              </w:rPr>
              <w:t>Stážisti, dobrovoľníci a aupairi, ak sa</w:t>
            </w:r>
            <w:r w:rsidR="00B46100">
              <w:rPr>
                <w:sz w:val="22"/>
                <w:szCs w:val="22"/>
              </w:rPr>
              <w:t xml:space="preserve"> </w:t>
            </w:r>
            <w:r w:rsidRPr="00BD05D3">
              <w:rPr>
                <w:sz w:val="22"/>
                <w:szCs w:val="22"/>
              </w:rPr>
              <w:t>považujú za osoby, ktoré sú v pracovnoprávnom vzťahu v dotknutom členskom štáte, a</w:t>
            </w:r>
            <w:r w:rsidR="00DD055D">
              <w:rPr>
                <w:sz w:val="22"/>
                <w:szCs w:val="22"/>
              </w:rPr>
              <w:t> </w:t>
            </w:r>
            <w:r w:rsidRPr="00BD05D3">
              <w:rPr>
                <w:sz w:val="22"/>
                <w:szCs w:val="22"/>
              </w:rPr>
              <w:t>študenti</w:t>
            </w:r>
            <w:r w:rsidR="00DD055D">
              <w:rPr>
                <w:sz w:val="22"/>
                <w:szCs w:val="22"/>
              </w:rPr>
              <w:t>,</w:t>
            </w:r>
            <w:r w:rsidRPr="00BD05D3">
              <w:rPr>
                <w:sz w:val="22"/>
                <w:szCs w:val="22"/>
              </w:rPr>
              <w:t xml:space="preserve"> majú právo na to, aby sa s nimi zaobchádzalo rovnako ako so štátnymi príslušníkmi dotknutého členského štátu, ako sa stanovuje v článku 12 ods. 1 a 4 smernice 2011/98/EÚ, s výhradou obmedzení stanov</w:t>
            </w:r>
            <w:r w:rsidRPr="00BD05D3">
              <w:rPr>
                <w:sz w:val="22"/>
                <w:szCs w:val="22"/>
              </w:rPr>
              <w:t>ených v odseku 2 uvedeného článku.</w:t>
            </w:r>
          </w:p>
        </w:tc>
        <w:tc>
          <w:tcPr>
            <w:tcW w:w="425"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Pr="00BD05D3">
              <w:rPr>
                <w:sz w:val="22"/>
                <w:szCs w:val="22"/>
              </w:rPr>
              <w:t>N</w:t>
            </w:r>
          </w:p>
        </w:tc>
        <w:tc>
          <w:tcPr>
            <w:tcW w:w="709" w:type="dxa"/>
            <w:tcBorders>
              <w:top w:val="single" w:sz="4" w:space="0" w:color="000000"/>
              <w:left w:val="single" w:sz="4" w:space="0" w:color="000000"/>
              <w:bottom w:val="single" w:sz="4" w:space="0" w:color="000000"/>
            </w:tcBorders>
          </w:tcPr>
          <w:p w:rsidR="000C42D6" w:rsidP="000B7F2B">
            <w:pPr>
              <w:snapToGrid w:val="0"/>
              <w:jc w:val="center"/>
              <w:rPr>
                <w:sz w:val="22"/>
                <w:szCs w:val="22"/>
              </w:rPr>
            </w:pPr>
            <w:r w:rsidRPr="00BD05D3">
              <w:rPr>
                <w:sz w:val="22"/>
                <w:szCs w:val="22"/>
              </w:rPr>
              <w:t>Návrh zákona Čl. I</w:t>
            </w: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0B7F2B">
            <w:pPr>
              <w:snapToGrid w:val="0"/>
              <w:jc w:val="center"/>
              <w:rPr>
                <w:sz w:val="22"/>
                <w:szCs w:val="22"/>
              </w:rPr>
            </w:pPr>
          </w:p>
          <w:p w:rsidR="001008F3" w:rsidP="001008F3">
            <w:pPr>
              <w:snapToGrid w:val="0"/>
              <w:rPr>
                <w:sz w:val="22"/>
                <w:szCs w:val="22"/>
              </w:rPr>
            </w:pPr>
            <w:r>
              <w:rPr>
                <w:sz w:val="22"/>
                <w:szCs w:val="22"/>
              </w:rPr>
              <w:t>Zákon č. 311/2001 Z. z. Zákonník práce</w:t>
            </w:r>
          </w:p>
          <w:p w:rsidR="001008F3" w:rsidP="001008F3">
            <w:pPr>
              <w:snapToGrid w:val="0"/>
              <w:rPr>
                <w:sz w:val="22"/>
                <w:szCs w:val="22"/>
              </w:rPr>
            </w:pPr>
          </w:p>
          <w:p w:rsidR="001008F3" w:rsidRPr="00BD05D3" w:rsidP="001008F3">
            <w:pPr>
              <w:snapToGrid w:val="0"/>
              <w:rPr>
                <w:sz w:val="22"/>
                <w:szCs w:val="22"/>
              </w:rPr>
            </w:pPr>
          </w:p>
        </w:tc>
        <w:tc>
          <w:tcPr>
            <w:tcW w:w="709" w:type="dxa"/>
            <w:tcBorders>
              <w:top w:val="single" w:sz="4" w:space="0" w:color="000000"/>
              <w:left w:val="single" w:sz="4" w:space="0" w:color="000000"/>
              <w:bottom w:val="single" w:sz="4" w:space="0" w:color="000000"/>
            </w:tcBorders>
          </w:tcPr>
          <w:p w:rsidR="00DD055D" w:rsidP="000B7F2B">
            <w:pPr>
              <w:pStyle w:val="Normlny"/>
              <w:snapToGrid w:val="0"/>
              <w:jc w:val="both"/>
              <w:rPr>
                <w:sz w:val="22"/>
                <w:szCs w:val="22"/>
              </w:rPr>
            </w:pPr>
            <w:r>
              <w:rPr>
                <w:sz w:val="22"/>
                <w:szCs w:val="22"/>
              </w:rPr>
              <w:t>§ 66</w:t>
            </w:r>
          </w:p>
          <w:p w:rsidR="00DD055D" w:rsidP="000B7F2B">
            <w:pPr>
              <w:pStyle w:val="Normlny"/>
              <w:snapToGrid w:val="0"/>
              <w:jc w:val="both"/>
              <w:rPr>
                <w:sz w:val="22"/>
                <w:szCs w:val="22"/>
              </w:rPr>
            </w:pPr>
            <w:r>
              <w:rPr>
                <w:sz w:val="22"/>
                <w:szCs w:val="22"/>
              </w:rPr>
              <w:t>O: 1</w:t>
            </w:r>
          </w:p>
          <w:p w:rsidR="00DD055D" w:rsidP="000B7F2B">
            <w:pPr>
              <w:pStyle w:val="Normlny"/>
              <w:snapToGrid w:val="0"/>
              <w:jc w:val="both"/>
              <w:rPr>
                <w:sz w:val="22"/>
                <w:szCs w:val="22"/>
              </w:rPr>
            </w:pPr>
          </w:p>
          <w:p w:rsidR="00DD055D" w:rsidP="000B7F2B">
            <w:pPr>
              <w:pStyle w:val="Normlny"/>
              <w:snapToGrid w:val="0"/>
              <w:jc w:val="both"/>
              <w:rPr>
                <w:sz w:val="22"/>
                <w:szCs w:val="22"/>
              </w:rPr>
            </w:pPr>
          </w:p>
          <w:p w:rsidR="00DD055D" w:rsidP="000B7F2B">
            <w:pPr>
              <w:pStyle w:val="Normlny"/>
              <w:snapToGrid w:val="0"/>
              <w:jc w:val="both"/>
              <w:rPr>
                <w:sz w:val="22"/>
                <w:szCs w:val="22"/>
              </w:rPr>
            </w:pPr>
          </w:p>
          <w:p w:rsidR="00DD055D" w:rsidP="000B7F2B">
            <w:pPr>
              <w:pStyle w:val="Normlny"/>
              <w:snapToGrid w:val="0"/>
              <w:jc w:val="both"/>
              <w:rPr>
                <w:sz w:val="22"/>
                <w:szCs w:val="22"/>
              </w:rPr>
            </w:pPr>
          </w:p>
          <w:p w:rsidR="00DD055D" w:rsidP="000B7F2B">
            <w:pPr>
              <w:pStyle w:val="Normlny"/>
              <w:snapToGrid w:val="0"/>
              <w:jc w:val="both"/>
              <w:rPr>
                <w:sz w:val="22"/>
                <w:szCs w:val="22"/>
              </w:rPr>
            </w:pPr>
          </w:p>
          <w:p w:rsidR="00DD055D" w:rsidP="000B7F2B">
            <w:pPr>
              <w:pStyle w:val="Normlny"/>
              <w:snapToGrid w:val="0"/>
              <w:jc w:val="both"/>
              <w:rPr>
                <w:sz w:val="22"/>
                <w:szCs w:val="22"/>
              </w:rPr>
            </w:pPr>
          </w:p>
          <w:p w:rsidR="000C42D6" w:rsidRPr="00BD05D3" w:rsidP="000B7F2B">
            <w:pPr>
              <w:pStyle w:val="Normlny"/>
              <w:snapToGrid w:val="0"/>
              <w:jc w:val="both"/>
              <w:rPr>
                <w:sz w:val="22"/>
                <w:szCs w:val="22"/>
              </w:rPr>
            </w:pPr>
            <w:r w:rsidRPr="00BD05D3">
              <w:rPr>
                <w:sz w:val="22"/>
                <w:szCs w:val="22"/>
              </w:rPr>
              <w:t>§ 67</w:t>
            </w:r>
          </w:p>
          <w:p w:rsidR="000C42D6" w:rsidP="00BD05D3">
            <w:pPr>
              <w:pStyle w:val="Normlny"/>
              <w:snapToGrid w:val="0"/>
              <w:jc w:val="both"/>
              <w:rPr>
                <w:sz w:val="22"/>
                <w:szCs w:val="22"/>
              </w:rPr>
            </w:pPr>
            <w:r w:rsidRPr="00BD05D3">
              <w:rPr>
                <w:sz w:val="22"/>
                <w:szCs w:val="22"/>
              </w:rPr>
              <w:t>O:1, 2</w:t>
            </w: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P="00BD05D3">
            <w:pPr>
              <w:pStyle w:val="Normlny"/>
              <w:snapToGrid w:val="0"/>
              <w:jc w:val="both"/>
              <w:rPr>
                <w:sz w:val="22"/>
                <w:szCs w:val="22"/>
              </w:rPr>
            </w:pPr>
          </w:p>
          <w:p w:rsidR="001008F3" w:rsidRPr="00BD05D3" w:rsidP="00BD05D3">
            <w:pPr>
              <w:pStyle w:val="Normlny"/>
              <w:snapToGrid w:val="0"/>
              <w:jc w:val="both"/>
              <w:rPr>
                <w:sz w:val="22"/>
                <w:szCs w:val="22"/>
              </w:rPr>
            </w:pPr>
            <w:r>
              <w:rPr>
                <w:sz w:val="22"/>
                <w:szCs w:val="22"/>
              </w:rPr>
              <w:t>Čl. I</w:t>
            </w:r>
          </w:p>
          <w:p w:rsidR="000C42D6" w:rsidRPr="00BD05D3" w:rsidP="000B7F2B">
            <w:pPr>
              <w:pStyle w:val="Normlny"/>
              <w:snapToGrid w:val="0"/>
              <w:jc w:val="both"/>
              <w:rPr>
                <w:sz w:val="22"/>
                <w:szCs w:val="22"/>
              </w:rPr>
            </w:pPr>
          </w:p>
        </w:tc>
        <w:tc>
          <w:tcPr>
            <w:tcW w:w="4819" w:type="dxa"/>
            <w:tcBorders>
              <w:top w:val="single" w:sz="4" w:space="0" w:color="000000"/>
              <w:left w:val="single" w:sz="4" w:space="0" w:color="000000"/>
              <w:bottom w:val="single" w:sz="4" w:space="0" w:color="000000"/>
            </w:tcBorders>
          </w:tcPr>
          <w:p w:rsidR="00DD055D" w:rsidP="00BD05D3">
            <w:pPr>
              <w:pStyle w:val="Normlny"/>
              <w:snapToGrid w:val="0"/>
              <w:jc w:val="both"/>
              <w:rPr>
                <w:sz w:val="22"/>
                <w:szCs w:val="22"/>
              </w:rPr>
            </w:pPr>
            <w:r>
              <w:rPr>
                <w:sz w:val="22"/>
                <w:szCs w:val="22"/>
              </w:rPr>
              <w:t xml:space="preserve">(1) </w:t>
            </w:r>
            <w:r w:rsidRPr="00DD055D">
              <w:rPr>
                <w:sz w:val="22"/>
                <w:szCs w:val="22"/>
              </w:rPr>
              <w:t>Vysoká škola môže poskytovať vyššie odborné štúdium prostredníctvom krátkeho študijného programu.</w:t>
            </w:r>
            <w:r w:rsidRPr="00DD055D">
              <w:rPr>
                <w:sz w:val="22"/>
                <w:szCs w:val="22"/>
                <w:u w:val="single"/>
              </w:rPr>
              <w:t xml:space="preserve"> </w:t>
            </w:r>
            <w:r w:rsidRPr="00DD055D">
              <w:rPr>
                <w:sz w:val="22"/>
                <w:szCs w:val="22"/>
              </w:rPr>
              <w:t>Vyšším odborným štúdiom podľa prvej vety nemožno získať odbornú spôsobilosť na výkon odborných pracovných činností v zdravotníckom povolaní.</w:t>
            </w:r>
            <w:r w:rsidRPr="00DD055D">
              <w:rPr>
                <w:sz w:val="22"/>
                <w:szCs w:val="22"/>
                <w:vertAlign w:val="superscript"/>
              </w:rPr>
              <w:t>46</w:t>
            </w:r>
            <w:r w:rsidRPr="00DD055D">
              <w:rPr>
                <w:sz w:val="22"/>
                <w:szCs w:val="22"/>
              </w:rPr>
              <w:t>) </w:t>
            </w:r>
          </w:p>
          <w:p w:rsidR="00DD055D" w:rsidP="00BD05D3">
            <w:pPr>
              <w:pStyle w:val="Normlny"/>
              <w:snapToGrid w:val="0"/>
              <w:jc w:val="both"/>
              <w:rPr>
                <w:sz w:val="22"/>
                <w:szCs w:val="22"/>
              </w:rPr>
            </w:pPr>
          </w:p>
          <w:p w:rsidR="00DD055D" w:rsidP="00BD05D3">
            <w:pPr>
              <w:pStyle w:val="Normlny"/>
              <w:snapToGrid w:val="0"/>
              <w:jc w:val="both"/>
              <w:rPr>
                <w:sz w:val="22"/>
                <w:szCs w:val="22"/>
              </w:rPr>
            </w:pPr>
          </w:p>
          <w:p w:rsidR="00196DC1" w:rsidP="00BD05D3">
            <w:pPr>
              <w:pStyle w:val="Normlny"/>
              <w:snapToGrid w:val="0"/>
              <w:jc w:val="both"/>
              <w:rPr>
                <w:sz w:val="22"/>
                <w:szCs w:val="22"/>
              </w:rPr>
            </w:pPr>
          </w:p>
          <w:p w:rsidR="000C42D6" w:rsidRPr="00BD05D3" w:rsidP="00BD05D3">
            <w:pPr>
              <w:pStyle w:val="Normlny"/>
              <w:snapToGrid w:val="0"/>
              <w:jc w:val="both"/>
              <w:rPr>
                <w:sz w:val="22"/>
                <w:szCs w:val="22"/>
              </w:rPr>
            </w:pPr>
            <w:r w:rsidR="00EC7FD0">
              <w:rPr>
                <w:sz w:val="22"/>
                <w:szCs w:val="22"/>
              </w:rPr>
              <w:t xml:space="preserve">(1) </w:t>
            </w:r>
            <w:r w:rsidRPr="00BD05D3">
              <w:rPr>
                <w:sz w:val="22"/>
                <w:szCs w:val="22"/>
              </w:rPr>
              <w:t>Každý má právo študovať na vysokej škole zvolený študijný program, ak splní podmienky pri</w:t>
            </w:r>
            <w:r w:rsidRPr="00BD05D3">
              <w:rPr>
                <w:sz w:val="22"/>
                <w:szCs w:val="22"/>
              </w:rPr>
              <w:t>jatia na štúdium.</w:t>
            </w:r>
          </w:p>
          <w:p w:rsidR="000C42D6" w:rsidRPr="00BD05D3" w:rsidP="00BD05D3">
            <w:pPr>
              <w:pStyle w:val="Normlny"/>
              <w:snapToGrid w:val="0"/>
              <w:jc w:val="both"/>
              <w:rPr>
                <w:sz w:val="22"/>
                <w:szCs w:val="22"/>
              </w:rPr>
            </w:pPr>
          </w:p>
          <w:p w:rsidR="000C42D6" w:rsidRPr="00BD05D3" w:rsidP="00EC7FD0">
            <w:pPr>
              <w:pStyle w:val="ListParagraph0"/>
              <w:spacing w:after="0" w:line="240" w:lineRule="auto"/>
              <w:ind w:left="0"/>
              <w:jc w:val="both"/>
              <w:rPr>
                <w:rFonts w:ascii="Times New Roman" w:hAnsi="Times New Roman"/>
              </w:rPr>
            </w:pPr>
            <w:r w:rsidR="00EC7FD0">
              <w:rPr>
                <w:rFonts w:ascii="Times New Roman" w:hAnsi="Times New Roman"/>
              </w:rPr>
              <w:t xml:space="preserve">(2) </w:t>
            </w:r>
            <w:r w:rsidRPr="00BD05D3">
              <w:rPr>
                <w:rFonts w:ascii="Times New Roman" w:hAnsi="Times New Roman"/>
              </w:rPr>
              <w:t>Práva ustanovené týmto zákonom sa zaručujú rovnako všetkým uchádzačom a študentom v súlade so zásadou rovnakého zaobchádzania vo vzdelaní ustanovenou osobitným zákonom</w:t>
            </w:r>
            <w:r w:rsidR="00B46100">
              <w:rPr>
                <w:rFonts w:ascii="Times New Roman" w:hAnsi="Times New Roman"/>
                <w:vertAlign w:val="superscript"/>
              </w:rPr>
              <w:t>49</w:t>
            </w:r>
            <w:r w:rsidRPr="00BD05D3">
              <w:rPr>
                <w:rFonts w:ascii="Times New Roman" w:hAnsi="Times New Roman"/>
              </w:rPr>
              <w:t xml:space="preserve">) Diskriminácia sa zakazuje. </w:t>
            </w:r>
          </w:p>
          <w:p w:rsidR="000C42D6" w:rsidRPr="00BD05D3" w:rsidP="00BD05D3">
            <w:pPr>
              <w:pStyle w:val="Normlny"/>
              <w:snapToGrid w:val="0"/>
              <w:jc w:val="both"/>
              <w:rPr>
                <w:sz w:val="22"/>
                <w:szCs w:val="22"/>
              </w:rPr>
            </w:pPr>
          </w:p>
          <w:p w:rsidR="000C42D6" w:rsidRPr="00BD05D3" w:rsidP="00BD05D3">
            <w:pPr>
              <w:pStyle w:val="Normlny"/>
              <w:snapToGrid w:val="0"/>
              <w:jc w:val="both"/>
              <w:rPr>
                <w:sz w:val="22"/>
                <w:szCs w:val="22"/>
              </w:rPr>
            </w:pPr>
            <w:r w:rsidRPr="00BD05D3">
              <w:rPr>
                <w:sz w:val="22"/>
                <w:szCs w:val="22"/>
              </w:rPr>
              <w:t>Poznámka pod čiarou znie: Zákon č. 365/2004 Z. z. o rovnakom zaobchádzaní v niektorých oblastiach a o ochrane pred diskrimináciou a o zmene a doplnení niektorých zákonov (antidiskriminačný zákon) v znení neskorších predpisov.</w:t>
            </w:r>
          </w:p>
          <w:p w:rsidR="000C42D6" w:rsidP="000B7F2B">
            <w:pPr>
              <w:pStyle w:val="Normlny"/>
              <w:snapToGrid w:val="0"/>
              <w:jc w:val="both"/>
              <w:rPr>
                <w:sz w:val="22"/>
                <w:szCs w:val="22"/>
              </w:rPr>
            </w:pPr>
          </w:p>
          <w:p w:rsidR="001008F3" w:rsidRPr="00BD05D3" w:rsidP="000B7F2B">
            <w:pPr>
              <w:pStyle w:val="Normlny"/>
              <w:snapToGrid w:val="0"/>
              <w:jc w:val="both"/>
              <w:rPr>
                <w:sz w:val="22"/>
                <w:szCs w:val="22"/>
              </w:rPr>
            </w:pPr>
            <w:r w:rsidRPr="001008F3">
              <w:rPr>
                <w:sz w:val="22"/>
                <w:szCs w:val="22"/>
              </w:rPr>
              <w:t>Fyzické osoby majú právo na prácu a na slobodnú voľbu zamestna</w:t>
            </w:r>
            <w:r w:rsidRPr="001008F3">
              <w:rPr>
                <w:sz w:val="22"/>
                <w:szCs w:val="22"/>
              </w:rPr>
              <w:t>nia, na spravodlivé, uspokojivé, transparentné a predvídateľné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w:t>
            </w:r>
            <w:r w:rsidRPr="001008F3">
              <w:rPr>
                <w:sz w:val="22"/>
                <w:szCs w:val="22"/>
              </w:rPr>
              <w: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w:t>
            </w:r>
            <w:r w:rsidRPr="001008F3">
              <w:rPr>
                <w:sz w:val="22"/>
                <w:szCs w:val="22"/>
              </w:rPr>
              <w:t>ento dôvod tvorí skutočnú a rozhodujúcu požiadavku na zamestnanie pod podmienkou, že cieľ je legitímny a požiadavka primeraná.</w:t>
            </w:r>
            <w:r>
              <w:rPr>
                <w:sz w:val="22"/>
                <w:szCs w:val="22"/>
              </w:rPr>
              <w:t xml:space="preserve"> </w:t>
            </w:r>
          </w:p>
        </w:tc>
        <w:tc>
          <w:tcPr>
            <w:tcW w:w="709"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00925DDD">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r w:rsidR="0040646D">
              <w:rPr>
                <w:b w:val="0"/>
                <w:bCs w:val="0"/>
                <w:sz w:val="22"/>
                <w:szCs w:val="22"/>
              </w:rPr>
              <w:t>GP-N</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r>
      <w:tr w:rsidTr="000A5F3A">
        <w:tblPrEx>
          <w:tblW w:w="15217" w:type="dxa"/>
          <w:tblInd w:w="-572" w:type="dxa"/>
          <w:tblLayout w:type="fixed"/>
          <w:tblCellMar>
            <w:left w:w="43" w:type="dxa"/>
            <w:right w:w="43" w:type="dxa"/>
          </w:tblCellMar>
          <w:tblLook w:val="0000"/>
        </w:tblPrEx>
        <w:tc>
          <w:tcPr>
            <w:tcW w:w="757" w:type="dxa"/>
            <w:tcBorders>
              <w:top w:val="single" w:sz="4" w:space="0" w:color="000000"/>
              <w:left w:val="single" w:sz="4" w:space="0" w:color="000000"/>
              <w:bottom w:val="single" w:sz="4" w:space="0" w:color="000000"/>
            </w:tcBorders>
          </w:tcPr>
          <w:p w:rsidR="000C42D6" w:rsidRPr="00BD05D3" w:rsidP="000B7F2B">
            <w:pPr>
              <w:snapToGrid w:val="0"/>
              <w:jc w:val="both"/>
              <w:rPr>
                <w:sz w:val="22"/>
                <w:szCs w:val="22"/>
              </w:rPr>
            </w:pPr>
            <w:r w:rsidRPr="00BD05D3">
              <w:rPr>
                <w:sz w:val="22"/>
                <w:szCs w:val="22"/>
              </w:rPr>
              <w:t xml:space="preserve">C: 35 </w:t>
            </w:r>
          </w:p>
        </w:tc>
        <w:tc>
          <w:tcPr>
            <w:tcW w:w="4536" w:type="dxa"/>
            <w:tcBorders>
              <w:top w:val="single" w:sz="4" w:space="0" w:color="000000"/>
              <w:left w:val="single" w:sz="4" w:space="0" w:color="000000"/>
              <w:bottom w:val="single" w:sz="4" w:space="0" w:color="000000"/>
            </w:tcBorders>
          </w:tcPr>
          <w:p w:rsidR="000C42D6" w:rsidRPr="00BD05D3" w:rsidP="000B7F2B">
            <w:pPr>
              <w:jc w:val="both"/>
              <w:rPr>
                <w:sz w:val="22"/>
                <w:szCs w:val="22"/>
              </w:rPr>
            </w:pPr>
            <w:r w:rsidRPr="00BD05D3">
              <w:rPr>
                <w:sz w:val="22"/>
                <w:szCs w:val="22"/>
              </w:rPr>
              <w:t>Členské štáty zabezpečia, aby pre žiadateľov boli ľahko dostupné informácie o všetkých listinných dôkazoch potrebných k žiadosti a informácie o podmienkach vstupu a pobytu vrátane práv, povinností a procesných záruk štátnych príslušníkov tretích krajín, ktorí spadajú do rozsahu pôsobnosti tejto smernice, a prípadne ich rodinných príslušníkov. To zahŕňa – tam, kde j</w:t>
            </w:r>
            <w:r w:rsidRPr="00BD05D3">
              <w:rPr>
                <w:sz w:val="22"/>
                <w:szCs w:val="22"/>
              </w:rPr>
              <w:t xml:space="preserve">e to vhodné – úroveň mesačných dostatočných zdrojov vrátane dostatočných zdrojov potrebných na pokrytie študijných nákladov alebo nákladov na odbornú prípravu bez toho, aby bola dotknutá možnosť individuálne preskúmať každý prípad, a príslušných poplatkov. </w:t>
            </w:r>
          </w:p>
          <w:p w:rsidR="000C42D6" w:rsidRPr="00BD05D3" w:rsidP="000B7F2B">
            <w:pPr>
              <w:jc w:val="both"/>
              <w:rPr>
                <w:sz w:val="22"/>
                <w:szCs w:val="22"/>
              </w:rPr>
            </w:pPr>
            <w:r w:rsidRPr="00BD05D3">
              <w:rPr>
                <w:sz w:val="22"/>
                <w:szCs w:val="22"/>
              </w:rPr>
              <w:t>Príslušné orgány v každom členskom štáte uverejnia zoznam hostiteľských subjektov schválených na účely tejto smernice. Po akýchkoľvek zmenách takýchto zoznamov sa aktualizované verzie uverejnia čo najskôr.</w:t>
            </w:r>
          </w:p>
        </w:tc>
        <w:tc>
          <w:tcPr>
            <w:tcW w:w="425"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Pr="00BD05D3">
              <w:rPr>
                <w:sz w:val="22"/>
                <w:szCs w:val="22"/>
              </w:rPr>
              <w:t>N</w:t>
            </w:r>
          </w:p>
        </w:tc>
        <w:tc>
          <w:tcPr>
            <w:tcW w:w="709" w:type="dxa"/>
            <w:tcBorders>
              <w:top w:val="single" w:sz="4" w:space="0" w:color="000000"/>
              <w:left w:val="single" w:sz="4" w:space="0" w:color="000000"/>
              <w:bottom w:val="single" w:sz="4" w:space="0" w:color="000000"/>
            </w:tcBorders>
          </w:tcPr>
          <w:p w:rsidR="000C42D6" w:rsidRPr="00BD05D3" w:rsidP="000B7F2B">
            <w:pPr>
              <w:snapToGrid w:val="0"/>
              <w:rPr>
                <w:sz w:val="22"/>
                <w:szCs w:val="22"/>
              </w:rPr>
            </w:pPr>
          </w:p>
          <w:p w:rsidR="000C42D6" w:rsidP="000B7F2B">
            <w:pPr>
              <w:snapToGrid w:val="0"/>
              <w:jc w:val="center"/>
              <w:rPr>
                <w:sz w:val="22"/>
                <w:szCs w:val="22"/>
              </w:rPr>
            </w:pPr>
            <w:r w:rsidRPr="00BD05D3">
              <w:rPr>
                <w:sz w:val="22"/>
                <w:szCs w:val="22"/>
              </w:rPr>
              <w:t>Návrh zákona Čl. I</w:t>
            </w: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r>
              <w:rPr>
                <w:sz w:val="22"/>
                <w:szCs w:val="22"/>
              </w:rPr>
              <w:t>Zákon č. .../2025 Z. z.</w:t>
            </w: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r>
              <w:rPr>
                <w:sz w:val="22"/>
                <w:szCs w:val="22"/>
              </w:rPr>
              <w:t>Zákon č. 172/2005</w:t>
            </w: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P="000B7F2B">
            <w:pPr>
              <w:snapToGrid w:val="0"/>
              <w:jc w:val="center"/>
              <w:rPr>
                <w:sz w:val="22"/>
                <w:szCs w:val="22"/>
              </w:rPr>
            </w:pPr>
          </w:p>
          <w:p w:rsidR="00925DDD" w:rsidRPr="00BD05D3" w:rsidP="000B7F2B">
            <w:pPr>
              <w:snapToGrid w:val="0"/>
              <w:jc w:val="center"/>
              <w:rPr>
                <w:sz w:val="22"/>
                <w:szCs w:val="22"/>
              </w:rPr>
            </w:pPr>
            <w:r>
              <w:rPr>
                <w:sz w:val="22"/>
                <w:szCs w:val="22"/>
              </w:rPr>
              <w:t>Zákon č. 404/2011 Z. z.</w:t>
            </w: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p w:rsidR="000C42D6" w:rsidRPr="00BD05D3" w:rsidP="000B7F2B">
            <w:pPr>
              <w:snapToGrid w:val="0"/>
              <w:jc w:val="center"/>
              <w:rPr>
                <w:sz w:val="22"/>
                <w:szCs w:val="22"/>
              </w:rPr>
            </w:pPr>
          </w:p>
        </w:tc>
        <w:tc>
          <w:tcPr>
            <w:tcW w:w="709" w:type="dxa"/>
            <w:tcBorders>
              <w:top w:val="single" w:sz="4" w:space="0" w:color="000000"/>
              <w:left w:val="single" w:sz="4" w:space="0" w:color="000000"/>
              <w:bottom w:val="single" w:sz="4" w:space="0" w:color="000000"/>
            </w:tcBorders>
          </w:tcPr>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r w:rsidRPr="00BD05D3">
              <w:rPr>
                <w:sz w:val="22"/>
                <w:szCs w:val="22"/>
              </w:rPr>
              <w:t>§ 1</w:t>
            </w:r>
            <w:r w:rsidR="00196DC1">
              <w:rPr>
                <w:sz w:val="22"/>
                <w:szCs w:val="22"/>
              </w:rPr>
              <w:t>30</w:t>
            </w:r>
          </w:p>
          <w:p w:rsidR="000C42D6" w:rsidRPr="00BD05D3" w:rsidP="000B7F2B">
            <w:pPr>
              <w:pStyle w:val="Normlny"/>
              <w:snapToGrid w:val="0"/>
              <w:jc w:val="both"/>
              <w:rPr>
                <w:sz w:val="22"/>
                <w:szCs w:val="22"/>
              </w:rPr>
            </w:pPr>
            <w:r w:rsidRPr="00BD05D3">
              <w:rPr>
                <w:sz w:val="22"/>
                <w:szCs w:val="22"/>
              </w:rPr>
              <w:t>O: 1</w:t>
            </w:r>
            <w:r w:rsidR="00196DC1">
              <w:rPr>
                <w:sz w:val="22"/>
                <w:szCs w:val="22"/>
              </w:rPr>
              <w:t xml:space="preserve"> až 3</w:t>
            </w: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RPr="00BD05D3" w:rsidP="000B7F2B">
            <w:pPr>
              <w:pStyle w:val="Normlny"/>
              <w:snapToGrid w:val="0"/>
              <w:jc w:val="both"/>
              <w:rPr>
                <w:sz w:val="22"/>
                <w:szCs w:val="22"/>
              </w:rPr>
            </w:pPr>
          </w:p>
          <w:p w:rsidR="000C42D6"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r w:rsidR="00714CCB">
              <w:rPr>
                <w:sz w:val="22"/>
                <w:szCs w:val="22"/>
              </w:rPr>
              <w:t>§ 59</w:t>
            </w:r>
          </w:p>
          <w:p w:rsidR="00714CCB" w:rsidP="000B7F2B">
            <w:pPr>
              <w:pStyle w:val="Normlny"/>
              <w:snapToGrid w:val="0"/>
              <w:jc w:val="both"/>
              <w:rPr>
                <w:sz w:val="22"/>
                <w:szCs w:val="22"/>
              </w:rPr>
            </w:pPr>
            <w:r>
              <w:rPr>
                <w:sz w:val="22"/>
                <w:szCs w:val="22"/>
              </w:rPr>
              <w:t>O: 1</w:t>
            </w: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r>
              <w:rPr>
                <w:sz w:val="22"/>
                <w:szCs w:val="22"/>
              </w:rPr>
              <w:t xml:space="preserve">§ 26b </w:t>
            </w:r>
          </w:p>
          <w:p w:rsidR="00925DDD" w:rsidP="000B7F2B">
            <w:pPr>
              <w:pStyle w:val="Normlny"/>
              <w:snapToGrid w:val="0"/>
              <w:jc w:val="both"/>
              <w:rPr>
                <w:sz w:val="22"/>
                <w:szCs w:val="22"/>
              </w:rPr>
            </w:pPr>
            <w:r>
              <w:rPr>
                <w:sz w:val="22"/>
                <w:szCs w:val="22"/>
              </w:rPr>
              <w:t>O: 11</w:t>
            </w: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r>
              <w:rPr>
                <w:sz w:val="22"/>
                <w:szCs w:val="22"/>
              </w:rPr>
              <w:t xml:space="preserve">§ 126 </w:t>
            </w:r>
          </w:p>
          <w:p w:rsidR="00925DDD" w:rsidRPr="00BD05D3" w:rsidP="000B7F2B">
            <w:pPr>
              <w:pStyle w:val="Normlny"/>
              <w:snapToGrid w:val="0"/>
              <w:jc w:val="both"/>
              <w:rPr>
                <w:sz w:val="22"/>
                <w:szCs w:val="22"/>
              </w:rPr>
            </w:pPr>
            <w:r>
              <w:rPr>
                <w:sz w:val="22"/>
                <w:szCs w:val="22"/>
              </w:rPr>
              <w:t>O:8</w:t>
            </w:r>
          </w:p>
        </w:tc>
        <w:tc>
          <w:tcPr>
            <w:tcW w:w="4819" w:type="dxa"/>
            <w:tcBorders>
              <w:top w:val="single" w:sz="4" w:space="0" w:color="000000"/>
              <w:left w:val="single" w:sz="4" w:space="0" w:color="000000"/>
              <w:bottom w:val="single" w:sz="4" w:space="0" w:color="000000"/>
            </w:tcBorders>
          </w:tcPr>
          <w:p w:rsidR="000C42D6" w:rsidRPr="00BD05D3" w:rsidP="000B7F2B">
            <w:pPr>
              <w:pStyle w:val="Normlny"/>
              <w:snapToGrid w:val="0"/>
              <w:jc w:val="both"/>
              <w:rPr>
                <w:sz w:val="22"/>
                <w:szCs w:val="22"/>
              </w:rPr>
            </w:pPr>
          </w:p>
          <w:p w:rsidR="000C42D6" w:rsidRPr="00BD05D3" w:rsidP="00A752A6">
            <w:pPr>
              <w:numPr>
                <w:ilvl w:val="0"/>
                <w:numId w:val="4"/>
              </w:numPr>
              <w:suppressAutoHyphens w:val="0"/>
              <w:autoSpaceDE/>
              <w:ind w:left="284" w:hanging="284"/>
              <w:jc w:val="both"/>
              <w:rPr>
                <w:rFonts w:eastAsia="Calibri"/>
                <w:sz w:val="22"/>
                <w:szCs w:val="22"/>
              </w:rPr>
            </w:pPr>
            <w:r w:rsidRPr="00BD05D3">
              <w:rPr>
                <w:rFonts w:eastAsia="Calibri"/>
                <w:sz w:val="22"/>
                <w:szCs w:val="22"/>
              </w:rPr>
              <w:t xml:space="preserve">Register vysokých škôl je </w:t>
            </w:r>
            <w:r w:rsidRPr="00BD05D3">
              <w:rPr>
                <w:sz w:val="22"/>
                <w:szCs w:val="22"/>
              </w:rPr>
              <w:t xml:space="preserve">informačný systém verejnej správy, ktorý obsahuje zoznam </w:t>
            </w:r>
            <w:r w:rsidRPr="00BD05D3">
              <w:rPr>
                <w:rFonts w:eastAsia="Calibri"/>
                <w:sz w:val="22"/>
                <w:szCs w:val="22"/>
              </w:rPr>
              <w:t xml:space="preserve"> vysokých škôl pôsobiacich na území Slovenskej republiky a slúži najmä na rozpočtové účely, štatistické účely, kontrolné účely a na potreby činnosti agentúry.</w:t>
            </w:r>
          </w:p>
          <w:p w:rsidR="000C42D6" w:rsidRPr="00BD05D3" w:rsidP="00BD05D3">
            <w:pPr>
              <w:ind w:left="284" w:hanging="284"/>
              <w:jc w:val="both"/>
              <w:rPr>
                <w:rFonts w:eastAsia="Calibri"/>
                <w:sz w:val="22"/>
                <w:szCs w:val="22"/>
              </w:rPr>
            </w:pPr>
          </w:p>
          <w:p w:rsidR="000C42D6" w:rsidRPr="00BD05D3" w:rsidP="00A752A6">
            <w:pPr>
              <w:numPr>
                <w:ilvl w:val="0"/>
                <w:numId w:val="4"/>
              </w:numPr>
              <w:suppressAutoHyphens w:val="0"/>
              <w:autoSpaceDE/>
              <w:ind w:left="284" w:hanging="284"/>
              <w:jc w:val="both"/>
              <w:rPr>
                <w:rFonts w:eastAsia="Calibri"/>
                <w:sz w:val="22"/>
                <w:szCs w:val="22"/>
              </w:rPr>
            </w:pPr>
            <w:r w:rsidRPr="00BD05D3">
              <w:rPr>
                <w:rFonts w:eastAsia="Calibri"/>
                <w:sz w:val="22"/>
                <w:szCs w:val="22"/>
              </w:rPr>
              <w:t>Register vysokých škôl je verejným zdrojom platných údajov o</w:t>
            </w:r>
          </w:p>
          <w:p w:rsidR="000C42D6" w:rsidRPr="00BD05D3"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vysokej šk</w:t>
            </w:r>
            <w:r w:rsidRPr="00BD05D3">
              <w:rPr>
                <w:rFonts w:eastAsia="Calibri"/>
                <w:sz w:val="22"/>
                <w:szCs w:val="22"/>
              </w:rPr>
              <w:t>ole a jej súčastiach,</w:t>
            </w:r>
          </w:p>
          <w:p w:rsidR="000C42D6" w:rsidRPr="00BD05D3"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samosprávnych orgánoch vysokej školy a jej súčastí,</w:t>
            </w:r>
          </w:p>
          <w:p w:rsidR="000C42D6" w:rsidRPr="00BD05D3"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členoch správnej rady verejnej vysokej školy,</w:t>
            </w:r>
          </w:p>
          <w:p w:rsidR="000C42D6" w:rsidRPr="00BD05D3"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rektoroch a prorektoroch vysokých škôl,</w:t>
            </w:r>
          </w:p>
          <w:p w:rsidR="000C42D6" w:rsidRPr="00BD05D3"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osobách poverených výkonom funkcie rektora,</w:t>
            </w:r>
          </w:p>
          <w:p w:rsidR="000C42D6" w:rsidRPr="00BD05D3"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dekanoch fakúlt a iných vedúcich zamestnancoch vysokej školy a jej súčastí a</w:t>
            </w:r>
          </w:p>
          <w:p w:rsidR="000C42D6" w:rsidP="00A752A6">
            <w:pPr>
              <w:numPr>
                <w:ilvl w:val="0"/>
                <w:numId w:val="5"/>
              </w:numPr>
              <w:suppressAutoHyphens w:val="0"/>
              <w:autoSpaceDE/>
              <w:ind w:left="284" w:firstLine="0"/>
              <w:jc w:val="both"/>
              <w:rPr>
                <w:rFonts w:eastAsia="Calibri"/>
                <w:sz w:val="22"/>
                <w:szCs w:val="22"/>
              </w:rPr>
            </w:pPr>
            <w:r w:rsidRPr="00BD05D3">
              <w:rPr>
                <w:rFonts w:eastAsia="Calibri"/>
                <w:sz w:val="22"/>
                <w:szCs w:val="22"/>
              </w:rPr>
              <w:t>štatutárnom orgáne súkromnej vysokej školy.</w:t>
            </w:r>
          </w:p>
          <w:p w:rsidR="00196DC1" w:rsidP="00196DC1">
            <w:pPr>
              <w:pStyle w:val="paragraph"/>
              <w:spacing w:before="0" w:beforeAutospacing="0" w:after="0" w:afterAutospacing="0"/>
              <w:jc w:val="both"/>
              <w:textAlignment w:val="baseline"/>
              <w:rPr>
                <w:rFonts w:eastAsia="Calibri"/>
                <w:sz w:val="22"/>
                <w:szCs w:val="22"/>
                <w:lang w:eastAsia="ar-SA"/>
              </w:rPr>
            </w:pPr>
          </w:p>
          <w:p w:rsidR="00196DC1" w:rsidRPr="00196DC1" w:rsidP="00196DC1">
            <w:pPr>
              <w:pStyle w:val="paragraph"/>
              <w:spacing w:before="0" w:beforeAutospacing="0" w:after="0" w:afterAutospacing="0"/>
              <w:jc w:val="both"/>
              <w:textAlignment w:val="baseline"/>
              <w:rPr>
                <w:sz w:val="22"/>
                <w:szCs w:val="22"/>
                <w:lang w:eastAsia="ar-SA"/>
              </w:rPr>
            </w:pPr>
            <w:r w:rsidRPr="00196DC1">
              <w:rPr>
                <w:sz w:val="22"/>
                <w:szCs w:val="22"/>
                <w:lang w:eastAsia="ar-SA"/>
              </w:rPr>
              <w:t>(3) Údaje z registra vysokých škôl sa zverejňujú spôsobom umožňujúcim hromadný prístup. Dátum narodenia a adresa trvalého pobytu fyzickej osoby sú sprístupnené len povereným zamestnancom</w:t>
            </w:r>
            <w:r w:rsidRPr="00196DC1">
              <w:rPr>
                <w:sz w:val="22"/>
                <w:szCs w:val="22"/>
                <w:lang w:eastAsia="ar-SA"/>
              </w:rPr>
              <w:t xml:space="preserve"> ministerstva školstva, a ak ide o štátnu vysokú školu, aj povereným zamestnancom príslušného ministerstva. </w:t>
            </w:r>
          </w:p>
          <w:p w:rsidR="00196DC1" w:rsidP="00196DC1">
            <w:pPr>
              <w:pStyle w:val="paragraph"/>
              <w:spacing w:before="0" w:beforeAutospacing="0" w:after="0" w:afterAutospacing="0"/>
              <w:ind w:left="270" w:hanging="270"/>
              <w:jc w:val="both"/>
              <w:textAlignment w:val="baseline"/>
            </w:pPr>
            <w:r>
              <w:rPr>
                <w:rStyle w:val="eop"/>
              </w:rPr>
              <w:t> </w:t>
            </w:r>
          </w:p>
          <w:p w:rsidR="00196DC1" w:rsidRPr="00BD05D3" w:rsidP="00196DC1">
            <w:pPr>
              <w:suppressAutoHyphens w:val="0"/>
              <w:autoSpaceDE/>
              <w:jc w:val="both"/>
              <w:rPr>
                <w:rFonts w:eastAsia="Calibri"/>
                <w:sz w:val="22"/>
                <w:szCs w:val="22"/>
              </w:rPr>
            </w:pPr>
          </w:p>
          <w:p w:rsidR="000C42D6"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714CCB" w:rsidP="00714CCB">
            <w:pPr>
              <w:pStyle w:val="Normlny"/>
              <w:snapToGrid w:val="0"/>
              <w:jc w:val="both"/>
              <w:rPr>
                <w:sz w:val="22"/>
                <w:szCs w:val="22"/>
              </w:rPr>
            </w:pPr>
            <w:r>
              <w:rPr>
                <w:sz w:val="22"/>
                <w:szCs w:val="22"/>
              </w:rPr>
              <w:t xml:space="preserve">(1) </w:t>
            </w:r>
            <w:r w:rsidRPr="00714CCB">
              <w:rPr>
                <w:sz w:val="22"/>
                <w:szCs w:val="22"/>
              </w:rPr>
              <w:t>Register je informačným systémom verejnej správy. Jeho správcom a</w:t>
            </w:r>
            <w:r>
              <w:rPr>
                <w:sz w:val="22"/>
                <w:szCs w:val="22"/>
              </w:rPr>
              <w:t> </w:t>
            </w:r>
            <w:r w:rsidRPr="00714CCB">
              <w:rPr>
                <w:sz w:val="22"/>
                <w:szCs w:val="22"/>
              </w:rPr>
              <w:t>prevádzkovateľom</w:t>
            </w:r>
            <w:r>
              <w:rPr>
                <w:sz w:val="22"/>
                <w:szCs w:val="22"/>
                <w:vertAlign w:val="superscript"/>
              </w:rPr>
              <w:t>25</w:t>
            </w:r>
            <w:r w:rsidRPr="00714CCB">
              <w:rPr>
                <w:sz w:val="22"/>
                <w:szCs w:val="22"/>
              </w:rPr>
              <w:t>) je ministerstvo školstva. Register je zdrojovým registrom registra právnických osôb, podnikateľov a orgánov verejnej moci.</w:t>
            </w:r>
          </w:p>
          <w:p w:rsidR="00714CCB" w:rsidP="00714CCB">
            <w:pPr>
              <w:pStyle w:val="Normlny"/>
              <w:snapToGrid w:val="0"/>
              <w:jc w:val="both"/>
              <w:rPr>
                <w:sz w:val="22"/>
                <w:szCs w:val="22"/>
              </w:rPr>
            </w:pPr>
          </w:p>
          <w:p w:rsidR="00714CCB" w:rsidP="00714CCB">
            <w:pPr>
              <w:pStyle w:val="Normlny"/>
              <w:snapToGrid w:val="0"/>
              <w:jc w:val="both"/>
              <w:rPr>
                <w:sz w:val="22"/>
                <w:szCs w:val="22"/>
              </w:rPr>
            </w:pPr>
            <w:r>
              <w:rPr>
                <w:sz w:val="22"/>
                <w:szCs w:val="22"/>
              </w:rPr>
              <w:t>Poznámka pod čiarou k odkazu 25 znie:</w:t>
            </w:r>
          </w:p>
          <w:p w:rsidR="00714CCB" w:rsidP="00714CCB">
            <w:pPr>
              <w:pStyle w:val="Normlny"/>
              <w:snapToGrid w:val="0"/>
              <w:jc w:val="both"/>
              <w:rPr>
                <w:sz w:val="22"/>
                <w:szCs w:val="22"/>
              </w:rPr>
            </w:pPr>
          </w:p>
          <w:p w:rsidR="00714CCB" w:rsidRPr="00714CCB" w:rsidP="00714CCB">
            <w:pPr>
              <w:pStyle w:val="Normlny"/>
              <w:snapToGrid w:val="0"/>
              <w:jc w:val="both"/>
              <w:rPr>
                <w:sz w:val="22"/>
                <w:szCs w:val="22"/>
              </w:rPr>
            </w:pPr>
            <w:r w:rsidRPr="00714CCB">
              <w:rPr>
                <w:sz w:val="22"/>
                <w:szCs w:val="22"/>
                <w:vertAlign w:val="superscript"/>
              </w:rPr>
              <w:t>25</w:t>
            </w:r>
            <w:r>
              <w:rPr>
                <w:sz w:val="22"/>
                <w:szCs w:val="22"/>
              </w:rPr>
              <w:t xml:space="preserve">) </w:t>
            </w:r>
            <w:r w:rsidRPr="00714CCB">
              <w:rPr>
                <w:sz w:val="22"/>
                <w:szCs w:val="22"/>
              </w:rPr>
              <w:t>Čl. 4 ods. 7 nariadenia Európskeho parlamentu a Rady (EÚ) 2016/679 v platnom znení.</w:t>
            </w:r>
            <w:r>
              <w:rPr>
                <w:sz w:val="22"/>
                <w:szCs w:val="22"/>
              </w:rPr>
              <w:t xml:space="preserve"> </w:t>
            </w: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r>
              <w:rPr>
                <w:sz w:val="22"/>
                <w:szCs w:val="22"/>
              </w:rPr>
              <w:t xml:space="preserve">(11) </w:t>
            </w:r>
            <w:r w:rsidRPr="00925DDD">
              <w:rPr>
                <w:sz w:val="22"/>
                <w:szCs w:val="22"/>
              </w:rPr>
              <w:t xml:space="preserve">Ministerstvo školstva zverejňuje a </w:t>
            </w:r>
            <w:r w:rsidRPr="00925DDD">
              <w:rPr>
                <w:sz w:val="22"/>
                <w:szCs w:val="22"/>
              </w:rPr>
              <w:t>priebežne aktualizuje zoznam prijímajúcich organizácií prostredníctvom informačného systému a centrálneho informačného portálu.</w:t>
            </w:r>
            <w:r>
              <w:rPr>
                <w:sz w:val="22"/>
                <w:szCs w:val="22"/>
              </w:rPr>
              <w:t xml:space="preserve"> </w:t>
            </w: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P="000B7F2B">
            <w:pPr>
              <w:pStyle w:val="Normlny"/>
              <w:snapToGrid w:val="0"/>
              <w:jc w:val="both"/>
              <w:rPr>
                <w:sz w:val="22"/>
                <w:szCs w:val="22"/>
              </w:rPr>
            </w:pPr>
          </w:p>
          <w:p w:rsidR="00925DDD" w:rsidRPr="00BD05D3" w:rsidP="000B7F2B">
            <w:pPr>
              <w:pStyle w:val="Normlny"/>
              <w:snapToGrid w:val="0"/>
              <w:jc w:val="both"/>
              <w:rPr>
                <w:sz w:val="22"/>
                <w:szCs w:val="22"/>
              </w:rPr>
            </w:pPr>
            <w:r>
              <w:rPr>
                <w:sz w:val="22"/>
                <w:szCs w:val="22"/>
              </w:rPr>
              <w:t xml:space="preserve">(8) </w:t>
            </w:r>
            <w:r w:rsidRPr="00925DDD">
              <w:rPr>
                <w:sz w:val="22"/>
                <w:szCs w:val="22"/>
              </w:rPr>
              <w:t>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 Ministerstvo hospodárstva Slovenskej republiky na svojom webovom sídle zve</w:t>
            </w:r>
            <w:r w:rsidRPr="00925DDD">
              <w:rPr>
                <w:sz w:val="22"/>
                <w:szCs w:val="22"/>
              </w:rPr>
              <w:t>rejní obsahové náležitosti podnikateľského zámeru na realizáciu inovatívneho projektu.</w:t>
            </w:r>
          </w:p>
        </w:tc>
        <w:tc>
          <w:tcPr>
            <w:tcW w:w="709" w:type="dxa"/>
            <w:tcBorders>
              <w:top w:val="single" w:sz="4" w:space="0" w:color="000000"/>
              <w:left w:val="single" w:sz="4" w:space="0" w:color="000000"/>
              <w:bottom w:val="single" w:sz="4" w:space="0" w:color="000000"/>
            </w:tcBorders>
          </w:tcPr>
          <w:p w:rsidR="000C42D6" w:rsidRPr="00BD05D3" w:rsidP="000B7F2B">
            <w:pPr>
              <w:snapToGrid w:val="0"/>
              <w:jc w:val="center"/>
              <w:rPr>
                <w:sz w:val="22"/>
                <w:szCs w:val="22"/>
              </w:rPr>
            </w:pPr>
            <w:r w:rsidR="00925DDD">
              <w:rPr>
                <w:sz w:val="22"/>
                <w:szCs w:val="22"/>
              </w:rPr>
              <w:t>Ú</w:t>
            </w: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C42D6" w:rsidRPr="00BD05D3" w:rsidP="000B7F2B">
            <w:pPr>
              <w:pStyle w:val="Heading1"/>
              <w:snapToGrid w:val="0"/>
              <w:ind w:left="0" w:firstLine="0"/>
              <w:jc w:val="both"/>
              <w:rPr>
                <w:b w:val="0"/>
                <w:bCs w:val="0"/>
                <w:sz w:val="22"/>
                <w:szCs w:val="22"/>
              </w:rPr>
            </w:pPr>
          </w:p>
        </w:tc>
      </w:tr>
    </w:tbl>
    <w:p w:rsidR="00EC7FD0" w:rsidP="00EC7FD0">
      <w:pPr>
        <w:pStyle w:val="BodyText"/>
        <w:ind w:left="1116"/>
      </w:pPr>
      <w:r>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r>
        <w:t>goldplatingu</w:t>
      </w:r>
      <w:r>
        <w:rPr>
          <w:spacing w:val="-6"/>
        </w:rPr>
        <w:t xml:space="preserve"> </w:t>
      </w:r>
      <w:r>
        <w:t>a</w:t>
      </w:r>
      <w:r>
        <w:rPr>
          <w:spacing w:val="-5"/>
        </w:rPr>
        <w:t xml:space="preserve"> </w:t>
      </w:r>
      <w:r>
        <w:t>jeho</w:t>
      </w:r>
      <w:r>
        <w:rPr>
          <w:spacing w:val="-4"/>
        </w:rPr>
        <w:t xml:space="preserve"> </w:t>
      </w:r>
      <w:r>
        <w:rPr>
          <w:spacing w:val="-2"/>
        </w:rPr>
        <w:t>odôvodnenie:</w:t>
      </w:r>
    </w:p>
    <w:p w:rsidR="006C5AD8" w:rsidRPr="00BD05D3" w:rsidP="00C3513B">
      <w:pPr>
        <w:autoSpaceDE/>
        <w:jc w:val="both"/>
        <w:rPr>
          <w:sz w:val="22"/>
          <w:szCs w:val="22"/>
        </w:rPr>
      </w:pPr>
    </w:p>
    <w:p w:rsidR="006C5AD8" w:rsidRPr="00BD05D3" w:rsidP="00C3513B">
      <w:pPr>
        <w:autoSpaceDE/>
        <w:jc w:val="both"/>
        <w:rPr>
          <w:sz w:val="22"/>
          <w:szCs w:val="22"/>
        </w:rPr>
      </w:pPr>
    </w:p>
    <w:p w:rsidR="006C5AD8" w:rsidRPr="00BD05D3" w:rsidP="00C3513B">
      <w:pPr>
        <w:autoSpaceDE/>
        <w:jc w:val="both"/>
        <w:rPr>
          <w:sz w:val="22"/>
          <w:szCs w:val="22"/>
        </w:rPr>
      </w:pPr>
    </w:p>
    <w:p w:rsidR="002762EC" w:rsidRPr="00BD05D3" w:rsidP="00C3513B">
      <w:pPr>
        <w:autoSpaceDE/>
        <w:jc w:val="both"/>
        <w:rPr>
          <w:sz w:val="22"/>
          <w:szCs w:val="22"/>
        </w:rPr>
      </w:pPr>
      <w:r w:rsidRPr="00BD05D3">
        <w:rPr>
          <w:sz w:val="22"/>
          <w:szCs w:val="22"/>
        </w:rPr>
        <w:t>LEGENDA:</w:t>
      </w:r>
    </w:p>
    <w:tbl>
      <w:tblPr>
        <w:tblStyle w:val="TableNormal"/>
        <w:tblW w:w="0" w:type="auto"/>
        <w:tblLayout w:type="fixed"/>
        <w:tblCellMar>
          <w:left w:w="70" w:type="dxa"/>
          <w:right w:w="70" w:type="dxa"/>
        </w:tblCellMar>
        <w:tblLook w:val="0000"/>
      </w:tblPr>
      <w:tblGrid>
        <w:gridCol w:w="2163"/>
        <w:gridCol w:w="3719"/>
        <w:gridCol w:w="2164"/>
        <w:gridCol w:w="6081"/>
      </w:tblGrid>
      <w:tr>
        <w:tblPrEx>
          <w:tblW w:w="0" w:type="auto"/>
          <w:tblLayout w:type="fixed"/>
          <w:tblCellMar>
            <w:left w:w="70" w:type="dxa"/>
            <w:right w:w="70" w:type="dxa"/>
          </w:tblCellMar>
          <w:tblLook w:val="0000"/>
        </w:tblPrEx>
        <w:trPr>
          <w:trHeight w:val="1440"/>
        </w:trPr>
        <w:tc>
          <w:tcPr>
            <w:tcW w:w="2163" w:type="dxa"/>
          </w:tcPr>
          <w:p w:rsidR="002762EC" w:rsidRPr="00BD05D3" w:rsidP="00C3513B">
            <w:pPr>
              <w:pStyle w:val="Normlny"/>
              <w:autoSpaceDE/>
              <w:snapToGrid w:val="0"/>
              <w:spacing w:after="60"/>
              <w:jc w:val="both"/>
              <w:rPr>
                <w:sz w:val="22"/>
                <w:szCs w:val="22"/>
              </w:rPr>
            </w:pPr>
            <w:r w:rsidRPr="00BD05D3">
              <w:rPr>
                <w:sz w:val="22"/>
                <w:szCs w:val="22"/>
              </w:rPr>
              <w:t>V stĺpci (1):</w:t>
            </w:r>
          </w:p>
          <w:p w:rsidR="002762EC" w:rsidRPr="00BD05D3" w:rsidP="00C3513B">
            <w:pPr>
              <w:autoSpaceDE/>
              <w:jc w:val="both"/>
              <w:rPr>
                <w:sz w:val="22"/>
                <w:szCs w:val="22"/>
              </w:rPr>
            </w:pPr>
            <w:r w:rsidRPr="00BD05D3">
              <w:rPr>
                <w:sz w:val="22"/>
                <w:szCs w:val="22"/>
              </w:rPr>
              <w:t>Č – článok</w:t>
            </w:r>
          </w:p>
          <w:p w:rsidR="002762EC" w:rsidRPr="00BD05D3" w:rsidP="00C3513B">
            <w:pPr>
              <w:autoSpaceDE/>
              <w:jc w:val="both"/>
              <w:rPr>
                <w:sz w:val="22"/>
                <w:szCs w:val="22"/>
              </w:rPr>
            </w:pPr>
            <w:r w:rsidRPr="00BD05D3">
              <w:rPr>
                <w:sz w:val="22"/>
                <w:szCs w:val="22"/>
              </w:rPr>
              <w:t>O – odsek</w:t>
            </w:r>
          </w:p>
          <w:p w:rsidR="002762EC" w:rsidRPr="00BD05D3" w:rsidP="00C3513B">
            <w:pPr>
              <w:autoSpaceDE/>
              <w:jc w:val="both"/>
              <w:rPr>
                <w:sz w:val="22"/>
                <w:szCs w:val="22"/>
              </w:rPr>
            </w:pPr>
            <w:r w:rsidRPr="00BD05D3">
              <w:rPr>
                <w:sz w:val="22"/>
                <w:szCs w:val="22"/>
              </w:rPr>
              <w:t>V – veta</w:t>
            </w:r>
          </w:p>
          <w:p w:rsidR="002762EC" w:rsidRPr="00BD05D3" w:rsidP="00C3513B">
            <w:pPr>
              <w:autoSpaceDE/>
              <w:jc w:val="both"/>
              <w:rPr>
                <w:sz w:val="22"/>
                <w:szCs w:val="22"/>
              </w:rPr>
            </w:pPr>
            <w:r w:rsidRPr="00BD05D3">
              <w:rPr>
                <w:sz w:val="22"/>
                <w:szCs w:val="22"/>
              </w:rPr>
              <w:t>P – písmeno (číslo)</w:t>
            </w:r>
          </w:p>
          <w:p w:rsidR="00F57AC5" w:rsidRPr="00BD05D3" w:rsidP="00C3513B">
            <w:pPr>
              <w:autoSpaceDE/>
              <w:jc w:val="both"/>
              <w:rPr>
                <w:sz w:val="22"/>
                <w:szCs w:val="22"/>
              </w:rPr>
            </w:pPr>
            <w:r w:rsidRPr="00BD05D3">
              <w:rPr>
                <w:sz w:val="22"/>
                <w:szCs w:val="22"/>
              </w:rPr>
              <w:t>B - bod</w:t>
            </w:r>
          </w:p>
          <w:p w:rsidR="002762EC" w:rsidRPr="00BD05D3" w:rsidP="00C3513B">
            <w:pPr>
              <w:autoSpaceDE/>
              <w:jc w:val="both"/>
              <w:rPr>
                <w:sz w:val="22"/>
                <w:szCs w:val="22"/>
              </w:rPr>
            </w:pPr>
          </w:p>
        </w:tc>
        <w:tc>
          <w:tcPr>
            <w:tcW w:w="3719" w:type="dxa"/>
          </w:tcPr>
          <w:p w:rsidR="002762EC" w:rsidRPr="00BD05D3" w:rsidP="00C3513B">
            <w:pPr>
              <w:pStyle w:val="Normlny"/>
              <w:autoSpaceDE/>
              <w:snapToGrid w:val="0"/>
              <w:spacing w:after="60"/>
              <w:jc w:val="both"/>
              <w:rPr>
                <w:sz w:val="22"/>
                <w:szCs w:val="22"/>
              </w:rPr>
            </w:pPr>
            <w:r w:rsidRPr="00BD05D3">
              <w:rPr>
                <w:sz w:val="22"/>
                <w:szCs w:val="22"/>
              </w:rPr>
              <w:t>V stĺpci (3):</w:t>
            </w:r>
          </w:p>
          <w:p w:rsidR="002762EC" w:rsidRPr="00BD05D3" w:rsidP="00C3513B">
            <w:pPr>
              <w:autoSpaceDE/>
              <w:jc w:val="both"/>
              <w:rPr>
                <w:sz w:val="22"/>
                <w:szCs w:val="22"/>
              </w:rPr>
            </w:pPr>
            <w:r w:rsidRPr="00BD05D3">
              <w:rPr>
                <w:sz w:val="22"/>
                <w:szCs w:val="22"/>
              </w:rPr>
              <w:t>N – bežná transpozícia</w:t>
            </w:r>
          </w:p>
          <w:p w:rsidR="002762EC" w:rsidRPr="00BD05D3" w:rsidP="00C3513B">
            <w:pPr>
              <w:autoSpaceDE/>
              <w:jc w:val="both"/>
              <w:rPr>
                <w:sz w:val="22"/>
                <w:szCs w:val="22"/>
              </w:rPr>
            </w:pPr>
            <w:r w:rsidRPr="00BD05D3">
              <w:rPr>
                <w:sz w:val="22"/>
                <w:szCs w:val="22"/>
              </w:rPr>
              <w:t>O – transpozícia s možnosťou voľby</w:t>
            </w:r>
          </w:p>
          <w:p w:rsidR="002762EC" w:rsidRPr="00BD05D3" w:rsidP="00C3513B">
            <w:pPr>
              <w:autoSpaceDE/>
              <w:jc w:val="both"/>
              <w:rPr>
                <w:sz w:val="22"/>
                <w:szCs w:val="22"/>
              </w:rPr>
            </w:pPr>
            <w:r w:rsidRPr="00BD05D3">
              <w:rPr>
                <w:sz w:val="22"/>
                <w:szCs w:val="22"/>
              </w:rPr>
              <w:t>D – transpozícia podľa úvahy (dobrovoľná)</w:t>
            </w:r>
          </w:p>
          <w:p w:rsidR="002762EC" w:rsidRPr="00BD05D3" w:rsidP="00C3513B">
            <w:pPr>
              <w:autoSpaceDE/>
              <w:jc w:val="both"/>
              <w:rPr>
                <w:sz w:val="22"/>
                <w:szCs w:val="22"/>
              </w:rPr>
            </w:pPr>
            <w:r w:rsidRPr="00BD05D3">
              <w:rPr>
                <w:sz w:val="22"/>
                <w:szCs w:val="22"/>
              </w:rPr>
              <w:t>n.a. – transpozícia sa neuskutočňuje</w:t>
            </w:r>
          </w:p>
        </w:tc>
        <w:tc>
          <w:tcPr>
            <w:tcW w:w="2164" w:type="dxa"/>
          </w:tcPr>
          <w:p w:rsidR="002762EC" w:rsidRPr="00BD05D3" w:rsidP="00C3513B">
            <w:pPr>
              <w:pStyle w:val="Normlny"/>
              <w:autoSpaceDE/>
              <w:snapToGrid w:val="0"/>
              <w:spacing w:after="60"/>
              <w:jc w:val="both"/>
              <w:rPr>
                <w:sz w:val="22"/>
                <w:szCs w:val="22"/>
              </w:rPr>
            </w:pPr>
            <w:r w:rsidRPr="00BD05D3">
              <w:rPr>
                <w:sz w:val="22"/>
                <w:szCs w:val="22"/>
              </w:rPr>
              <w:t>V stĺpci (5):</w:t>
            </w:r>
          </w:p>
          <w:p w:rsidR="002762EC" w:rsidRPr="00BD05D3" w:rsidP="00C3513B">
            <w:pPr>
              <w:autoSpaceDE/>
              <w:jc w:val="both"/>
              <w:rPr>
                <w:sz w:val="22"/>
                <w:szCs w:val="22"/>
              </w:rPr>
            </w:pPr>
            <w:r w:rsidRPr="00BD05D3">
              <w:rPr>
                <w:sz w:val="22"/>
                <w:szCs w:val="22"/>
              </w:rPr>
              <w:t>Č – článok</w:t>
            </w:r>
          </w:p>
          <w:p w:rsidR="002762EC" w:rsidRPr="00BD05D3" w:rsidP="00C3513B">
            <w:pPr>
              <w:autoSpaceDE/>
              <w:jc w:val="both"/>
              <w:rPr>
                <w:sz w:val="22"/>
                <w:szCs w:val="22"/>
              </w:rPr>
            </w:pPr>
            <w:r w:rsidRPr="00BD05D3">
              <w:rPr>
                <w:sz w:val="22"/>
                <w:szCs w:val="22"/>
              </w:rPr>
              <w:t>§ – paragraf</w:t>
            </w:r>
          </w:p>
          <w:p w:rsidR="002762EC" w:rsidRPr="00BD05D3" w:rsidP="00C3513B">
            <w:pPr>
              <w:autoSpaceDE/>
              <w:jc w:val="both"/>
              <w:rPr>
                <w:sz w:val="22"/>
                <w:szCs w:val="22"/>
              </w:rPr>
            </w:pPr>
            <w:r w:rsidRPr="00BD05D3">
              <w:rPr>
                <w:sz w:val="22"/>
                <w:szCs w:val="22"/>
              </w:rPr>
              <w:t>O – odsek</w:t>
            </w:r>
          </w:p>
          <w:p w:rsidR="002762EC" w:rsidRPr="00BD05D3" w:rsidP="00C3513B">
            <w:pPr>
              <w:autoSpaceDE/>
              <w:jc w:val="both"/>
              <w:rPr>
                <w:sz w:val="22"/>
                <w:szCs w:val="22"/>
              </w:rPr>
            </w:pPr>
            <w:r w:rsidRPr="00BD05D3">
              <w:rPr>
                <w:sz w:val="22"/>
                <w:szCs w:val="22"/>
              </w:rPr>
              <w:t>V – veta</w:t>
            </w:r>
          </w:p>
          <w:p w:rsidR="002762EC" w:rsidRPr="00BD05D3" w:rsidP="00C3513B">
            <w:pPr>
              <w:autoSpaceDE/>
              <w:jc w:val="both"/>
              <w:rPr>
                <w:sz w:val="22"/>
                <w:szCs w:val="22"/>
              </w:rPr>
            </w:pPr>
            <w:r w:rsidRPr="00BD05D3">
              <w:rPr>
                <w:sz w:val="22"/>
                <w:szCs w:val="22"/>
              </w:rPr>
              <w:t>P – písmeno (číslo)</w:t>
            </w:r>
          </w:p>
        </w:tc>
        <w:tc>
          <w:tcPr>
            <w:tcW w:w="6081" w:type="dxa"/>
          </w:tcPr>
          <w:p w:rsidR="002762EC" w:rsidRPr="00BD05D3" w:rsidP="00C3513B">
            <w:pPr>
              <w:pStyle w:val="Normlny"/>
              <w:autoSpaceDE/>
              <w:snapToGrid w:val="0"/>
              <w:spacing w:after="60"/>
              <w:jc w:val="both"/>
              <w:rPr>
                <w:sz w:val="22"/>
                <w:szCs w:val="22"/>
              </w:rPr>
            </w:pPr>
            <w:r w:rsidRPr="00BD05D3">
              <w:rPr>
                <w:sz w:val="22"/>
                <w:szCs w:val="22"/>
              </w:rPr>
              <w:t>V stĺpci (7):</w:t>
            </w:r>
          </w:p>
          <w:p w:rsidR="002762EC" w:rsidRPr="00BD05D3" w:rsidP="00C3513B">
            <w:pPr>
              <w:autoSpaceDE/>
              <w:jc w:val="both"/>
              <w:rPr>
                <w:sz w:val="22"/>
                <w:szCs w:val="22"/>
              </w:rPr>
            </w:pPr>
            <w:r w:rsidRPr="00BD05D3">
              <w:rPr>
                <w:sz w:val="22"/>
                <w:szCs w:val="22"/>
              </w:rPr>
              <w:t>Ú – úplná zhoda</w:t>
            </w:r>
          </w:p>
          <w:p w:rsidR="002762EC" w:rsidRPr="00BD05D3" w:rsidP="00C3513B">
            <w:pPr>
              <w:autoSpaceDE/>
              <w:jc w:val="both"/>
              <w:rPr>
                <w:sz w:val="22"/>
                <w:szCs w:val="22"/>
              </w:rPr>
            </w:pPr>
            <w:r w:rsidRPr="00BD05D3">
              <w:rPr>
                <w:sz w:val="22"/>
                <w:szCs w:val="22"/>
              </w:rPr>
              <w:t>Č – čiastočn</w:t>
            </w:r>
            <w:r w:rsidRPr="00BD05D3">
              <w:rPr>
                <w:sz w:val="22"/>
                <w:szCs w:val="22"/>
              </w:rPr>
              <w:t>á zhoda</w:t>
            </w:r>
          </w:p>
          <w:p w:rsidR="002762EC" w:rsidRPr="00BD05D3" w:rsidP="00C3513B">
            <w:pPr>
              <w:autoSpaceDE/>
              <w:jc w:val="both"/>
              <w:rPr>
                <w:sz w:val="22"/>
                <w:szCs w:val="22"/>
              </w:rPr>
            </w:pPr>
            <w:r w:rsidRPr="00BD05D3">
              <w:rPr>
                <w:sz w:val="22"/>
                <w:szCs w:val="22"/>
              </w:rPr>
              <w:t>R – rozpor (v príp., že zatiaľ nedošlo k transp., ale príde k nej v budúcnosti)</w:t>
            </w:r>
          </w:p>
          <w:p w:rsidR="002762EC" w:rsidRPr="00BD05D3" w:rsidP="00C3513B">
            <w:pPr>
              <w:autoSpaceDE/>
              <w:jc w:val="both"/>
              <w:rPr>
                <w:sz w:val="22"/>
                <w:szCs w:val="22"/>
              </w:rPr>
            </w:pPr>
            <w:r w:rsidRPr="00BD05D3">
              <w:rPr>
                <w:sz w:val="22"/>
                <w:szCs w:val="22"/>
              </w:rPr>
              <w:t>N – neaplikovateľné</w:t>
            </w:r>
          </w:p>
        </w:tc>
      </w:tr>
    </w:tbl>
    <w:p w:rsidR="002762EC" w:rsidRPr="00BD05D3" w:rsidP="00C3513B">
      <w:pPr>
        <w:jc w:val="both"/>
        <w:rPr>
          <w:sz w:val="22"/>
          <w:szCs w:val="22"/>
        </w:rPr>
      </w:pPr>
    </w:p>
    <w:sectPr w:rsidSect="00281C98">
      <w:footerReference w:type="default" r:id="rId7"/>
      <w:pgSz w:w="16838" w:h="11906" w:orient="landscape"/>
      <w:pgMar w:top="568" w:right="1418" w:bottom="1474" w:left="1418" w:header="708" w:footer="19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5B" w:usb2="00000009" w:usb3="00000000" w:csb0="000001FF" w:csb1="00000000"/>
  </w:font>
  <w:font w:name="Source Sans Pro">
    <w:panose1 w:val="00000000000000000000"/>
    <w:charset w:val="00"/>
    <w:family w:val="swiss"/>
    <w:pitch w:val="variable"/>
    <w:sig w:usb0="600002F7" w:usb1="02000001" w:usb2="00000000" w:usb3="00000000" w:csb0="0000019F" w:csb1="00000000"/>
  </w:font>
  <w:font w:name="Calibri">
    <w:altName w:val="Futura Bk"/>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0000000000000000000"/>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FF">
    <w:pPr>
      <w:pStyle w:val="Footer"/>
      <w:jc w:val="center"/>
    </w:pPr>
    <w:r>
      <w:fldChar w:fldCharType="begin"/>
    </w:r>
    <w:r>
      <w:instrText xml:space="preserve"> PAGE </w:instrText>
    </w:r>
    <w:r>
      <w:fldChar w:fldCharType="separate"/>
    </w:r>
    <w:r w:rsidR="00F04F74">
      <w:rPr>
        <w:noProof/>
      </w:rPr>
      <w:t>2</w:t>
    </w:r>
    <w:r>
      <w:fldChar w:fldCharType="end"/>
    </w:r>
  </w:p>
  <w:p w:rsidR="00952A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91"/>
        </w:tabs>
        <w:ind w:left="923" w:hanging="432"/>
      </w:pPr>
    </w:lvl>
    <w:lvl w:ilvl="1">
      <w:start w:val="1"/>
      <w:numFmt w:val="none"/>
      <w:suff w:val="nothing"/>
      <w:lvlJc w:val="left"/>
      <w:pPr>
        <w:tabs>
          <w:tab w:val="num" w:pos="491"/>
        </w:tabs>
        <w:ind w:left="1067" w:hanging="576"/>
      </w:pPr>
    </w:lvl>
    <w:lvl w:ilvl="2">
      <w:start w:val="1"/>
      <w:numFmt w:val="none"/>
      <w:suff w:val="nothing"/>
      <w:lvlJc w:val="left"/>
      <w:pPr>
        <w:tabs>
          <w:tab w:val="num" w:pos="491"/>
        </w:tabs>
        <w:ind w:left="1211" w:hanging="720"/>
      </w:pPr>
    </w:lvl>
    <w:lvl w:ilvl="3">
      <w:start w:val="1"/>
      <w:numFmt w:val="none"/>
      <w:pStyle w:val="Heading4"/>
      <w:suff w:val="nothing"/>
      <w:lvlJc w:val="left"/>
      <w:pPr>
        <w:tabs>
          <w:tab w:val="num" w:pos="491"/>
        </w:tabs>
        <w:ind w:left="1355" w:hanging="864"/>
      </w:pPr>
    </w:lvl>
    <w:lvl w:ilvl="4">
      <w:start w:val="1"/>
      <w:numFmt w:val="none"/>
      <w:suff w:val="nothing"/>
      <w:lvlJc w:val="left"/>
      <w:pPr>
        <w:tabs>
          <w:tab w:val="num" w:pos="491"/>
        </w:tabs>
        <w:ind w:left="1499" w:hanging="1008"/>
      </w:pPr>
    </w:lvl>
    <w:lvl w:ilvl="5">
      <w:start w:val="1"/>
      <w:numFmt w:val="none"/>
      <w:suff w:val="nothing"/>
      <w:lvlJc w:val="left"/>
      <w:pPr>
        <w:tabs>
          <w:tab w:val="num" w:pos="491"/>
        </w:tabs>
        <w:ind w:left="1643" w:hanging="1152"/>
      </w:pPr>
    </w:lvl>
    <w:lvl w:ilvl="6">
      <w:start w:val="1"/>
      <w:numFmt w:val="none"/>
      <w:suff w:val="nothing"/>
      <w:lvlJc w:val="left"/>
      <w:pPr>
        <w:tabs>
          <w:tab w:val="num" w:pos="491"/>
        </w:tabs>
        <w:ind w:left="1787" w:hanging="1296"/>
      </w:pPr>
    </w:lvl>
    <w:lvl w:ilvl="7">
      <w:start w:val="1"/>
      <w:numFmt w:val="none"/>
      <w:suff w:val="nothing"/>
      <w:lvlJc w:val="left"/>
      <w:pPr>
        <w:tabs>
          <w:tab w:val="num" w:pos="491"/>
        </w:tabs>
        <w:ind w:left="1931" w:hanging="1440"/>
      </w:pPr>
    </w:lvl>
    <w:lvl w:ilvl="8">
      <w:start w:val="1"/>
      <w:numFmt w:val="none"/>
      <w:suff w:val="nothing"/>
      <w:lvlJc w:val="left"/>
      <w:pPr>
        <w:tabs>
          <w:tab w:val="num" w:pos="491"/>
        </w:tabs>
        <w:ind w:left="2075" w:hanging="1584"/>
      </w:p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4"/>
        <w:szCs w:val="2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lvl>
  </w:abstractNum>
  <w:abstractNum w:abstractNumId="5">
    <w:nsid w:val="015A171D"/>
    <w:multiLevelType w:val="hybridMultilevel"/>
    <w:tmpl w:val="DF287F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192C8C"/>
    <w:multiLevelType w:val="hybridMultilevel"/>
    <w:tmpl w:val="B3A44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BF095B"/>
    <w:multiLevelType w:val="hybridMultilevel"/>
    <w:tmpl w:val="C9A40F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810F53"/>
    <w:multiLevelType w:val="hybridMultilevel"/>
    <w:tmpl w:val="29D664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6"/>
  </w:num>
  <w:num w:numId="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proofState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202D"/>
    <w:rsid w:val="00002D78"/>
    <w:rsid w:val="00010663"/>
    <w:rsid w:val="00022929"/>
    <w:rsid w:val="00031365"/>
    <w:rsid w:val="000353E0"/>
    <w:rsid w:val="00044E48"/>
    <w:rsid w:val="0004546C"/>
    <w:rsid w:val="000551AE"/>
    <w:rsid w:val="00057463"/>
    <w:rsid w:val="00063DB0"/>
    <w:rsid w:val="00070901"/>
    <w:rsid w:val="000841F4"/>
    <w:rsid w:val="00084419"/>
    <w:rsid w:val="00093254"/>
    <w:rsid w:val="000A5F3A"/>
    <w:rsid w:val="000B7F2B"/>
    <w:rsid w:val="000C42D6"/>
    <w:rsid w:val="000D3FE7"/>
    <w:rsid w:val="000D52D6"/>
    <w:rsid w:val="000E018D"/>
    <w:rsid w:val="000E025C"/>
    <w:rsid w:val="000F73E8"/>
    <w:rsid w:val="001008F3"/>
    <w:rsid w:val="00117217"/>
    <w:rsid w:val="0013372D"/>
    <w:rsid w:val="00137EF3"/>
    <w:rsid w:val="00147703"/>
    <w:rsid w:val="001652BE"/>
    <w:rsid w:val="0017288D"/>
    <w:rsid w:val="00192C8E"/>
    <w:rsid w:val="00195733"/>
    <w:rsid w:val="00196DC1"/>
    <w:rsid w:val="001A25A3"/>
    <w:rsid w:val="001A67A5"/>
    <w:rsid w:val="001B1D27"/>
    <w:rsid w:val="001B4472"/>
    <w:rsid w:val="001B77D7"/>
    <w:rsid w:val="001D3F46"/>
    <w:rsid w:val="001E1105"/>
    <w:rsid w:val="001F37F4"/>
    <w:rsid w:val="00200C34"/>
    <w:rsid w:val="00213385"/>
    <w:rsid w:val="0022095B"/>
    <w:rsid w:val="002321FA"/>
    <w:rsid w:val="002408C3"/>
    <w:rsid w:val="002502E6"/>
    <w:rsid w:val="00251F6C"/>
    <w:rsid w:val="002524A2"/>
    <w:rsid w:val="00256F0B"/>
    <w:rsid w:val="0026089B"/>
    <w:rsid w:val="00271BCA"/>
    <w:rsid w:val="002762EC"/>
    <w:rsid w:val="00281110"/>
    <w:rsid w:val="00281C98"/>
    <w:rsid w:val="002849BD"/>
    <w:rsid w:val="00286EF9"/>
    <w:rsid w:val="00290210"/>
    <w:rsid w:val="00297BC9"/>
    <w:rsid w:val="002A13E0"/>
    <w:rsid w:val="002B11DC"/>
    <w:rsid w:val="002D48EE"/>
    <w:rsid w:val="002F00B0"/>
    <w:rsid w:val="002F4D3A"/>
    <w:rsid w:val="00321952"/>
    <w:rsid w:val="00331A93"/>
    <w:rsid w:val="00346288"/>
    <w:rsid w:val="00351E51"/>
    <w:rsid w:val="00372977"/>
    <w:rsid w:val="00376682"/>
    <w:rsid w:val="00381F04"/>
    <w:rsid w:val="00392002"/>
    <w:rsid w:val="003B4053"/>
    <w:rsid w:val="003C0968"/>
    <w:rsid w:val="003C20AC"/>
    <w:rsid w:val="003D5B00"/>
    <w:rsid w:val="003F16DB"/>
    <w:rsid w:val="003F6381"/>
    <w:rsid w:val="0040646D"/>
    <w:rsid w:val="00446BC1"/>
    <w:rsid w:val="00447E9B"/>
    <w:rsid w:val="004533AB"/>
    <w:rsid w:val="0045591C"/>
    <w:rsid w:val="00457DF6"/>
    <w:rsid w:val="0046304D"/>
    <w:rsid w:val="0049042E"/>
    <w:rsid w:val="004919C5"/>
    <w:rsid w:val="004B3668"/>
    <w:rsid w:val="004C5AE6"/>
    <w:rsid w:val="004D0677"/>
    <w:rsid w:val="004D2453"/>
    <w:rsid w:val="004E038B"/>
    <w:rsid w:val="004E7A1F"/>
    <w:rsid w:val="004F555A"/>
    <w:rsid w:val="005102F4"/>
    <w:rsid w:val="00514426"/>
    <w:rsid w:val="005271D3"/>
    <w:rsid w:val="00534908"/>
    <w:rsid w:val="00544739"/>
    <w:rsid w:val="00574DC8"/>
    <w:rsid w:val="00580914"/>
    <w:rsid w:val="00584FA8"/>
    <w:rsid w:val="00586BF4"/>
    <w:rsid w:val="005A046F"/>
    <w:rsid w:val="005A0F11"/>
    <w:rsid w:val="005C3F3E"/>
    <w:rsid w:val="005D23A9"/>
    <w:rsid w:val="005F1F0D"/>
    <w:rsid w:val="005F52DE"/>
    <w:rsid w:val="005F5DBD"/>
    <w:rsid w:val="005F712D"/>
    <w:rsid w:val="00603502"/>
    <w:rsid w:val="00610141"/>
    <w:rsid w:val="00613CB1"/>
    <w:rsid w:val="006200F6"/>
    <w:rsid w:val="006510DB"/>
    <w:rsid w:val="00675750"/>
    <w:rsid w:val="006C26AA"/>
    <w:rsid w:val="006C5AD8"/>
    <w:rsid w:val="006E03C2"/>
    <w:rsid w:val="006E27CF"/>
    <w:rsid w:val="00714CCB"/>
    <w:rsid w:val="00722D96"/>
    <w:rsid w:val="00727D31"/>
    <w:rsid w:val="00743796"/>
    <w:rsid w:val="00746C3B"/>
    <w:rsid w:val="007508BD"/>
    <w:rsid w:val="00751CFD"/>
    <w:rsid w:val="00764D65"/>
    <w:rsid w:val="0078232A"/>
    <w:rsid w:val="00783697"/>
    <w:rsid w:val="00793D04"/>
    <w:rsid w:val="00794015"/>
    <w:rsid w:val="00794E51"/>
    <w:rsid w:val="007A6A02"/>
    <w:rsid w:val="007E40FD"/>
    <w:rsid w:val="007F78CB"/>
    <w:rsid w:val="00804116"/>
    <w:rsid w:val="00805B65"/>
    <w:rsid w:val="008078FE"/>
    <w:rsid w:val="00814B19"/>
    <w:rsid w:val="008307A2"/>
    <w:rsid w:val="00837230"/>
    <w:rsid w:val="00843197"/>
    <w:rsid w:val="008453C8"/>
    <w:rsid w:val="008536FF"/>
    <w:rsid w:val="00874C8D"/>
    <w:rsid w:val="008835B3"/>
    <w:rsid w:val="00885ABC"/>
    <w:rsid w:val="00886301"/>
    <w:rsid w:val="008A5525"/>
    <w:rsid w:val="008B34D9"/>
    <w:rsid w:val="008C7B24"/>
    <w:rsid w:val="008D202D"/>
    <w:rsid w:val="008D4652"/>
    <w:rsid w:val="008E4393"/>
    <w:rsid w:val="008F200A"/>
    <w:rsid w:val="008F5A48"/>
    <w:rsid w:val="00905F7B"/>
    <w:rsid w:val="00907AB2"/>
    <w:rsid w:val="00925DDD"/>
    <w:rsid w:val="00952AF3"/>
    <w:rsid w:val="00952AFF"/>
    <w:rsid w:val="00955721"/>
    <w:rsid w:val="009579B3"/>
    <w:rsid w:val="009658D3"/>
    <w:rsid w:val="00965CCA"/>
    <w:rsid w:val="009749A3"/>
    <w:rsid w:val="00975F01"/>
    <w:rsid w:val="009805D0"/>
    <w:rsid w:val="00980C28"/>
    <w:rsid w:val="00981AA2"/>
    <w:rsid w:val="009907B2"/>
    <w:rsid w:val="009C0DFD"/>
    <w:rsid w:val="009C12DF"/>
    <w:rsid w:val="009C1DFE"/>
    <w:rsid w:val="009D78E0"/>
    <w:rsid w:val="009D7C2F"/>
    <w:rsid w:val="009E1DCB"/>
    <w:rsid w:val="009E39D6"/>
    <w:rsid w:val="009E6457"/>
    <w:rsid w:val="009E6D48"/>
    <w:rsid w:val="00A05B75"/>
    <w:rsid w:val="00A31E60"/>
    <w:rsid w:val="00A405C3"/>
    <w:rsid w:val="00A41050"/>
    <w:rsid w:val="00A445AC"/>
    <w:rsid w:val="00A457EF"/>
    <w:rsid w:val="00A47E57"/>
    <w:rsid w:val="00A5210E"/>
    <w:rsid w:val="00A6092A"/>
    <w:rsid w:val="00A65FED"/>
    <w:rsid w:val="00A752A6"/>
    <w:rsid w:val="00A76874"/>
    <w:rsid w:val="00A840F5"/>
    <w:rsid w:val="00A93DFC"/>
    <w:rsid w:val="00A94EA7"/>
    <w:rsid w:val="00A9587D"/>
    <w:rsid w:val="00AA572E"/>
    <w:rsid w:val="00AB71A1"/>
    <w:rsid w:val="00AB7FE8"/>
    <w:rsid w:val="00AC272A"/>
    <w:rsid w:val="00AC2BF9"/>
    <w:rsid w:val="00AC7E68"/>
    <w:rsid w:val="00AD738B"/>
    <w:rsid w:val="00AE3A8B"/>
    <w:rsid w:val="00AF0669"/>
    <w:rsid w:val="00AF0B3B"/>
    <w:rsid w:val="00AF19E0"/>
    <w:rsid w:val="00AF756D"/>
    <w:rsid w:val="00B05F44"/>
    <w:rsid w:val="00B26107"/>
    <w:rsid w:val="00B33FE5"/>
    <w:rsid w:val="00B346EE"/>
    <w:rsid w:val="00B41CD0"/>
    <w:rsid w:val="00B41FC3"/>
    <w:rsid w:val="00B46100"/>
    <w:rsid w:val="00B531EC"/>
    <w:rsid w:val="00B533EF"/>
    <w:rsid w:val="00B646BF"/>
    <w:rsid w:val="00B742F9"/>
    <w:rsid w:val="00B84BDE"/>
    <w:rsid w:val="00BA08E2"/>
    <w:rsid w:val="00BA260A"/>
    <w:rsid w:val="00BC3637"/>
    <w:rsid w:val="00BD05D3"/>
    <w:rsid w:val="00BD4FC2"/>
    <w:rsid w:val="00BE0A51"/>
    <w:rsid w:val="00BE26D3"/>
    <w:rsid w:val="00BE30FC"/>
    <w:rsid w:val="00BE4972"/>
    <w:rsid w:val="00BE5D1C"/>
    <w:rsid w:val="00BF2AA6"/>
    <w:rsid w:val="00BF3130"/>
    <w:rsid w:val="00BF5584"/>
    <w:rsid w:val="00C06980"/>
    <w:rsid w:val="00C13E6E"/>
    <w:rsid w:val="00C16966"/>
    <w:rsid w:val="00C23C8F"/>
    <w:rsid w:val="00C3513B"/>
    <w:rsid w:val="00C4060D"/>
    <w:rsid w:val="00C54DFE"/>
    <w:rsid w:val="00C61679"/>
    <w:rsid w:val="00C74D95"/>
    <w:rsid w:val="00C74E74"/>
    <w:rsid w:val="00C855CB"/>
    <w:rsid w:val="00C8640A"/>
    <w:rsid w:val="00C864EA"/>
    <w:rsid w:val="00C90348"/>
    <w:rsid w:val="00C926B1"/>
    <w:rsid w:val="00C9351F"/>
    <w:rsid w:val="00C96E17"/>
    <w:rsid w:val="00C97943"/>
    <w:rsid w:val="00CB0578"/>
    <w:rsid w:val="00CB248A"/>
    <w:rsid w:val="00CB3F59"/>
    <w:rsid w:val="00CD445F"/>
    <w:rsid w:val="00D00023"/>
    <w:rsid w:val="00D17AE2"/>
    <w:rsid w:val="00D2087A"/>
    <w:rsid w:val="00D30378"/>
    <w:rsid w:val="00D31E7E"/>
    <w:rsid w:val="00D43932"/>
    <w:rsid w:val="00D46E56"/>
    <w:rsid w:val="00D6212C"/>
    <w:rsid w:val="00D75E8B"/>
    <w:rsid w:val="00D765D1"/>
    <w:rsid w:val="00D902AB"/>
    <w:rsid w:val="00DA06E7"/>
    <w:rsid w:val="00DA26D9"/>
    <w:rsid w:val="00DA2A59"/>
    <w:rsid w:val="00DB12AC"/>
    <w:rsid w:val="00DB3B46"/>
    <w:rsid w:val="00DC1CFD"/>
    <w:rsid w:val="00DC4D3F"/>
    <w:rsid w:val="00DC5532"/>
    <w:rsid w:val="00DD01FC"/>
    <w:rsid w:val="00DD055D"/>
    <w:rsid w:val="00DD3B4A"/>
    <w:rsid w:val="00DE6BC0"/>
    <w:rsid w:val="00DE6C47"/>
    <w:rsid w:val="00DF282F"/>
    <w:rsid w:val="00DF2ECC"/>
    <w:rsid w:val="00E238EA"/>
    <w:rsid w:val="00E25526"/>
    <w:rsid w:val="00E31FDB"/>
    <w:rsid w:val="00E4315D"/>
    <w:rsid w:val="00E625C5"/>
    <w:rsid w:val="00E76592"/>
    <w:rsid w:val="00E77920"/>
    <w:rsid w:val="00E90371"/>
    <w:rsid w:val="00E945B6"/>
    <w:rsid w:val="00E95D85"/>
    <w:rsid w:val="00E96488"/>
    <w:rsid w:val="00EC60EB"/>
    <w:rsid w:val="00EC7FD0"/>
    <w:rsid w:val="00ED10E1"/>
    <w:rsid w:val="00ED56A5"/>
    <w:rsid w:val="00ED59AE"/>
    <w:rsid w:val="00ED6145"/>
    <w:rsid w:val="00EE0FEB"/>
    <w:rsid w:val="00F01713"/>
    <w:rsid w:val="00F04F74"/>
    <w:rsid w:val="00F05089"/>
    <w:rsid w:val="00F20E7E"/>
    <w:rsid w:val="00F24C27"/>
    <w:rsid w:val="00F57AC5"/>
    <w:rsid w:val="00F65C48"/>
    <w:rsid w:val="00F67029"/>
    <w:rsid w:val="00F776F2"/>
    <w:rsid w:val="00FA3447"/>
    <w:rsid w:val="00FA557E"/>
    <w:rsid w:val="00FB2516"/>
    <w:rsid w:val="00FB6928"/>
    <w:rsid w:val="00FC572D"/>
    <w:rsid w:val="00FD70C3"/>
    <w:rsid w:val="00FF52C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E7A1F"/>
    <w:pPr>
      <w:suppressAutoHyphens/>
      <w:autoSpaceDE w:val="0"/>
    </w:pPr>
    <w:rPr>
      <w:sz w:val="24"/>
      <w:szCs w:val="24"/>
      <w:lang w:val="sk-SK" w:eastAsia="ar-SA" w:bidi="ar-SA"/>
    </w:rPr>
  </w:style>
  <w:style w:type="paragraph" w:styleId="Heading1">
    <w:name w:val="heading 1"/>
    <w:basedOn w:val="Normal"/>
    <w:next w:val="Normal"/>
    <w:qFormat/>
    <w:pPr>
      <w:keepNext/>
      <w:numPr>
        <w:ilvl w:val="0"/>
        <w:numId w:val="1"/>
      </w:numPr>
      <w:jc w:val="center"/>
      <w:outlineLvl w:val="0"/>
    </w:pPr>
    <w:rPr>
      <w:b/>
      <w:bCs/>
    </w:rPr>
  </w:style>
  <w:style w:type="paragraph" w:styleId="Heading4">
    <w:name w:val="heading 4"/>
    <w:basedOn w:val="Normal"/>
    <w:next w:val="Normal"/>
    <w:qFormat/>
    <w:pPr>
      <w:keepNext/>
      <w:numPr>
        <w:ilvl w:val="3"/>
        <w:numId w:val="1"/>
      </w:numPr>
      <w:jc w:val="center"/>
      <w:outlineLvl w:val="3"/>
    </w:pPr>
    <w:rPr>
      <w:b/>
      <w:bCs/>
      <w:sz w:val="22"/>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Times New Roman" w:hAnsi="Times New Roman" w:cs="Times New Roman"/>
      <w:sz w:val="24"/>
      <w:szCs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eastAsia="Times New Roman" w:hAnsi="Times New Roman" w:cs="Times New Roman"/>
    </w:rPr>
  </w:style>
  <w:style w:type="character" w:customStyle="1" w:styleId="WW8Num15z2">
    <w:name w:val="WW8Num15z2"/>
    <w:rPr>
      <w:rFonts w:ascii="Wingdings" w:hAnsi="Wingdings"/>
    </w:rPr>
  </w:style>
  <w:style w:type="character" w:customStyle="1" w:styleId="WW8Num21z0">
    <w:name w:val="WW8Num21z0"/>
    <w:rPr>
      <w:color w:val="auto"/>
    </w:rPr>
  </w:style>
  <w:style w:type="character" w:customStyle="1" w:styleId="WW8Num21z1">
    <w:name w:val="WW8Num21z1"/>
    <w:rPr>
      <w:rFonts w:ascii="Times New Roman" w:eastAsia="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23z0">
    <w:name w:val="WW8Num23z0"/>
    <w:rPr>
      <w:color w:val="auto"/>
    </w:rPr>
  </w:style>
  <w:style w:type="character" w:customStyle="1" w:styleId="WW8Num23z1">
    <w:name w:val="WW8Num23z1"/>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eastAsia="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eastAsia="Times New Roman" w:hAnsi="Times New Roman" w:cs="Times New Roman"/>
    </w:rPr>
  </w:style>
  <w:style w:type="character" w:customStyle="1" w:styleId="WW8Num34z0">
    <w:name w:val="WW8Num34z0"/>
    <w:rPr>
      <w:rFonts w:ascii="Times New Roman" w:eastAsia="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3z0">
    <w:name w:val="WW8Num3z0"/>
    <w:rPr>
      <w:color w:val="auto"/>
    </w:rPr>
  </w:style>
  <w:style w:type="character" w:customStyle="1" w:styleId="WW8Num4z0">
    <w:name w:val="WW8Num4z0"/>
    <w:rPr>
      <w:rFonts w:cs="Times New Roman"/>
    </w:rPr>
  </w:style>
  <w:style w:type="character" w:customStyle="1" w:styleId="WW8Num4z2">
    <w:name w:val="WW8Num4z2"/>
    <w:rPr>
      <w:rFonts w:cs="Times New Roman"/>
      <w:color w:val="auto"/>
    </w:rPr>
  </w:style>
  <w:style w:type="character" w:customStyle="1" w:styleId="WW8Num6z0">
    <w:name w:val="WW8Num6z0"/>
    <w:rPr>
      <w:rFonts w:cs="Times New Roman"/>
    </w:rPr>
  </w:style>
  <w:style w:type="character" w:customStyle="1" w:styleId="WW8Num10z1">
    <w:name w:val="WW8Num10z1"/>
    <w:rPr>
      <w:color w:val="auto"/>
    </w:rPr>
  </w:style>
  <w:style w:type="character" w:customStyle="1" w:styleId="WW8Num11z2">
    <w:name w:val="WW8Num11z2"/>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eastAsia="Times New Roman" w:hAnsi="Times New Roman" w:cs="Times New Roman"/>
    </w:rPr>
  </w:style>
  <w:style w:type="character" w:customStyle="1" w:styleId="WW8Num39z0">
    <w:name w:val="WW8Num39z0"/>
    <w:rPr>
      <w:rFonts w:ascii="Times New Roman" w:eastAsia="Times New Roman" w:hAnsi="Times New Roman" w:cs="Times New Roman"/>
    </w:rPr>
  </w:style>
  <w:style w:type="character" w:customStyle="1" w:styleId="WW8Num48z0">
    <w:name w:val="WW8Num48z0"/>
    <w:rPr>
      <w:color w:val="auto"/>
    </w:rPr>
  </w:style>
  <w:style w:type="character" w:customStyle="1" w:styleId="WW8Num49z0">
    <w:name w:val="WW8Num49z0"/>
    <w:rPr>
      <w:rFonts w:cs="Times New Roman"/>
    </w:rPr>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rPr>
      <w:color w:val="000080"/>
      <w:u w:val="single"/>
    </w:rPr>
  </w:style>
  <w:style w:type="character" w:customStyle="1" w:styleId="Symbolypreslovanie">
    <w:name w:val="Symboly pre číslovanie"/>
  </w:style>
  <w:style w:type="character" w:customStyle="1" w:styleId="TextbublinyChar">
    <w:name w:val="Text bubliny Char"/>
    <w:rPr>
      <w:rFonts w:ascii="Tahoma" w:hAnsi="Tahoma" w:cs="Tahoma"/>
      <w:sz w:val="16"/>
      <w:szCs w:val="16"/>
    </w:rPr>
  </w:style>
  <w:style w:type="character" w:customStyle="1" w:styleId="num1">
    <w:name w:val="num1"/>
    <w:rPr>
      <w:b/>
      <w:bCs/>
      <w:color w:val="303030"/>
    </w:rPr>
  </w:style>
  <w:style w:type="character" w:customStyle="1" w:styleId="PtaChar">
    <w:name w:val="Päta Char"/>
    <w:rPr>
      <w:rFonts w:ascii="Arial" w:hAnsi="Arial" w:cs="Arial"/>
      <w:sz w:val="22"/>
      <w:szCs w:val="22"/>
    </w:rPr>
  </w:style>
  <w:style w:type="paragraph" w:customStyle="1" w:styleId="Nadpis">
    <w:name w:val="Nadpis"/>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customStyle="1" w:styleId="Popisok">
    <w:name w:val="Popisok"/>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pPr>
      <w:spacing w:before="0" w:after="120" w:line="480" w:lineRule="auto"/>
    </w:pPr>
  </w:style>
  <w:style w:type="paragraph" w:customStyle="1" w:styleId="Normlny">
    <w:name w:val="_Normálny"/>
    <w:basedOn w:val="Normal"/>
    <w:rPr>
      <w:sz w:val="20"/>
      <w:szCs w:val="20"/>
    </w:rPr>
  </w:style>
  <w:style w:type="paragraph" w:styleId="FootnoteText">
    <w:name w:val="footnote text"/>
    <w:basedOn w:val="Normal"/>
    <w:link w:val="TextpoznmkypodiarouChar"/>
    <w:uiPriority w:val="99"/>
    <w:rPr>
      <w:sz w:val="20"/>
      <w:szCs w:val="20"/>
    </w:rPr>
  </w:style>
  <w:style w:type="paragraph" w:styleId="Footer">
    <w:name w:val="footer"/>
    <w:basedOn w:val="Normal"/>
    <w:pPr>
      <w:tabs>
        <w:tab w:val="center" w:pos="4536"/>
        <w:tab w:val="right" w:pos="9072"/>
      </w:tabs>
    </w:pPr>
    <w:rPr>
      <w:rFonts w:ascii="Arial" w:hAnsi="Arial" w:cs="Arial"/>
      <w:sz w:val="22"/>
      <w:szCs w:val="22"/>
    </w:rPr>
  </w:style>
  <w:style w:type="paragraph" w:styleId="NormalWeb">
    <w:name w:val="Normal (Web)"/>
    <w:basedOn w:val="Normal"/>
    <w:pPr>
      <w:autoSpaceDE/>
      <w:spacing w:before="280" w:after="280"/>
    </w:pPr>
    <w:rPr>
      <w:rFonts w:ascii="Arial Unicode MS" w:eastAsia="Arial Unicode MS" w:hAnsi="Arial Unicode MS" w:cs="Arial Unicode MS"/>
      <w:lang w:val="cs-CZ"/>
    </w:rPr>
  </w:style>
  <w:style w:type="paragraph" w:customStyle="1" w:styleId="Default">
    <w:name w:val="Default"/>
    <w:pPr>
      <w:suppressAutoHyphens/>
      <w:autoSpaceDE w:val="0"/>
    </w:pPr>
    <w:rPr>
      <w:rFonts w:ascii="EUAlbertina" w:eastAsia="Arial" w:hAnsi="EUAlbertina" w:cs="EUAlbertina"/>
      <w:color w:val="000000"/>
      <w:sz w:val="24"/>
      <w:szCs w:val="24"/>
      <w:lang w:val="sk-SK" w:eastAsia="ar-SA" w:bidi="ar-SA"/>
    </w:rPr>
  </w:style>
  <w:style w:type="paragraph" w:customStyle="1" w:styleId="CM4">
    <w:name w:val="CM4"/>
    <w:basedOn w:val="Default"/>
    <w:next w:val="Default"/>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customStyle="1" w:styleId="ListParagraph">
    <w:name w:val="List Paragraph"/>
    <w:basedOn w:val="Normal"/>
    <w:pPr>
      <w:autoSpaceDE/>
      <w:ind w:left="708" w:right="0" w:firstLine="0"/>
    </w:pPr>
  </w:style>
  <w:style w:type="paragraph" w:customStyle="1" w:styleId="Obsahtabuky">
    <w:name w:val="Obsah tabuľky"/>
    <w:basedOn w:val="Normal"/>
    <w:pPr>
      <w:suppressLineNumbers/>
    </w:pPr>
  </w:style>
  <w:style w:type="paragraph" w:customStyle="1" w:styleId="Nadpistabuky">
    <w:name w:val="Nadpis tabuľky"/>
    <w:basedOn w:val="Obsahtabuky"/>
    <w:pPr>
      <w:suppressLineNumbers/>
      <w:jc w:val="center"/>
    </w:pPr>
    <w:rPr>
      <w:b/>
      <w:bCs/>
    </w:rPr>
  </w:style>
  <w:style w:type="paragraph" w:customStyle="1" w:styleId="Obsahrmca">
    <w:name w:val="Obsah rámca"/>
    <w:basedOn w:val="BodyText"/>
  </w:style>
  <w:style w:type="paragraph" w:styleId="Header">
    <w:name w:val="header"/>
    <w:basedOn w:val="Normal"/>
    <w:pPr>
      <w:suppressLineNumbers/>
      <w:tabs>
        <w:tab w:val="center" w:pos="4819"/>
        <w:tab w:val="right" w:pos="9638"/>
      </w:tabs>
    </w:pPr>
  </w:style>
  <w:style w:type="paragraph" w:styleId="BalloonText">
    <w:name w:val="Balloon Text"/>
    <w:basedOn w:val="Normal"/>
    <w:rPr>
      <w:rFonts w:ascii="Tahoma" w:hAnsi="Tahoma" w:cs="Tahoma"/>
      <w:sz w:val="16"/>
      <w:szCs w:val="16"/>
    </w:rPr>
  </w:style>
  <w:style w:type="paragraph" w:customStyle="1" w:styleId="l71">
    <w:name w:val="l71"/>
    <w:basedOn w:val="Normal"/>
    <w:pPr>
      <w:suppressAutoHyphens w:val="0"/>
      <w:autoSpaceDE/>
      <w:jc w:val="both"/>
    </w:pPr>
  </w:style>
  <w:style w:type="paragraph" w:styleId="NoSpacing">
    <w:name w:val="No Spacing"/>
    <w:uiPriority w:val="1"/>
    <w:qFormat/>
    <w:rsid w:val="00010663"/>
    <w:pPr>
      <w:suppressAutoHyphens/>
      <w:autoSpaceDE w:val="0"/>
    </w:pPr>
    <w:rPr>
      <w:sz w:val="24"/>
      <w:szCs w:val="24"/>
      <w:lang w:val="sk-SK" w:eastAsia="ar-SA" w:bidi="ar-SA"/>
    </w:rPr>
  </w:style>
  <w:style w:type="character" w:customStyle="1" w:styleId="TextpoznmkypodiarouChar">
    <w:name w:val="Text poznámky pod čiarou Char"/>
    <w:link w:val="FootnoteText"/>
    <w:uiPriority w:val="99"/>
    <w:rsid w:val="005F1F0D"/>
    <w:rPr>
      <w:lang w:eastAsia="ar-SA"/>
    </w:rPr>
  </w:style>
  <w:style w:type="character" w:styleId="FootnoteReference">
    <w:name w:val="footnote reference"/>
    <w:uiPriority w:val="99"/>
    <w:semiHidden/>
    <w:unhideWhenUsed/>
    <w:rsid w:val="005F1F0D"/>
    <w:rPr>
      <w:vertAlign w:val="superscript"/>
    </w:rPr>
  </w:style>
  <w:style w:type="paragraph" w:styleId="ListParagraph0">
    <w:name w:val="List Paragraph"/>
    <w:basedOn w:val="Normal"/>
    <w:uiPriority w:val="34"/>
    <w:qFormat/>
    <w:rsid w:val="005F1F0D"/>
    <w:pPr>
      <w:suppressAutoHyphens w:val="0"/>
      <w:autoSpaceDE/>
      <w:spacing w:after="160" w:line="259" w:lineRule="auto"/>
      <w:ind w:left="720"/>
      <w:contextualSpacing/>
    </w:pPr>
    <w:rPr>
      <w:rFonts w:ascii="Calibri" w:eastAsia="Calibri" w:hAnsi="Calibri" w:cs="Times New Roman"/>
      <w:sz w:val="22"/>
      <w:szCs w:val="22"/>
      <w:lang w:eastAsia="en-US"/>
    </w:rPr>
  </w:style>
  <w:style w:type="character" w:styleId="CommentReference">
    <w:name w:val="annotation reference"/>
    <w:uiPriority w:val="99"/>
    <w:semiHidden/>
    <w:unhideWhenUsed/>
    <w:rsid w:val="00271BCA"/>
    <w:rPr>
      <w:sz w:val="16"/>
      <w:szCs w:val="16"/>
    </w:rPr>
  </w:style>
  <w:style w:type="paragraph" w:styleId="CommentText">
    <w:name w:val="annotation text"/>
    <w:basedOn w:val="Normal"/>
    <w:link w:val="TextkomentraChar"/>
    <w:uiPriority w:val="99"/>
    <w:unhideWhenUsed/>
    <w:rsid w:val="00271BCA"/>
    <w:pPr>
      <w:suppressAutoHyphens w:val="0"/>
      <w:autoSpaceDE/>
      <w:spacing w:after="160"/>
    </w:pPr>
    <w:rPr>
      <w:rFonts w:ascii="Calibri" w:eastAsia="Calibri" w:hAnsi="Calibri" w:cs="Times New Roman"/>
      <w:sz w:val="20"/>
      <w:szCs w:val="20"/>
      <w:lang w:eastAsia="en-US"/>
    </w:rPr>
  </w:style>
  <w:style w:type="character" w:customStyle="1" w:styleId="TextkomentraChar">
    <w:name w:val="Text komentára Char"/>
    <w:link w:val="CommentText"/>
    <w:uiPriority w:val="99"/>
    <w:rsid w:val="00271BCA"/>
    <w:rPr>
      <w:rFonts w:ascii="Calibri" w:eastAsia="Calibri" w:hAnsi="Calibri"/>
      <w:lang w:eastAsia="en-US"/>
    </w:rPr>
  </w:style>
  <w:style w:type="paragraph" w:customStyle="1" w:styleId="TableParagraph">
    <w:name w:val="Table Paragraph"/>
    <w:basedOn w:val="Normal"/>
    <w:uiPriority w:val="1"/>
    <w:qFormat/>
    <w:rsid w:val="000C42D6"/>
    <w:pPr>
      <w:widowControl w:val="0"/>
      <w:suppressAutoHyphens w:val="0"/>
      <w:autoSpaceDN w:val="0"/>
    </w:pPr>
    <w:rPr>
      <w:sz w:val="22"/>
      <w:szCs w:val="22"/>
      <w:lang w:eastAsia="en-US"/>
    </w:rPr>
  </w:style>
  <w:style w:type="character" w:customStyle="1" w:styleId="normaltextrun">
    <w:name w:val="normaltextrun"/>
    <w:rsid w:val="00793D04"/>
  </w:style>
  <w:style w:type="character" w:customStyle="1" w:styleId="eop">
    <w:name w:val="eop"/>
    <w:rsid w:val="00793D04"/>
  </w:style>
  <w:style w:type="paragraph" w:customStyle="1" w:styleId="paragraph">
    <w:name w:val="paragraph"/>
    <w:basedOn w:val="Normal"/>
    <w:rsid w:val="00580914"/>
    <w:pPr>
      <w:suppressAutoHyphens w:val="0"/>
      <w:autoSpaceDE/>
      <w:spacing w:before="100" w:beforeAutospacing="1" w:after="100" w:afterAutospacing="1"/>
    </w:pPr>
    <w:rPr>
      <w:lang w:eastAsia="sk-SK"/>
    </w:rPr>
  </w:style>
  <w:style w:type="character" w:customStyle="1" w:styleId="findhit">
    <w:name w:val="findhit"/>
    <w:rsid w:val="00580914"/>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C930FCF763F499267F1E57552C11D" ma:contentTypeVersion="3" ma:contentTypeDescription="Umožňuje vytvoriť nový dokument." ma:contentTypeScope="" ma:versionID="8da69f489c4018da4d6953a337acb47e">
  <xsd:schema xmlns:xsd="http://www.w3.org/2001/XMLSchema" xmlns:xs="http://www.w3.org/2001/XMLSchema" xmlns:p="http://schemas.microsoft.com/office/2006/metadata/properties" xmlns:ns2="4a2aa199-a488-41e9-8961-0e12cb18e0ec" targetNamespace="http://schemas.microsoft.com/office/2006/metadata/properties" ma:root="true" ma:fieldsID="c5c8c6ceb17f3d6b11363c292409308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54194-FE11-4FCB-879D-AA12CD14F637}">
  <ds:schemaRefs>
    <ds:schemaRef ds:uri="http://schemas.openxmlformats.org/officeDocument/2006/bibliography"/>
  </ds:schemaRefs>
</ds:datastoreItem>
</file>

<file path=customXml/itemProps2.xml><?xml version="1.0" encoding="utf-8"?>
<ds:datastoreItem xmlns:ds="http://schemas.openxmlformats.org/officeDocument/2006/customXml" ds:itemID="{380366A2-8A7C-4EF7-AC55-38E7A783F423}">
  <ds:schemaRefs>
    <ds:schemaRef ds:uri="http://schemas.microsoft.com/sharepoint/v3/contenttype/forms"/>
  </ds:schemaRefs>
</ds:datastoreItem>
</file>

<file path=customXml/itemProps3.xml><?xml version="1.0" encoding="utf-8"?>
<ds:datastoreItem xmlns:ds="http://schemas.openxmlformats.org/officeDocument/2006/customXml" ds:itemID="{62B68BBC-6754-45D9-97BC-ABE51EB7F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2498</Words>
  <Characters>14239</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2025-08-14T07:07:00Z</dcterms:created>
  <dcterms:modified xsi:type="dcterms:W3CDTF">2025-08-20T06:48:00Z</dcterms:modified>
</cp:coreProperties>
</file>