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738A" w:rsidP="0086738A">
      <w:pPr>
        <w:pStyle w:val="Title"/>
        <w:bidi w:val="0"/>
        <w:ind w:left="0"/>
        <w:jc w:val="center"/>
        <w:rPr>
          <w:rFonts w:ascii="Times New Roman" w:hAnsi="Times New Roman"/>
          <w:spacing w:val="-6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5" type="#_x0000_t75" style="width:14.9pt;height:26.35pt;margin-top:3.55pt;margin-left:317.5pt;mso-position-horizontal-relative:page;mso-wrap-distance-left:0;mso-wrap-distance-right:0;position:absolute;visibility:visible;z-index:-251658240" filled="f" stroked="f">
            <v:imagedata r:id="rId5" o:title=""/>
            <o:lock v:ext="edit" aspectratio="f"/>
          </v:shape>
        </w:pict>
      </w:r>
      <w:r>
        <w:rPr>
          <w:rFonts w:ascii="Times New Roman" w:hAnsi="Times New Roman"/>
        </w:rPr>
        <w:t>TABUĽKA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ZHODY</w:t>
      </w:r>
    </w:p>
    <w:p w:rsidR="0086738A" w:rsidRPr="001A67A5" w:rsidP="0086738A">
      <w:pPr>
        <w:pStyle w:val="Title"/>
        <w:bidi w:val="0"/>
        <w:ind w:left="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návrhu</w:t>
      </w:r>
      <w:r>
        <w:rPr>
          <w:rFonts w:ascii="Times New Roman" w:hAnsi="Times New Roman"/>
          <w:spacing w:val="-6"/>
        </w:rPr>
        <w:t xml:space="preserve"> právneho predpisu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právom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Európskej</w:t>
      </w:r>
      <w:r>
        <w:rPr>
          <w:rFonts w:ascii="Times New Roman" w:hAnsi="Times New Roman"/>
          <w:spacing w:val="-4"/>
        </w:rPr>
        <w:t xml:space="preserve"> únie</w:t>
      </w:r>
    </w:p>
    <w:p w:rsidR="003A73E4">
      <w:pPr>
        <w:bidi w:val="0"/>
        <w:rPr>
          <w:rFonts w:ascii="Times New Roman" w:hAnsi="Times New Roman"/>
        </w:rPr>
      </w:pPr>
    </w:p>
    <w:tbl>
      <w:tblPr>
        <w:tblStyle w:val="TableNormal"/>
        <w:tblW w:w="14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637"/>
        <w:gridCol w:w="4253"/>
        <w:gridCol w:w="567"/>
        <w:gridCol w:w="992"/>
        <w:gridCol w:w="524"/>
        <w:gridCol w:w="4863"/>
        <w:gridCol w:w="425"/>
        <w:gridCol w:w="709"/>
        <w:gridCol w:w="709"/>
        <w:gridCol w:w="709"/>
      </w:tblGrid>
      <w:tr>
        <w:tblPrEx>
          <w:tblW w:w="143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757E72" w:rsidP="003A73E4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lang w:eastAsia="cs-CZ"/>
              </w:rPr>
            </w:pPr>
            <w:r w:rsidRPr="00757E72" w:rsidR="00757E72">
              <w:rPr>
                <w:rFonts w:ascii="Times New Roman" w:hAnsi="Times New Roman"/>
                <w:b/>
                <w:color w:val="000000"/>
                <w:sz w:val="22"/>
              </w:rPr>
              <w:t>Smernica Európskeho parlamentu a Rady 2005/36/ES zo 7. septembra 2005 o uznávaní odborných kvalifikácií (Ú. v. EÚ L 255, 30.9.2005) v platnom znení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P="003A73E4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lang w:eastAsia="cs-CZ"/>
              </w:rPr>
            </w:pPr>
            <w:r w:rsidR="00495120">
              <w:rPr>
                <w:rFonts w:ascii="Times New Roman" w:hAnsi="Times New Roman"/>
                <w:b/>
                <w:sz w:val="19"/>
                <w:szCs w:val="19"/>
                <w:lang w:eastAsia="cs-CZ"/>
              </w:rPr>
              <w:t xml:space="preserve">1. </w:t>
            </w:r>
            <w:r w:rsidRPr="0086738A">
              <w:rPr>
                <w:rFonts w:ascii="Times New Roman" w:hAnsi="Times New Roman"/>
                <w:b/>
                <w:sz w:val="19"/>
                <w:szCs w:val="19"/>
                <w:lang w:eastAsia="cs-CZ"/>
              </w:rPr>
              <w:t>Návrh zákona o vysokých školách a o zmene a doplnení niektorých zákonov</w:t>
            </w:r>
          </w:p>
          <w:p w:rsidR="00495120" w:rsidRPr="0086738A" w:rsidP="003A73E4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lang w:eastAsia="cs-CZ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eastAsia="cs-CZ"/>
              </w:rPr>
              <w:t>2. Zákon č. 578/2004 Z. z.</w:t>
            </w:r>
            <w:r>
              <w:rPr>
                <w:rFonts w:ascii="Times New Roman" w:hAnsi="Times New Roman"/>
              </w:rPr>
              <w:t xml:space="preserve"> </w:t>
            </w:r>
            <w:r w:rsidRPr="00495120">
              <w:rPr>
                <w:rFonts w:ascii="Times New Roman" w:hAnsi="Times New Roman"/>
                <w:b/>
                <w:sz w:val="19"/>
                <w:szCs w:val="19"/>
                <w:lang w:eastAsia="cs-CZ"/>
              </w:rPr>
              <w:t>o poskytovateľoch zdravotnej starostlivosti, zdravotníckych pracovníkoch, stavovských organizáciách v zdravotníctve a o zmene  a doplnení niektorých zákonov v znení neskorších predpisov</w:t>
            </w:r>
          </w:p>
        </w:tc>
      </w:tr>
      <w:tr>
        <w:tblPrEx>
          <w:tblW w:w="14388" w:type="dxa"/>
          <w:tblLayout w:type="fixed"/>
          <w:tblCellMar>
            <w:left w:w="70" w:type="dxa"/>
            <w:right w:w="70" w:type="dxa"/>
          </w:tblCellMar>
        </w:tblPrEx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9"/>
              </w:rPr>
            </w:pPr>
            <w:r w:rsidRPr="00A31075">
              <w:rPr>
                <w:rFonts w:ascii="Times New Roman" w:hAnsi="Times New Roman"/>
                <w:sz w:val="14"/>
                <w:szCs w:val="19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9"/>
              </w:rPr>
            </w:pPr>
            <w:r w:rsidRPr="00A31075">
              <w:rPr>
                <w:rFonts w:ascii="Times New Roman" w:hAnsi="Times New Roman"/>
                <w:sz w:val="14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9"/>
              </w:rPr>
            </w:pPr>
            <w:r w:rsidRPr="00A31075">
              <w:rPr>
                <w:rFonts w:ascii="Times New Roman" w:hAnsi="Times New Roman"/>
                <w:sz w:val="14"/>
                <w:szCs w:val="19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9"/>
              </w:rPr>
            </w:pPr>
            <w:r w:rsidRPr="00A31075">
              <w:rPr>
                <w:rFonts w:ascii="Times New Roman" w:hAnsi="Times New Roman"/>
                <w:sz w:val="14"/>
                <w:szCs w:val="19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9"/>
              </w:rPr>
            </w:pPr>
            <w:r w:rsidRPr="00A31075">
              <w:rPr>
                <w:rFonts w:ascii="Times New Roman" w:hAnsi="Times New Roman"/>
                <w:sz w:val="14"/>
                <w:szCs w:val="19"/>
              </w:rPr>
              <w:t>5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9"/>
              </w:rPr>
            </w:pPr>
            <w:r w:rsidRPr="00A31075">
              <w:rPr>
                <w:rFonts w:ascii="Times New Roman" w:hAnsi="Times New Roman"/>
                <w:sz w:val="14"/>
                <w:szCs w:val="19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9"/>
              </w:rPr>
            </w:pPr>
            <w:r w:rsidRPr="00A31075">
              <w:rPr>
                <w:rFonts w:ascii="Times New Roman" w:hAnsi="Times New Roman"/>
                <w:sz w:val="14"/>
                <w:szCs w:val="19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9"/>
              </w:rPr>
            </w:pPr>
            <w:r w:rsidRPr="00A31075">
              <w:rPr>
                <w:rFonts w:ascii="Times New Roman" w:hAnsi="Times New Roman"/>
                <w:sz w:val="14"/>
                <w:szCs w:val="19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9"/>
              </w:rPr>
            </w:pPr>
            <w:r>
              <w:rPr>
                <w:rFonts w:ascii="Times New Roman" w:hAnsi="Times New Roman"/>
                <w:sz w:val="14"/>
                <w:szCs w:val="19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9"/>
              </w:rPr>
            </w:pPr>
            <w:r>
              <w:rPr>
                <w:rFonts w:ascii="Times New Roman" w:hAnsi="Times New Roman"/>
                <w:sz w:val="14"/>
                <w:szCs w:val="19"/>
              </w:rPr>
              <w:t>10</w:t>
            </w:r>
          </w:p>
        </w:tc>
      </w:tr>
      <w:tr>
        <w:tblPrEx>
          <w:tblW w:w="14388" w:type="dxa"/>
          <w:tblLayout w:type="fixed"/>
          <w:tblCellMar>
            <w:left w:w="70" w:type="dxa"/>
            <w:right w:w="70" w:type="dxa"/>
          </w:tblCellMar>
        </w:tblPrEx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1A67A5" w:rsidP="0086738A">
            <w:pPr>
              <w:pStyle w:val="TableParagraph"/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7A5">
              <w:rPr>
                <w:rFonts w:ascii="Times New Roman" w:hAnsi="Times New Roman"/>
                <w:sz w:val="20"/>
                <w:szCs w:val="20"/>
              </w:rPr>
              <w:t>Článok</w:t>
            </w:r>
          </w:p>
          <w:p w:rsidR="0086738A" w:rsidRPr="001A67A5" w:rsidP="0086738A">
            <w:pPr>
              <w:pStyle w:val="TableParagraph"/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7A5">
              <w:rPr>
                <w:rFonts w:ascii="Times New Roman" w:hAnsi="Times New Roman"/>
                <w:sz w:val="20"/>
                <w:szCs w:val="20"/>
              </w:rPr>
              <w:t>(Č, O,</w:t>
            </w:r>
          </w:p>
          <w:p w:rsidR="0086738A" w:rsidRPr="00A31075" w:rsidP="0086738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9"/>
                <w:lang w:eastAsia="cs-CZ"/>
              </w:rPr>
            </w:pPr>
            <w:r w:rsidRPr="001A67A5">
              <w:rPr>
                <w:rFonts w:ascii="Times New Roman" w:hAnsi="Times New Roman"/>
                <w:sz w:val="20"/>
                <w:szCs w:val="20"/>
              </w:rPr>
              <w:t>V, P)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  <w:lang w:eastAsia="cs-CZ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Text</w:t>
            </w: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9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  <w:lang w:eastAsia="cs-CZ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Spôsob</w:t>
            </w:r>
          </w:p>
          <w:p w:rsidR="0086738A" w:rsidRP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transpo-</w:t>
            </w:r>
          </w:p>
          <w:p w:rsidR="0086738A" w:rsidRP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  <w:lang w:eastAsia="cs-CZ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zície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  <w:lang w:eastAsia="cs-CZ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Číslo  predpisu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  <w:lang w:eastAsia="cs-CZ"/>
              </w:rPr>
            </w:pPr>
            <w:r w:rsidRPr="0086738A">
              <w:rPr>
                <w:rFonts w:ascii="Times New Roman" w:hAnsi="Times New Roman"/>
                <w:sz w:val="20"/>
                <w:szCs w:val="20"/>
              </w:rPr>
              <w:t>Článok (Č, §, O, V, P)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  <w:lang w:eastAsia="cs-CZ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Text</w:t>
            </w:r>
          </w:p>
          <w:p w:rsidR="0086738A" w:rsidRP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  <w:lang w:eastAsia="cs-C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  <w:lang w:eastAsia="cs-CZ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Zhoda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  <w:lang w:eastAsia="cs-CZ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Poznámky</w:t>
            </w:r>
          </w:p>
          <w:p w:rsidR="0086738A" w:rsidRP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Identi fikáci a goldp latingu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86738A" w:rsidP="0086738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Identifi</w:t>
            </w:r>
          </w:p>
          <w:p w:rsidR="0086738A" w:rsidRPr="0086738A" w:rsidP="0086738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kácia</w:t>
            </w:r>
          </w:p>
          <w:p w:rsidR="0086738A" w:rsidRPr="0086738A" w:rsidP="0086738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oblasti</w:t>
            </w:r>
          </w:p>
          <w:p w:rsidR="0086738A" w:rsidRPr="0086738A" w:rsidP="0086738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gold-</w:t>
            </w:r>
          </w:p>
          <w:p w:rsidR="0086738A" w:rsidRPr="0086738A" w:rsidP="0086738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plating</w:t>
            </w:r>
          </w:p>
          <w:p w:rsidR="0086738A" w:rsidRPr="0086738A" w:rsidP="0086738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u a</w:t>
            </w:r>
          </w:p>
          <w:p w:rsidR="0086738A" w:rsidRPr="0086738A" w:rsidP="0086738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vyjadre</w:t>
            </w:r>
          </w:p>
          <w:p w:rsidR="0086738A" w:rsidRPr="0086738A" w:rsidP="0086738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nie k</w:t>
            </w:r>
          </w:p>
          <w:p w:rsidR="0086738A" w:rsidRPr="0086738A" w:rsidP="0086738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opodsta</w:t>
            </w:r>
          </w:p>
          <w:p w:rsidR="0086738A" w:rsidRPr="0086738A" w:rsidP="0086738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tnenosti</w:t>
            </w:r>
          </w:p>
          <w:p w:rsidR="0086738A" w:rsidRPr="0086738A" w:rsidP="0086738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goldpla</w:t>
            </w:r>
          </w:p>
          <w:p w:rsidR="0086738A" w:rsidRPr="0086738A" w:rsidP="0086738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tingu*</w:t>
            </w:r>
          </w:p>
        </w:tc>
      </w:tr>
      <w:tr>
        <w:tblPrEx>
          <w:tblW w:w="14388" w:type="dxa"/>
          <w:tblLayout w:type="fixed"/>
          <w:tblCellMar>
            <w:left w:w="70" w:type="dxa"/>
            <w:right w:w="70" w:type="dxa"/>
          </w:tblCellMar>
        </w:tblPrEx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sz w:val="19"/>
                <w:szCs w:val="19"/>
              </w:rPr>
              <w:t>Č: 22</w:t>
            </w: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="00495120">
              <w:rPr>
                <w:rFonts w:ascii="Times New Roman" w:hAnsi="Times New Roman"/>
                <w:sz w:val="19"/>
                <w:szCs w:val="19"/>
              </w:rPr>
              <w:t>P: a)</w:t>
            </w: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pStyle w:val="CM4"/>
              <w:bidi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b/>
                <w:iCs/>
                <w:color w:val="000000"/>
                <w:sz w:val="19"/>
                <w:szCs w:val="19"/>
              </w:rPr>
              <w:t>Článok 22</w:t>
            </w:r>
          </w:p>
          <w:p w:rsidR="0086738A" w:rsidRPr="00A31075" w:rsidP="005D673B">
            <w:pPr>
              <w:pStyle w:val="CM4"/>
              <w:bidi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Spoločné</w:t>
            </w:r>
            <w:r w:rsidRPr="00A31075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ustanovenia o odbornej príprave</w:t>
            </w:r>
          </w:p>
          <w:p w:rsidR="0086738A" w:rsidRPr="00A31075" w:rsidP="005D673B">
            <w:pPr>
              <w:pStyle w:val="CM4"/>
              <w:bidi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So zreteľom na odbornú prípravu uvedenú v článkoch 24, 25, 28, 31, 34, 35, 38, 40, 44 a 46: </w:t>
            </w:r>
          </w:p>
          <w:p w:rsidR="0086738A" w:rsidRPr="00A31075" w:rsidP="00757E72">
            <w:pPr>
              <w:pStyle w:val="CM4"/>
              <w:bidi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a) Členské štáty môžu povoliť odbornú prípravu na čiastočný úväzok za podmienok, ktoré stanovia príslušné orgány; tieto orgány zabezpečia, aby celková dĺžka, úroveň a kvalita tejto odbornej prípravy nebola nižšia než v prípade súvislej dennej odbornej prípravy; </w:t>
            </w:r>
            <w:r w:rsidRPr="00A31075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  <w:p w:rsidR="0086738A" w:rsidRPr="00A31075" w:rsidP="005D673B">
            <w:pPr>
              <w:widowControl/>
              <w:bidi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>b) Členské štáty v súlade so svojimi špecifickými postupmi podporou kontinuálneho odborného rozvoja zaistia, aby pracovníci, ktorých odborná kvalifikácia je uvedená v hlave III v tejto kapitole, mohli svoje znalosti, zručnosti a schopnosti obnovovať s cieľom zachovania bezpečného a účinného výkonu povolania a udržania kroku s vývojom.</w:t>
            </w:r>
          </w:p>
          <w:p w:rsidR="0086738A" w:rsidRPr="00A31075" w:rsidP="005D673B">
            <w:pPr>
              <w:widowControl/>
              <w:bidi w:val="0"/>
              <w:spacing w:before="120"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>Členské štáty oznamujú Komisii opatrenia prijaté podľa odseku 1 písm. b) do 18. januára 2016.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="00757E72">
              <w:rPr>
                <w:rFonts w:ascii="Times New Roman" w:hAnsi="Times New Roman"/>
                <w:sz w:val="19"/>
                <w:szCs w:val="19"/>
                <w:lang w:eastAsia="cs-CZ"/>
              </w:rPr>
              <w:t>D</w:t>
            </w: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Pr="00A31075">
              <w:rPr>
                <w:rFonts w:ascii="Times New Roman" w:hAnsi="Times New Roman"/>
                <w:sz w:val="20"/>
                <w:szCs w:val="20"/>
                <w:lang w:eastAsia="cs-CZ"/>
              </w:rPr>
              <w:t>Návrh zákona Čl. I</w:t>
            </w:r>
            <w:r w:rsidRPr="00A31075">
              <w:rPr>
                <w:rFonts w:ascii="Times New Roman" w:hAnsi="Times New Roman"/>
                <w:sz w:val="19"/>
                <w:szCs w:val="19"/>
                <w:lang w:eastAsia="cs-CZ"/>
              </w:rPr>
              <w:t xml:space="preserve"> </w:t>
            </w: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B4321C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>
              <w:rPr>
                <w:rFonts w:ascii="Times New Roman" w:hAnsi="Times New Roman"/>
                <w:sz w:val="19"/>
                <w:szCs w:val="19"/>
                <w:lang w:eastAsia="cs-CZ"/>
              </w:rPr>
              <w:t xml:space="preserve">P: </w:t>
            </w:r>
            <w:r w:rsidRPr="00A31075">
              <w:rPr>
                <w:rFonts w:ascii="Times New Roman" w:hAnsi="Times New Roman"/>
                <w:sz w:val="19"/>
                <w:szCs w:val="19"/>
                <w:lang w:eastAsia="cs-CZ"/>
              </w:rPr>
              <w:t>§ 56</w:t>
            </w: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>
              <w:rPr>
                <w:rFonts w:ascii="Times New Roman" w:hAnsi="Times New Roman"/>
                <w:sz w:val="19"/>
                <w:szCs w:val="19"/>
                <w:lang w:eastAsia="cs-CZ"/>
              </w:rPr>
              <w:t>O: 7</w:t>
            </w: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P="00B4321C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757E72" w:rsidP="00B4321C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757E72" w:rsidP="00B4321C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757E72" w:rsidP="00B4321C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>
              <w:rPr>
                <w:rFonts w:ascii="Times New Roman" w:hAnsi="Times New Roman"/>
                <w:sz w:val="19"/>
                <w:szCs w:val="19"/>
                <w:lang w:eastAsia="cs-CZ"/>
              </w:rPr>
              <w:t>P: § 66</w:t>
            </w:r>
          </w:p>
          <w:p w:rsidR="00757E72" w:rsidRPr="00A31075" w:rsidP="00B4321C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>
              <w:rPr>
                <w:rFonts w:ascii="Times New Roman" w:hAnsi="Times New Roman"/>
                <w:sz w:val="19"/>
                <w:szCs w:val="19"/>
                <w:lang w:eastAsia="cs-CZ"/>
              </w:rPr>
              <w:t>O: 1,2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86738A">
            <w:pPr>
              <w:widowControl/>
              <w:autoSpaceDE/>
              <w:autoSpaceDN/>
              <w:bidi w:val="0"/>
              <w:adjustRightInd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(7) </w:t>
            </w: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>Štandardná dĺžka štúdia vrátane praktického vyučovania sa určuje na účel povinnosti úhrady školného a najdlhšej prípustnej dĺžky štúdia. Štandardná dĺžka štúdia je pre študijný program</w:t>
            </w:r>
          </w:p>
          <w:p w:rsidR="0086738A" w:rsidRPr="00A31075" w:rsidP="00A31075">
            <w:pPr>
              <w:bidi w:val="0"/>
              <w:spacing w:after="0" w:line="276" w:lineRule="auto"/>
              <w:ind w:left="284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>a) prvého stupňa tri akademické roky alebo štyri akademické roky,</w:t>
            </w:r>
          </w:p>
          <w:p w:rsidR="0086738A" w:rsidRPr="00A31075" w:rsidP="00A31075">
            <w:pPr>
              <w:bidi w:val="0"/>
              <w:spacing w:after="0" w:line="276" w:lineRule="auto"/>
              <w:ind w:left="284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b) druhého stupňa jeden, dva alebo tri akademické roky, </w:t>
            </w:r>
          </w:p>
          <w:p w:rsidR="0086738A" w:rsidRPr="00A31075" w:rsidP="00A31075">
            <w:pPr>
              <w:bidi w:val="0"/>
              <w:spacing w:after="0" w:line="276" w:lineRule="auto"/>
              <w:ind w:left="284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c) spájajúci prvý a druhý stupeň päť alebo šesť akademických rokov, </w:t>
            </w:r>
          </w:p>
          <w:p w:rsidR="0086738A" w:rsidRPr="00A31075" w:rsidP="00A31075">
            <w:pPr>
              <w:bidi w:val="0"/>
              <w:spacing w:after="0" w:line="276" w:lineRule="auto"/>
              <w:ind w:left="284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d) tretieho stupňa tri, štyri alebo päť akademických rokov.  </w:t>
            </w:r>
          </w:p>
          <w:p w:rsidR="0086738A" w:rsidRPr="00A31075" w:rsidP="00A31075">
            <w:pPr>
              <w:pStyle w:val="Normlny"/>
              <w:bidi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  <w:lang w:eastAsia="sk-SK"/>
              </w:rPr>
            </w:pPr>
          </w:p>
          <w:p w:rsidR="00757E72" w:rsidP="00757E72">
            <w:pPr>
              <w:pStyle w:val="paragraph"/>
              <w:bidi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757E72" w:rsidRPr="00757E72" w:rsidP="00757E72">
            <w:pPr>
              <w:pStyle w:val="paragraph"/>
              <w:bidi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(1)</w:t>
            </w:r>
            <w:r w:rsidRPr="00757E72">
              <w:rPr>
                <w:rFonts w:ascii="Times New Roman" w:hAnsi="Times New Roman"/>
                <w:color w:val="000000"/>
                <w:sz w:val="19"/>
                <w:szCs w:val="19"/>
              </w:rPr>
              <w:t>Vysoká škola môže poskytovať vyššie odborné štúdium prostredníctvom krátkeho študijného programu. Vyšším odborným štúdiom podľa prvej vety nemožno získať odbornú spôsobilosť na výkon odborných pracovných činností v zdravotníckom povolaní.</w:t>
            </w:r>
            <w:r w:rsidRPr="00757E72">
              <w:rPr>
                <w:rFonts w:ascii="Times New Roman" w:hAnsi="Times New Roman"/>
                <w:color w:val="000000"/>
                <w:vertAlign w:val="superscript"/>
              </w:rPr>
              <w:t>46</w:t>
            </w:r>
            <w:r w:rsidRPr="00757E72">
              <w:rPr>
                <w:rFonts w:ascii="Times New Roman" w:hAnsi="Times New Roman"/>
                <w:color w:val="000000"/>
                <w:sz w:val="19"/>
                <w:szCs w:val="19"/>
              </w:rPr>
              <w:t>) </w:t>
            </w:r>
          </w:p>
          <w:p w:rsidR="00757E72" w:rsidP="00757E72">
            <w:pPr>
              <w:pStyle w:val="paragraph"/>
              <w:bidi w:val="0"/>
              <w:spacing w:before="0" w:beforeAutospacing="0" w:after="0" w:afterAutospacing="0" w:line="240" w:lineRule="auto"/>
              <w:ind w:left="270" w:hanging="270"/>
              <w:jc w:val="both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57E72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</w:p>
          <w:p w:rsidR="00757E72" w:rsidRPr="00757E72" w:rsidP="00757E72">
            <w:pPr>
              <w:pStyle w:val="paragraph"/>
              <w:bidi w:val="0"/>
              <w:spacing w:before="0" w:beforeAutospacing="0" w:after="0" w:afterAutospacing="0" w:line="240" w:lineRule="auto"/>
              <w:ind w:left="270" w:hanging="270"/>
              <w:jc w:val="both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(2) </w:t>
            </w:r>
            <w:r w:rsidRPr="00757E72">
              <w:rPr>
                <w:rFonts w:ascii="Times New Roman" w:hAnsi="Times New Roman"/>
                <w:color w:val="000000"/>
                <w:sz w:val="19"/>
                <w:szCs w:val="19"/>
              </w:rPr>
              <w:t>Krátky študijný program sa zameriava najmä na získanie praktických poznatkov a na zvládnutie použitia týchto poznatkov pri výkone povolania. </w:t>
            </w:r>
          </w:p>
          <w:p w:rsidR="00757E72" w:rsidRPr="00A31075" w:rsidP="00757E72">
            <w:pPr>
              <w:widowControl/>
              <w:autoSpaceDE/>
              <w:autoSpaceDN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Pr="00A31075">
              <w:rPr>
                <w:rFonts w:ascii="Times New Roman" w:hAnsi="Times New Roman"/>
                <w:sz w:val="19"/>
                <w:szCs w:val="19"/>
                <w:lang w:eastAsia="cs-CZ"/>
              </w:rPr>
              <w:t>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="00757E72">
              <w:rPr>
                <w:rFonts w:ascii="Times New Roman" w:hAnsi="Times New Roman"/>
                <w:sz w:val="19"/>
                <w:szCs w:val="19"/>
                <w:lang w:eastAsia="cs-CZ"/>
              </w:rPr>
              <w:t>GP-N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</w:tr>
      <w:tr>
        <w:tblPrEx>
          <w:tblW w:w="14388" w:type="dxa"/>
          <w:tblLayout w:type="fixed"/>
          <w:tblCellMar>
            <w:left w:w="70" w:type="dxa"/>
            <w:right w:w="70" w:type="dxa"/>
          </w:tblCellMar>
        </w:tblPrEx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120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Č: </w:t>
            </w:r>
          </w:p>
          <w:p w:rsidR="00495120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22</w:t>
            </w:r>
          </w:p>
          <w:p w:rsidR="00495120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495120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P: b)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120" w:rsidP="005D673B">
            <w:pPr>
              <w:pStyle w:val="CM4"/>
              <w:bidi w:val="0"/>
              <w:spacing w:before="60" w:after="60" w:line="240" w:lineRule="auto"/>
              <w:jc w:val="both"/>
              <w:rPr>
                <w:rFonts w:ascii="Times New Roman" w:hAnsi="Times New Roman"/>
                <w:iCs/>
                <w:color w:val="000000"/>
                <w:sz w:val="19"/>
                <w:szCs w:val="19"/>
              </w:rPr>
            </w:pPr>
            <w:r w:rsidRPr="00495120">
              <w:rPr>
                <w:rFonts w:ascii="Times New Roman" w:hAnsi="Times New Roman"/>
                <w:iCs/>
                <w:color w:val="000000"/>
                <w:sz w:val="19"/>
                <w:szCs w:val="19"/>
              </w:rPr>
              <w:t>Č</w:t>
            </w:r>
            <w:r w:rsidRPr="00495120">
              <w:rPr>
                <w:rFonts w:ascii="Times New Roman" w:hAnsi="Times New Roman"/>
                <w:iCs/>
                <w:color w:val="000000"/>
                <w:sz w:val="19"/>
                <w:szCs w:val="19"/>
              </w:rPr>
              <w:t>lenské štáty v súlade so svojimi špecifickými postupmi podporou kontinuálneho odborného rozvoja zaistia, aby pracovníci, ktorých</w:t>
            </w:r>
            <w:r w:rsidRPr="00495120">
              <w:rPr>
                <w:rFonts w:ascii="Times New Roman" w:hAnsi="Times New Roman"/>
              </w:rPr>
              <w:t xml:space="preserve"> </w:t>
            </w:r>
            <w:r w:rsidRPr="00495120">
              <w:rPr>
                <w:rFonts w:ascii="Times New Roman" w:hAnsi="Times New Roman"/>
                <w:iCs/>
                <w:color w:val="000000"/>
                <w:sz w:val="19"/>
                <w:szCs w:val="19"/>
              </w:rPr>
              <w:t>odborná kvalifikácia je uvedená</w:t>
            </w:r>
            <w:r w:rsidRPr="00495120">
              <w:rPr>
                <w:rFonts w:ascii="Times New Roman" w:hAnsi="Times New Roman"/>
                <w:iCs/>
                <w:color w:val="000000"/>
                <w:sz w:val="19"/>
                <w:szCs w:val="19"/>
              </w:rPr>
              <w:t xml:space="preserve"> v hlave III v tejto kapitole, mohli svoje znalosti, zručnosti a schopnosti obnovovať s cieľom zachovania bezpečného a účinného výkonu povolania a udržania kroku s vývojom. Členské štáty oznamujú Komisii opatrenia prijaté podľa odseku 1 písm. b) do 18. januára 2016.</w:t>
            </w:r>
          </w:p>
          <w:p w:rsidR="00495120" w:rsidP="0049512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95120" w:rsidP="0049512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95120" w:rsidRPr="00495120" w:rsidP="0049512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120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>
              <w:rPr>
                <w:rFonts w:ascii="Times New Roman" w:hAnsi="Times New Roman"/>
                <w:sz w:val="19"/>
                <w:szCs w:val="19"/>
                <w:lang w:eastAsia="cs-CZ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120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495120">
              <w:rPr>
                <w:rFonts w:ascii="Times New Roman" w:hAnsi="Times New Roman"/>
                <w:sz w:val="20"/>
                <w:szCs w:val="20"/>
                <w:lang w:eastAsia="cs-CZ"/>
              </w:rPr>
              <w:t>Zákon č. 578/2004 Z.z.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120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="00D759DA">
              <w:rPr>
                <w:rFonts w:ascii="Times New Roman" w:hAnsi="Times New Roman"/>
                <w:sz w:val="19"/>
                <w:szCs w:val="19"/>
                <w:lang w:eastAsia="cs-CZ"/>
              </w:rPr>
              <w:t>§ 39</w:t>
            </w: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>
              <w:rPr>
                <w:rFonts w:ascii="Times New Roman" w:hAnsi="Times New Roman"/>
                <w:sz w:val="19"/>
                <w:szCs w:val="19"/>
                <w:lang w:eastAsia="cs-CZ"/>
              </w:rPr>
              <w:t>O: 1</w:t>
            </w: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>
              <w:rPr>
                <w:rFonts w:ascii="Times New Roman" w:hAnsi="Times New Roman"/>
                <w:sz w:val="19"/>
                <w:szCs w:val="19"/>
                <w:lang w:eastAsia="cs-CZ"/>
              </w:rPr>
              <w:t>O: 4</w:t>
            </w: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>
              <w:rPr>
                <w:rFonts w:ascii="Times New Roman" w:hAnsi="Times New Roman"/>
                <w:sz w:val="19"/>
                <w:szCs w:val="19"/>
                <w:lang w:eastAsia="cs-CZ"/>
              </w:rPr>
              <w:t>§ 42</w:t>
            </w: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D759D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>
              <w:rPr>
                <w:rFonts w:ascii="Times New Roman" w:hAnsi="Times New Roman"/>
                <w:sz w:val="19"/>
                <w:szCs w:val="19"/>
                <w:lang w:eastAsia="cs-CZ"/>
              </w:rPr>
              <w:t xml:space="preserve">O: 1 až 4 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120" w:rsidP="0086738A">
            <w:pPr>
              <w:widowControl/>
              <w:autoSpaceDE/>
              <w:autoSpaceDN/>
              <w:bidi w:val="0"/>
              <w:adjustRightInd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D759DA" w:rsidP="0086738A">
            <w:pPr>
              <w:widowControl/>
              <w:autoSpaceDE/>
              <w:autoSpaceDN/>
              <w:bidi w:val="0"/>
              <w:adjustRightInd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D759DA" w:rsidP="0086738A">
            <w:pPr>
              <w:widowControl/>
              <w:autoSpaceDE/>
              <w:autoSpaceDN/>
              <w:bidi w:val="0"/>
              <w:adjustRightInd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59DA">
              <w:rPr>
                <w:rFonts w:ascii="Times New Roman" w:hAnsi="Times New Roman"/>
                <w:color w:val="000000"/>
                <w:sz w:val="19"/>
                <w:szCs w:val="19"/>
              </w:rPr>
              <w:t>(1) Ďalšie vzdelávanie zdravotníckeho pracovníka zahŕňa špecializačné štúdium na výkon špecializovaných pracovných činností, certifikačnú prípravu na výkon certifikovaných pracovných činností a sústavné vzdelávanie. Ďalšie vzdelávanie iného zdravotníckeho pracovníka podľa § 27 ods.</w:t>
            </w:r>
            <w:r>
              <w:rPr>
                <w:rFonts w:ascii="Times New Roman" w:hAnsi="Times New Roman"/>
              </w:rPr>
              <w:t xml:space="preserve"> </w:t>
            </w:r>
            <w:r w:rsidRPr="00D759DA">
              <w:rPr>
                <w:rFonts w:ascii="Times New Roman" w:hAnsi="Times New Roman"/>
                <w:color w:val="000000"/>
                <w:sz w:val="19"/>
                <w:szCs w:val="19"/>
              </w:rPr>
              <w:t>2 zahŕňa aj prípravu na výkon práce v zdravotníctve. Požiadavka prípravy na výkon práce v zdravotníctve neplatí, ak iný zdravotnícky pracovník podľa § 27 ods. 2 získal vysokoškolské vzdelanie, ktorému predchádzalo získanie odbornej spôsobilosti na výkon zdravotníckeho povolania podľa § 27 ods. 1.</w:t>
            </w:r>
          </w:p>
          <w:p w:rsidR="00D759DA" w:rsidP="0086738A">
            <w:pPr>
              <w:widowControl/>
              <w:autoSpaceDE/>
              <w:autoSpaceDN/>
              <w:bidi w:val="0"/>
              <w:adjustRightInd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D759DA" w:rsidP="0086738A">
            <w:pPr>
              <w:widowControl/>
              <w:autoSpaceDE/>
              <w:autoSpaceDN/>
              <w:bidi w:val="0"/>
              <w:adjustRightInd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D759DA" w:rsidP="0086738A">
            <w:pPr>
              <w:widowControl/>
              <w:autoSpaceDE/>
              <w:autoSpaceDN/>
              <w:bidi w:val="0"/>
              <w:adjustRightInd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59DA">
              <w:rPr>
                <w:rFonts w:ascii="Times New Roman" w:hAnsi="Times New Roman"/>
                <w:color w:val="000000"/>
                <w:sz w:val="19"/>
                <w:szCs w:val="19"/>
              </w:rPr>
              <w:t>(4) Ďalšie vzdelávanie pracovníkov v zdravotníctve je zvyšovanie alebo prehlbovanie odbornej spôsobilosti. Odborná spôsobilosť sa zvyšuje získaním diplomu o špecializácii a získaním certifikátu a prehlbuje sa získaním osvedčenia o príprave na výkon práce v zdravotníctve a sústavným vzdelávaním.</w:t>
            </w:r>
          </w:p>
          <w:p w:rsidR="00D759DA" w:rsidP="0086738A">
            <w:pPr>
              <w:widowControl/>
              <w:autoSpaceDE/>
              <w:autoSpaceDN/>
              <w:bidi w:val="0"/>
              <w:adjustRightInd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D759DA" w:rsidP="0086738A">
            <w:pPr>
              <w:widowControl/>
              <w:autoSpaceDE/>
              <w:autoSpaceDN/>
              <w:bidi w:val="0"/>
              <w:adjustRightInd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D759DA" w:rsidP="0086738A">
            <w:pPr>
              <w:widowControl/>
              <w:autoSpaceDE/>
              <w:autoSpaceDN/>
              <w:bidi w:val="0"/>
              <w:adjustRightInd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D759DA" w:rsidP="0086738A">
            <w:pPr>
              <w:widowControl/>
              <w:autoSpaceDE/>
              <w:autoSpaceDN/>
              <w:bidi w:val="0"/>
              <w:adjustRightInd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D759DA" w:rsidP="0086738A">
            <w:pPr>
              <w:widowControl/>
              <w:autoSpaceDE/>
              <w:autoSpaceDN/>
              <w:bidi w:val="0"/>
              <w:adjustRightInd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D759DA" w:rsidP="0086738A">
            <w:pPr>
              <w:widowControl/>
              <w:autoSpaceDE/>
              <w:autoSpaceDN/>
              <w:bidi w:val="0"/>
              <w:adjustRightInd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D759DA" w:rsidP="0086738A">
            <w:pPr>
              <w:widowControl/>
              <w:autoSpaceDE/>
              <w:autoSpaceDN/>
              <w:bidi w:val="0"/>
              <w:adjustRightInd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59D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(1) Zdravotnícky pracovník je povinný sa sústavne vzdelávať. </w:t>
            </w:r>
          </w:p>
          <w:p w:rsidR="00D759DA" w:rsidP="0086738A">
            <w:pPr>
              <w:widowControl/>
              <w:autoSpaceDE/>
              <w:autoSpaceDN/>
              <w:bidi w:val="0"/>
              <w:adjustRightInd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D759DA" w:rsidP="0086738A">
            <w:pPr>
              <w:widowControl/>
              <w:autoSpaceDE/>
              <w:autoSpaceDN/>
              <w:bidi w:val="0"/>
              <w:adjustRightInd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59D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(2) Sústavné vzdelávanie je priebežné obnovovanie, prehlbovanie a udržiavanie získanej odbornej spôsobilosti v súlade s rozvojom príslušných odborov po celý čas výkonu zdravotníckeho povolania. Účasť zdravotníckeho pracovníka na odborno-vedeckom podujatí, ktoré je zamerané na prezentáciu farmaceutického výrobku s účasťou výrobcov liekov, sa nepovažuje za sústavné vzdelávanie. </w:t>
            </w:r>
          </w:p>
          <w:p w:rsidR="00D759DA" w:rsidP="0086738A">
            <w:pPr>
              <w:widowControl/>
              <w:autoSpaceDE/>
              <w:autoSpaceDN/>
              <w:bidi w:val="0"/>
              <w:adjustRightInd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D759DA" w:rsidP="0086738A">
            <w:pPr>
              <w:widowControl/>
              <w:autoSpaceDE/>
              <w:autoSpaceDN/>
              <w:bidi w:val="0"/>
              <w:adjustRightInd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59DA">
              <w:rPr>
                <w:rFonts w:ascii="Times New Roman" w:hAnsi="Times New Roman"/>
                <w:color w:val="000000"/>
                <w:sz w:val="19"/>
                <w:szCs w:val="19"/>
              </w:rPr>
              <w:t>(3) Sústavné vzdelávanie pre zdravotníckych pracovníkov príslušného zdravotníckeho povolania zabezpečuje zamestnávateľ, odborné spoločnosti Slovenskej lekárskej</w:t>
            </w:r>
            <w:r>
              <w:rPr>
                <w:rFonts w:ascii="Times New Roman" w:hAnsi="Times New Roman"/>
              </w:rPr>
              <w:t xml:space="preserve"> </w:t>
            </w:r>
            <w:r w:rsidRPr="00D759DA">
              <w:rPr>
                <w:rFonts w:ascii="Times New Roman" w:hAnsi="Times New Roman"/>
                <w:color w:val="000000"/>
                <w:sz w:val="19"/>
                <w:szCs w:val="19"/>
              </w:rPr>
              <w:t>spoločnosti a komora, v ktorej je zdravotnícky pracovník registrovaný (§ 62 ods. 2 až 12), samostatne alebo v spolupráci so vzdelávacími ustanovizňami alebo inými medzinárodne uznanými odbornými spoločnosťami alebo profesiovými združeniami a poskytovateľmi, ak v odseku 4 nie je ustanovené inak. (4) Sústavné vzdelávanie sa uskutočňuje v akreditovaných študijných programoch sústavného vzdelávania (§ 40) alebo v neakreditovaných vzdelávacích aktivitách; neakreditovanou vzdelávacou aktivitou sa rozumie jednorazová vzdelávacia aktivita.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120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120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120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="00D759DA">
              <w:rPr>
                <w:rFonts w:ascii="Times New Roman" w:hAnsi="Times New Roman"/>
                <w:sz w:val="19"/>
                <w:szCs w:val="19"/>
                <w:lang w:eastAsia="cs-CZ"/>
              </w:rPr>
              <w:t>GP-N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120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</w:tr>
      <w:tr>
        <w:tblPrEx>
          <w:tblW w:w="14388" w:type="dxa"/>
          <w:tblLayout w:type="fixed"/>
          <w:tblCellMar>
            <w:left w:w="70" w:type="dxa"/>
            <w:right w:w="70" w:type="dxa"/>
          </w:tblCellMar>
        </w:tblPrEx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sz w:val="19"/>
                <w:szCs w:val="19"/>
              </w:rPr>
              <w:t>Č:</w:t>
            </w: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sz w:val="19"/>
                <w:szCs w:val="19"/>
              </w:rPr>
              <w:t>24</w:t>
            </w: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sz w:val="19"/>
                <w:szCs w:val="19"/>
              </w:rPr>
              <w:t>O:1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pStyle w:val="CM4"/>
              <w:bidi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O d d i e l 2</w:t>
            </w:r>
          </w:p>
          <w:p w:rsidR="0086738A" w:rsidRPr="00A31075" w:rsidP="005D673B">
            <w:pPr>
              <w:pStyle w:val="CM4"/>
              <w:bidi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L e k á r i</w:t>
            </w:r>
          </w:p>
          <w:p w:rsidR="0086738A" w:rsidRPr="00A31075" w:rsidP="005D673B">
            <w:pPr>
              <w:pStyle w:val="CM4"/>
              <w:bidi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b/>
                <w:iCs/>
                <w:color w:val="000000"/>
                <w:sz w:val="19"/>
                <w:szCs w:val="19"/>
              </w:rPr>
              <w:t>Článok 24</w:t>
            </w:r>
          </w:p>
          <w:p w:rsidR="0086738A" w:rsidRPr="00A31075" w:rsidP="005D673B">
            <w:pPr>
              <w:pStyle w:val="CM4"/>
              <w:bidi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Základná lekárska odborná príprava</w:t>
            </w:r>
          </w:p>
          <w:p w:rsidR="0086738A" w:rsidRPr="00A31075" w:rsidP="005D673B">
            <w:pPr>
              <w:pStyle w:val="CM4"/>
              <w:bidi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>1. Prijatie na základnú lekársku odbornú prí</w:t>
            </w: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pravu je podmienené držaním diplomu alebo osvedčenia, ktoré poskytujú prístup na príslušné štúdium na univerzite. </w:t>
            </w:r>
            <w:r w:rsidRPr="00A31075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  <w:p w:rsidR="0086738A" w:rsidRPr="00A31075" w:rsidP="005D673B">
            <w:pPr>
              <w:widowControl/>
              <w:bidi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Pr="00A31075">
              <w:rPr>
                <w:rFonts w:ascii="Times New Roman" w:hAnsi="Times New Roman"/>
                <w:sz w:val="19"/>
                <w:szCs w:val="19"/>
                <w:lang w:eastAsia="cs-CZ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31075">
              <w:rPr>
                <w:rFonts w:ascii="Times New Roman" w:hAnsi="Times New Roman"/>
                <w:sz w:val="20"/>
                <w:szCs w:val="20"/>
                <w:lang w:eastAsia="cs-CZ"/>
              </w:rPr>
              <w:t>Návrh zákona Čl. 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1075">
              <w:rPr>
                <w:rFonts w:ascii="Times New Roman" w:hAnsi="Times New Roman"/>
                <w:sz w:val="20"/>
                <w:szCs w:val="20"/>
              </w:rPr>
              <w:t>§ 68</w:t>
            </w:r>
          </w:p>
          <w:p w:rsidR="0086738A" w:rsidRPr="00A31075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1075">
              <w:rPr>
                <w:rFonts w:ascii="Times New Roman" w:hAnsi="Times New Roman"/>
                <w:sz w:val="20"/>
                <w:szCs w:val="20"/>
              </w:rPr>
              <w:t xml:space="preserve">P: a) </w:t>
            </w:r>
          </w:p>
          <w:p w:rsidR="0086738A" w:rsidRPr="00A31075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A3107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§ 68 písm. a) </w:t>
            </w:r>
          </w:p>
          <w:p w:rsidR="0086738A" w:rsidRPr="00A31075" w:rsidP="00A3107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>Základnou podmienkou prijatia na štúdium</w:t>
            </w:r>
          </w:p>
          <w:p w:rsidR="0086738A" w:rsidRPr="00A31075" w:rsidP="004360A5">
            <w:pPr>
              <w:pStyle w:val="ListParagraph"/>
              <w:numPr>
                <w:ilvl w:val="2"/>
                <w:numId w:val="3"/>
              </w:numPr>
              <w:bidi w:val="0"/>
              <w:spacing w:after="0" w:line="240" w:lineRule="auto"/>
              <w:ind w:left="284" w:firstLine="0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>študijného programu prvého stupňa alebo na štúdium študijného programu spájajúci prvý stupeň a druhý stupeň je úplné stredné vzdelanie alebo úplné stredné odborné vzdelanie,</w:t>
            </w:r>
          </w:p>
          <w:p w:rsidR="0086738A" w:rsidRPr="00A31075" w:rsidP="005D673B">
            <w:pPr>
              <w:pStyle w:val="odstaveczakona"/>
              <w:numPr>
                <w:numId w:val="0"/>
              </w:numPr>
              <w:tabs>
                <w:tab w:val="left" w:pos="708"/>
                <w:tab w:val="clear" w:pos="720"/>
              </w:tabs>
              <w:bidi w:val="0"/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Pr="00A31075">
              <w:rPr>
                <w:rFonts w:ascii="Times New Roman" w:hAnsi="Times New Roman"/>
                <w:sz w:val="19"/>
                <w:szCs w:val="19"/>
                <w:lang w:eastAsia="cs-CZ"/>
              </w:rPr>
              <w:t>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="00757E72">
              <w:rPr>
                <w:rFonts w:ascii="Times New Roman" w:hAnsi="Times New Roman"/>
                <w:sz w:val="19"/>
                <w:szCs w:val="19"/>
                <w:lang w:eastAsia="cs-CZ"/>
              </w:rPr>
              <w:t>GP-N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</w:tr>
      <w:tr>
        <w:tblPrEx>
          <w:tblW w:w="14388" w:type="dxa"/>
          <w:tblLayout w:type="fixed"/>
          <w:tblCellMar>
            <w:left w:w="70" w:type="dxa"/>
            <w:right w:w="70" w:type="dxa"/>
          </w:tblCellMar>
        </w:tblPrEx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sz w:val="19"/>
                <w:szCs w:val="19"/>
              </w:rPr>
              <w:t>Č: 34</w:t>
            </w: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sz w:val="19"/>
                <w:szCs w:val="19"/>
              </w:rPr>
              <w:t>O:1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pStyle w:val="CM4"/>
              <w:bidi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O d d i e l 4</w:t>
            </w:r>
          </w:p>
          <w:p w:rsidR="0086738A" w:rsidRPr="00A31075" w:rsidP="005D673B">
            <w:pPr>
              <w:pStyle w:val="CM4"/>
              <w:bidi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Z u b n í l e k á r i</w:t>
            </w:r>
          </w:p>
          <w:p w:rsidR="0086738A" w:rsidRPr="00A31075" w:rsidP="005D673B">
            <w:pPr>
              <w:pStyle w:val="CM4"/>
              <w:bidi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b/>
                <w:iCs/>
                <w:color w:val="000000"/>
                <w:sz w:val="19"/>
                <w:szCs w:val="19"/>
              </w:rPr>
              <w:t>Článok 34</w:t>
            </w:r>
          </w:p>
          <w:p w:rsidR="0086738A" w:rsidRPr="00A31075" w:rsidP="005D673B">
            <w:pPr>
              <w:pStyle w:val="CM4"/>
              <w:bidi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Základná odborná príprava zubného lekára</w:t>
            </w:r>
          </w:p>
          <w:p w:rsidR="0086738A" w:rsidRPr="00A31075" w:rsidP="005D673B">
            <w:pPr>
              <w:pStyle w:val="CM4"/>
              <w:bidi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1. Pripustenie k základnej odbornej príprave zubného lekára predpokladá držanie diplomu alebo osvedčenia, ktoré umožňuje pre príslušné štúdium prístup na univerzitu alebo na vyššiu inštitúciu, ktorej úroveň sa v členskom štáte uznáva za rovnocennú. </w:t>
            </w:r>
          </w:p>
          <w:p w:rsidR="0086738A" w:rsidRPr="00A31075" w:rsidP="005D673B">
            <w:pPr>
              <w:widowControl/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Pr="00A31075">
              <w:rPr>
                <w:rFonts w:ascii="Times New Roman" w:hAnsi="Times New Roman"/>
                <w:sz w:val="19"/>
                <w:szCs w:val="19"/>
                <w:lang w:eastAsia="cs-CZ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31075">
              <w:rPr>
                <w:rFonts w:ascii="Times New Roman" w:hAnsi="Times New Roman"/>
                <w:sz w:val="20"/>
                <w:szCs w:val="20"/>
                <w:lang w:eastAsia="cs-CZ"/>
              </w:rPr>
              <w:t>Návrh zákona Čl. 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A3107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1075">
              <w:rPr>
                <w:rFonts w:ascii="Times New Roman" w:hAnsi="Times New Roman"/>
                <w:sz w:val="20"/>
                <w:szCs w:val="20"/>
              </w:rPr>
              <w:t>§ 68</w:t>
            </w:r>
          </w:p>
          <w:p w:rsidR="0086738A" w:rsidRPr="00A31075" w:rsidP="00A3107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1075">
              <w:rPr>
                <w:rFonts w:ascii="Times New Roman" w:hAnsi="Times New Roman"/>
                <w:sz w:val="20"/>
                <w:szCs w:val="20"/>
              </w:rPr>
              <w:t xml:space="preserve">P: a) </w:t>
            </w:r>
          </w:p>
          <w:p w:rsidR="0086738A" w:rsidRPr="00A31075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738A" w:rsidRPr="00A31075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738A" w:rsidRPr="00A31075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A3107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§ 68 písm. a) </w:t>
            </w:r>
          </w:p>
          <w:p w:rsidR="0086738A" w:rsidRPr="00A31075" w:rsidP="00A3107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>Základnou podmienkou prijatia na štúdium</w:t>
            </w:r>
          </w:p>
          <w:p w:rsidR="0086738A" w:rsidRPr="00A31075" w:rsidP="00A31075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>a) študijného programu prvého stupňa alebo na štúdium študijného programu spájajúci prvý stupeň a druhý stupeň je úplné stredné vzdelanie alebo úplné stredné</w:t>
            </w: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odborné vzdelanie,</w:t>
            </w:r>
          </w:p>
          <w:p w:rsidR="0086738A" w:rsidRPr="00A31075" w:rsidP="005D673B">
            <w:pPr>
              <w:pStyle w:val="odstaveczakona"/>
              <w:numPr>
                <w:numId w:val="0"/>
              </w:numPr>
              <w:tabs>
                <w:tab w:val="left" w:pos="708"/>
                <w:tab w:val="clear" w:pos="720"/>
              </w:tabs>
              <w:bidi w:val="0"/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>
              <w:rPr>
                <w:rFonts w:ascii="Times New Roman" w:hAnsi="Times New Roman"/>
                <w:sz w:val="19"/>
                <w:szCs w:val="19"/>
                <w:lang w:eastAsia="cs-CZ"/>
              </w:rPr>
              <w:t>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="00757E72">
              <w:rPr>
                <w:rFonts w:ascii="Times New Roman" w:hAnsi="Times New Roman"/>
                <w:sz w:val="19"/>
                <w:szCs w:val="19"/>
                <w:lang w:eastAsia="cs-CZ"/>
              </w:rPr>
              <w:t>GP-N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</w:tr>
      <w:tr>
        <w:tblPrEx>
          <w:tblW w:w="14388" w:type="dxa"/>
          <w:tblLayout w:type="fixed"/>
          <w:tblCellMar>
            <w:left w:w="70" w:type="dxa"/>
            <w:right w:w="70" w:type="dxa"/>
          </w:tblCellMar>
        </w:tblPrEx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sz w:val="19"/>
                <w:szCs w:val="19"/>
              </w:rPr>
              <w:t>Č: 40</w:t>
            </w: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sz w:val="19"/>
                <w:szCs w:val="19"/>
              </w:rPr>
              <w:t>O:2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pStyle w:val="CM1"/>
              <w:bidi w:val="0"/>
              <w:spacing w:before="200" w:after="20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2. Prijatie na odbornú prípravu pôrodnej asistentky je podmienené jednou z týchto podmienok: </w:t>
            </w:r>
          </w:p>
          <w:p w:rsidR="0086738A" w:rsidRPr="00A31075" w:rsidP="005D673B">
            <w:pPr>
              <w:widowControl/>
              <w:bidi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>a) dokončením aspoň dvanásťročného všeobecného vzdelania alebo vlastníctvom osvedčenia potvrdzujúceho úspešné zlož</w:t>
            </w: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enie prijímacej skúšky alebo rovnocennej úrovne na prijatie do školy pôrodných asistentiek pre smer I; </w:t>
            </w:r>
          </w:p>
          <w:p w:rsidR="0086738A" w:rsidRPr="00A31075" w:rsidP="005D673B">
            <w:pPr>
              <w:widowControl/>
              <w:bidi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b) vlastníctvo dokladu o formálnej kvalifikácii sestry zodpovednej za všeobecnú starostlivosť podľa prílohy V bodu 5.2.2 pre smer II.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Pr="00A31075">
              <w:rPr>
                <w:rFonts w:ascii="Times New Roman" w:hAnsi="Times New Roman"/>
                <w:sz w:val="19"/>
                <w:szCs w:val="19"/>
                <w:lang w:eastAsia="cs-CZ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31075">
              <w:rPr>
                <w:rFonts w:ascii="Times New Roman" w:hAnsi="Times New Roman"/>
                <w:sz w:val="20"/>
                <w:szCs w:val="20"/>
                <w:lang w:eastAsia="cs-CZ"/>
              </w:rPr>
              <w:t>Návrh zákona Čl. 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A3107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1075">
              <w:rPr>
                <w:rFonts w:ascii="Times New Roman" w:hAnsi="Times New Roman"/>
                <w:sz w:val="20"/>
                <w:szCs w:val="20"/>
              </w:rPr>
              <w:t>§ 68</w:t>
            </w:r>
          </w:p>
          <w:p w:rsidR="0086738A" w:rsidRPr="00A31075" w:rsidP="00A3107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1075">
              <w:rPr>
                <w:rFonts w:ascii="Times New Roman" w:hAnsi="Times New Roman"/>
                <w:sz w:val="20"/>
                <w:szCs w:val="20"/>
              </w:rPr>
              <w:t xml:space="preserve">P: a) </w:t>
            </w:r>
          </w:p>
          <w:p w:rsidR="0086738A" w:rsidRPr="00A31075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A3107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§ 68 písm. a) </w:t>
            </w:r>
          </w:p>
          <w:p w:rsidR="0086738A" w:rsidRPr="00A31075" w:rsidP="00A3107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>Základnou podmienkou prijatia na štúdium</w:t>
            </w:r>
          </w:p>
          <w:p w:rsidR="0086738A" w:rsidRPr="00A31075" w:rsidP="00A31075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>a)študijného programu prvého stupňa alebo na štúdium študijného programu spájajúci prvý stupeň a druhý stupeň je úplné stredné vzdelanie alebo úplné stredné odborné</w:t>
            </w: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vzdelanie,</w:t>
            </w:r>
          </w:p>
          <w:p w:rsidR="0086738A" w:rsidRPr="00A31075" w:rsidP="005D673B">
            <w:pPr>
              <w:pStyle w:val="odstaveczakona"/>
              <w:numPr>
                <w:numId w:val="0"/>
              </w:numPr>
              <w:tabs>
                <w:tab w:val="left" w:pos="708"/>
                <w:tab w:val="clear" w:pos="720"/>
              </w:tabs>
              <w:bidi w:val="0"/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Pr="00A31075">
              <w:rPr>
                <w:rFonts w:ascii="Times New Roman" w:hAnsi="Times New Roman"/>
                <w:sz w:val="19"/>
                <w:szCs w:val="19"/>
                <w:lang w:eastAsia="cs-CZ"/>
              </w:rPr>
              <w:t>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="00757E72">
              <w:rPr>
                <w:rFonts w:ascii="Times New Roman" w:hAnsi="Times New Roman"/>
                <w:sz w:val="19"/>
                <w:szCs w:val="19"/>
                <w:lang w:eastAsia="cs-CZ"/>
              </w:rPr>
              <w:t>GP-N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</w:tr>
      <w:tr>
        <w:tblPrEx>
          <w:tblW w:w="14388" w:type="dxa"/>
          <w:tblLayout w:type="fixed"/>
          <w:tblCellMar>
            <w:left w:w="70" w:type="dxa"/>
            <w:right w:w="70" w:type="dxa"/>
          </w:tblCellMar>
        </w:tblPrEx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sz w:val="19"/>
                <w:szCs w:val="19"/>
              </w:rPr>
              <w:t>Č: 44</w:t>
            </w: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sz w:val="19"/>
                <w:szCs w:val="19"/>
              </w:rPr>
              <w:t>O:1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pStyle w:val="CM4"/>
              <w:bidi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O d d i e l 7</w:t>
            </w:r>
          </w:p>
          <w:p w:rsidR="0086738A" w:rsidRPr="00A31075" w:rsidP="005D673B">
            <w:pPr>
              <w:pStyle w:val="CM4"/>
              <w:bidi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F a r m a c e u t</w:t>
            </w:r>
          </w:p>
          <w:p w:rsidR="0086738A" w:rsidRPr="00A31075" w:rsidP="005D673B">
            <w:pPr>
              <w:pStyle w:val="CM4"/>
              <w:bidi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b/>
                <w:iCs/>
                <w:color w:val="000000"/>
                <w:sz w:val="19"/>
                <w:szCs w:val="19"/>
              </w:rPr>
              <w:t>Článok 44</w:t>
            </w:r>
          </w:p>
          <w:p w:rsidR="0086738A" w:rsidRPr="00A31075" w:rsidP="005D673B">
            <w:pPr>
              <w:pStyle w:val="CM4"/>
              <w:bidi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Odborná príprava farmaceuta</w:t>
            </w:r>
          </w:p>
          <w:p w:rsidR="0086738A" w:rsidRPr="00A31075" w:rsidP="005D673B">
            <w:pPr>
              <w:pStyle w:val="CM4"/>
              <w:bidi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1. Prístup ku kurzu odbornej prípravy farmaceuta je podmienený držaním diplomu alebo osvedčenia, ktoré umožňuje pre príslušné štúdium v členskom štáte prístup na univerzitu alebo na vyššiu inštitúciu, ktorej úroveň sa v členskom štáte uznáva za rovnocennú.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Pr="00A31075">
              <w:rPr>
                <w:rFonts w:ascii="Times New Roman" w:hAnsi="Times New Roman"/>
                <w:sz w:val="19"/>
                <w:szCs w:val="19"/>
                <w:lang w:eastAsia="cs-CZ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31075">
              <w:rPr>
                <w:rFonts w:ascii="Times New Roman" w:hAnsi="Times New Roman"/>
                <w:sz w:val="20"/>
                <w:szCs w:val="20"/>
                <w:lang w:eastAsia="cs-CZ"/>
              </w:rPr>
              <w:t>Návrh zákona Čl. 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A3107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1075">
              <w:rPr>
                <w:rFonts w:ascii="Times New Roman" w:hAnsi="Times New Roman"/>
                <w:sz w:val="20"/>
                <w:szCs w:val="20"/>
              </w:rPr>
              <w:t>§ 68</w:t>
            </w:r>
          </w:p>
          <w:p w:rsidR="0086738A" w:rsidRPr="00A31075" w:rsidP="00A3107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1075">
              <w:rPr>
                <w:rFonts w:ascii="Times New Roman" w:hAnsi="Times New Roman"/>
                <w:sz w:val="20"/>
                <w:szCs w:val="20"/>
              </w:rPr>
              <w:t xml:space="preserve">P: a) </w:t>
            </w:r>
          </w:p>
          <w:p w:rsidR="0086738A" w:rsidRPr="00A31075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A3107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§ 68 písm. a) </w:t>
            </w:r>
          </w:p>
          <w:p w:rsidR="0086738A" w:rsidRPr="00A31075" w:rsidP="00A3107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>Základnou podmienkou prijatia na štúdium</w:t>
            </w:r>
          </w:p>
          <w:p w:rsidR="0086738A" w:rsidRPr="00A31075" w:rsidP="00A31075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31075">
              <w:rPr>
                <w:rFonts w:ascii="Times New Roman" w:hAnsi="Times New Roman"/>
                <w:color w:val="000000"/>
                <w:sz w:val="19"/>
                <w:szCs w:val="19"/>
              </w:rPr>
              <w:t>študijného programu prvého stupňa alebo na štúdium študijného programu spájajúci prvý stupeň a druhý stupeň je úplné stredné vzdelanie alebo úplné stredné odborné vzdelanie,</w:t>
            </w:r>
          </w:p>
          <w:p w:rsidR="0086738A" w:rsidRPr="00A31075" w:rsidP="005D673B">
            <w:pPr>
              <w:pStyle w:val="odstaveczakona"/>
              <w:numPr>
                <w:numId w:val="0"/>
              </w:numPr>
              <w:tabs>
                <w:tab w:val="left" w:pos="708"/>
                <w:tab w:val="clear" w:pos="720"/>
              </w:tabs>
              <w:bidi w:val="0"/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Pr="00A31075">
              <w:rPr>
                <w:rFonts w:ascii="Times New Roman" w:hAnsi="Times New Roman"/>
                <w:sz w:val="19"/>
                <w:szCs w:val="19"/>
                <w:lang w:eastAsia="cs-CZ"/>
              </w:rPr>
              <w:t>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="00757E72">
              <w:rPr>
                <w:rFonts w:ascii="Times New Roman" w:hAnsi="Times New Roman"/>
                <w:sz w:val="19"/>
                <w:szCs w:val="19"/>
                <w:lang w:eastAsia="cs-CZ"/>
              </w:rPr>
              <w:t>GP-N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</w:tr>
    </w:tbl>
    <w:p w:rsidR="0086738A" w:rsidP="0086738A">
      <w:pPr>
        <w:pStyle w:val="BodyText"/>
        <w:bidi w:val="0"/>
        <w:ind w:left="1116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Vyjadrenie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opodstatnenosti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goldplatingu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jeho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odôvodnenie:</w:t>
      </w:r>
    </w:p>
    <w:p w:rsidR="0086738A" w:rsidP="005D673B">
      <w:pPr>
        <w:bidi w:val="0"/>
        <w:jc w:val="both"/>
        <w:rPr>
          <w:rFonts w:ascii="Times New Roman" w:hAnsi="Times New Roman"/>
          <w:sz w:val="19"/>
          <w:szCs w:val="19"/>
        </w:rPr>
      </w:pPr>
    </w:p>
    <w:p w:rsidR="00EE4444" w:rsidRPr="00A31075" w:rsidP="005D673B">
      <w:pPr>
        <w:bidi w:val="0"/>
        <w:jc w:val="both"/>
        <w:rPr>
          <w:rFonts w:ascii="Times New Roman" w:hAnsi="Times New Roman"/>
          <w:sz w:val="19"/>
          <w:szCs w:val="19"/>
        </w:rPr>
      </w:pPr>
    </w:p>
    <w:tbl>
      <w:tblPr>
        <w:tblStyle w:val="TableNormal"/>
        <w:tblW w:w="241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</w:tblGrid>
      <w:tr>
        <w:tblPrEx>
          <w:tblW w:w="241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1B7D" w:rsidRPr="00A31075" w:rsidP="009B1B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EE4444" w:rsidRPr="00FB51BD" w:rsidP="005D673B">
      <w:pPr>
        <w:bidi w:val="0"/>
        <w:jc w:val="both"/>
        <w:rPr>
          <w:rFonts w:ascii="Times New Roman" w:hAnsi="Times New Roman"/>
          <w:sz w:val="19"/>
          <w:szCs w:val="19"/>
        </w:rPr>
      </w:pPr>
    </w:p>
    <w:p w:rsidR="004A2C24" w:rsidRPr="008013C0" w:rsidP="005D673B">
      <w:pPr>
        <w:widowControl/>
        <w:bidi w:val="0"/>
        <w:jc w:val="both"/>
        <w:rPr>
          <w:rFonts w:ascii="Times New Roman" w:hAnsi="Times New Roman"/>
          <w:sz w:val="19"/>
          <w:szCs w:val="19"/>
        </w:rPr>
      </w:pPr>
    </w:p>
    <w:sectPr>
      <w:footerReference w:type="even" r:id="rId6"/>
      <w:footerReference w:type="default" r:id="rId7"/>
      <w:pgSz w:w="16838" w:h="11906" w:orient="landscape"/>
      <w:pgMar w:top="1418" w:right="1418" w:bottom="1418" w:left="1418" w:header="709" w:footer="709" w:gutter="0"/>
      <w:lnNumType w:distance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FE7" w:rsidP="008F7C65">
    <w:pPr>
      <w:pStyle w:val="Footer"/>
      <w:framePr w:vAnchor="text" w:hAnchor="margin" w:xAlign="right" w:y="1"/>
      <w:widowControl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15FE7" w:rsidP="008F7C65">
    <w:pPr>
      <w:pStyle w:val="Footer"/>
      <w:widowControl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FE7" w:rsidP="008F7C65">
    <w:pPr>
      <w:pStyle w:val="Footer"/>
      <w:framePr w:vAnchor="text" w:hAnchor="margin" w:xAlign="right" w:y="1"/>
      <w:widowControl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23056">
      <w:rPr>
        <w:rStyle w:val="PageNumber"/>
        <w:rFonts w:ascii="Times New Roman" w:hAnsi="Times New Roman"/>
        <w:noProof/>
      </w:rPr>
      <w:t>200</w:t>
    </w:r>
    <w:r>
      <w:rPr>
        <w:rStyle w:val="PageNumber"/>
        <w:rFonts w:ascii="Times New Roman" w:hAnsi="Times New Roman"/>
      </w:rPr>
      <w:fldChar w:fldCharType="end"/>
    </w:r>
  </w:p>
  <w:p w:rsidR="00515FE7" w:rsidP="008F7C65">
    <w:pPr>
      <w:pStyle w:val="Footer"/>
      <w:widowControl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4A54"/>
    <w:multiLevelType w:val="hybrid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D5A5B0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42050D41"/>
    <w:multiLevelType w:val="hybridMultilevel"/>
    <w:tmpl w:val="FFFFFFFF"/>
    <w:lvl w:ilvl="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A445027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51A01EFB"/>
    <w:multiLevelType w:val="hybridMultilevel"/>
    <w:tmpl w:val="FFFFFFFF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7132591D"/>
    <w:multiLevelType w:val="hybridMultilevel"/>
    <w:tmpl w:val="FFFFFFFF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54759"/>
    <w:rsid w:val="000066FB"/>
    <w:rsid w:val="00017BE8"/>
    <w:rsid w:val="00021CFE"/>
    <w:rsid w:val="000351B4"/>
    <w:rsid w:val="00036045"/>
    <w:rsid w:val="00037839"/>
    <w:rsid w:val="00047FE8"/>
    <w:rsid w:val="000502E9"/>
    <w:rsid w:val="000533E0"/>
    <w:rsid w:val="00054837"/>
    <w:rsid w:val="00060E82"/>
    <w:rsid w:val="000735BF"/>
    <w:rsid w:val="00073E54"/>
    <w:rsid w:val="0007643C"/>
    <w:rsid w:val="00090686"/>
    <w:rsid w:val="000A1146"/>
    <w:rsid w:val="000A66B3"/>
    <w:rsid w:val="000B0080"/>
    <w:rsid w:val="000C0739"/>
    <w:rsid w:val="000C18DD"/>
    <w:rsid w:val="000C51E1"/>
    <w:rsid w:val="000D36A7"/>
    <w:rsid w:val="000D632E"/>
    <w:rsid w:val="000D7A08"/>
    <w:rsid w:val="000E2DEF"/>
    <w:rsid w:val="000F145D"/>
    <w:rsid w:val="000F148E"/>
    <w:rsid w:val="000F33D0"/>
    <w:rsid w:val="000F39A1"/>
    <w:rsid w:val="00103382"/>
    <w:rsid w:val="0010761A"/>
    <w:rsid w:val="001135AE"/>
    <w:rsid w:val="0011649C"/>
    <w:rsid w:val="00116D4E"/>
    <w:rsid w:val="001229D5"/>
    <w:rsid w:val="001333AA"/>
    <w:rsid w:val="00133A05"/>
    <w:rsid w:val="001341E7"/>
    <w:rsid w:val="00134D60"/>
    <w:rsid w:val="00164421"/>
    <w:rsid w:val="00164B99"/>
    <w:rsid w:val="0017549E"/>
    <w:rsid w:val="0019523F"/>
    <w:rsid w:val="001A6261"/>
    <w:rsid w:val="001A67A5"/>
    <w:rsid w:val="001B26AA"/>
    <w:rsid w:val="001B66D4"/>
    <w:rsid w:val="001B77AF"/>
    <w:rsid w:val="001C4A0D"/>
    <w:rsid w:val="001C6F75"/>
    <w:rsid w:val="001D784A"/>
    <w:rsid w:val="001E2051"/>
    <w:rsid w:val="001F3FD1"/>
    <w:rsid w:val="00202F29"/>
    <w:rsid w:val="00204615"/>
    <w:rsid w:val="00213643"/>
    <w:rsid w:val="0021729A"/>
    <w:rsid w:val="00221331"/>
    <w:rsid w:val="00222C41"/>
    <w:rsid w:val="00227E2F"/>
    <w:rsid w:val="002309B4"/>
    <w:rsid w:val="00241B24"/>
    <w:rsid w:val="0024542F"/>
    <w:rsid w:val="00247742"/>
    <w:rsid w:val="002557B6"/>
    <w:rsid w:val="0027082B"/>
    <w:rsid w:val="00276ED5"/>
    <w:rsid w:val="00281861"/>
    <w:rsid w:val="00281863"/>
    <w:rsid w:val="002A5330"/>
    <w:rsid w:val="002B6972"/>
    <w:rsid w:val="002B6C13"/>
    <w:rsid w:val="002B7DFC"/>
    <w:rsid w:val="002C1950"/>
    <w:rsid w:val="002E201F"/>
    <w:rsid w:val="002E4A91"/>
    <w:rsid w:val="002E6000"/>
    <w:rsid w:val="002E745F"/>
    <w:rsid w:val="002F01A8"/>
    <w:rsid w:val="002F4338"/>
    <w:rsid w:val="0030427F"/>
    <w:rsid w:val="00310C2F"/>
    <w:rsid w:val="003152A5"/>
    <w:rsid w:val="00324ED0"/>
    <w:rsid w:val="00325C33"/>
    <w:rsid w:val="0034395F"/>
    <w:rsid w:val="00344C10"/>
    <w:rsid w:val="00350365"/>
    <w:rsid w:val="00354759"/>
    <w:rsid w:val="00364267"/>
    <w:rsid w:val="00367948"/>
    <w:rsid w:val="0037380A"/>
    <w:rsid w:val="00382840"/>
    <w:rsid w:val="00385A80"/>
    <w:rsid w:val="003916A7"/>
    <w:rsid w:val="00392B15"/>
    <w:rsid w:val="003A73E4"/>
    <w:rsid w:val="003B2872"/>
    <w:rsid w:val="003B4B3F"/>
    <w:rsid w:val="003C2173"/>
    <w:rsid w:val="003C2460"/>
    <w:rsid w:val="003D53BF"/>
    <w:rsid w:val="00405C96"/>
    <w:rsid w:val="0040610E"/>
    <w:rsid w:val="00415575"/>
    <w:rsid w:val="00415CFB"/>
    <w:rsid w:val="00426437"/>
    <w:rsid w:val="0043494B"/>
    <w:rsid w:val="004360A5"/>
    <w:rsid w:val="00442DAF"/>
    <w:rsid w:val="0044300D"/>
    <w:rsid w:val="00447AEA"/>
    <w:rsid w:val="004534C0"/>
    <w:rsid w:val="00460297"/>
    <w:rsid w:val="00465948"/>
    <w:rsid w:val="004813AE"/>
    <w:rsid w:val="004832B1"/>
    <w:rsid w:val="00483961"/>
    <w:rsid w:val="00492323"/>
    <w:rsid w:val="00493025"/>
    <w:rsid w:val="00495120"/>
    <w:rsid w:val="0049535E"/>
    <w:rsid w:val="004A11AE"/>
    <w:rsid w:val="004A2156"/>
    <w:rsid w:val="004A2C24"/>
    <w:rsid w:val="004A72AF"/>
    <w:rsid w:val="004B17EB"/>
    <w:rsid w:val="004B1D1F"/>
    <w:rsid w:val="004B40BE"/>
    <w:rsid w:val="004C7909"/>
    <w:rsid w:val="004E4B64"/>
    <w:rsid w:val="004E7641"/>
    <w:rsid w:val="00503A24"/>
    <w:rsid w:val="00506842"/>
    <w:rsid w:val="00514C41"/>
    <w:rsid w:val="00515FE7"/>
    <w:rsid w:val="005176D9"/>
    <w:rsid w:val="005272A1"/>
    <w:rsid w:val="0053031C"/>
    <w:rsid w:val="00553904"/>
    <w:rsid w:val="00554118"/>
    <w:rsid w:val="0056613D"/>
    <w:rsid w:val="005716A0"/>
    <w:rsid w:val="00594560"/>
    <w:rsid w:val="0059726F"/>
    <w:rsid w:val="005D2CF4"/>
    <w:rsid w:val="005D673B"/>
    <w:rsid w:val="005E2466"/>
    <w:rsid w:val="005E6AAB"/>
    <w:rsid w:val="005F1CD8"/>
    <w:rsid w:val="005F2960"/>
    <w:rsid w:val="005F31CC"/>
    <w:rsid w:val="005F42C6"/>
    <w:rsid w:val="005F5B63"/>
    <w:rsid w:val="00601590"/>
    <w:rsid w:val="00607DF6"/>
    <w:rsid w:val="00610392"/>
    <w:rsid w:val="00610C52"/>
    <w:rsid w:val="00611F16"/>
    <w:rsid w:val="0061562B"/>
    <w:rsid w:val="00617371"/>
    <w:rsid w:val="006259B8"/>
    <w:rsid w:val="00632DA7"/>
    <w:rsid w:val="006349E3"/>
    <w:rsid w:val="00634CE7"/>
    <w:rsid w:val="0065205E"/>
    <w:rsid w:val="00652385"/>
    <w:rsid w:val="00652C4A"/>
    <w:rsid w:val="006554D2"/>
    <w:rsid w:val="00656B16"/>
    <w:rsid w:val="00667FFB"/>
    <w:rsid w:val="00672644"/>
    <w:rsid w:val="00676049"/>
    <w:rsid w:val="00676F0E"/>
    <w:rsid w:val="00690998"/>
    <w:rsid w:val="00692E08"/>
    <w:rsid w:val="00694A6F"/>
    <w:rsid w:val="00696EE0"/>
    <w:rsid w:val="006A5157"/>
    <w:rsid w:val="006C0744"/>
    <w:rsid w:val="006C7603"/>
    <w:rsid w:val="006D1F64"/>
    <w:rsid w:val="006D22C5"/>
    <w:rsid w:val="006E1338"/>
    <w:rsid w:val="006E1462"/>
    <w:rsid w:val="006E45B3"/>
    <w:rsid w:val="006F20BC"/>
    <w:rsid w:val="006F3371"/>
    <w:rsid w:val="006F6681"/>
    <w:rsid w:val="006F7EBC"/>
    <w:rsid w:val="00700FCE"/>
    <w:rsid w:val="0070561E"/>
    <w:rsid w:val="00716A9E"/>
    <w:rsid w:val="007232B1"/>
    <w:rsid w:val="00726450"/>
    <w:rsid w:val="00731ACF"/>
    <w:rsid w:val="0073309D"/>
    <w:rsid w:val="00747202"/>
    <w:rsid w:val="007508B8"/>
    <w:rsid w:val="00754162"/>
    <w:rsid w:val="00757E10"/>
    <w:rsid w:val="00757E72"/>
    <w:rsid w:val="0076504E"/>
    <w:rsid w:val="0077247A"/>
    <w:rsid w:val="007767EA"/>
    <w:rsid w:val="00776D84"/>
    <w:rsid w:val="0078217E"/>
    <w:rsid w:val="00791977"/>
    <w:rsid w:val="00793832"/>
    <w:rsid w:val="00795D3A"/>
    <w:rsid w:val="007B4F84"/>
    <w:rsid w:val="007B78F3"/>
    <w:rsid w:val="007C7ED1"/>
    <w:rsid w:val="007D273E"/>
    <w:rsid w:val="007D33C4"/>
    <w:rsid w:val="007D570F"/>
    <w:rsid w:val="007E7682"/>
    <w:rsid w:val="007F3FAD"/>
    <w:rsid w:val="008013C0"/>
    <w:rsid w:val="0080152D"/>
    <w:rsid w:val="0080314E"/>
    <w:rsid w:val="008034AE"/>
    <w:rsid w:val="00807644"/>
    <w:rsid w:val="00813426"/>
    <w:rsid w:val="00816129"/>
    <w:rsid w:val="00827D69"/>
    <w:rsid w:val="0083263D"/>
    <w:rsid w:val="00845A17"/>
    <w:rsid w:val="00851ECB"/>
    <w:rsid w:val="00856BC0"/>
    <w:rsid w:val="00857D97"/>
    <w:rsid w:val="008652D2"/>
    <w:rsid w:val="0086738A"/>
    <w:rsid w:val="008678CB"/>
    <w:rsid w:val="00872AC6"/>
    <w:rsid w:val="008A78B1"/>
    <w:rsid w:val="008B21C0"/>
    <w:rsid w:val="008C1032"/>
    <w:rsid w:val="008C2166"/>
    <w:rsid w:val="008C7A66"/>
    <w:rsid w:val="008D0EA2"/>
    <w:rsid w:val="008D12C0"/>
    <w:rsid w:val="008D2850"/>
    <w:rsid w:val="008E3EF8"/>
    <w:rsid w:val="008F0446"/>
    <w:rsid w:val="008F7C65"/>
    <w:rsid w:val="0090694E"/>
    <w:rsid w:val="00923056"/>
    <w:rsid w:val="0094275A"/>
    <w:rsid w:val="00944658"/>
    <w:rsid w:val="0095076A"/>
    <w:rsid w:val="00952A02"/>
    <w:rsid w:val="00954A78"/>
    <w:rsid w:val="00960E91"/>
    <w:rsid w:val="0096234D"/>
    <w:rsid w:val="00966CBA"/>
    <w:rsid w:val="00973EFE"/>
    <w:rsid w:val="00975C43"/>
    <w:rsid w:val="00975D13"/>
    <w:rsid w:val="009923E2"/>
    <w:rsid w:val="009956BD"/>
    <w:rsid w:val="00995AE1"/>
    <w:rsid w:val="0099745E"/>
    <w:rsid w:val="009A5EA6"/>
    <w:rsid w:val="009A6805"/>
    <w:rsid w:val="009B1B7D"/>
    <w:rsid w:val="009B2443"/>
    <w:rsid w:val="009B730D"/>
    <w:rsid w:val="009C62A7"/>
    <w:rsid w:val="009D6CF5"/>
    <w:rsid w:val="009F3BB4"/>
    <w:rsid w:val="009F60E8"/>
    <w:rsid w:val="00A001E4"/>
    <w:rsid w:val="00A0513C"/>
    <w:rsid w:val="00A06922"/>
    <w:rsid w:val="00A0783D"/>
    <w:rsid w:val="00A234D4"/>
    <w:rsid w:val="00A27859"/>
    <w:rsid w:val="00A31075"/>
    <w:rsid w:val="00A314C9"/>
    <w:rsid w:val="00A32E7C"/>
    <w:rsid w:val="00A35251"/>
    <w:rsid w:val="00A529AD"/>
    <w:rsid w:val="00A6173E"/>
    <w:rsid w:val="00A63234"/>
    <w:rsid w:val="00A73367"/>
    <w:rsid w:val="00A74FAC"/>
    <w:rsid w:val="00A81385"/>
    <w:rsid w:val="00A8320D"/>
    <w:rsid w:val="00A9243A"/>
    <w:rsid w:val="00A945C4"/>
    <w:rsid w:val="00AA077E"/>
    <w:rsid w:val="00AA7D10"/>
    <w:rsid w:val="00AB040A"/>
    <w:rsid w:val="00AB128F"/>
    <w:rsid w:val="00AC3EC2"/>
    <w:rsid w:val="00AD1066"/>
    <w:rsid w:val="00AD4567"/>
    <w:rsid w:val="00AD4F01"/>
    <w:rsid w:val="00AE09DF"/>
    <w:rsid w:val="00AF2060"/>
    <w:rsid w:val="00AF350B"/>
    <w:rsid w:val="00B2090C"/>
    <w:rsid w:val="00B2733B"/>
    <w:rsid w:val="00B279F7"/>
    <w:rsid w:val="00B32C24"/>
    <w:rsid w:val="00B33B20"/>
    <w:rsid w:val="00B36B05"/>
    <w:rsid w:val="00B37720"/>
    <w:rsid w:val="00B4321C"/>
    <w:rsid w:val="00B46910"/>
    <w:rsid w:val="00B475A8"/>
    <w:rsid w:val="00B55316"/>
    <w:rsid w:val="00B6303C"/>
    <w:rsid w:val="00B63F3E"/>
    <w:rsid w:val="00B75071"/>
    <w:rsid w:val="00B75BE8"/>
    <w:rsid w:val="00B802D8"/>
    <w:rsid w:val="00B8109E"/>
    <w:rsid w:val="00B92360"/>
    <w:rsid w:val="00B924AB"/>
    <w:rsid w:val="00B9647E"/>
    <w:rsid w:val="00BB17A9"/>
    <w:rsid w:val="00BB194B"/>
    <w:rsid w:val="00BB1B88"/>
    <w:rsid w:val="00BB6789"/>
    <w:rsid w:val="00BD30E0"/>
    <w:rsid w:val="00BF159F"/>
    <w:rsid w:val="00BF31B6"/>
    <w:rsid w:val="00BF4B88"/>
    <w:rsid w:val="00C00E7A"/>
    <w:rsid w:val="00C0119B"/>
    <w:rsid w:val="00C0586D"/>
    <w:rsid w:val="00C24319"/>
    <w:rsid w:val="00C31E86"/>
    <w:rsid w:val="00C37EA0"/>
    <w:rsid w:val="00C44655"/>
    <w:rsid w:val="00C5606A"/>
    <w:rsid w:val="00C67209"/>
    <w:rsid w:val="00C85966"/>
    <w:rsid w:val="00C923C9"/>
    <w:rsid w:val="00C95C03"/>
    <w:rsid w:val="00C9613E"/>
    <w:rsid w:val="00C97FB7"/>
    <w:rsid w:val="00CA7B02"/>
    <w:rsid w:val="00CB336C"/>
    <w:rsid w:val="00CC0E96"/>
    <w:rsid w:val="00CC7048"/>
    <w:rsid w:val="00CC7879"/>
    <w:rsid w:val="00CD59AB"/>
    <w:rsid w:val="00CD6699"/>
    <w:rsid w:val="00CD6E8F"/>
    <w:rsid w:val="00CE170A"/>
    <w:rsid w:val="00CF6C70"/>
    <w:rsid w:val="00D24BE3"/>
    <w:rsid w:val="00D26334"/>
    <w:rsid w:val="00D30B21"/>
    <w:rsid w:val="00D31917"/>
    <w:rsid w:val="00D348D0"/>
    <w:rsid w:val="00D37622"/>
    <w:rsid w:val="00D667B0"/>
    <w:rsid w:val="00D66D7D"/>
    <w:rsid w:val="00D759DA"/>
    <w:rsid w:val="00DA18A1"/>
    <w:rsid w:val="00DA19B9"/>
    <w:rsid w:val="00DB2673"/>
    <w:rsid w:val="00DC290D"/>
    <w:rsid w:val="00DC6FAF"/>
    <w:rsid w:val="00DE38A9"/>
    <w:rsid w:val="00DF05EB"/>
    <w:rsid w:val="00E027E7"/>
    <w:rsid w:val="00E02AAA"/>
    <w:rsid w:val="00E037D8"/>
    <w:rsid w:val="00E07178"/>
    <w:rsid w:val="00E154F5"/>
    <w:rsid w:val="00E17BC5"/>
    <w:rsid w:val="00E260FE"/>
    <w:rsid w:val="00E279F5"/>
    <w:rsid w:val="00E356DE"/>
    <w:rsid w:val="00E3794B"/>
    <w:rsid w:val="00E55E7F"/>
    <w:rsid w:val="00E6251E"/>
    <w:rsid w:val="00E64F7B"/>
    <w:rsid w:val="00E712CF"/>
    <w:rsid w:val="00E7158E"/>
    <w:rsid w:val="00E82C0F"/>
    <w:rsid w:val="00E8462D"/>
    <w:rsid w:val="00E9131B"/>
    <w:rsid w:val="00E925AD"/>
    <w:rsid w:val="00EA17F0"/>
    <w:rsid w:val="00EA48D8"/>
    <w:rsid w:val="00EA4B5A"/>
    <w:rsid w:val="00EC0ED7"/>
    <w:rsid w:val="00ED4B69"/>
    <w:rsid w:val="00EE4444"/>
    <w:rsid w:val="00EF35C8"/>
    <w:rsid w:val="00F06495"/>
    <w:rsid w:val="00F07380"/>
    <w:rsid w:val="00F077FE"/>
    <w:rsid w:val="00F146B3"/>
    <w:rsid w:val="00F255C0"/>
    <w:rsid w:val="00F25E1D"/>
    <w:rsid w:val="00F31307"/>
    <w:rsid w:val="00F32306"/>
    <w:rsid w:val="00F33C73"/>
    <w:rsid w:val="00F345DC"/>
    <w:rsid w:val="00F34E1D"/>
    <w:rsid w:val="00F37522"/>
    <w:rsid w:val="00F64B9B"/>
    <w:rsid w:val="00F70803"/>
    <w:rsid w:val="00F72925"/>
    <w:rsid w:val="00F77B0E"/>
    <w:rsid w:val="00F81727"/>
    <w:rsid w:val="00F83705"/>
    <w:rsid w:val="00F878DF"/>
    <w:rsid w:val="00FA4726"/>
    <w:rsid w:val="00FB51BD"/>
    <w:rsid w:val="00FC1EBF"/>
    <w:rsid w:val="00FC348C"/>
    <w:rsid w:val="00FC5786"/>
    <w:rsid w:val="00FD2CC5"/>
    <w:rsid w:val="00FD524D"/>
    <w:rsid w:val="00FD7F0E"/>
    <w:rsid w:val="00FF1A7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075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rsid w:val="008F7C65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F7C65"/>
    <w:pPr>
      <w:spacing w:before="120"/>
      <w:jc w:val="left"/>
    </w:pPr>
    <w:rPr>
      <w:sz w:val="20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odstaveczakona">
    <w:name w:val="odstavec zakona"/>
    <w:basedOn w:val="Normal"/>
    <w:uiPriority w:val="99"/>
    <w:rsid w:val="008F7C65"/>
    <w:pPr>
      <w:numPr>
        <w:numId w:val="1"/>
      </w:numPr>
      <w:tabs>
        <w:tab w:val="left" w:pos="720"/>
      </w:tabs>
      <w:ind w:left="720" w:hanging="360"/>
      <w:jc w:val="both"/>
    </w:pPr>
  </w:style>
  <w:style w:type="character" w:styleId="FootnoteReference">
    <w:name w:val="footnote reference"/>
    <w:basedOn w:val="DefaultParagraphFont"/>
    <w:uiPriority w:val="99"/>
    <w:semiHidden/>
    <w:rsid w:val="008F7C65"/>
    <w:rPr>
      <w:rFonts w:cs="Times New Roman"/>
      <w:vertAlign w:val="superscript"/>
      <w:rtl w:val="0"/>
      <w:cs w:val="0"/>
    </w:rPr>
  </w:style>
  <w:style w:type="paragraph" w:styleId="NormalWeb">
    <w:name w:val="Normal (Web)"/>
    <w:basedOn w:val="Normal"/>
    <w:uiPriority w:val="99"/>
    <w:rsid w:val="008F7C65"/>
    <w:pPr>
      <w:spacing w:before="100" w:beforeAutospacing="1" w:after="100" w:afterAutospacing="1"/>
      <w:jc w:val="left"/>
    </w:pPr>
  </w:style>
  <w:style w:type="paragraph" w:styleId="Footer">
    <w:name w:val="footer"/>
    <w:basedOn w:val="Normal"/>
    <w:link w:val="PtaChar"/>
    <w:uiPriority w:val="99"/>
    <w:rsid w:val="008F7C6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8F7C65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116D4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3">
    <w:name w:val="norm3"/>
    <w:basedOn w:val="Normal"/>
    <w:rsid w:val="006F20BC"/>
    <w:pPr>
      <w:widowControl/>
      <w:autoSpaceDE/>
      <w:autoSpaceDN/>
      <w:adjustRightInd/>
      <w:spacing w:before="120" w:line="312" w:lineRule="atLeast"/>
      <w:jc w:val="both"/>
    </w:pPr>
  </w:style>
  <w:style w:type="paragraph" w:customStyle="1" w:styleId="list2">
    <w:name w:val="list2"/>
    <w:basedOn w:val="Normal"/>
    <w:rsid w:val="004A2156"/>
    <w:pPr>
      <w:widowControl/>
      <w:autoSpaceDE/>
      <w:autoSpaceDN/>
      <w:adjustRightInd/>
      <w:spacing w:line="312" w:lineRule="atLeast"/>
      <w:ind w:left="240"/>
      <w:jc w:val="both"/>
    </w:pPr>
  </w:style>
  <w:style w:type="paragraph" w:customStyle="1" w:styleId="CM1">
    <w:name w:val="CM1"/>
    <w:basedOn w:val="Normal"/>
    <w:next w:val="Normal"/>
    <w:uiPriority w:val="99"/>
    <w:rsid w:val="008678CB"/>
    <w:pPr>
      <w:widowControl/>
      <w:jc w:val="left"/>
    </w:pPr>
  </w:style>
  <w:style w:type="paragraph" w:customStyle="1" w:styleId="CM3">
    <w:name w:val="CM3"/>
    <w:basedOn w:val="Normal"/>
    <w:next w:val="Normal"/>
    <w:uiPriority w:val="99"/>
    <w:rsid w:val="008678CB"/>
    <w:pPr>
      <w:widowControl/>
      <w:jc w:val="left"/>
    </w:pPr>
  </w:style>
  <w:style w:type="paragraph" w:customStyle="1" w:styleId="CM4">
    <w:name w:val="CM4"/>
    <w:basedOn w:val="Normal"/>
    <w:next w:val="Normal"/>
    <w:uiPriority w:val="99"/>
    <w:rsid w:val="009A6805"/>
    <w:pPr>
      <w:widowControl/>
      <w:jc w:val="left"/>
    </w:pPr>
  </w:style>
  <w:style w:type="paragraph" w:styleId="BodyTextIndent2">
    <w:name w:val="Body Text Indent 2"/>
    <w:basedOn w:val="Normal"/>
    <w:link w:val="Zarkazkladnhotextu2Char"/>
    <w:uiPriority w:val="99"/>
    <w:rsid w:val="004B40BE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4B40BE"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rsid w:val="004B40BE"/>
    <w:pPr>
      <w:widowControl/>
      <w:adjustRightInd/>
      <w:jc w:val="left"/>
    </w:pPr>
    <w:rPr>
      <w:sz w:val="20"/>
      <w:szCs w:val="20"/>
      <w:lang w:eastAsia="en-US"/>
    </w:rPr>
  </w:style>
  <w:style w:type="paragraph" w:customStyle="1" w:styleId="Default">
    <w:name w:val="Default"/>
    <w:rsid w:val="00CC7048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CommentReference">
    <w:name w:val="annotation reference"/>
    <w:basedOn w:val="DefaultParagraphFont"/>
    <w:uiPriority w:val="99"/>
    <w:rsid w:val="00415CF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415CFB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415CFB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415CFB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415CFB"/>
    <w:rPr>
      <w:b/>
      <w:bCs/>
    </w:rPr>
  </w:style>
  <w:style w:type="paragraph" w:styleId="BalloonText">
    <w:name w:val="Balloon Text"/>
    <w:basedOn w:val="Normal"/>
    <w:link w:val="TextbublinyChar"/>
    <w:uiPriority w:val="99"/>
    <w:rsid w:val="00415CF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415CFB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locked/>
    <w:rsid w:val="00944658"/>
    <w:pPr>
      <w:widowControl/>
      <w:autoSpaceDE/>
      <w:autoSpaceDN/>
      <w:adjustRightInd/>
      <w:ind w:left="720"/>
      <w:contextualSpacing/>
      <w:jc w:val="left"/>
    </w:pPr>
  </w:style>
  <w:style w:type="paragraph" w:styleId="NoSpacing">
    <w:name w:val="No Spacing"/>
    <w:uiPriority w:val="1"/>
    <w:qFormat/>
    <w:locked/>
    <w:rsid w:val="00B3772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Title">
    <w:name w:val="Title"/>
    <w:basedOn w:val="Normal"/>
    <w:link w:val="NzovChar"/>
    <w:uiPriority w:val="1"/>
    <w:qFormat/>
    <w:locked/>
    <w:rsid w:val="0086738A"/>
    <w:pPr>
      <w:adjustRightInd/>
      <w:spacing w:before="68"/>
      <w:ind w:left="5112"/>
      <w:jc w:val="left"/>
    </w:pPr>
    <w:rPr>
      <w:b/>
      <w:bCs/>
      <w:sz w:val="20"/>
      <w:szCs w:val="20"/>
      <w:lang w:eastAsia="en-US"/>
    </w:rPr>
  </w:style>
  <w:style w:type="character" w:customStyle="1" w:styleId="NzovChar">
    <w:name w:val="Názov Char"/>
    <w:basedOn w:val="DefaultParagraphFont"/>
    <w:link w:val="Title"/>
    <w:uiPriority w:val="1"/>
    <w:locked/>
    <w:rsid w:val="0086738A"/>
    <w:rPr>
      <w:rFonts w:cs="Times New Roman"/>
      <w:b/>
      <w:bCs/>
      <w:sz w:val="20"/>
      <w:szCs w:val="20"/>
      <w:rtl w:val="0"/>
      <w:cs w:val="0"/>
      <w:lang w:val="x-none" w:eastAsia="en-US"/>
    </w:rPr>
  </w:style>
  <w:style w:type="paragraph" w:customStyle="1" w:styleId="TableParagraph">
    <w:name w:val="Table Paragraph"/>
    <w:basedOn w:val="Normal"/>
    <w:uiPriority w:val="1"/>
    <w:qFormat/>
    <w:rsid w:val="0086738A"/>
    <w:pPr>
      <w:adjustRightInd/>
      <w:jc w:val="left"/>
    </w:pPr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757E72"/>
    <w:pPr>
      <w:widowControl/>
      <w:autoSpaceDE/>
      <w:autoSpaceDN/>
      <w:adjustRightInd/>
      <w:spacing w:before="100" w:beforeAutospacing="1" w:after="100" w:afterAutospacing="1"/>
      <w:jc w:val="left"/>
    </w:pPr>
  </w:style>
  <w:style w:type="character" w:customStyle="1" w:styleId="normaltextrun">
    <w:name w:val="normaltextrun"/>
    <w:rsid w:val="00757E72"/>
  </w:style>
  <w:style w:type="character" w:customStyle="1" w:styleId="superscript">
    <w:name w:val="superscript"/>
    <w:rsid w:val="00757E72"/>
  </w:style>
  <w:style w:type="character" w:customStyle="1" w:styleId="eop">
    <w:name w:val="eop"/>
    <w:rsid w:val="00757E7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71A56-241A-4CA1-9F9A-A08572E6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1148</Words>
  <Characters>6550</Characters>
  <Application>Microsoft Office Word</Application>
  <DocSecurity>0</DocSecurity>
  <Lines>0</Lines>
  <Paragraphs>0</Paragraphs>
  <ScaleCrop>false</ScaleCrop>
  <Company/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2025-08-14T09:00:00Z</dcterms:created>
  <dcterms:modified xsi:type="dcterms:W3CDTF">2025-08-20T08:47:00Z</dcterms:modified>
</cp:coreProperties>
</file>