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4E06" w14:textId="77777777" w:rsidR="00CC2A5A" w:rsidRDefault="00CC2A5A" w:rsidP="00857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0C45BEF" w14:textId="2D9FFB09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807BC22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BC95C29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8855" w:type="dxa"/>
        <w:tblLayout w:type="fixed"/>
        <w:tblLook w:val="04A0" w:firstRow="1" w:lastRow="0" w:firstColumn="1" w:lastColumn="0" w:noHBand="0" w:noVBand="1"/>
      </w:tblPr>
      <w:tblGrid>
        <w:gridCol w:w="1610"/>
        <w:gridCol w:w="512"/>
        <w:gridCol w:w="293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612E08" w:rsidRPr="00612E08" w14:paraId="2357E27C" w14:textId="77777777" w:rsidTr="187DA354">
        <w:tc>
          <w:tcPr>
            <w:tcW w:w="8855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14:paraId="56E17BD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5CE29F80" w14:textId="77777777" w:rsidTr="187DA354">
        <w:tc>
          <w:tcPr>
            <w:tcW w:w="8855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14:paraId="7D98758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0B657F9" w14:textId="77777777" w:rsidTr="187DA354">
        <w:tc>
          <w:tcPr>
            <w:tcW w:w="8855" w:type="dxa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D0DE64F" w14:textId="47F9B9E2" w:rsidR="001B23B7" w:rsidRPr="001B72D2" w:rsidRDefault="00B275C8" w:rsidP="00B275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2D2">
              <w:rPr>
                <w:rFonts w:ascii="Times New Roman" w:eastAsia="Times New Roman" w:hAnsi="Times New Roman" w:cs="Times New Roman"/>
                <w:sz w:val="20"/>
                <w:szCs w:val="20"/>
              </w:rPr>
              <w:t>Návrh zákona</w:t>
            </w:r>
            <w:r w:rsidR="00CC2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5E3E">
              <w:rPr>
                <w:rFonts w:ascii="Times New Roman" w:eastAsia="Times New Roman" w:hAnsi="Times New Roman" w:cs="Times New Roman"/>
                <w:sz w:val="20"/>
                <w:szCs w:val="20"/>
              </w:rPr>
              <w:t>o vysokých školách</w:t>
            </w:r>
            <w:r w:rsidR="00CC2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33822">
              <w:rPr>
                <w:rFonts w:ascii="Times New Roman" w:eastAsia="Times New Roman" w:hAnsi="Times New Roman" w:cs="Times New Roman"/>
                <w:sz w:val="20"/>
                <w:szCs w:val="20"/>
              </w:rPr>
              <w:t>a o zmene a doplnení niektorých zákonov</w:t>
            </w:r>
            <w:r w:rsidR="00B32A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(vysokoškolský zákon)</w:t>
            </w:r>
          </w:p>
          <w:p w14:paraId="19496BB9" w14:textId="77777777" w:rsidR="00B275C8" w:rsidRPr="00612E08" w:rsidRDefault="00B275C8" w:rsidP="001B7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2830259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5E59B509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2A54B5AB" w14:textId="77777777" w:rsidTr="187DA354">
        <w:tc>
          <w:tcPr>
            <w:tcW w:w="8855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FDCF45" w14:textId="2DAD5F72" w:rsidR="00BD2F1C" w:rsidRPr="00B043B4" w:rsidRDefault="00E167FC" w:rsidP="00BD2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BD2F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172966A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70C77C6" w14:textId="77777777" w:rsidTr="187DA354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0ECA2B2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CE63C53" w14:textId="138739E2" w:rsidR="001B23B7" w:rsidRPr="00612E08" w:rsidRDefault="001F63F5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5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2F1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90F158D" w14:textId="77777777" w:rsidTr="187DA354">
        <w:tc>
          <w:tcPr>
            <w:tcW w:w="1610" w:type="dxa"/>
            <w:vMerge/>
          </w:tcPr>
          <w:p w14:paraId="045BA86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4B58E145" w14:textId="77777777" w:rsidR="001B23B7" w:rsidRPr="00612E08" w:rsidRDefault="00BD2F1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5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BC6EA16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A8D408F" w14:textId="77777777" w:rsidTr="187DA354">
        <w:tc>
          <w:tcPr>
            <w:tcW w:w="1610" w:type="dxa"/>
            <w:vMerge/>
          </w:tcPr>
          <w:p w14:paraId="22BA879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8F126CA" w14:textId="58481118" w:rsidR="001B23B7" w:rsidRPr="00612E08" w:rsidRDefault="0037068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5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669F94A" w14:textId="77777777" w:rsidR="001B23B7" w:rsidRPr="001F63F5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0F2279ED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0330FAB5" w14:textId="7C6866B8" w:rsidR="00E119C4" w:rsidRDefault="00E119C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E8EB63F" w14:textId="3781F780" w:rsidR="00E01568" w:rsidRDefault="00E01568" w:rsidP="00E0156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1000B57B" w14:textId="77777777" w:rsidR="00D33822" w:rsidRPr="00612E08" w:rsidRDefault="00D33822" w:rsidP="00E0156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9CA961D" w14:textId="6ABE358E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Smernica Rady 1999/70/ES z 28. júna 1999 o rámcovej dohode o práci na dobu určitú, ktorú uzavreli ETUC, UNICE a CEEP (Ú. v. ES L 175, 10.7.1999); gestor Ministerstvo práve, sociálnych vecí a rodiny Slovenskej republiky</w:t>
            </w:r>
            <w:r w:rsidR="00D33822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49F92A5" w14:textId="520D1C87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Smernica Rady 2000/43/ES z  29. júna 2000 , ktorou sa zavádza zásada rovnakého zaobchádzania s osobami bez ohľadu na rasový alebo etnický pôvod ( Ú. v. ES L 180, 19.7.2000 ); gestor Úrad vlády SR</w:t>
            </w:r>
          </w:p>
          <w:p w14:paraId="1EB844F5" w14:textId="54BE2DB9" w:rsidR="00E119C4" w:rsidRPr="00F85228" w:rsidRDefault="00E119C4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EB8FA1" w14:textId="015053A2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Smernica Európskeho parlamentu a Rady 2005/36/ES zo 7. septembra 2005 o uznávaní odborných kvalifikácií (Ú. v. EÚ L 255, 30.9. 2005) v platnom znení; gestor Ministerstvo školstva, výskumu, vývoja a mládeže Slovenskej republiky</w:t>
            </w:r>
          </w:p>
          <w:p w14:paraId="72FA0810" w14:textId="29460C08" w:rsidR="00E119C4" w:rsidRPr="00F85228" w:rsidRDefault="00E119C4" w:rsidP="187DA354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22748" w14:textId="1DF34C95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 12. 2011); gestor Ministerstvo vnútra Slovenskej republiky</w:t>
            </w:r>
          </w:p>
          <w:p w14:paraId="153113E2" w14:textId="39E57AC9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7471E" w14:textId="6F6BC7C1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znení; gestor Úrad na ochranu osobných údajov</w:t>
            </w:r>
          </w:p>
          <w:p w14:paraId="56C7BEE6" w14:textId="4E442B38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759A2A" w14:textId="4A081CD1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aupair</w:t>
            </w:r>
            <w:proofErr w:type="spellEnd"/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(Ú. v. EÚ L 132, 21. 5. 2016)</w:t>
            </w:r>
            <w:r w:rsidR="00056364">
              <w:t xml:space="preserve"> </w:t>
            </w:r>
            <w:r w:rsidR="00056364" w:rsidRPr="00056364">
              <w:rPr>
                <w:rFonts w:ascii="Times New Roman" w:eastAsia="Times New Roman" w:hAnsi="Times New Roman" w:cs="Times New Roman"/>
                <w:sz w:val="20"/>
                <w:szCs w:val="20"/>
              </w:rPr>
              <w:t>(prepracované znenie)</w:t>
            </w:r>
            <w:r w:rsidR="000563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 platnom znení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; gestor Ministerstvo vnútra Slovenskej republiky</w:t>
            </w:r>
          </w:p>
          <w:p w14:paraId="430C5ACF" w14:textId="7E07516A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0DCA7" w14:textId="6B8FCDCA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CD751" w14:textId="4AE02F63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51C94D" w14:textId="28E190F3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Smernica Európskeho parlamentu a Rady (EÚ) 2024/1233 z 24. apríla 2024 o jednotnom postupe vybavovania žiadostí o jednotné povolenie na pobyt a zamestnanie na území členského štátu pre štátnych príslušníkov tretích krajín a o spoločnom súbore práv pracovníkov z tretích krajín s oprávneným pobytom v členskom štáte (prepracované znenie) (Ú. v. EÚ L, 2024/1233) v platnom znení; gestor Ministerstvo vnútra Slovenskej republiky a Ministerstvo práce, sociálnych vecí a rodiny Slovenskej republiky</w:t>
            </w:r>
          </w:p>
          <w:p w14:paraId="493A7EEB" w14:textId="0D055B83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7937C" w14:textId="7C9F2BB4" w:rsidR="00E119C4" w:rsidRPr="00F85228" w:rsidRDefault="51176E72" w:rsidP="187DA3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Nariadenie Komisie (EÚ) č. 651/2014 zo 17. júna 2014 o vyhlásení určitých kategórií pomoci za zlučiteľné s vnútorným trhom podľa článkov 107 a 108 zmluvy (Ú. v. EÚ L 187, 26. 6. 2014) v platnom znení; gestor Ministerstvo financií Slovenskej republiky, Ministerstvo hospodárstva Slovenskej republiky, Ministerstvo práce, sociálnych vecí a rodiny Slovenskej republiky, Ministerstvo pôdohospodárstva a rozvoja vidieka Slovenskej republiky, Ministerstvo školstva, vedy, výskumu a športu Slovenskej republiky, Ministerstvo 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životného prostredia, Ministerstvo dopravy a výstavby Slovenskej republiky, Ministerstvo kultúry Slovenskej republiky</w:t>
            </w:r>
          </w:p>
          <w:p w14:paraId="33FCBDE6" w14:textId="4FC8094D" w:rsidR="00E119C4" w:rsidRPr="00F85228" w:rsidRDefault="00E119C4" w:rsidP="187DA354">
            <w:pPr>
              <w:widowControl w:val="0"/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EA17C3" w14:textId="6CD67C12" w:rsidR="00E119C4" w:rsidRPr="00F85228" w:rsidRDefault="00056364" w:rsidP="187DA354">
            <w:pPr>
              <w:widowControl w:val="0"/>
              <w:tabs>
                <w:tab w:val="left" w:pos="6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64">
              <w:rPr>
                <w:rFonts w:ascii="Times New Roman" w:eastAsia="Times New Roman" w:hAnsi="Times New Roman" w:cs="Times New Roman"/>
                <w:sz w:val="20"/>
                <w:szCs w:val="20"/>
              </w:rPr>
              <w:t>Nariadenie Rady (EÚ) 2015/1588 z 13. júla 2015 o uplatňovaní článkov 107 a 108 Zmluvy o fungovaní Európskej únie na určité kategórie horizontálnej štátnej pomoci (kodifikované znenie) (Ú. v. EÚ L 248, 24.9.2015) v platnom znení</w:t>
            </w:r>
            <w:r w:rsidR="51176E72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; gestor Ministerstvo financií</w:t>
            </w:r>
          </w:p>
          <w:p w14:paraId="16D77B71" w14:textId="2E88DA77" w:rsidR="00E119C4" w:rsidRPr="00F85228" w:rsidRDefault="00E119C4" w:rsidP="187DA354">
            <w:pPr>
              <w:widowControl w:val="0"/>
              <w:tabs>
                <w:tab w:val="left" w:pos="624"/>
              </w:tabs>
              <w:ind w:left="4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39F5A" w14:textId="1896EEA0" w:rsidR="00E119C4" w:rsidRPr="00F85228" w:rsidRDefault="00056364" w:rsidP="187DA354">
            <w:pPr>
              <w:widowControl w:val="0"/>
              <w:tabs>
                <w:tab w:val="left" w:pos="6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64">
              <w:rPr>
                <w:rFonts w:ascii="Times New Roman" w:eastAsia="Times New Roman" w:hAnsi="Times New Roman" w:cs="Times New Roman"/>
                <w:sz w:val="20"/>
                <w:szCs w:val="20"/>
              </w:rPr>
              <w:t>Nariadenie Rady (EÚ) 2015/1589 z 13. júla 2015 stanovujúce podrobné pravidlá na uplatňovanie článku 108 Zmluvy o fungovaní Európskej únie (kodifikované znenie) (Ú. v. EÚ L 248 24.9.2015)</w:t>
            </w:r>
            <w:r w:rsidR="51176E72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; gestor Ministerstvo financií</w:t>
            </w:r>
          </w:p>
          <w:p w14:paraId="090E92CD" w14:textId="51222E79" w:rsidR="00E119C4" w:rsidRPr="00612E08" w:rsidRDefault="00E119C4" w:rsidP="3D68D0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12E08" w:rsidRPr="00612E08" w14:paraId="08BD873D" w14:textId="77777777" w:rsidTr="187DA354">
        <w:trPr>
          <w:trHeight w:val="460"/>
        </w:trPr>
        <w:tc>
          <w:tcPr>
            <w:tcW w:w="483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8AC2D1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Termín začiatku a ukončenia PPK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832" w14:textId="611CE65C" w:rsidR="001B23B7" w:rsidRPr="00AC589F" w:rsidRDefault="001B23B7" w:rsidP="187DA35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12E08" w:rsidRPr="00612E08" w14:paraId="55542BE5" w14:textId="77777777" w:rsidTr="187DA354"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9F9F72A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574" w14:textId="62CFB690" w:rsidR="001B23B7" w:rsidRPr="00AC589F" w:rsidRDefault="001F63F5" w:rsidP="001B72D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</w:t>
            </w:r>
            <w:r w:rsidRPr="001F6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ún 2025 </w:t>
            </w:r>
          </w:p>
        </w:tc>
      </w:tr>
      <w:tr w:rsidR="00612E08" w:rsidRPr="00612E08" w14:paraId="67601645" w14:textId="77777777" w:rsidTr="187DA354">
        <w:trPr>
          <w:trHeight w:val="402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924D85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DE1" w14:textId="77777777" w:rsidR="001B23B7" w:rsidRPr="00AC589F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12E08" w:rsidRPr="00612E08" w14:paraId="0684C9B2" w14:textId="77777777" w:rsidTr="187DA354">
        <w:trPr>
          <w:trHeight w:val="364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C43447B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6B4" w14:textId="722BE109" w:rsidR="001B23B7" w:rsidRPr="00AC589F" w:rsidRDefault="0097493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 w:rsidRPr="001F6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               august 202</w:t>
            </w:r>
            <w:r w:rsidR="00177DF4" w:rsidRPr="001F6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  <w:r w:rsidRPr="001F6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612E08" w:rsidRPr="00612E08" w14:paraId="6D8EF006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3A605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AED4867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F9B112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DCB8FEA" w14:textId="77777777" w:rsidTr="187DA354">
        <w:trPr>
          <w:trHeight w:val="718"/>
        </w:trPr>
        <w:tc>
          <w:tcPr>
            <w:tcW w:w="8855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BDA01" w14:textId="7A6C7F22" w:rsidR="001B23B7" w:rsidRPr="00F85228" w:rsidRDefault="00CE2A76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Aktuálny zákon nezodpovedá súčasným legislatívnym štandardom, a to s ohľadom na množstvo novelizácii. </w:t>
            </w:r>
            <w:r w:rsidR="008B5E3E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Obsah a forma výučby sú 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nedostatočne </w:t>
            </w:r>
            <w:r w:rsidR="008B5E3E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prepojené s praxou a reálnymi potrebami študentov i zamestnávateľov. Zároveň existuje nízka miera flexibility štúdia, čo obmedzuje možnosti študentov prispôsobiť si štúdium individuálnym potrebám a dynamicky sa meniacej situácii na trhu práce.</w:t>
            </w:r>
          </w:p>
          <w:p w14:paraId="57A631A6" w14:textId="6381A04F" w:rsidR="008B5E3E" w:rsidRPr="00612E08" w:rsidRDefault="008B5E3E" w:rsidP="008D5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1315F21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5CB8F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25EF0059" w14:textId="77777777" w:rsidTr="187DA354">
        <w:trPr>
          <w:trHeight w:val="741"/>
        </w:trPr>
        <w:tc>
          <w:tcPr>
            <w:tcW w:w="88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46765" w14:textId="77777777" w:rsidR="00B70C48" w:rsidRPr="00F85228" w:rsidRDefault="00CE2A76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Cieľom návrhu je zjednodušiť a spriehľadniť právnu úpravu, znížiť administratívne zaťaženie vysokých škôl aj študentov a zároveň zaviesť jasné pravidlá pre implementáciu bolonského procesu. Východiskom je eliminovať ustanovenia, ktoré sú z hľadiska efektívneho fungovania vysokých škôl a realizácie štúdia nadbytočné, neprehľadné a príliš podrobné. Návrh zákona poskytuje väčšiu mieru slobody vysokým školám i študentom pri zachovaní základného rámca pravidiel. Návrh kladie dôraz na zvýšenie úrovne vedomostí, zručností a kompetencií absolventov a ich lepšiu pripravenosť na trh práce, a to najmä prostredníctvom prakticky orientovanej výučby a posilnenia spolupráce s odborníkmi z praxe. Navrhovaná právna úprava zavádza flexibilné štúdium umožňujúce kombináciu rôznych foriem vzdelávania, zohľadňovaných pri uznávaní kreditov. Pre študentov sa tiež zavádza možnosť výberu absolvovania záverečnej stáže alebo písania záverečnej práce. </w:t>
            </w:r>
            <w:r w:rsidR="00B70C4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Kladie sa väčší dôraz na praktické vyučovanie a akademickú mobilitu. Návrh zákona upravuje inštitút </w:t>
            </w:r>
            <w:proofErr w:type="spellStart"/>
            <w:r w:rsidR="00B70C4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sabatikalu</w:t>
            </w:r>
            <w:proofErr w:type="spellEnd"/>
            <w:r w:rsidR="00B70C4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možnosti uzatvorenia zmluvy na dobu neurčitú, v záujme zvýšenia atraktivity profesie vysokoškolského učiteľa. </w:t>
            </w:r>
            <w:r w:rsidR="008B5E3E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Nový vysokoškolský zákon má slúžiť ako nástroj, ktorý umožní vysokým školám rozvíjať ich spoločenský dosah a napĺňať ich poslanie – prispievať k rozvoju vzdelanosti, poznania, vedy a kultúry v súlade s potrebami spoločnosti, rozvíjať vedomosti, zručnosti, múdrosť, tvorivosť a dobro človeka a tým prispievať k rozvoju vedomostnej spoločnosti.</w:t>
            </w:r>
            <w:r w:rsidR="00B70C4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04D86A" w14:textId="1F02CFA3" w:rsidR="00B70C48" w:rsidRPr="006A06DA" w:rsidRDefault="00B70C48" w:rsidP="00B70C48">
            <w:pPr>
              <w:pStyle w:val="Normlnywebov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612E08" w:rsidRPr="00612E08" w14:paraId="10CE4BA3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ED25C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2EB389BF" w14:textId="77777777" w:rsidTr="187DA354">
        <w:tc>
          <w:tcPr>
            <w:tcW w:w="88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85C9E" w14:textId="77777777" w:rsidR="001B23B7" w:rsidRPr="00B731DB" w:rsidRDefault="001B23B7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422B518" w14:textId="54BF136F" w:rsidR="00B731DB" w:rsidRPr="00F85228" w:rsidRDefault="008B5E3E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Vysoké školy, študenti</w:t>
            </w:r>
            <w:r w:rsidR="00030C77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C1165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vysokoškolskí učitelia, 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Slovenská akreditačná agentúra pre vysoké školstvo.</w:t>
            </w:r>
          </w:p>
          <w:p w14:paraId="0E856655" w14:textId="77777777" w:rsidR="00BD2F1C" w:rsidRPr="00B731DB" w:rsidRDefault="00BD2F1C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BBFD0B5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B8271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63E47D07" w14:textId="77777777" w:rsidTr="187DA354">
        <w:trPr>
          <w:trHeight w:val="1524"/>
        </w:trPr>
        <w:tc>
          <w:tcPr>
            <w:tcW w:w="88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66A32" w14:textId="77777777" w:rsidR="00ED1428" w:rsidRDefault="00ED142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0C9D3E" w14:textId="20A4BAE9" w:rsidR="001B23B7" w:rsidRPr="00F85228" w:rsidRDefault="00BD2F1C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Alternatívnym riešením je nulový variant, t. j. neprijatie návrhu právneho predpisu</w:t>
            </w:r>
            <w:r w:rsidR="00ED142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B5E3E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</w:t>
            </w:r>
            <w:r w:rsidR="00ED1428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5E3E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by znamenalo, že  právna úprava by bola naďalej málo efektívna a neflexibilná, spôsobovala by vysokým školám nadbytočnú administratívnu záťaž a nereflektovala by aktuálne potreby trhu práce.</w:t>
            </w:r>
          </w:p>
          <w:p w14:paraId="6914F413" w14:textId="05490A45" w:rsidR="006C7484" w:rsidRPr="006A06DA" w:rsidRDefault="006C748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2E08" w:rsidRPr="00612E08" w14:paraId="64764C2E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F9D669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1ABB6FBB" w14:textId="77777777" w:rsidTr="187DA354">
        <w:tc>
          <w:tcPr>
            <w:tcW w:w="5635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5574E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61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3775F" w14:textId="77777777" w:rsidR="001B23B7" w:rsidRPr="00612E08" w:rsidRDefault="0000000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73D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61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B75818" w14:textId="77777777" w:rsidR="001B23B7" w:rsidRPr="00612E08" w:rsidRDefault="000000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3D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0B976ADF" w14:textId="77777777" w:rsidTr="187DA354">
        <w:tc>
          <w:tcPr>
            <w:tcW w:w="88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A18B3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 áno, uveďte ktoré oblasti budú nimi upravené, resp. ktorých vykonávacích predpisov sa zmena dotkne:</w:t>
            </w:r>
          </w:p>
          <w:p w14:paraId="3552549C" w14:textId="77777777" w:rsidR="00ED1428" w:rsidRDefault="00ED142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EFE2E8" w14:textId="64AB8803" w:rsidR="00E175A1" w:rsidRPr="00F85228" w:rsidRDefault="008B5E3E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Bude potrebné prijať novú vyhlášku </w:t>
            </w:r>
            <w:proofErr w:type="spellStart"/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MŠVVaM</w:t>
            </w:r>
            <w:proofErr w:type="spellEnd"/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SR, ktorou sa ustanovia náležitosti a podrobnosti inštitútov vymenovaných v splnomocňovacom ustanovení návrhu zákona. Zároveň vyhláška ustanoví najmä sústavu študijných odborov Slovenskej republiky a rámcové usmernenie na zavedenie a uplatňovanie kreditového systému štúdia</w:t>
            </w:r>
            <w:r w:rsidR="00B731DB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E0A7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D982026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AEBA7FB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76B0AB26" w14:textId="77777777" w:rsidTr="187DA354">
        <w:trPr>
          <w:trHeight w:val="157"/>
        </w:trPr>
        <w:tc>
          <w:tcPr>
            <w:tcW w:w="8855" w:type="dxa"/>
            <w:gridSpan w:val="11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4EFF5A51" w14:textId="77777777">
              <w:trPr>
                <w:trHeight w:val="90"/>
              </w:trPr>
              <w:tc>
                <w:tcPr>
                  <w:tcW w:w="8643" w:type="dxa"/>
                </w:tcPr>
                <w:p w14:paraId="6016351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4B6A76F8" w14:textId="77777777">
              <w:trPr>
                <w:trHeight w:val="296"/>
              </w:trPr>
              <w:tc>
                <w:tcPr>
                  <w:tcW w:w="8643" w:type="dxa"/>
                </w:tcPr>
                <w:p w14:paraId="3538C0A6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2F1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D43775F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004753E7" w14:textId="1760BE8E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  <w:r w:rsidR="001555E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12E08" w:rsidRPr="00612E08" w14:paraId="4470D7A3" w14:textId="77777777">
              <w:trPr>
                <w:trHeight w:val="296"/>
              </w:trPr>
              <w:tc>
                <w:tcPr>
                  <w:tcW w:w="8643" w:type="dxa"/>
                </w:tcPr>
                <w:p w14:paraId="4E62EED2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80D70E4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99B1E18" w14:textId="77777777" w:rsidTr="187DA354">
        <w:trPr>
          <w:trHeight w:val="248"/>
        </w:trPr>
        <w:tc>
          <w:tcPr>
            <w:tcW w:w="8855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A2C637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6A70D34" w14:textId="77777777" w:rsidTr="187DA354"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EDE712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457CE941" w14:textId="77777777" w:rsidTr="187DA354">
        <w:tc>
          <w:tcPr>
            <w:tcW w:w="8855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98D10" w14:textId="5E340527" w:rsidR="001B23B7" w:rsidRPr="00F85228" w:rsidRDefault="008B5E3E" w:rsidP="00F852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Preskúmanie účelnosti navrhovaného predpisu bude vykonávané priebežne po nadobudnutí jeho účinnosti, z dôvodu kvalitatívneho charakteru jeho účelnosti, pričom sa budú zohľadňovať praktické skúsenosti jeho adresátov. Kritériom bude identifikácia odstránenia aplikačných problémov a zvýšenie efektivity a flexibility štú</w:t>
            </w:r>
            <w:r w:rsidR="006C1165"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85228">
              <w:rPr>
                <w:rFonts w:ascii="Times New Roman" w:eastAsia="Times New Roman" w:hAnsi="Times New Roman" w:cs="Times New Roman"/>
                <w:sz w:val="20"/>
                <w:szCs w:val="20"/>
              </w:rPr>
              <w:t>ia na vysokých školách.</w:t>
            </w:r>
          </w:p>
          <w:p w14:paraId="715E30A4" w14:textId="5DD5D6E9" w:rsidR="008B5E3E" w:rsidRPr="006A06DA" w:rsidRDefault="008B5E3E" w:rsidP="001F63F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2E08" w:rsidRPr="00612E08" w14:paraId="469DA511" w14:textId="77777777" w:rsidTr="187DA354">
        <w:tc>
          <w:tcPr>
            <w:tcW w:w="88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0D4F2F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DA39F7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92A109E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1DCC5CA2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40A8785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2FDDCE5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0102664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8302853" w14:textId="77777777" w:rsidTr="187DA354">
        <w:trPr>
          <w:trHeight w:val="283"/>
        </w:trPr>
        <w:tc>
          <w:tcPr>
            <w:tcW w:w="8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28D255B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03109D8D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A87CAD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67EBB3C" w14:textId="12FC4587" w:rsidR="001B23B7" w:rsidRPr="00612E08" w:rsidRDefault="008D4E48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E1A7B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9EB024C" w14:textId="5957142E" w:rsidR="001B23B7" w:rsidRPr="00612E08" w:rsidRDefault="008D4E48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C4050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01110B" w14:textId="4D7B3596" w:rsidR="001B23B7" w:rsidRPr="00612E08" w:rsidRDefault="008D4E48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F79B61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4DD441F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8DE60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4AF7CC8A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F6E9570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067B237" w14:textId="72C4ABDA" w:rsidR="001B23B7" w:rsidRPr="00612E08" w:rsidRDefault="008D4E4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2CE197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D73034" w14:textId="77777777" w:rsidR="001B23B7" w:rsidRPr="00612E08" w:rsidRDefault="00BF71F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610645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43A5490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CB0DCC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526CF996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8B1A3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E79E90D" w14:textId="24E5D3DC" w:rsidR="003145AE" w:rsidRPr="00612E08" w:rsidRDefault="00E167B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EE8A9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B4787DD" w14:textId="5257D43B" w:rsidR="003145AE" w:rsidRPr="00612E08" w:rsidRDefault="008B5E3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340E4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2150106" w14:textId="3313B347" w:rsidR="003145AE" w:rsidRPr="00612E08" w:rsidRDefault="005B7F39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D542B6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7591714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9AFD58C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9A01E79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BDCDC9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CA34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62014F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93E5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3884C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16C9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833E4C1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D72FFB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D58A898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8A529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FCD9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4DA57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88F65A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9DC2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B132DAE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9DBB2AD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628CB5" w14:textId="45093535" w:rsidR="007F587A" w:rsidRPr="00612E08" w:rsidRDefault="00E167B0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CF15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828A1D" w14:textId="0D1AC2B3" w:rsidR="007F587A" w:rsidRPr="00612E08" w:rsidRDefault="005B067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964B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95C5A" w14:textId="58AF6D26" w:rsidR="007F587A" w:rsidRPr="00612E08" w:rsidRDefault="00E167B0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D86A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AEEE464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CC378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A7A8B7C" w14:textId="554806FB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45E74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6C6FA84" w14:textId="54C66F74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8584B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41A730" w14:textId="17077D58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7D18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6E9ACAA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2E2"/>
          </w:tcPr>
          <w:p w14:paraId="49BCA5F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z toho vplyvy na MSP</w:t>
            </w:r>
          </w:p>
          <w:p w14:paraId="65380C8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000000" w:themeColor="text1"/>
                  <w:bottom w:val="dotted" w:sz="4" w:space="0" w:color="auto"/>
                  <w:right w:val="nil"/>
                </w:tcBorders>
                <w:vAlign w:val="center"/>
              </w:tcPr>
              <w:p w14:paraId="3245BDC2" w14:textId="65985E81" w:rsidR="007F587A" w:rsidRPr="0028725F" w:rsidRDefault="00064E1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D9B16" w14:textId="77777777" w:rsidR="007F587A" w:rsidRPr="0028725F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836C24" w14:textId="069BB012" w:rsidR="007F587A" w:rsidRPr="0028725F" w:rsidRDefault="00064E1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D8700D" w14:textId="77777777" w:rsidR="007F587A" w:rsidRPr="0028725F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4F8DCB" w14:textId="58F147D6" w:rsidR="007F587A" w:rsidRPr="0028725F" w:rsidRDefault="00064E1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FF9451" w14:textId="77777777" w:rsidR="007F587A" w:rsidRPr="00F06A08" w:rsidRDefault="007F587A" w:rsidP="007F587A">
            <w:pPr>
              <w:ind w:left="5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8D16C24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91A2F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724BF5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CCFA2C" w14:textId="77777777" w:rsidR="007F587A" w:rsidRPr="00612E08" w:rsidRDefault="008D63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241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618B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FF1B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7BD6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EA4221" w14:textId="03D96ECB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D5C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78CEE74" w14:textId="77777777" w:rsidTr="00F85228"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2E7F0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CC73ED" w14:textId="69B8FB1B" w:rsidR="007F587A" w:rsidRPr="00612E08" w:rsidRDefault="00064E1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84E6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337557" w14:textId="281B57AA" w:rsidR="007F587A" w:rsidRPr="00612E08" w:rsidRDefault="00064E1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7AD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5AB46B" w14:textId="369DAF0E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841B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9B067B1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A4B91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5DCF91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0E58F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A390C3" w14:textId="77777777"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5A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E15E27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A86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9B152FA" w14:textId="77777777" w:rsidTr="00F85228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F86C21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FD02566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37935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D6AC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5D77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6D5C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50BE3" w14:textId="7C4194A7" w:rsidR="007F587A" w:rsidRPr="00612E08" w:rsidRDefault="008B5E3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EB5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77FDEE7" w14:textId="77777777" w:rsidTr="00F8522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2C8FE6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3D4E7D3" w14:textId="77777777"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4FD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DA8C54" w14:textId="77777777"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6517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AF87F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ED00B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2CDC2317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974ADC" w14:textId="7AB2AC86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B800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FDF5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90651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4443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9D64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F76DB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5F8773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CE8371E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3AFACE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5B4755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05A560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EA644DE" w14:textId="77777777"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ACCF3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F955CC6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14E6D4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C3CBF8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976D83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3511EE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1BFF9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2995CF" w14:textId="77777777"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64D807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CC0565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E151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16DAD374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8C1DD1" w14:textId="2758F7C5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B800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60C63A" w14:textId="0480C94B" w:rsidR="00A340BB" w:rsidRPr="00612E08" w:rsidRDefault="008B5E3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156BE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898F4B" w14:textId="16F1B561" w:rsidR="00A340BB" w:rsidRPr="00612E08" w:rsidRDefault="008B5E3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AE2AC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E6C3B0" w14:textId="02121380" w:rsidR="00A340BB" w:rsidRPr="00612E08" w:rsidRDefault="008B5E3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23A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3EEC070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390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612E08" w:rsidRPr="00612E08" w14:paraId="5570635A" w14:textId="77777777" w:rsidTr="0119CF7C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59647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6409995" w14:textId="77777777" w:rsidTr="0119CF7C">
        <w:trPr>
          <w:trHeight w:val="713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C5D66E1" w14:textId="0B88ADD2" w:rsidR="00BE6C03" w:rsidRPr="006A06DA" w:rsidRDefault="426D7C4E" w:rsidP="008B5E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Návrh má </w:t>
            </w:r>
            <w:r w:rsidR="4DBA69CD"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pozitívne </w:t>
            </w:r>
            <w:r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>sociálne vpl</w:t>
            </w:r>
            <w:r w:rsidR="70277BD9"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 </w:t>
            </w:r>
            <w:r w:rsidR="401BC7FF"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>uvedené v prílohe č. 4 - Analýza sociálnych vplyvov</w:t>
            </w:r>
            <w:r w:rsidR="6197CC82" w:rsidRPr="0119CF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E08" w:rsidRPr="00612E08" w14:paraId="51CD04D3" w14:textId="77777777" w:rsidTr="0119CF7C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750CCC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0CC030AE" w14:textId="77777777" w:rsidTr="0119CF7C">
        <w:trPr>
          <w:trHeight w:val="586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E945" w14:textId="77777777" w:rsidR="007A05F0" w:rsidRDefault="007A05F0" w:rsidP="00B35F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FB34C2D" w14:textId="13E3A5E0" w:rsidR="008B5E3E" w:rsidRPr="008B5E3E" w:rsidRDefault="008B5E3E" w:rsidP="0119CF7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Káčerík</w:t>
            </w:r>
            <w:proofErr w:type="spellEnd"/>
            <w:r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sekcia </w:t>
            </w:r>
            <w:r w:rsidR="5A38A137"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strategického </w:t>
            </w:r>
            <w:r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rozvoja a </w:t>
            </w:r>
            <w:r w:rsidR="1A94324C"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investícií vo vysokom školstve</w:t>
            </w:r>
            <w:r w:rsidRPr="0119C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michal.kacerik@minedu.sk, +421918927470 </w:t>
            </w:r>
          </w:p>
          <w:p w14:paraId="60CC6B5A" w14:textId="1C7E62F2" w:rsidR="00B731DB" w:rsidRPr="008B5E3E" w:rsidRDefault="008B5E3E" w:rsidP="008B5E3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8B5E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Daniel Takács, odbor legislatívy, daniel.takacs@minedu.sk, +421259374240</w:t>
            </w:r>
          </w:p>
          <w:p w14:paraId="3795E6B3" w14:textId="77777777" w:rsidR="00B35FB8" w:rsidRPr="00612E08" w:rsidRDefault="00B35FB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0726A0C" w14:textId="77777777" w:rsidTr="0119CF7C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41839E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20CC79A3" w14:textId="77777777" w:rsidTr="0119CF7C">
        <w:trPr>
          <w:trHeight w:val="401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365B" w14:textId="77777777" w:rsidR="00B35FB8" w:rsidRPr="00AE0C5F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146A352" w14:textId="0BE66993" w:rsidR="00DC001D" w:rsidRPr="006A06DA" w:rsidRDefault="008B5E3E" w:rsidP="00DF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Poznatky z aplikačnej praxe.</w:t>
            </w:r>
          </w:p>
          <w:p w14:paraId="255AA083" w14:textId="77777777" w:rsidR="001B23B7" w:rsidRPr="00974931" w:rsidRDefault="001B23B7" w:rsidP="00A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7D2E94D" w14:textId="77777777" w:rsidTr="0119CF7C"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F6336F5" w14:textId="0A4B06E3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</w:t>
            </w:r>
            <w:r w:rsidR="00E01568">
              <w:rPr>
                <w:rFonts w:ascii="Times New Roman" w:eastAsia="Calibri" w:hAnsi="Times New Roman" w:cs="Times New Roman"/>
                <w:b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</w:rPr>
              <w:t>PPK</w:t>
            </w:r>
            <w:r w:rsidR="00E01568">
              <w:rPr>
                <w:rFonts w:ascii="Times New Roman" w:eastAsia="Calibri" w:hAnsi="Times New Roman" w:cs="Times New Roman"/>
                <w:b/>
              </w:rPr>
              <w:t xml:space="preserve"> č....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7C403F8C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7DE67E36" w14:textId="77777777" w:rsidTr="0119CF7C">
        <w:trPr>
          <w:trHeight w:val="70"/>
        </w:trPr>
        <w:tc>
          <w:tcPr>
            <w:tcW w:w="93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0A2A" w14:textId="77777777" w:rsidR="001B23B7" w:rsidRPr="005444D1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5444D1" w14:paraId="29CC634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38BA2E9" w14:textId="77777777" w:rsidR="001B23B7" w:rsidRPr="005444D1" w:rsidRDefault="00000000" w:rsidP="000800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5444D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EF57A39" w14:textId="73943EEF" w:rsidR="001B23B7" w:rsidRPr="005444D1" w:rsidRDefault="00000000" w:rsidP="000800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747A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A5E96CF" w14:textId="77777777" w:rsidR="001B23B7" w:rsidRPr="005444D1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5444D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10A1F8C" w14:textId="77777777" w:rsidR="001B23B7" w:rsidRPr="005444D1" w:rsidRDefault="001B23B7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44D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C68F589" w14:textId="77777777" w:rsidR="001B23B7" w:rsidRPr="005444D1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7031FC4" w14:textId="77777777" w:rsidR="00DD6D3B" w:rsidRPr="005444D1" w:rsidRDefault="00DD6D3B" w:rsidP="00A862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A8F0F6B" w14:textId="77777777" w:rsidTr="0119CF7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390" w:type="dxa"/>
            <w:tcBorders>
              <w:top w:val="single" w:sz="4" w:space="0" w:color="auto"/>
            </w:tcBorders>
            <w:shd w:val="clear" w:color="auto" w:fill="E2E2E2"/>
          </w:tcPr>
          <w:p w14:paraId="0E84DFE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242B0BB4" w14:textId="77777777" w:rsidTr="0119CF7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390" w:type="dxa"/>
            <w:shd w:val="clear" w:color="auto" w:fill="FFFFFF" w:themeFill="background1"/>
          </w:tcPr>
          <w:p w14:paraId="7D4F359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E1302E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2C6D045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030C3C2" w14:textId="545411A2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862D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9D29109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A62363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4C7034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1D6453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26CCA5D" w14:textId="77777777" w:rsidR="007F431A" w:rsidRPr="00612E08" w:rsidRDefault="007F431A"/>
    <w:sectPr w:rsidR="007F431A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D2A5" w14:textId="77777777" w:rsidR="00856845" w:rsidRDefault="00856845" w:rsidP="001B23B7">
      <w:pPr>
        <w:spacing w:after="0" w:line="240" w:lineRule="auto"/>
      </w:pPr>
      <w:r>
        <w:separator/>
      </w:r>
    </w:p>
  </w:endnote>
  <w:endnote w:type="continuationSeparator" w:id="0">
    <w:p w14:paraId="302A5AE3" w14:textId="77777777" w:rsidR="00856845" w:rsidRDefault="00856845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2701B4" w14:textId="7BA6FC5F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0C4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790C1E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440C" w14:textId="77777777" w:rsidR="00856845" w:rsidRDefault="00856845" w:rsidP="001B23B7">
      <w:pPr>
        <w:spacing w:after="0" w:line="240" w:lineRule="auto"/>
      </w:pPr>
      <w:r>
        <w:separator/>
      </w:r>
    </w:p>
  </w:footnote>
  <w:footnote w:type="continuationSeparator" w:id="0">
    <w:p w14:paraId="030D0835" w14:textId="77777777" w:rsidR="00856845" w:rsidRDefault="00856845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A5EE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5DA768B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6940"/>
    <w:multiLevelType w:val="hybridMultilevel"/>
    <w:tmpl w:val="EED2A6BA"/>
    <w:lvl w:ilvl="0" w:tplc="EBEC39D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88486147">
    <w:abstractNumId w:val="1"/>
  </w:num>
  <w:num w:numId="2" w16cid:durableId="78847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21F1"/>
    <w:rsid w:val="00011809"/>
    <w:rsid w:val="00015590"/>
    <w:rsid w:val="00017487"/>
    <w:rsid w:val="00030C77"/>
    <w:rsid w:val="0003698D"/>
    <w:rsid w:val="00043706"/>
    <w:rsid w:val="00046EF8"/>
    <w:rsid w:val="00051037"/>
    <w:rsid w:val="00056364"/>
    <w:rsid w:val="00057869"/>
    <w:rsid w:val="00064E16"/>
    <w:rsid w:val="00070703"/>
    <w:rsid w:val="00070D2C"/>
    <w:rsid w:val="0008000A"/>
    <w:rsid w:val="00082B7B"/>
    <w:rsid w:val="00097069"/>
    <w:rsid w:val="000A1A72"/>
    <w:rsid w:val="000A3CA8"/>
    <w:rsid w:val="000A3EEB"/>
    <w:rsid w:val="000C248B"/>
    <w:rsid w:val="000C4201"/>
    <w:rsid w:val="000D348F"/>
    <w:rsid w:val="000E019E"/>
    <w:rsid w:val="000F2BE9"/>
    <w:rsid w:val="000F50B0"/>
    <w:rsid w:val="000F514A"/>
    <w:rsid w:val="00113AE4"/>
    <w:rsid w:val="0011690B"/>
    <w:rsid w:val="001321BE"/>
    <w:rsid w:val="001465BA"/>
    <w:rsid w:val="001555E4"/>
    <w:rsid w:val="00156064"/>
    <w:rsid w:val="00165F7E"/>
    <w:rsid w:val="00177DF4"/>
    <w:rsid w:val="00187182"/>
    <w:rsid w:val="001A2490"/>
    <w:rsid w:val="001B23B7"/>
    <w:rsid w:val="001B2825"/>
    <w:rsid w:val="001B567F"/>
    <w:rsid w:val="001B72D2"/>
    <w:rsid w:val="001C0423"/>
    <w:rsid w:val="001D5AE4"/>
    <w:rsid w:val="001E2FE5"/>
    <w:rsid w:val="001E3562"/>
    <w:rsid w:val="001E667E"/>
    <w:rsid w:val="001F63F5"/>
    <w:rsid w:val="001F750F"/>
    <w:rsid w:val="002037D0"/>
    <w:rsid w:val="00203EE3"/>
    <w:rsid w:val="002243BB"/>
    <w:rsid w:val="002269F6"/>
    <w:rsid w:val="0023360B"/>
    <w:rsid w:val="00236D22"/>
    <w:rsid w:val="00241050"/>
    <w:rsid w:val="00243652"/>
    <w:rsid w:val="00244F3E"/>
    <w:rsid w:val="00254B60"/>
    <w:rsid w:val="00260D8D"/>
    <w:rsid w:val="002725AB"/>
    <w:rsid w:val="00277A05"/>
    <w:rsid w:val="0028725F"/>
    <w:rsid w:val="00294025"/>
    <w:rsid w:val="002A005D"/>
    <w:rsid w:val="002A315E"/>
    <w:rsid w:val="002A3684"/>
    <w:rsid w:val="002A5763"/>
    <w:rsid w:val="002B16CE"/>
    <w:rsid w:val="002B7E30"/>
    <w:rsid w:val="002C0E82"/>
    <w:rsid w:val="002C3ABA"/>
    <w:rsid w:val="002D58B4"/>
    <w:rsid w:val="002E4950"/>
    <w:rsid w:val="002E5963"/>
    <w:rsid w:val="002F44B2"/>
    <w:rsid w:val="002F6ADB"/>
    <w:rsid w:val="002F73D7"/>
    <w:rsid w:val="003145AE"/>
    <w:rsid w:val="00314F3D"/>
    <w:rsid w:val="00332DD6"/>
    <w:rsid w:val="00332F65"/>
    <w:rsid w:val="003354C9"/>
    <w:rsid w:val="0034321C"/>
    <w:rsid w:val="003524F2"/>
    <w:rsid w:val="003553ED"/>
    <w:rsid w:val="00370683"/>
    <w:rsid w:val="00372933"/>
    <w:rsid w:val="003739EB"/>
    <w:rsid w:val="0038296C"/>
    <w:rsid w:val="003A057B"/>
    <w:rsid w:val="003A381E"/>
    <w:rsid w:val="003B2FF1"/>
    <w:rsid w:val="003B5EBE"/>
    <w:rsid w:val="003C792B"/>
    <w:rsid w:val="003D28A2"/>
    <w:rsid w:val="003D7396"/>
    <w:rsid w:val="003E244B"/>
    <w:rsid w:val="00411898"/>
    <w:rsid w:val="00437564"/>
    <w:rsid w:val="00446BCE"/>
    <w:rsid w:val="00455F1B"/>
    <w:rsid w:val="00461717"/>
    <w:rsid w:val="0046432D"/>
    <w:rsid w:val="0049476D"/>
    <w:rsid w:val="004A4383"/>
    <w:rsid w:val="004A658D"/>
    <w:rsid w:val="004C565D"/>
    <w:rsid w:val="004C5BD5"/>
    <w:rsid w:val="004C6831"/>
    <w:rsid w:val="004E27B8"/>
    <w:rsid w:val="004F241F"/>
    <w:rsid w:val="004F2F6D"/>
    <w:rsid w:val="004F444C"/>
    <w:rsid w:val="004F7499"/>
    <w:rsid w:val="00516184"/>
    <w:rsid w:val="00533C1C"/>
    <w:rsid w:val="00540B2B"/>
    <w:rsid w:val="005444D1"/>
    <w:rsid w:val="005570F4"/>
    <w:rsid w:val="0056001B"/>
    <w:rsid w:val="00560C82"/>
    <w:rsid w:val="005637E2"/>
    <w:rsid w:val="0056454A"/>
    <w:rsid w:val="0057116D"/>
    <w:rsid w:val="005911A1"/>
    <w:rsid w:val="00591EC6"/>
    <w:rsid w:val="00591ED3"/>
    <w:rsid w:val="00591F67"/>
    <w:rsid w:val="00592CE9"/>
    <w:rsid w:val="005B0676"/>
    <w:rsid w:val="005B7F39"/>
    <w:rsid w:val="005E047A"/>
    <w:rsid w:val="00612E08"/>
    <w:rsid w:val="006134F9"/>
    <w:rsid w:val="006376BA"/>
    <w:rsid w:val="00641861"/>
    <w:rsid w:val="00647DA0"/>
    <w:rsid w:val="00666823"/>
    <w:rsid w:val="00676204"/>
    <w:rsid w:val="006A06DA"/>
    <w:rsid w:val="006A5952"/>
    <w:rsid w:val="006A5CCE"/>
    <w:rsid w:val="006B1DE5"/>
    <w:rsid w:val="006C1165"/>
    <w:rsid w:val="006C7484"/>
    <w:rsid w:val="006F0366"/>
    <w:rsid w:val="006F678E"/>
    <w:rsid w:val="006F6B62"/>
    <w:rsid w:val="00706038"/>
    <w:rsid w:val="0071552D"/>
    <w:rsid w:val="00720322"/>
    <w:rsid w:val="007239FF"/>
    <w:rsid w:val="00727E30"/>
    <w:rsid w:val="0073443A"/>
    <w:rsid w:val="007374F2"/>
    <w:rsid w:val="0075197E"/>
    <w:rsid w:val="00761208"/>
    <w:rsid w:val="007756BE"/>
    <w:rsid w:val="00797399"/>
    <w:rsid w:val="007A05F0"/>
    <w:rsid w:val="007B40C1"/>
    <w:rsid w:val="007C348F"/>
    <w:rsid w:val="007C5312"/>
    <w:rsid w:val="007D5167"/>
    <w:rsid w:val="007D6F2C"/>
    <w:rsid w:val="007E4D69"/>
    <w:rsid w:val="007F431A"/>
    <w:rsid w:val="007F4DD1"/>
    <w:rsid w:val="007F587A"/>
    <w:rsid w:val="007F626B"/>
    <w:rsid w:val="0080042A"/>
    <w:rsid w:val="00803484"/>
    <w:rsid w:val="008146A7"/>
    <w:rsid w:val="00844E4C"/>
    <w:rsid w:val="00856845"/>
    <w:rsid w:val="00857434"/>
    <w:rsid w:val="00865E81"/>
    <w:rsid w:val="00872F65"/>
    <w:rsid w:val="008733C1"/>
    <w:rsid w:val="008742E3"/>
    <w:rsid w:val="00874A39"/>
    <w:rsid w:val="008801B5"/>
    <w:rsid w:val="00881E07"/>
    <w:rsid w:val="0088726F"/>
    <w:rsid w:val="00892EB0"/>
    <w:rsid w:val="0089420B"/>
    <w:rsid w:val="008B222D"/>
    <w:rsid w:val="008B22FD"/>
    <w:rsid w:val="008B5E3E"/>
    <w:rsid w:val="008C0247"/>
    <w:rsid w:val="008C79B7"/>
    <w:rsid w:val="008D202F"/>
    <w:rsid w:val="008D4E48"/>
    <w:rsid w:val="008D5646"/>
    <w:rsid w:val="008D6342"/>
    <w:rsid w:val="00921659"/>
    <w:rsid w:val="0093196D"/>
    <w:rsid w:val="009431E3"/>
    <w:rsid w:val="009463A0"/>
    <w:rsid w:val="009475F5"/>
    <w:rsid w:val="00951A13"/>
    <w:rsid w:val="00952B7C"/>
    <w:rsid w:val="00961D2D"/>
    <w:rsid w:val="00963DAE"/>
    <w:rsid w:val="009717F5"/>
    <w:rsid w:val="00974931"/>
    <w:rsid w:val="00977CA1"/>
    <w:rsid w:val="00982562"/>
    <w:rsid w:val="0098472E"/>
    <w:rsid w:val="009C424C"/>
    <w:rsid w:val="009D39D2"/>
    <w:rsid w:val="009D4B30"/>
    <w:rsid w:val="009E09F7"/>
    <w:rsid w:val="009F4832"/>
    <w:rsid w:val="00A05573"/>
    <w:rsid w:val="00A1519F"/>
    <w:rsid w:val="00A20BC1"/>
    <w:rsid w:val="00A21544"/>
    <w:rsid w:val="00A232B9"/>
    <w:rsid w:val="00A24B0F"/>
    <w:rsid w:val="00A32F55"/>
    <w:rsid w:val="00A340BB"/>
    <w:rsid w:val="00A54199"/>
    <w:rsid w:val="00A60413"/>
    <w:rsid w:val="00A613E4"/>
    <w:rsid w:val="00A615AA"/>
    <w:rsid w:val="00A61E1A"/>
    <w:rsid w:val="00A7788F"/>
    <w:rsid w:val="00A811A8"/>
    <w:rsid w:val="00A849BE"/>
    <w:rsid w:val="00A850EE"/>
    <w:rsid w:val="00A85810"/>
    <w:rsid w:val="00A862DC"/>
    <w:rsid w:val="00A904C1"/>
    <w:rsid w:val="00A93DE7"/>
    <w:rsid w:val="00A97B66"/>
    <w:rsid w:val="00AA747A"/>
    <w:rsid w:val="00AC30D6"/>
    <w:rsid w:val="00AC589F"/>
    <w:rsid w:val="00AE0C5F"/>
    <w:rsid w:val="00AE500D"/>
    <w:rsid w:val="00B00B6E"/>
    <w:rsid w:val="00B1605C"/>
    <w:rsid w:val="00B22D3A"/>
    <w:rsid w:val="00B23B5B"/>
    <w:rsid w:val="00B275C8"/>
    <w:rsid w:val="00B31483"/>
    <w:rsid w:val="00B32A02"/>
    <w:rsid w:val="00B33088"/>
    <w:rsid w:val="00B35FB8"/>
    <w:rsid w:val="00B36008"/>
    <w:rsid w:val="00B43582"/>
    <w:rsid w:val="00B547F5"/>
    <w:rsid w:val="00B70C48"/>
    <w:rsid w:val="00B731DB"/>
    <w:rsid w:val="00B74CF8"/>
    <w:rsid w:val="00B8005B"/>
    <w:rsid w:val="00B84F87"/>
    <w:rsid w:val="00B8701F"/>
    <w:rsid w:val="00BA2BF4"/>
    <w:rsid w:val="00BA47D6"/>
    <w:rsid w:val="00BB00DA"/>
    <w:rsid w:val="00BB3D21"/>
    <w:rsid w:val="00BD2F1C"/>
    <w:rsid w:val="00BD48CA"/>
    <w:rsid w:val="00BD75C2"/>
    <w:rsid w:val="00BE1C81"/>
    <w:rsid w:val="00BE5870"/>
    <w:rsid w:val="00BE6AD8"/>
    <w:rsid w:val="00BE6C03"/>
    <w:rsid w:val="00BF71F1"/>
    <w:rsid w:val="00C1489A"/>
    <w:rsid w:val="00C27DBB"/>
    <w:rsid w:val="00C40D47"/>
    <w:rsid w:val="00C437EC"/>
    <w:rsid w:val="00C5386F"/>
    <w:rsid w:val="00C55079"/>
    <w:rsid w:val="00C56770"/>
    <w:rsid w:val="00C57963"/>
    <w:rsid w:val="00C66460"/>
    <w:rsid w:val="00C76520"/>
    <w:rsid w:val="00C812C5"/>
    <w:rsid w:val="00C86714"/>
    <w:rsid w:val="00C917AB"/>
    <w:rsid w:val="00C94E4E"/>
    <w:rsid w:val="00C97799"/>
    <w:rsid w:val="00CA2ECD"/>
    <w:rsid w:val="00CA32B4"/>
    <w:rsid w:val="00CA3A79"/>
    <w:rsid w:val="00CA66D6"/>
    <w:rsid w:val="00CA6BAA"/>
    <w:rsid w:val="00CB08AE"/>
    <w:rsid w:val="00CB7D19"/>
    <w:rsid w:val="00CC2A5A"/>
    <w:rsid w:val="00CC2E3E"/>
    <w:rsid w:val="00CC55BE"/>
    <w:rsid w:val="00CC6270"/>
    <w:rsid w:val="00CD2FC5"/>
    <w:rsid w:val="00CD43BF"/>
    <w:rsid w:val="00CD6E04"/>
    <w:rsid w:val="00CE2A76"/>
    <w:rsid w:val="00CE6AAE"/>
    <w:rsid w:val="00CF1635"/>
    <w:rsid w:val="00CF1A25"/>
    <w:rsid w:val="00D0366F"/>
    <w:rsid w:val="00D03EC9"/>
    <w:rsid w:val="00D144CF"/>
    <w:rsid w:val="00D1685B"/>
    <w:rsid w:val="00D2313B"/>
    <w:rsid w:val="00D33822"/>
    <w:rsid w:val="00D50F1E"/>
    <w:rsid w:val="00D52641"/>
    <w:rsid w:val="00D63FC6"/>
    <w:rsid w:val="00D83207"/>
    <w:rsid w:val="00D9296C"/>
    <w:rsid w:val="00D979F3"/>
    <w:rsid w:val="00DA1B41"/>
    <w:rsid w:val="00DB57C8"/>
    <w:rsid w:val="00DC001D"/>
    <w:rsid w:val="00DD1BB0"/>
    <w:rsid w:val="00DD4EE5"/>
    <w:rsid w:val="00DD6D3B"/>
    <w:rsid w:val="00DF357C"/>
    <w:rsid w:val="00DF689D"/>
    <w:rsid w:val="00DF7AD2"/>
    <w:rsid w:val="00E01568"/>
    <w:rsid w:val="00E04A72"/>
    <w:rsid w:val="00E119C4"/>
    <w:rsid w:val="00E167B0"/>
    <w:rsid w:val="00E167FC"/>
    <w:rsid w:val="00E16F3C"/>
    <w:rsid w:val="00E175A1"/>
    <w:rsid w:val="00E22323"/>
    <w:rsid w:val="00E30F14"/>
    <w:rsid w:val="00E35308"/>
    <w:rsid w:val="00E354B0"/>
    <w:rsid w:val="00E440B4"/>
    <w:rsid w:val="00E472E7"/>
    <w:rsid w:val="00E5292E"/>
    <w:rsid w:val="00E52CF0"/>
    <w:rsid w:val="00E55174"/>
    <w:rsid w:val="00E56F19"/>
    <w:rsid w:val="00E8083B"/>
    <w:rsid w:val="00E817FD"/>
    <w:rsid w:val="00E8247E"/>
    <w:rsid w:val="00E85259"/>
    <w:rsid w:val="00EA291B"/>
    <w:rsid w:val="00EA7CE7"/>
    <w:rsid w:val="00EB16B6"/>
    <w:rsid w:val="00EB6942"/>
    <w:rsid w:val="00EB734D"/>
    <w:rsid w:val="00ED1428"/>
    <w:rsid w:val="00ED165A"/>
    <w:rsid w:val="00ED1AC0"/>
    <w:rsid w:val="00ED2D8A"/>
    <w:rsid w:val="00EE4500"/>
    <w:rsid w:val="00EE767D"/>
    <w:rsid w:val="00EF4C91"/>
    <w:rsid w:val="00EF6D8F"/>
    <w:rsid w:val="00EF7141"/>
    <w:rsid w:val="00F02E98"/>
    <w:rsid w:val="00F06A08"/>
    <w:rsid w:val="00F13026"/>
    <w:rsid w:val="00F33058"/>
    <w:rsid w:val="00F36B6C"/>
    <w:rsid w:val="00F41E38"/>
    <w:rsid w:val="00F46512"/>
    <w:rsid w:val="00F50A84"/>
    <w:rsid w:val="00F512A8"/>
    <w:rsid w:val="00F66FB3"/>
    <w:rsid w:val="00F73DB9"/>
    <w:rsid w:val="00F83B9C"/>
    <w:rsid w:val="00F85228"/>
    <w:rsid w:val="00F87681"/>
    <w:rsid w:val="00F877EF"/>
    <w:rsid w:val="00FA02DB"/>
    <w:rsid w:val="00FB3B61"/>
    <w:rsid w:val="00FC70AC"/>
    <w:rsid w:val="00FD5A13"/>
    <w:rsid w:val="00FE7A54"/>
    <w:rsid w:val="00FF74D1"/>
    <w:rsid w:val="0119CF7C"/>
    <w:rsid w:val="05D803F1"/>
    <w:rsid w:val="07059468"/>
    <w:rsid w:val="0D02E62E"/>
    <w:rsid w:val="0F1D2BC5"/>
    <w:rsid w:val="1720D094"/>
    <w:rsid w:val="187DA354"/>
    <w:rsid w:val="1A94324C"/>
    <w:rsid w:val="1AB8E50C"/>
    <w:rsid w:val="1ACD0726"/>
    <w:rsid w:val="1BDDCF31"/>
    <w:rsid w:val="1C600995"/>
    <w:rsid w:val="21F0A438"/>
    <w:rsid w:val="252389EA"/>
    <w:rsid w:val="2838C957"/>
    <w:rsid w:val="2C576931"/>
    <w:rsid w:val="2E03C2EF"/>
    <w:rsid w:val="2EBD863E"/>
    <w:rsid w:val="366676CF"/>
    <w:rsid w:val="3D1E2B1E"/>
    <w:rsid w:val="3D68D096"/>
    <w:rsid w:val="401BC7FF"/>
    <w:rsid w:val="426D7C4E"/>
    <w:rsid w:val="44022914"/>
    <w:rsid w:val="4748ADFA"/>
    <w:rsid w:val="480E33EA"/>
    <w:rsid w:val="48B717E3"/>
    <w:rsid w:val="4B9F59F3"/>
    <w:rsid w:val="4C804381"/>
    <w:rsid w:val="4DA1254A"/>
    <w:rsid w:val="4DBA69CD"/>
    <w:rsid w:val="51176E72"/>
    <w:rsid w:val="55986862"/>
    <w:rsid w:val="5A38A137"/>
    <w:rsid w:val="5D2E7967"/>
    <w:rsid w:val="5E3E7EF0"/>
    <w:rsid w:val="6197CC82"/>
    <w:rsid w:val="6BEF037F"/>
    <w:rsid w:val="6C5ADC63"/>
    <w:rsid w:val="6F962829"/>
    <w:rsid w:val="70277BD9"/>
    <w:rsid w:val="737A96B7"/>
    <w:rsid w:val="7463161D"/>
    <w:rsid w:val="753EBEC1"/>
    <w:rsid w:val="7BDCADA4"/>
    <w:rsid w:val="7C6FB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2F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44F3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44F3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444D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43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7E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7E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F8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uiPriority w:val="1"/>
    <w:rsid w:val="3D68D09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1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doložka-vybranych-vplyvov"/>
    <f:field ref="objsubject" par="" edit="true" text=""/>
    <f:field ref="objcreatedby" par="" text="Ludva, Alexander, Mgr."/>
    <f:field ref="objcreatedat" par="" text="24.5.2024 14:56:45"/>
    <f:field ref="objchangedby" par="" text="Administrator, System"/>
    <f:field ref="objmodifiedat" par="" text="24.5.2024 14:56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CC99A5-2F43-4974-B0A0-ACC7CEA9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2025-08-13T18:23:00Z</dcterms:created>
  <dcterms:modified xsi:type="dcterms:W3CDTF">2025-08-20T07:40:00Z</dcterms:modified>
</cp:coreProperties>
</file>