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poslankyňa a poslanec Národnej rady Slovenskej republiky Zuzana Mesterová a Martin Dubéci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menia a dopĺňajú niektoré zákony v súvislosti so zvýšením  transparentnosti financovania volebnej kampane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problematika návrhu zákona nie je upravená v práve EÚ, body 4 a 5 sa nevypĺňajú.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menia a dopĺňajú niektoré zákony v súvislosti so zvýšením  transparentnosti financovania volebnej kampane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zákona je, aby boli finančné prostriedky využívané transparentne a na účely, na ktoré majú slúžiť. Navrhovaná zmena výšky pokuty za vybrané porušenia zákona bude mať odstrašujúci účinok, ktorým sa zníži nutnosť ich udeľovať, a preto sa nepredpokladá významný vplyv na rozpočet verejnej správy.</w:t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</w:t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p w:rsidR="00000000" w:rsidDel="00000000" w:rsidP="00000000" w:rsidRDefault="00000000" w:rsidRPr="00000000" w14:paraId="0000006F">
      <w:pPr>
        <w:ind w:firstLine="72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/ZspkXtots75xglcP7OxASbfg==">CgMxLjA4AHIhMTZZNmVSamtzUHFvNWdLeU4yUVZwZEQ3U0hIaXhVeUo2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2025-08-20T08:37:00Z</dcterms:created>
</cp:coreProperties>
</file>