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2127D" w:rsidRPr="00D93EB3" w:rsidRDefault="009533A5">
      <w:pPr>
        <w:jc w:val="center"/>
        <w:rPr>
          <w:b/>
        </w:rPr>
      </w:pPr>
      <w:r w:rsidRPr="00D93EB3">
        <w:rPr>
          <w:b/>
        </w:rPr>
        <w:t>D ô v o d o v á   s p r á v a</w:t>
      </w:r>
    </w:p>
    <w:p w14:paraId="00000002" w14:textId="77777777" w:rsidR="0092127D" w:rsidRPr="00D93EB3" w:rsidRDefault="0092127D">
      <w:pPr>
        <w:jc w:val="center"/>
        <w:rPr>
          <w:b/>
        </w:rPr>
      </w:pPr>
    </w:p>
    <w:p w14:paraId="00000003" w14:textId="77777777" w:rsidR="0092127D" w:rsidRPr="00D93EB3" w:rsidRDefault="009533A5">
      <w:pPr>
        <w:numPr>
          <w:ilvl w:val="0"/>
          <w:numId w:val="1"/>
        </w:numPr>
        <w:pBdr>
          <w:top w:val="nil"/>
          <w:left w:val="nil"/>
          <w:bottom w:val="nil"/>
          <w:right w:val="nil"/>
          <w:between w:val="nil"/>
        </w:pBdr>
        <w:spacing w:line="259" w:lineRule="auto"/>
        <w:rPr>
          <w:b/>
          <w:color w:val="000000"/>
        </w:rPr>
      </w:pPr>
      <w:r w:rsidRPr="00D93EB3">
        <w:rPr>
          <w:b/>
          <w:color w:val="000000"/>
        </w:rPr>
        <w:t xml:space="preserve">Všeobecná časť </w:t>
      </w:r>
    </w:p>
    <w:p w14:paraId="00000004" w14:textId="77777777" w:rsidR="0092127D" w:rsidRPr="00D93EB3" w:rsidRDefault="0092127D">
      <w:pPr>
        <w:pBdr>
          <w:top w:val="nil"/>
          <w:left w:val="nil"/>
          <w:bottom w:val="nil"/>
          <w:right w:val="nil"/>
          <w:between w:val="nil"/>
        </w:pBdr>
        <w:spacing w:after="160" w:line="259" w:lineRule="auto"/>
        <w:ind w:left="720"/>
        <w:rPr>
          <w:color w:val="000000"/>
        </w:rPr>
      </w:pPr>
    </w:p>
    <w:p w14:paraId="00000005" w14:textId="5E30C7BD" w:rsidR="0092127D" w:rsidRPr="00D93EB3" w:rsidRDefault="009533A5">
      <w:pPr>
        <w:ind w:firstLine="708"/>
        <w:jc w:val="both"/>
      </w:pPr>
      <w:r w:rsidRPr="00D93EB3">
        <w:t xml:space="preserve">Návrh zákona, ktorým sa dopĺňa zákon č. 461/2003 Z. z. o sociálnom poistení a o zmene a doplnení niektorých zákonov v znení neskorších predpisov predkladajú na rokovanie Národnej rady Slovenskej republiky poslanci Národnej rady Slovenskej republiky Vladimíra </w:t>
      </w:r>
      <w:proofErr w:type="spellStart"/>
      <w:r w:rsidRPr="00D93EB3">
        <w:t>Marcinková</w:t>
      </w:r>
      <w:proofErr w:type="spellEnd"/>
      <w:r w:rsidR="00C406E8">
        <w:t>,</w:t>
      </w:r>
      <w:r w:rsidRPr="00D93EB3">
        <w:t xml:space="preserve"> Vladimír </w:t>
      </w:r>
      <w:proofErr w:type="spellStart"/>
      <w:r w:rsidRPr="00D93EB3">
        <w:t>Ledecký</w:t>
      </w:r>
      <w:proofErr w:type="spellEnd"/>
      <w:r w:rsidR="00C406E8">
        <w:t xml:space="preserve"> a Martina </w:t>
      </w:r>
      <w:proofErr w:type="spellStart"/>
      <w:r w:rsidR="00C406E8">
        <w:t>Bajo</w:t>
      </w:r>
      <w:proofErr w:type="spellEnd"/>
      <w:r w:rsidR="00C406E8">
        <w:t xml:space="preserve"> </w:t>
      </w:r>
      <w:proofErr w:type="spellStart"/>
      <w:r w:rsidR="00C406E8">
        <w:t>Holečková</w:t>
      </w:r>
      <w:proofErr w:type="spellEnd"/>
      <w:r w:rsidR="00C406E8">
        <w:t>.</w:t>
      </w:r>
    </w:p>
    <w:p w14:paraId="00000006" w14:textId="77777777" w:rsidR="0092127D" w:rsidRPr="00D93EB3" w:rsidRDefault="0092127D">
      <w:pPr>
        <w:jc w:val="both"/>
      </w:pPr>
    </w:p>
    <w:p w14:paraId="00000007" w14:textId="4AB2990B" w:rsidR="0092127D" w:rsidRPr="00D93EB3" w:rsidRDefault="009533A5">
      <w:pPr>
        <w:ind w:firstLine="708"/>
        <w:jc w:val="both"/>
      </w:pPr>
      <w:r w:rsidRPr="00D93EB3">
        <w:rPr>
          <w:b/>
        </w:rPr>
        <w:t>Cieľom predkladanej novely zákona je rozšírenie okruhu osôb, na ktoré je možné poberať ošetrovné o chorú blízku osobu</w:t>
      </w:r>
      <w:sdt>
        <w:sdtPr>
          <w:tag w:val="goog_rdk_0"/>
          <w:id w:val="-1328661951"/>
        </w:sdtPr>
        <w:sdtEndPr/>
        <w:sdtContent>
          <w:r w:rsidRPr="00D93EB3">
            <w:rPr>
              <w:b/>
            </w:rPr>
            <w:t xml:space="preserve"> žijúcu s poistencom v</w:t>
          </w:r>
        </w:sdtContent>
      </w:sdt>
      <w:sdt>
        <w:sdtPr>
          <w:tag w:val="goog_rdk_1"/>
          <w:id w:val="-1007803449"/>
        </w:sdtPr>
        <w:sdtEndPr/>
        <w:sdtContent>
          <w:r w:rsidR="00D93EB3">
            <w:t xml:space="preserve"> </w:t>
          </w:r>
        </w:sdtContent>
      </w:sdt>
      <w:r w:rsidRPr="00D93EB3">
        <w:rPr>
          <w:b/>
        </w:rPr>
        <w:t>domácnosti</w:t>
      </w:r>
      <w:r w:rsidRPr="00D93EB3">
        <w:t xml:space="preserve">. </w:t>
      </w:r>
    </w:p>
    <w:p w14:paraId="00000008" w14:textId="77777777" w:rsidR="0092127D" w:rsidRPr="00D93EB3" w:rsidRDefault="0092127D">
      <w:pPr>
        <w:jc w:val="both"/>
      </w:pPr>
    </w:p>
    <w:p w14:paraId="00000009" w14:textId="77777777" w:rsidR="0092127D" w:rsidRPr="00D93EB3" w:rsidRDefault="009533A5">
      <w:pPr>
        <w:jc w:val="both"/>
      </w:pPr>
      <w:r w:rsidRPr="00D93EB3">
        <w:tab/>
        <w:t>Súčasné znenie zákona č. 461/2003 Z. z. o sociálnom poistení v znení neskorších predpisov presne určuje osoby, na ktoré je možné poberať ošetrovné. Vychádzajúc z vyššie citovaného zákona na účely získania dávky ošetrovné môže osoba ošetrovať:</w:t>
      </w:r>
    </w:p>
    <w:p w14:paraId="0000000A" w14:textId="77777777" w:rsidR="0092127D" w:rsidRPr="00D93EB3" w:rsidRDefault="0092127D">
      <w:pPr>
        <w:jc w:val="both"/>
      </w:pPr>
    </w:p>
    <w:p w14:paraId="0000000B" w14:textId="77777777" w:rsidR="0092127D" w:rsidRPr="00D93EB3" w:rsidRDefault="009533A5">
      <w:pPr>
        <w:jc w:val="both"/>
      </w:pPr>
      <w:r w:rsidRPr="00D93EB3">
        <w:t>a)</w:t>
      </w:r>
      <w:r w:rsidRPr="00D93EB3">
        <w:tab/>
        <w:t>chorého príbuzného v priamom rade (rodič – dieťa, starý rodič – vnúča, prastarý rodič – pravnúča),</w:t>
      </w:r>
    </w:p>
    <w:p w14:paraId="0000000C" w14:textId="77777777" w:rsidR="0092127D" w:rsidRPr="00D93EB3" w:rsidRDefault="009533A5">
      <w:pPr>
        <w:jc w:val="both"/>
      </w:pPr>
      <w:r w:rsidRPr="00D93EB3">
        <w:t>b)</w:t>
      </w:r>
      <w:r w:rsidRPr="00D93EB3">
        <w:tab/>
        <w:t>choré dieťa, ktoré nie je vaším príbuzným v priamom rade (napr. dieťa osvojené alebo zverené do starostlivosti na základe rozhodnutia príslušného orgánu, prípadne vlastné alebo osvojené dieťa manžela/manželky),</w:t>
      </w:r>
    </w:p>
    <w:p w14:paraId="0000000D" w14:textId="77777777" w:rsidR="0092127D" w:rsidRPr="00D93EB3" w:rsidRDefault="009533A5">
      <w:pPr>
        <w:jc w:val="both"/>
      </w:pPr>
      <w:r w:rsidRPr="00D93EB3">
        <w:t>c)</w:t>
      </w:r>
      <w:r w:rsidRPr="00D93EB3">
        <w:tab/>
        <w:t>chorého súrodenca,</w:t>
      </w:r>
    </w:p>
    <w:p w14:paraId="0000000E" w14:textId="77777777" w:rsidR="0092127D" w:rsidRPr="00D93EB3" w:rsidRDefault="009533A5">
      <w:pPr>
        <w:jc w:val="both"/>
      </w:pPr>
      <w:r w:rsidRPr="00D93EB3">
        <w:t>d)</w:t>
      </w:r>
      <w:r w:rsidRPr="00D93EB3">
        <w:tab/>
        <w:t>chorého manžela (manželku), alebo</w:t>
      </w:r>
    </w:p>
    <w:p w14:paraId="0000000F" w14:textId="5FBFEC61" w:rsidR="0092127D" w:rsidRPr="00D93EB3" w:rsidRDefault="009533A5">
      <w:pPr>
        <w:jc w:val="both"/>
      </w:pPr>
      <w:r w:rsidRPr="00D93EB3">
        <w:t>e)</w:t>
      </w:r>
      <w:r w:rsidRPr="00D93EB3">
        <w:tab/>
        <w:t>chorého rodiča manžela (manželky).</w:t>
      </w:r>
      <w:r w:rsidR="00C406E8">
        <w:rPr>
          <w:rStyle w:val="Odkaznapoznmkupodiarou"/>
        </w:rPr>
        <w:footnoteReference w:id="1"/>
      </w:r>
      <w:r w:rsidRPr="00D93EB3">
        <w:t xml:space="preserve"> </w:t>
      </w:r>
    </w:p>
    <w:p w14:paraId="00000010" w14:textId="77777777" w:rsidR="0092127D" w:rsidRPr="00D93EB3" w:rsidRDefault="0092127D">
      <w:pPr>
        <w:jc w:val="both"/>
      </w:pPr>
    </w:p>
    <w:sdt>
      <w:sdtPr>
        <w:tag w:val="goog_rdk_8"/>
        <w:id w:val="2129435062"/>
      </w:sdtPr>
      <w:sdtEndPr/>
      <w:sdtContent>
        <w:p w14:paraId="00000011" w14:textId="46E8BBC0" w:rsidR="0092127D" w:rsidRPr="00D93EB3" w:rsidRDefault="009533A5">
          <w:pPr>
            <w:ind w:firstLine="708"/>
            <w:jc w:val="both"/>
            <w:rPr>
              <w:i/>
            </w:rPr>
          </w:pPr>
          <w:r w:rsidRPr="00D93EB3">
            <w:t xml:space="preserve">Skutočnosť, že ošetrovné je v súčasnosti možné poberať len na členov rodiny, výrazne znevýhodňuje osoby, ktoré síce žijú </w:t>
          </w:r>
          <w:sdt>
            <w:sdtPr>
              <w:tag w:val="goog_rdk_2"/>
              <w:id w:val="321404702"/>
            </w:sdtPr>
            <w:sdtEndPr/>
            <w:sdtContent>
              <w:r w:rsidRPr="00D93EB3">
                <w:t xml:space="preserve">spoločne </w:t>
              </w:r>
            </w:sdtContent>
          </w:sdt>
          <w:r w:rsidRPr="00D93EB3">
            <w:t xml:space="preserve">v jednej domácnosti, ale vychádzajúc zo zákona nespĺňajú podmienky definície rodiny. Na tento problém, okrem iného, upozorňuje komisárka pre osoby so zdravotným postihnutím vo svojej výročnej správe o činnosti za rok 2024. V správe komisárka uvádza: </w:t>
          </w:r>
          <w:sdt>
            <w:sdtPr>
              <w:tag w:val="goog_rdk_3"/>
              <w:id w:val="2125411494"/>
            </w:sdtPr>
            <w:sdtEndPr/>
            <w:sdtContent>
              <w:r w:rsidRPr="00D93EB3">
                <w:rPr>
                  <w:i/>
                </w:rPr>
                <w:t xml:space="preserve">Napriek tomu, že väčšina rodinných domácností sa formuje uzavretím manželstva, z údajov Štatistického úradu z roku 2023 vyplýva, že rodiny založené na </w:t>
              </w:r>
            </w:sdtContent>
          </w:sdt>
          <w:sdt>
            <w:sdtPr>
              <w:tag w:val="goog_rdk_4"/>
              <w:id w:val="-912490645"/>
            </w:sdtPr>
            <w:sdtEndPr/>
            <w:sdtContent>
              <w:r w:rsidRPr="00D93EB3">
                <w:rPr>
                  <w:i/>
                </w:rPr>
                <w:t>voľnom zväzku</w:t>
              </w:r>
            </w:sdtContent>
          </w:sdt>
          <w:sdt>
            <w:sdtPr>
              <w:tag w:val="goog_rdk_5"/>
              <w:id w:val="-164662007"/>
            </w:sdtPr>
            <w:sdtEndPr/>
            <w:sdtContent>
              <w:r w:rsidRPr="00D93EB3">
                <w:rPr>
                  <w:i/>
                </w:rPr>
                <w:t xml:space="preserve"> alebo neúplné rodiny v súčasnosti tvoria už takmer 35%. Súčasné nastavenie zákona o </w:t>
              </w:r>
            </w:sdtContent>
          </w:sdt>
          <w:sdt>
            <w:sdtPr>
              <w:tag w:val="goog_rdk_6"/>
              <w:id w:val="-1279881756"/>
            </w:sdtPr>
            <w:sdtEndPr/>
            <w:sdtContent>
              <w:r w:rsidRPr="00D93EB3">
                <w:rPr>
                  <w:i/>
                </w:rPr>
                <w:t>sociálnom</w:t>
              </w:r>
            </w:sdtContent>
          </w:sdt>
          <w:sdt>
            <w:sdtPr>
              <w:tag w:val="goog_rdk_7"/>
              <w:id w:val="395174668"/>
            </w:sdtPr>
            <w:sdtEndPr/>
            <w:sdtContent>
              <w:r w:rsidRPr="00D93EB3">
                <w:rPr>
                  <w:i/>
                </w:rPr>
                <w:t xml:space="preserve"> poistení znevýhodňuje rodiny, ktoré nie sú založené manželstvom, pritom aktuálny trend a aplikačná prax ukazujú, že aj keď počet rodín založených manželstvom kulminuje, pribúdajú rodiny založené na voľnom zväzku. Rovnako stúpa počet rodín osamelých rodičov, čoraz viac detí sa rodí mimo manželstva a vznikajú alternatívne formy rodinného spolužitia</w:t>
              </w:r>
              <w:r w:rsidR="00C406E8">
                <w:rPr>
                  <w:rStyle w:val="Odkaznapoznmkupodiarou"/>
                  <w:i/>
                </w:rPr>
                <w:footnoteReference w:id="2"/>
              </w:r>
              <w:r w:rsidRPr="00D93EB3">
                <w:rPr>
                  <w:i/>
                </w:rPr>
                <w:t>.</w:t>
              </w:r>
            </w:sdtContent>
          </w:sdt>
        </w:p>
      </w:sdtContent>
    </w:sdt>
    <w:p w14:paraId="00000012" w14:textId="77777777" w:rsidR="0092127D" w:rsidRPr="00D93EB3" w:rsidRDefault="0092127D">
      <w:pPr>
        <w:jc w:val="both"/>
      </w:pPr>
    </w:p>
    <w:p w14:paraId="00000013" w14:textId="512A5C41" w:rsidR="0092127D" w:rsidRPr="00D93EB3" w:rsidRDefault="009533A5">
      <w:pPr>
        <w:jc w:val="both"/>
      </w:pPr>
      <w:r w:rsidRPr="00D93EB3">
        <w:tab/>
        <w:t xml:space="preserve">Ako predkladatelia zákona máme za to, že aktuálne znenie zákona o sociálnom poistení je diskriminujúce voči osobám, ktoré </w:t>
      </w:r>
      <w:sdt>
        <w:sdtPr>
          <w:tag w:val="goog_rdk_9"/>
          <w:id w:val="646112365"/>
        </w:sdtPr>
        <w:sdtEndPr/>
        <w:sdtContent>
          <w:r w:rsidRPr="00D93EB3">
            <w:t xml:space="preserve">spoločne </w:t>
          </w:r>
        </w:sdtContent>
      </w:sdt>
      <w:r w:rsidRPr="00D93EB3">
        <w:t>žijú</w:t>
      </w:r>
      <w:sdt>
        <w:sdtPr>
          <w:tag w:val="goog_rdk_10"/>
          <w:id w:val="-1314323338"/>
        </w:sdtPr>
        <w:sdtEndPr/>
        <w:sdtContent>
          <w:r w:rsidRPr="00D93EB3">
            <w:t xml:space="preserve"> v</w:t>
          </w:r>
        </w:sdtContent>
      </w:sdt>
      <w:r w:rsidRPr="00D93EB3">
        <w:t xml:space="preserve"> </w:t>
      </w:r>
      <w:sdt>
        <w:sdtPr>
          <w:tag w:val="goog_rdk_11"/>
          <w:id w:val="-543509983"/>
          <w:showingPlcHdr/>
        </w:sdtPr>
        <w:sdtEndPr/>
        <w:sdtContent>
          <w:r w:rsidR="00D93EB3" w:rsidRPr="00D93EB3">
            <w:t xml:space="preserve">     </w:t>
          </w:r>
        </w:sdtContent>
      </w:sdt>
      <w:r w:rsidRPr="00D93EB3">
        <w:t xml:space="preserve">domácnosti a hoci je evidentný ich vzájomný vzťah a blízkosť, nárok na ošetrovné im nevzniká. Najmä v prípade osôb s vážnym zdravotným znevýhodnením, tak tieto domácnosti prichádzajú o finančné zdroje, ktoré by im zvýšené náklady spojené so starostlivosťou o túto osobu mohli aspoň čiastočne vykompenzovať. Rozšírenie nároku na ošetrovné aj na blízke osoby </w:t>
      </w:r>
      <w:sdt>
        <w:sdtPr>
          <w:tag w:val="goog_rdk_12"/>
          <w:id w:val="1693731114"/>
        </w:sdtPr>
        <w:sdtEndPr/>
        <w:sdtContent>
          <w:r w:rsidRPr="00D93EB3">
            <w:t xml:space="preserve">spoločne </w:t>
          </w:r>
        </w:sdtContent>
      </w:sdt>
      <w:r w:rsidRPr="00D93EB3">
        <w:t xml:space="preserve">žijúce v </w:t>
      </w:r>
      <w:sdt>
        <w:sdtPr>
          <w:tag w:val="goog_rdk_13"/>
          <w:id w:val="-1250792855"/>
          <w:showingPlcHdr/>
        </w:sdtPr>
        <w:sdtEndPr/>
        <w:sdtContent>
          <w:r w:rsidR="00D93EB3" w:rsidRPr="00D93EB3">
            <w:t xml:space="preserve">     </w:t>
          </w:r>
        </w:sdtContent>
      </w:sdt>
      <w:r w:rsidRPr="00D93EB3">
        <w:t xml:space="preserve">domácnosti odôvodňujeme aj súčasnou potrebou reflektovať aktuálne spoločenské a demografické trendy na Slovensku, ktoré sa časom menia. Ako zákonodarcovia máme </w:t>
      </w:r>
      <w:r w:rsidRPr="00D93EB3">
        <w:lastRenderedPageBreak/>
        <w:t>povinnosť reflektovať na aktuálny stav v spoločnosti a prinášať legislatívne opatrenia, ktoré sú v súlade so spoločenskými, či demografickými trendami.</w:t>
      </w:r>
    </w:p>
    <w:p w14:paraId="00000014" w14:textId="77777777" w:rsidR="0092127D" w:rsidRPr="00D93EB3" w:rsidRDefault="0092127D">
      <w:pPr>
        <w:jc w:val="both"/>
      </w:pPr>
    </w:p>
    <w:p w14:paraId="00000015" w14:textId="77777777" w:rsidR="0092127D" w:rsidRPr="00D93EB3" w:rsidRDefault="009533A5">
      <w:pPr>
        <w:ind w:firstLine="708"/>
        <w:jc w:val="both"/>
      </w:pPr>
      <w:r w:rsidRPr="00D93EB3">
        <w:t>Predkladaný návrh zákona je v súlade s Ústavou Slovenskej republiky, ústavnými zákonmi, zákonmi a všeobecne záväznými právnymi predpismi, medzinárodnými zmluvami a inými medzinárodnými dokumentmi, ktorými je Slovenská republika viazaná, ako aj s právom Európskej únie.</w:t>
      </w:r>
    </w:p>
    <w:p w14:paraId="00000016" w14:textId="77777777" w:rsidR="0092127D" w:rsidRPr="00D93EB3" w:rsidRDefault="0092127D">
      <w:pPr>
        <w:jc w:val="both"/>
      </w:pPr>
    </w:p>
    <w:p w14:paraId="00000017" w14:textId="77777777" w:rsidR="0092127D" w:rsidRDefault="009533A5">
      <w:pPr>
        <w:ind w:firstLine="708"/>
        <w:jc w:val="both"/>
      </w:pPr>
      <w:r w:rsidRPr="00D93EB3">
        <w:t>Predkladaný návrh zákona má negatívny vplyv na rozpočet verejnej správy, nemá vplyv na životné prostredie, na informatizáciu spoločnosti, na služby verejnej správy ani na podnikateľské prostredie. Návrh zákona taktiež nemá vplyv na manželstvo, rodičovstvo a rodinu. Návrh zákona má pozitívne sociálne vplyvy, ktoré ako predkladatelia zákona zdôrazňujeme.</w:t>
      </w:r>
    </w:p>
    <w:p w14:paraId="1398AB69" w14:textId="77777777" w:rsidR="00A520B5" w:rsidRDefault="00A520B5">
      <w:pPr>
        <w:ind w:firstLine="708"/>
        <w:jc w:val="both"/>
      </w:pPr>
    </w:p>
    <w:p w14:paraId="5BE4F1DD" w14:textId="77777777" w:rsidR="00A520B5" w:rsidRDefault="00A520B5">
      <w:pPr>
        <w:ind w:firstLine="708"/>
        <w:jc w:val="both"/>
      </w:pPr>
    </w:p>
    <w:p w14:paraId="497C6BB6" w14:textId="77777777" w:rsidR="00A520B5" w:rsidRDefault="00A520B5">
      <w:pPr>
        <w:ind w:firstLine="708"/>
        <w:jc w:val="both"/>
      </w:pPr>
    </w:p>
    <w:p w14:paraId="4F27D905" w14:textId="77777777" w:rsidR="00A520B5" w:rsidRDefault="00A520B5">
      <w:pPr>
        <w:ind w:firstLine="708"/>
        <w:jc w:val="both"/>
      </w:pPr>
    </w:p>
    <w:p w14:paraId="6FA38E29" w14:textId="77777777" w:rsidR="00A520B5" w:rsidRDefault="00A520B5">
      <w:pPr>
        <w:ind w:firstLine="708"/>
        <w:jc w:val="both"/>
      </w:pPr>
    </w:p>
    <w:p w14:paraId="21A10162" w14:textId="77777777" w:rsidR="00A520B5" w:rsidRDefault="00A520B5">
      <w:pPr>
        <w:ind w:firstLine="708"/>
        <w:jc w:val="both"/>
      </w:pPr>
    </w:p>
    <w:p w14:paraId="0B81F26C" w14:textId="77777777" w:rsidR="00A520B5" w:rsidRDefault="00A520B5">
      <w:pPr>
        <w:ind w:firstLine="708"/>
        <w:jc w:val="both"/>
      </w:pPr>
    </w:p>
    <w:p w14:paraId="42CC8BD8" w14:textId="77777777" w:rsidR="00A520B5" w:rsidRDefault="00A520B5">
      <w:pPr>
        <w:ind w:firstLine="708"/>
        <w:jc w:val="both"/>
      </w:pPr>
    </w:p>
    <w:p w14:paraId="5AE02570" w14:textId="77777777" w:rsidR="00A520B5" w:rsidRDefault="00A520B5">
      <w:pPr>
        <w:ind w:firstLine="708"/>
        <w:jc w:val="both"/>
      </w:pPr>
    </w:p>
    <w:p w14:paraId="4F4F84E6" w14:textId="77777777" w:rsidR="00A520B5" w:rsidRDefault="00A520B5">
      <w:pPr>
        <w:ind w:firstLine="708"/>
        <w:jc w:val="both"/>
      </w:pPr>
    </w:p>
    <w:p w14:paraId="77CA7EA3" w14:textId="77777777" w:rsidR="00A520B5" w:rsidRDefault="00A520B5">
      <w:pPr>
        <w:ind w:firstLine="708"/>
        <w:jc w:val="both"/>
      </w:pPr>
    </w:p>
    <w:p w14:paraId="1176C932" w14:textId="77777777" w:rsidR="00A520B5" w:rsidRDefault="00A520B5">
      <w:pPr>
        <w:ind w:firstLine="708"/>
        <w:jc w:val="both"/>
      </w:pPr>
    </w:p>
    <w:p w14:paraId="50A66089" w14:textId="77777777" w:rsidR="00A520B5" w:rsidRDefault="00A520B5">
      <w:pPr>
        <w:ind w:firstLine="708"/>
        <w:jc w:val="both"/>
      </w:pPr>
    </w:p>
    <w:p w14:paraId="30A20110" w14:textId="77777777" w:rsidR="00A520B5" w:rsidRDefault="00A520B5">
      <w:pPr>
        <w:ind w:firstLine="708"/>
        <w:jc w:val="both"/>
      </w:pPr>
    </w:p>
    <w:p w14:paraId="3A4777DE" w14:textId="77777777" w:rsidR="00A520B5" w:rsidRDefault="00A520B5">
      <w:pPr>
        <w:ind w:firstLine="708"/>
        <w:jc w:val="both"/>
      </w:pPr>
    </w:p>
    <w:p w14:paraId="227F743F" w14:textId="77777777" w:rsidR="00A520B5" w:rsidRDefault="00A520B5">
      <w:pPr>
        <w:ind w:firstLine="708"/>
        <w:jc w:val="both"/>
      </w:pPr>
    </w:p>
    <w:p w14:paraId="790B28BC" w14:textId="77777777" w:rsidR="00A520B5" w:rsidRDefault="00A520B5">
      <w:pPr>
        <w:ind w:firstLine="708"/>
        <w:jc w:val="both"/>
      </w:pPr>
    </w:p>
    <w:p w14:paraId="32D090DE" w14:textId="77777777" w:rsidR="00A520B5" w:rsidRDefault="00A520B5">
      <w:pPr>
        <w:ind w:firstLine="708"/>
        <w:jc w:val="both"/>
      </w:pPr>
    </w:p>
    <w:p w14:paraId="22153237" w14:textId="77777777" w:rsidR="00A520B5" w:rsidRDefault="00A520B5">
      <w:pPr>
        <w:ind w:firstLine="708"/>
        <w:jc w:val="both"/>
      </w:pPr>
    </w:p>
    <w:p w14:paraId="47416451" w14:textId="77777777" w:rsidR="00A520B5" w:rsidRDefault="00A520B5">
      <w:pPr>
        <w:ind w:firstLine="708"/>
        <w:jc w:val="both"/>
      </w:pPr>
    </w:p>
    <w:p w14:paraId="000976AE" w14:textId="77777777" w:rsidR="00A520B5" w:rsidRDefault="00A520B5">
      <w:pPr>
        <w:ind w:firstLine="708"/>
        <w:jc w:val="both"/>
      </w:pPr>
    </w:p>
    <w:p w14:paraId="4421C8A8" w14:textId="77777777" w:rsidR="00A520B5" w:rsidRDefault="00A520B5">
      <w:pPr>
        <w:ind w:firstLine="708"/>
        <w:jc w:val="both"/>
      </w:pPr>
    </w:p>
    <w:p w14:paraId="46AEEC80" w14:textId="77777777" w:rsidR="00A520B5" w:rsidRDefault="00A520B5">
      <w:pPr>
        <w:ind w:firstLine="708"/>
        <w:jc w:val="both"/>
      </w:pPr>
    </w:p>
    <w:p w14:paraId="6DD956C7" w14:textId="77777777" w:rsidR="00A520B5" w:rsidRDefault="00A520B5">
      <w:pPr>
        <w:ind w:firstLine="708"/>
        <w:jc w:val="both"/>
      </w:pPr>
    </w:p>
    <w:p w14:paraId="2E7EDD9D" w14:textId="77777777" w:rsidR="00A520B5" w:rsidRDefault="00A520B5">
      <w:pPr>
        <w:ind w:firstLine="708"/>
        <w:jc w:val="both"/>
      </w:pPr>
    </w:p>
    <w:p w14:paraId="6C35DEDD" w14:textId="77777777" w:rsidR="00A520B5" w:rsidRDefault="00A520B5">
      <w:pPr>
        <w:ind w:firstLine="708"/>
        <w:jc w:val="both"/>
      </w:pPr>
    </w:p>
    <w:p w14:paraId="2CD9CB60" w14:textId="77777777" w:rsidR="00A520B5" w:rsidRDefault="00A520B5">
      <w:pPr>
        <w:ind w:firstLine="708"/>
        <w:jc w:val="both"/>
      </w:pPr>
    </w:p>
    <w:p w14:paraId="70BE47BC" w14:textId="77777777" w:rsidR="00A520B5" w:rsidRDefault="00A520B5">
      <w:pPr>
        <w:ind w:firstLine="708"/>
        <w:jc w:val="both"/>
      </w:pPr>
    </w:p>
    <w:p w14:paraId="0C6B3253" w14:textId="77777777" w:rsidR="00A520B5" w:rsidRDefault="00A520B5">
      <w:pPr>
        <w:ind w:firstLine="708"/>
        <w:jc w:val="both"/>
      </w:pPr>
    </w:p>
    <w:p w14:paraId="61CBFCCE" w14:textId="77777777" w:rsidR="00A520B5" w:rsidRDefault="00A520B5">
      <w:pPr>
        <w:ind w:firstLine="708"/>
        <w:jc w:val="both"/>
      </w:pPr>
    </w:p>
    <w:p w14:paraId="5DEC4E40" w14:textId="77777777" w:rsidR="00A520B5" w:rsidRDefault="00A520B5">
      <w:pPr>
        <w:ind w:firstLine="708"/>
        <w:jc w:val="both"/>
      </w:pPr>
    </w:p>
    <w:p w14:paraId="2FA911AC" w14:textId="77777777" w:rsidR="00A520B5" w:rsidRDefault="00A520B5">
      <w:pPr>
        <w:ind w:firstLine="708"/>
        <w:jc w:val="both"/>
      </w:pPr>
    </w:p>
    <w:p w14:paraId="1DE53514" w14:textId="77777777" w:rsidR="00A520B5" w:rsidRDefault="00A520B5">
      <w:pPr>
        <w:ind w:firstLine="708"/>
        <w:jc w:val="both"/>
      </w:pPr>
    </w:p>
    <w:p w14:paraId="04F27D10" w14:textId="77777777" w:rsidR="00A520B5" w:rsidRDefault="00A520B5">
      <w:pPr>
        <w:ind w:firstLine="708"/>
        <w:jc w:val="both"/>
      </w:pPr>
    </w:p>
    <w:p w14:paraId="5A83D0B5" w14:textId="77777777" w:rsidR="00A520B5" w:rsidRDefault="00A520B5">
      <w:pPr>
        <w:ind w:firstLine="708"/>
        <w:jc w:val="both"/>
      </w:pPr>
    </w:p>
    <w:p w14:paraId="7A9ED306" w14:textId="77777777" w:rsidR="00A520B5" w:rsidRPr="00D93EB3" w:rsidRDefault="00A520B5">
      <w:pPr>
        <w:ind w:firstLine="708"/>
        <w:jc w:val="both"/>
      </w:pPr>
    </w:p>
    <w:p w14:paraId="00000018" w14:textId="77777777" w:rsidR="0092127D" w:rsidRPr="00D93EB3" w:rsidRDefault="0092127D">
      <w:pPr>
        <w:jc w:val="both"/>
      </w:pPr>
    </w:p>
    <w:p w14:paraId="00000019" w14:textId="77777777" w:rsidR="0092127D" w:rsidRPr="00D93EB3" w:rsidRDefault="009533A5">
      <w:pPr>
        <w:numPr>
          <w:ilvl w:val="0"/>
          <w:numId w:val="1"/>
        </w:numPr>
        <w:pBdr>
          <w:top w:val="nil"/>
          <w:left w:val="nil"/>
          <w:bottom w:val="nil"/>
          <w:right w:val="nil"/>
          <w:between w:val="nil"/>
        </w:pBdr>
        <w:spacing w:after="160" w:line="259" w:lineRule="auto"/>
        <w:rPr>
          <w:b/>
          <w:color w:val="000000"/>
        </w:rPr>
      </w:pPr>
      <w:r w:rsidRPr="00D93EB3">
        <w:rPr>
          <w:b/>
          <w:color w:val="000000"/>
        </w:rPr>
        <w:lastRenderedPageBreak/>
        <w:t>Osobitná časť</w:t>
      </w:r>
    </w:p>
    <w:p w14:paraId="0000001A" w14:textId="77777777" w:rsidR="0092127D" w:rsidRPr="00D93EB3" w:rsidRDefault="009533A5">
      <w:pPr>
        <w:ind w:firstLine="708"/>
        <w:rPr>
          <w:b/>
        </w:rPr>
      </w:pPr>
      <w:r w:rsidRPr="00D93EB3">
        <w:rPr>
          <w:b/>
        </w:rPr>
        <w:t>K čl. I</w:t>
      </w:r>
    </w:p>
    <w:p w14:paraId="0000001B" w14:textId="77777777" w:rsidR="0092127D" w:rsidRPr="00D93EB3" w:rsidRDefault="009533A5">
      <w:r w:rsidRPr="00D93EB3">
        <w:t xml:space="preserve">     </w:t>
      </w:r>
    </w:p>
    <w:p w14:paraId="0000001C" w14:textId="61221163" w:rsidR="0092127D" w:rsidRPr="00D93EB3" w:rsidRDefault="009533A5">
      <w:pPr>
        <w:ind w:firstLine="708"/>
        <w:jc w:val="both"/>
      </w:pPr>
      <w:r w:rsidRPr="00D93EB3">
        <w:t>Navrhuje sa v § 39 ods. 1 rozšíriť výpočet osôb, ktorých ošetrovanie zakladá nárok na ošetrovné, o chorú blízku osobu</w:t>
      </w:r>
      <w:sdt>
        <w:sdtPr>
          <w:tag w:val="goog_rdk_14"/>
          <w:id w:val="615066538"/>
        </w:sdtPr>
        <w:sdtEndPr/>
        <w:sdtContent>
          <w:r w:rsidRPr="00D93EB3">
            <w:t xml:space="preserve"> žijúcu s poistencom v</w:t>
          </w:r>
        </w:sdtContent>
      </w:sdt>
      <w:sdt>
        <w:sdtPr>
          <w:tag w:val="goog_rdk_15"/>
          <w:id w:val="-76228297"/>
          <w:showingPlcHdr/>
        </w:sdtPr>
        <w:sdtEndPr/>
        <w:sdtContent>
          <w:r w:rsidR="00D93EB3" w:rsidRPr="00D93EB3">
            <w:t xml:space="preserve">     </w:t>
          </w:r>
        </w:sdtContent>
      </w:sdt>
      <w:r w:rsidRPr="00D93EB3">
        <w:t xml:space="preserve"> domácnosti. </w:t>
      </w:r>
    </w:p>
    <w:p w14:paraId="0000001D" w14:textId="77777777" w:rsidR="0092127D" w:rsidRPr="00D93EB3" w:rsidRDefault="009533A5">
      <w:pPr>
        <w:jc w:val="both"/>
      </w:pPr>
      <w:r w:rsidRPr="00D93EB3">
        <w:t xml:space="preserve">     </w:t>
      </w:r>
    </w:p>
    <w:p w14:paraId="0000001E" w14:textId="77777777" w:rsidR="0092127D" w:rsidRPr="00D93EB3" w:rsidRDefault="009533A5">
      <w:pPr>
        <w:ind w:firstLine="708"/>
        <w:jc w:val="both"/>
      </w:pPr>
      <w:r w:rsidRPr="00D93EB3">
        <w:t xml:space="preserve">Pri definícii blízkej osoby sa vychádza zo široko zaužívanej a rokmi osvedčenej definície obsiahnutej v § 116 a 117 Občianskeho zákonníka, ktorá sa za účelom odstránenia interpretačných pochybností dopĺňa priamo do poznámky pod čiarou a ktorej znenie je nasledujúce: </w:t>
      </w:r>
    </w:p>
    <w:p w14:paraId="0000001F" w14:textId="77777777" w:rsidR="0092127D" w:rsidRPr="00D93EB3" w:rsidRDefault="009533A5">
      <w:pPr>
        <w:jc w:val="both"/>
      </w:pPr>
      <w:r w:rsidRPr="00D93EB3">
        <w:t xml:space="preserve">     </w:t>
      </w:r>
    </w:p>
    <w:sdt>
      <w:sdtPr>
        <w:tag w:val="goog_rdk_17"/>
        <w:id w:val="-758034200"/>
      </w:sdtPr>
      <w:sdtEndPr/>
      <w:sdtContent>
        <w:p w14:paraId="00000020" w14:textId="77777777" w:rsidR="0092127D" w:rsidRPr="00D93EB3" w:rsidRDefault="00A520B5">
          <w:pPr>
            <w:ind w:firstLine="708"/>
            <w:rPr>
              <w:i/>
            </w:rPr>
          </w:pPr>
          <w:sdt>
            <w:sdtPr>
              <w:tag w:val="goog_rdk_16"/>
              <w:id w:val="-1370987983"/>
            </w:sdtPr>
            <w:sdtEndPr/>
            <w:sdtContent>
              <w:r w:rsidR="009533A5" w:rsidRPr="00D93EB3">
                <w:rPr>
                  <w:i/>
                </w:rPr>
                <w:t>§ 116</w:t>
              </w:r>
            </w:sdtContent>
          </w:sdt>
        </w:p>
      </w:sdtContent>
    </w:sdt>
    <w:sdt>
      <w:sdtPr>
        <w:tag w:val="goog_rdk_19"/>
        <w:id w:val="-1892146637"/>
      </w:sdtPr>
      <w:sdtEndPr/>
      <w:sdtContent>
        <w:p w14:paraId="00000021" w14:textId="77777777" w:rsidR="0092127D" w:rsidRPr="00D93EB3" w:rsidRDefault="00A520B5">
          <w:pPr>
            <w:ind w:firstLine="708"/>
            <w:rPr>
              <w:i/>
            </w:rPr>
          </w:pPr>
          <w:sdt>
            <w:sdtPr>
              <w:tag w:val="goog_rdk_18"/>
              <w:id w:val="-1776275499"/>
            </w:sdtPr>
            <w:sdtEndPr/>
            <w:sdtContent/>
          </w:sdt>
        </w:p>
      </w:sdtContent>
    </w:sdt>
    <w:sdt>
      <w:sdtPr>
        <w:tag w:val="goog_rdk_21"/>
        <w:id w:val="-577926658"/>
      </w:sdtPr>
      <w:sdtEndPr/>
      <w:sdtContent>
        <w:p w14:paraId="00000022" w14:textId="77777777" w:rsidR="0092127D" w:rsidRPr="00D93EB3" w:rsidRDefault="00A520B5">
          <w:pPr>
            <w:ind w:firstLine="708"/>
            <w:jc w:val="both"/>
            <w:rPr>
              <w:i/>
            </w:rPr>
          </w:pPr>
          <w:sdt>
            <w:sdtPr>
              <w:tag w:val="goog_rdk_20"/>
              <w:id w:val="1020239922"/>
            </w:sdtPr>
            <w:sdtEndPr/>
            <w:sdtContent>
              <w:r w:rsidR="009533A5" w:rsidRPr="00D93EB3">
                <w:rPr>
                  <w:i/>
                </w:rPr>
                <w:t>Blízkou osobou je príbuzný v priamom rade, súrodenec a manžel; iné osoby v pomere rodinnom alebo obdobnom sa pokladajú za osoby sebe navzájom blízke, ak by ujmu, ktorú utrpela jedna z nich, druhá dôvodne pociťovala ako vlastnú ujmu.</w:t>
              </w:r>
            </w:sdtContent>
          </w:sdt>
        </w:p>
      </w:sdtContent>
    </w:sdt>
    <w:sdt>
      <w:sdtPr>
        <w:tag w:val="goog_rdk_23"/>
        <w:id w:val="679291003"/>
      </w:sdtPr>
      <w:sdtEndPr/>
      <w:sdtContent>
        <w:p w14:paraId="00000023" w14:textId="77777777" w:rsidR="0092127D" w:rsidRPr="00D93EB3" w:rsidRDefault="00A520B5">
          <w:pPr>
            <w:jc w:val="both"/>
            <w:rPr>
              <w:i/>
            </w:rPr>
          </w:pPr>
          <w:sdt>
            <w:sdtPr>
              <w:tag w:val="goog_rdk_22"/>
              <w:id w:val="-344695822"/>
            </w:sdtPr>
            <w:sdtEndPr/>
            <w:sdtContent/>
          </w:sdt>
        </w:p>
      </w:sdtContent>
    </w:sdt>
    <w:sdt>
      <w:sdtPr>
        <w:tag w:val="goog_rdk_25"/>
        <w:id w:val="-1025157776"/>
      </w:sdtPr>
      <w:sdtEndPr/>
      <w:sdtContent>
        <w:p w14:paraId="00000024" w14:textId="77777777" w:rsidR="0092127D" w:rsidRPr="00D93EB3" w:rsidRDefault="00A520B5">
          <w:pPr>
            <w:ind w:firstLine="708"/>
            <w:rPr>
              <w:i/>
            </w:rPr>
          </w:pPr>
          <w:sdt>
            <w:sdtPr>
              <w:tag w:val="goog_rdk_24"/>
              <w:id w:val="-1907538078"/>
            </w:sdtPr>
            <w:sdtEndPr/>
            <w:sdtContent>
              <w:r w:rsidR="009533A5" w:rsidRPr="00D93EB3">
                <w:rPr>
                  <w:i/>
                </w:rPr>
                <w:t>§ 117</w:t>
              </w:r>
            </w:sdtContent>
          </w:sdt>
        </w:p>
      </w:sdtContent>
    </w:sdt>
    <w:sdt>
      <w:sdtPr>
        <w:tag w:val="goog_rdk_27"/>
        <w:id w:val="397600382"/>
      </w:sdtPr>
      <w:sdtEndPr/>
      <w:sdtContent>
        <w:p w14:paraId="00000025" w14:textId="77777777" w:rsidR="0092127D" w:rsidRPr="00D93EB3" w:rsidRDefault="00A520B5">
          <w:pPr>
            <w:ind w:firstLine="708"/>
            <w:rPr>
              <w:i/>
            </w:rPr>
          </w:pPr>
          <w:sdt>
            <w:sdtPr>
              <w:tag w:val="goog_rdk_26"/>
              <w:id w:val="-74751470"/>
            </w:sdtPr>
            <w:sdtEndPr/>
            <w:sdtContent/>
          </w:sdt>
        </w:p>
      </w:sdtContent>
    </w:sdt>
    <w:sdt>
      <w:sdtPr>
        <w:tag w:val="goog_rdk_29"/>
        <w:id w:val="658192570"/>
      </w:sdtPr>
      <w:sdtEndPr/>
      <w:sdtContent>
        <w:p w14:paraId="00000026" w14:textId="77777777" w:rsidR="0092127D" w:rsidRPr="00D93EB3" w:rsidRDefault="00A520B5">
          <w:pPr>
            <w:ind w:firstLine="708"/>
            <w:jc w:val="both"/>
            <w:rPr>
              <w:i/>
            </w:rPr>
          </w:pPr>
          <w:sdt>
            <w:sdtPr>
              <w:tag w:val="goog_rdk_28"/>
              <w:id w:val="1370331042"/>
            </w:sdtPr>
            <w:sdtEndPr/>
            <w:sdtContent>
              <w:r w:rsidR="009533A5" w:rsidRPr="00D93EB3">
                <w:rPr>
                  <w:i/>
                </w:rPr>
                <w:t>Stupeň príbuzenstva dvoch osôb sa určuje podľa počtu zrodení, ktorými v priamom rade pochádza jedna od druhej a v pobočnom rade obidve od najbližšieho spoločného predka.</w:t>
              </w:r>
            </w:sdtContent>
          </w:sdt>
        </w:p>
      </w:sdtContent>
    </w:sdt>
    <w:p w14:paraId="00000027" w14:textId="77777777" w:rsidR="0092127D" w:rsidRPr="00D93EB3" w:rsidRDefault="0092127D">
      <w:pPr>
        <w:jc w:val="both"/>
      </w:pPr>
    </w:p>
    <w:p w14:paraId="00000028" w14:textId="77777777" w:rsidR="0092127D" w:rsidRPr="00D93EB3" w:rsidRDefault="009533A5">
      <w:pPr>
        <w:ind w:firstLine="708"/>
        <w:jc w:val="both"/>
      </w:pPr>
      <w:r w:rsidRPr="00D93EB3">
        <w:t>Zároveň sa za rovnakým účelom v poznámke pod čiarou dopĺňa aj odkaz na ustálenú definíciu domácnosti, ktorá je obsiahnutá v § 115 Občianskeho zákonníka a ktorej znenie je nasledujúce:</w:t>
      </w:r>
    </w:p>
    <w:p w14:paraId="00000029" w14:textId="77777777" w:rsidR="0092127D" w:rsidRPr="00D93EB3" w:rsidRDefault="009533A5">
      <w:r w:rsidRPr="00D93EB3">
        <w:t xml:space="preserve">     </w:t>
      </w:r>
    </w:p>
    <w:p w14:paraId="0000002A" w14:textId="77777777" w:rsidR="0092127D" w:rsidRPr="00D93EB3" w:rsidRDefault="009533A5">
      <w:pPr>
        <w:ind w:firstLine="708"/>
      </w:pPr>
      <w:r w:rsidRPr="00D93EB3">
        <w:t>§ 115</w:t>
      </w:r>
    </w:p>
    <w:p w14:paraId="0000002B" w14:textId="77777777" w:rsidR="0092127D" w:rsidRPr="00D93EB3" w:rsidRDefault="0092127D">
      <w:pPr>
        <w:ind w:firstLine="708"/>
      </w:pPr>
    </w:p>
    <w:sdt>
      <w:sdtPr>
        <w:tag w:val="goog_rdk_31"/>
        <w:id w:val="-1398041274"/>
      </w:sdtPr>
      <w:sdtEndPr/>
      <w:sdtContent>
        <w:p w14:paraId="0000002C" w14:textId="77777777" w:rsidR="0092127D" w:rsidRPr="00D93EB3" w:rsidRDefault="00A520B5">
          <w:pPr>
            <w:ind w:firstLine="708"/>
            <w:jc w:val="both"/>
            <w:rPr>
              <w:i/>
            </w:rPr>
          </w:pPr>
          <w:sdt>
            <w:sdtPr>
              <w:tag w:val="goog_rdk_30"/>
              <w:id w:val="89880734"/>
            </w:sdtPr>
            <w:sdtEndPr/>
            <w:sdtContent>
              <w:r w:rsidR="009533A5" w:rsidRPr="00D93EB3">
                <w:rPr>
                  <w:i/>
                </w:rPr>
                <w:t xml:space="preserve">Domácnosť tvoria fyzické osoby, ktoré spolu trvale žijú a spoločne uhradzujú náklady na svoje potreby.     </w:t>
              </w:r>
            </w:sdtContent>
          </w:sdt>
        </w:p>
      </w:sdtContent>
    </w:sdt>
    <w:p w14:paraId="0000002D" w14:textId="77777777" w:rsidR="0092127D" w:rsidRPr="00D93EB3" w:rsidRDefault="0092127D">
      <w:pPr>
        <w:ind w:firstLine="708"/>
      </w:pPr>
    </w:p>
    <w:p w14:paraId="0000002E" w14:textId="77777777" w:rsidR="0092127D" w:rsidRPr="00D93EB3" w:rsidRDefault="009533A5">
      <w:pPr>
        <w:ind w:firstLine="708"/>
        <w:rPr>
          <w:b/>
        </w:rPr>
      </w:pPr>
      <w:r w:rsidRPr="00D93EB3">
        <w:rPr>
          <w:b/>
        </w:rPr>
        <w:t>K čl. II</w:t>
      </w:r>
    </w:p>
    <w:p w14:paraId="0000002F" w14:textId="77777777" w:rsidR="0092127D" w:rsidRPr="00D93EB3" w:rsidRDefault="0092127D">
      <w:pPr>
        <w:ind w:firstLine="708"/>
      </w:pPr>
    </w:p>
    <w:p w14:paraId="00000030" w14:textId="77777777" w:rsidR="0092127D" w:rsidRDefault="009533A5">
      <w:pPr>
        <w:ind w:firstLine="708"/>
      </w:pPr>
      <w:r w:rsidRPr="00D93EB3">
        <w:t>Účinnosť predkladaného návrhu zákona sa navrhuje na 1. januára 2026.</w:t>
      </w:r>
    </w:p>
    <w:sectPr w:rsidR="0092127D">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C7F6" w14:textId="77777777" w:rsidR="002753CA" w:rsidRDefault="002753CA" w:rsidP="00C406E8">
      <w:r>
        <w:separator/>
      </w:r>
    </w:p>
  </w:endnote>
  <w:endnote w:type="continuationSeparator" w:id="0">
    <w:p w14:paraId="0C86DC57" w14:textId="77777777" w:rsidR="002753CA" w:rsidRDefault="002753CA" w:rsidP="00C40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3029" w14:textId="77777777" w:rsidR="002753CA" w:rsidRDefault="002753CA" w:rsidP="00C406E8">
      <w:r>
        <w:separator/>
      </w:r>
    </w:p>
  </w:footnote>
  <w:footnote w:type="continuationSeparator" w:id="0">
    <w:p w14:paraId="1C2F1C61" w14:textId="77777777" w:rsidR="002753CA" w:rsidRDefault="002753CA" w:rsidP="00C406E8">
      <w:r>
        <w:continuationSeparator/>
      </w:r>
    </w:p>
  </w:footnote>
  <w:footnote w:id="1">
    <w:p w14:paraId="60DC382D" w14:textId="43B30C39" w:rsidR="00C406E8" w:rsidRPr="00C406E8" w:rsidRDefault="00C406E8">
      <w:pPr>
        <w:pStyle w:val="Textpoznmkypodiarou"/>
        <w:rPr>
          <w:lang w:val="sk-SK"/>
        </w:rPr>
      </w:pPr>
      <w:r>
        <w:rPr>
          <w:rStyle w:val="Odkaznapoznmkupodiarou"/>
        </w:rPr>
        <w:footnoteRef/>
      </w:r>
      <w:r>
        <w:t xml:space="preserve"> </w:t>
      </w:r>
      <w:r>
        <w:rPr>
          <w:lang w:val="sk-SK"/>
        </w:rPr>
        <w:t xml:space="preserve">Pozri: </w:t>
      </w:r>
      <w:r w:rsidRPr="00C406E8">
        <w:rPr>
          <w:lang w:val="sk-SK"/>
        </w:rPr>
        <w:t>https://www.socpoist.sk/kto-som/zivnostnik-szco/poziadat-o-davku/ako-poziadat-o-osetrovne</w:t>
      </w:r>
    </w:p>
  </w:footnote>
  <w:footnote w:id="2">
    <w:p w14:paraId="697794CE" w14:textId="49324F4C" w:rsidR="00C406E8" w:rsidRPr="00C406E8" w:rsidRDefault="00C406E8">
      <w:pPr>
        <w:pStyle w:val="Textpoznmkypodiarou"/>
        <w:rPr>
          <w:lang w:val="sk-SK"/>
        </w:rPr>
      </w:pPr>
      <w:r>
        <w:rPr>
          <w:rStyle w:val="Odkaznapoznmkupodiarou"/>
        </w:rPr>
        <w:footnoteRef/>
      </w:r>
      <w:r>
        <w:t xml:space="preserve"> </w:t>
      </w:r>
      <w:r>
        <w:rPr>
          <w:lang w:val="sk-SK"/>
        </w:rPr>
        <w:t xml:space="preserve">Zdroj: </w:t>
      </w:r>
      <w:r w:rsidRPr="00C406E8">
        <w:rPr>
          <w:lang w:val="sk-SK"/>
        </w:rPr>
        <w:t>https://www.komisarprezdravotnepostihnutych.sk/Komisarka/media/Spravy-o-cinnosti/2024/SPRAVA_2024_public_view.pdf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C6B4F"/>
    <w:multiLevelType w:val="multilevel"/>
    <w:tmpl w:val="66064E1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233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27D"/>
    <w:rsid w:val="002753CA"/>
    <w:rsid w:val="006624E8"/>
    <w:rsid w:val="007648D4"/>
    <w:rsid w:val="0092127D"/>
    <w:rsid w:val="009533A5"/>
    <w:rsid w:val="00A520B5"/>
    <w:rsid w:val="00BC04FB"/>
    <w:rsid w:val="00C406E8"/>
    <w:rsid w:val="00CB1251"/>
    <w:rsid w:val="00D93EB3"/>
    <w:rsid w:val="00DA5A9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6FDDA6"/>
  <w15:docId w15:val="{925D4BC9-0D89-42C5-8D20-4D71CCC4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360" w:after="80" w:line="259" w:lineRule="auto"/>
      <w:outlineLvl w:val="0"/>
    </w:pPr>
    <w:rPr>
      <w:rFonts w:ascii="Calibri" w:eastAsia="Calibri" w:hAnsi="Calibri" w:cs="Calibri"/>
      <w:color w:val="2F5496"/>
      <w:sz w:val="40"/>
      <w:szCs w:val="40"/>
    </w:rPr>
  </w:style>
  <w:style w:type="paragraph" w:styleId="Nadpis2">
    <w:name w:val="heading 2"/>
    <w:basedOn w:val="Normlny"/>
    <w:next w:val="Normlny"/>
    <w:uiPriority w:val="9"/>
    <w:semiHidden/>
    <w:unhideWhenUsed/>
    <w:qFormat/>
    <w:pPr>
      <w:keepNext/>
      <w:keepLines/>
      <w:spacing w:before="160" w:after="80" w:line="259" w:lineRule="auto"/>
      <w:outlineLvl w:val="1"/>
    </w:pPr>
    <w:rPr>
      <w:rFonts w:ascii="Calibri" w:eastAsia="Calibri" w:hAnsi="Calibri" w:cs="Calibri"/>
      <w:color w:val="2F5496"/>
      <w:sz w:val="32"/>
      <w:szCs w:val="32"/>
    </w:rPr>
  </w:style>
  <w:style w:type="paragraph" w:styleId="Nadpis3">
    <w:name w:val="heading 3"/>
    <w:basedOn w:val="Normlny"/>
    <w:next w:val="Normlny"/>
    <w:uiPriority w:val="9"/>
    <w:semiHidden/>
    <w:unhideWhenUsed/>
    <w:qFormat/>
    <w:pPr>
      <w:keepNext/>
      <w:keepLines/>
      <w:spacing w:before="160" w:after="80" w:line="259" w:lineRule="auto"/>
      <w:outlineLvl w:val="2"/>
    </w:pPr>
    <w:rPr>
      <w:rFonts w:ascii="Calibri" w:eastAsia="Calibri" w:hAnsi="Calibri" w:cs="Calibri"/>
      <w:color w:val="2F5496"/>
      <w:sz w:val="28"/>
      <w:szCs w:val="28"/>
    </w:rPr>
  </w:style>
  <w:style w:type="paragraph" w:styleId="Nadpis4">
    <w:name w:val="heading 4"/>
    <w:basedOn w:val="Normlny"/>
    <w:next w:val="Normlny"/>
    <w:uiPriority w:val="9"/>
    <w:semiHidden/>
    <w:unhideWhenUsed/>
    <w:qFormat/>
    <w:pPr>
      <w:keepNext/>
      <w:keepLines/>
      <w:spacing w:before="80" w:after="40" w:line="259" w:lineRule="auto"/>
      <w:outlineLvl w:val="3"/>
    </w:pPr>
    <w:rPr>
      <w:rFonts w:ascii="Calibri" w:eastAsia="Calibri" w:hAnsi="Calibri" w:cs="Calibri"/>
      <w:i/>
      <w:color w:val="2F5496"/>
      <w:sz w:val="22"/>
      <w:szCs w:val="22"/>
    </w:rPr>
  </w:style>
  <w:style w:type="paragraph" w:styleId="Nadpis5">
    <w:name w:val="heading 5"/>
    <w:basedOn w:val="Normlny"/>
    <w:next w:val="Normlny"/>
    <w:uiPriority w:val="9"/>
    <w:semiHidden/>
    <w:unhideWhenUsed/>
    <w:qFormat/>
    <w:pPr>
      <w:keepNext/>
      <w:keepLines/>
      <w:spacing w:before="80" w:after="40" w:line="259" w:lineRule="auto"/>
      <w:outlineLvl w:val="4"/>
    </w:pPr>
    <w:rPr>
      <w:rFonts w:ascii="Calibri" w:eastAsia="Calibri" w:hAnsi="Calibri" w:cs="Calibri"/>
      <w:color w:val="2F5496"/>
      <w:sz w:val="22"/>
      <w:szCs w:val="22"/>
    </w:rPr>
  </w:style>
  <w:style w:type="paragraph" w:styleId="Nadpis6">
    <w:name w:val="heading 6"/>
    <w:basedOn w:val="Normlny"/>
    <w:next w:val="Normlny"/>
    <w:uiPriority w:val="9"/>
    <w:semiHidden/>
    <w:unhideWhenUsed/>
    <w:qFormat/>
    <w:pPr>
      <w:keepNext/>
      <w:keepLines/>
      <w:spacing w:before="40" w:line="259" w:lineRule="auto"/>
      <w:outlineLvl w:val="5"/>
    </w:pPr>
    <w:rPr>
      <w:rFonts w:ascii="Calibri" w:eastAsia="Calibri" w:hAnsi="Calibri" w:cs="Calibri"/>
      <w:i/>
      <w:color w:val="595959"/>
      <w:sz w:val="22"/>
      <w:szCs w:val="22"/>
    </w:rPr>
  </w:style>
  <w:style w:type="paragraph" w:styleId="Nadpis7">
    <w:name w:val="heading 7"/>
    <w:link w:val="Nadpis7Char"/>
    <w:uiPriority w:val="9"/>
    <w:semiHidden/>
    <w:unhideWhenUsed/>
    <w:qFormat/>
    <w:rsid w:val="007242E5"/>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Nadpis8">
    <w:name w:val="heading 8"/>
    <w:link w:val="Nadpis8Char"/>
    <w:uiPriority w:val="9"/>
    <w:semiHidden/>
    <w:unhideWhenUsed/>
    <w:qFormat/>
    <w:rsid w:val="007242E5"/>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Nadpis9">
    <w:name w:val="heading 9"/>
    <w:link w:val="Nadpis9Char"/>
    <w:uiPriority w:val="9"/>
    <w:semiHidden/>
    <w:unhideWhenUsed/>
    <w:qFormat/>
    <w:rsid w:val="007242E5"/>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Nzov">
    <w:name w:val="Title"/>
    <w:basedOn w:val="Normlny"/>
    <w:next w:val="Normlny"/>
    <w:uiPriority w:val="10"/>
    <w:qFormat/>
    <w:pPr>
      <w:spacing w:after="80"/>
    </w:pPr>
    <w:rPr>
      <w:rFonts w:ascii="Calibri" w:eastAsia="Calibri" w:hAnsi="Calibri" w:cs="Calibri"/>
      <w:sz w:val="56"/>
      <w:szCs w:val="56"/>
    </w:rPr>
  </w:style>
  <w:style w:type="character" w:customStyle="1" w:styleId="Nadpis1Char">
    <w:name w:val="Nadpis 1 Char"/>
    <w:basedOn w:val="Predvolenpsmoodseku"/>
    <w:uiPriority w:val="9"/>
    <w:rsid w:val="007242E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uiPriority w:val="9"/>
    <w:semiHidden/>
    <w:rsid w:val="007242E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uiPriority w:val="9"/>
    <w:semiHidden/>
    <w:rsid w:val="007242E5"/>
    <w:rPr>
      <w:rFonts w:eastAsiaTheme="majorEastAsia" w:cstheme="majorBidi"/>
      <w:color w:val="2F5496" w:themeColor="accent1" w:themeShade="BF"/>
      <w:sz w:val="28"/>
      <w:szCs w:val="28"/>
    </w:rPr>
  </w:style>
  <w:style w:type="character" w:customStyle="1" w:styleId="Nadpis4Char">
    <w:name w:val="Nadpis 4 Char"/>
    <w:basedOn w:val="Predvolenpsmoodseku"/>
    <w:uiPriority w:val="9"/>
    <w:semiHidden/>
    <w:rsid w:val="007242E5"/>
    <w:rPr>
      <w:rFonts w:eastAsiaTheme="majorEastAsia" w:cstheme="majorBidi"/>
      <w:i/>
      <w:iCs/>
      <w:color w:val="2F5496" w:themeColor="accent1" w:themeShade="BF"/>
    </w:rPr>
  </w:style>
  <w:style w:type="character" w:customStyle="1" w:styleId="Nadpis5Char">
    <w:name w:val="Nadpis 5 Char"/>
    <w:basedOn w:val="Predvolenpsmoodseku"/>
    <w:uiPriority w:val="9"/>
    <w:semiHidden/>
    <w:rsid w:val="007242E5"/>
    <w:rPr>
      <w:rFonts w:eastAsiaTheme="majorEastAsia" w:cstheme="majorBidi"/>
      <w:color w:val="2F5496" w:themeColor="accent1" w:themeShade="BF"/>
    </w:rPr>
  </w:style>
  <w:style w:type="character" w:customStyle="1" w:styleId="Nadpis6Char">
    <w:name w:val="Nadpis 6 Char"/>
    <w:basedOn w:val="Predvolenpsmoodseku"/>
    <w:uiPriority w:val="9"/>
    <w:semiHidden/>
    <w:rsid w:val="007242E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7242E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7242E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7242E5"/>
    <w:rPr>
      <w:rFonts w:eastAsiaTheme="majorEastAsia" w:cstheme="majorBidi"/>
      <w:color w:val="272727" w:themeColor="text1" w:themeTint="D8"/>
    </w:rPr>
  </w:style>
  <w:style w:type="character" w:customStyle="1" w:styleId="NzovChar">
    <w:name w:val="Názov Char"/>
    <w:basedOn w:val="Predvolenpsmoodseku"/>
    <w:uiPriority w:val="10"/>
    <w:rsid w:val="007242E5"/>
    <w:rPr>
      <w:rFonts w:asciiTheme="majorHAnsi" w:eastAsiaTheme="majorEastAsia" w:hAnsiTheme="majorHAnsi" w:cstheme="majorBidi"/>
      <w:spacing w:val="-10"/>
      <w:kern w:val="28"/>
      <w:sz w:val="56"/>
      <w:szCs w:val="56"/>
    </w:rPr>
  </w:style>
  <w:style w:type="character" w:customStyle="1" w:styleId="PodtitulChar">
    <w:name w:val="Podtitul Char"/>
    <w:basedOn w:val="Predvolenpsmoodseku"/>
    <w:uiPriority w:val="11"/>
    <w:rsid w:val="007242E5"/>
    <w:rPr>
      <w:rFonts w:eastAsiaTheme="majorEastAsia" w:cstheme="majorBidi"/>
      <w:color w:val="595959" w:themeColor="text1" w:themeTint="A6"/>
      <w:spacing w:val="15"/>
      <w:sz w:val="28"/>
      <w:szCs w:val="28"/>
    </w:rPr>
  </w:style>
  <w:style w:type="paragraph" w:styleId="Citcia">
    <w:name w:val="Quote"/>
    <w:link w:val="CitciaChar"/>
    <w:uiPriority w:val="29"/>
    <w:qFormat/>
    <w:rsid w:val="007242E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ciaChar">
    <w:name w:val="Citácia Char"/>
    <w:basedOn w:val="Predvolenpsmoodseku"/>
    <w:link w:val="Citcia"/>
    <w:uiPriority w:val="29"/>
    <w:rsid w:val="007242E5"/>
    <w:rPr>
      <w:i/>
      <w:iCs/>
      <w:color w:val="404040" w:themeColor="text1" w:themeTint="BF"/>
    </w:rPr>
  </w:style>
  <w:style w:type="paragraph" w:styleId="Odsekzoznamu">
    <w:name w:val="List Paragraph"/>
    <w:uiPriority w:val="34"/>
    <w:qFormat/>
    <w:rsid w:val="007242E5"/>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Intenzvnezvraznenie">
    <w:name w:val="Intense Emphasis"/>
    <w:basedOn w:val="Predvolenpsmoodseku"/>
    <w:uiPriority w:val="21"/>
    <w:qFormat/>
    <w:rsid w:val="007242E5"/>
    <w:rPr>
      <w:i/>
      <w:iCs/>
      <w:color w:val="2F5496" w:themeColor="accent1" w:themeShade="BF"/>
    </w:rPr>
  </w:style>
  <w:style w:type="paragraph" w:styleId="Zvraznencitcia">
    <w:name w:val="Intense Quote"/>
    <w:link w:val="ZvraznencitciaChar"/>
    <w:uiPriority w:val="30"/>
    <w:qFormat/>
    <w:rsid w:val="007242E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ZvraznencitciaChar">
    <w:name w:val="Zvýraznená citácia Char"/>
    <w:basedOn w:val="Predvolenpsmoodseku"/>
    <w:link w:val="Zvraznencitcia"/>
    <w:uiPriority w:val="30"/>
    <w:rsid w:val="007242E5"/>
    <w:rPr>
      <w:i/>
      <w:iCs/>
      <w:color w:val="2F5496" w:themeColor="accent1" w:themeShade="BF"/>
    </w:rPr>
  </w:style>
  <w:style w:type="character" w:styleId="Zvraznenodkaz">
    <w:name w:val="Intense Reference"/>
    <w:basedOn w:val="Predvolenpsmoodseku"/>
    <w:uiPriority w:val="32"/>
    <w:qFormat/>
    <w:rsid w:val="007242E5"/>
    <w:rPr>
      <w:b/>
      <w:bCs/>
      <w:smallCaps/>
      <w:color w:val="2F5496" w:themeColor="accent1" w:themeShade="BF"/>
      <w:spacing w:val="5"/>
    </w:rPr>
  </w:style>
  <w:style w:type="paragraph" w:styleId="Podtitul">
    <w:name w:val="Subtitle"/>
    <w:basedOn w:val="Normlny"/>
    <w:next w:val="Normlny"/>
    <w:uiPriority w:val="11"/>
    <w:qFormat/>
    <w:pPr>
      <w:spacing w:after="160" w:line="259" w:lineRule="auto"/>
    </w:pPr>
    <w:rPr>
      <w:rFonts w:ascii="Calibri" w:eastAsia="Calibri" w:hAnsi="Calibri" w:cs="Calibri"/>
      <w:color w:val="595959"/>
      <w:sz w:val="28"/>
      <w:szCs w:val="28"/>
    </w:rPr>
  </w:style>
  <w:style w:type="paragraph" w:styleId="Textpoznmkypodiarou">
    <w:name w:val="footnote text"/>
    <w:basedOn w:val="Normlny"/>
    <w:link w:val="TextpoznmkypodiarouChar"/>
    <w:uiPriority w:val="99"/>
    <w:semiHidden/>
    <w:unhideWhenUsed/>
    <w:rsid w:val="00C406E8"/>
    <w:rPr>
      <w:sz w:val="20"/>
      <w:szCs w:val="20"/>
    </w:rPr>
  </w:style>
  <w:style w:type="character" w:customStyle="1" w:styleId="TextpoznmkypodiarouChar">
    <w:name w:val="Text poznámky pod čiarou Char"/>
    <w:basedOn w:val="Predvolenpsmoodseku"/>
    <w:link w:val="Textpoznmkypodiarou"/>
    <w:uiPriority w:val="99"/>
    <w:semiHidden/>
    <w:rsid w:val="00C406E8"/>
    <w:rPr>
      <w:sz w:val="20"/>
      <w:szCs w:val="20"/>
    </w:rPr>
  </w:style>
  <w:style w:type="character" w:styleId="Odkaznapoznmkupodiarou">
    <w:name w:val="footnote reference"/>
    <w:basedOn w:val="Predvolenpsmoodseku"/>
    <w:uiPriority w:val="99"/>
    <w:semiHidden/>
    <w:unhideWhenUsed/>
    <w:rsid w:val="00C406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T1aagf2MPAws8AYehYx0tOKROw==">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</go:docsCustomData>
</go:gDocsCustomXmlDataStorage>
</file>

<file path=customXml/itemProps1.xml><?xml version="1.0" encoding="utf-8"?>
<ds:datastoreItem xmlns:ds="http://schemas.openxmlformats.org/officeDocument/2006/customXml" ds:itemID="{68B20649-D7AE-474E-912A-C429F8A6F5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714</Words>
  <Characters>4288</Characters>
  <Application>Microsoft Office Word</Application>
  <DocSecurity>0</DocSecurity>
  <Lines>99</Lines>
  <Paragraphs>32</Paragraphs>
  <ScaleCrop>false</ScaleCrop>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 Pitonak</dc:creator>
  <cp:lastModifiedBy>Andrej Pitonak</cp:lastModifiedBy>
  <cp:revision>3</cp:revision>
  <dcterms:created xsi:type="dcterms:W3CDTF">2025-08-21T16:14:00Z</dcterms:created>
  <dcterms:modified xsi:type="dcterms:W3CDTF">2025-08-21T16:14:00Z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0b2ad2d2-fd7a-4b92-9acd-8e7d2dec8d74</vt:lpwstr>
  </property>
</Properties>
</file>