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EE402" w14:textId="77777777" w:rsidR="00004A58" w:rsidRPr="00004A58" w:rsidRDefault="00004A58" w:rsidP="00666156">
      <w:pPr>
        <w:widowControl w:val="0"/>
        <w:spacing w:after="4" w:line="276" w:lineRule="auto"/>
        <w:jc w:val="center"/>
        <w:rPr>
          <w:rFonts w:ascii="Times New Roman" w:hAnsi="Times New Roman" w:cs="Times New Roman"/>
          <w:b/>
          <w:caps/>
          <w:spacing w:val="30"/>
          <w:sz w:val="24"/>
          <w:szCs w:val="24"/>
        </w:rPr>
      </w:pPr>
      <w:r w:rsidRPr="00004A58">
        <w:rPr>
          <w:rFonts w:ascii="Times New Roman" w:hAnsi="Times New Roman" w:cs="Times New Roman"/>
          <w:b/>
          <w:caps/>
          <w:spacing w:val="30"/>
          <w:sz w:val="24"/>
          <w:szCs w:val="24"/>
        </w:rPr>
        <w:t>Dôvodová správa</w:t>
      </w:r>
    </w:p>
    <w:p w14:paraId="282DF46C" w14:textId="77777777" w:rsidR="00004A58" w:rsidRPr="00004A58" w:rsidRDefault="00004A58" w:rsidP="00666156">
      <w:pPr>
        <w:widowControl w:val="0"/>
        <w:spacing w:after="4" w:line="276" w:lineRule="auto"/>
        <w:ind w:left="360" w:hanging="360"/>
        <w:jc w:val="both"/>
        <w:rPr>
          <w:rFonts w:ascii="Times New Roman" w:hAnsi="Times New Roman" w:cs="Times New Roman"/>
          <w:bCs/>
          <w:sz w:val="24"/>
          <w:szCs w:val="24"/>
        </w:rPr>
      </w:pPr>
    </w:p>
    <w:p w14:paraId="0606A8F5" w14:textId="77777777" w:rsidR="00004A58" w:rsidRPr="00004A58" w:rsidRDefault="00004A58" w:rsidP="00666156">
      <w:pPr>
        <w:pStyle w:val="Odsekzoznamu"/>
        <w:widowControl w:val="0"/>
        <w:numPr>
          <w:ilvl w:val="0"/>
          <w:numId w:val="1"/>
        </w:numPr>
        <w:spacing w:after="4" w:line="276" w:lineRule="auto"/>
        <w:ind w:left="360"/>
        <w:jc w:val="both"/>
        <w:rPr>
          <w:b/>
          <w:bCs/>
          <w:lang w:val="sk-SK"/>
        </w:rPr>
      </w:pPr>
      <w:r w:rsidRPr="00004A58">
        <w:rPr>
          <w:b/>
          <w:bCs/>
          <w:lang w:val="sk-SK"/>
        </w:rPr>
        <w:t>Všeobecná časť</w:t>
      </w:r>
    </w:p>
    <w:p w14:paraId="488C6AB0" w14:textId="77777777" w:rsidR="00004A58" w:rsidRPr="00004A58" w:rsidRDefault="00004A58" w:rsidP="00666156">
      <w:pPr>
        <w:spacing w:line="276" w:lineRule="auto"/>
        <w:rPr>
          <w:rFonts w:ascii="Times New Roman" w:hAnsi="Times New Roman" w:cs="Times New Roman"/>
          <w:sz w:val="24"/>
          <w:szCs w:val="24"/>
        </w:rPr>
      </w:pPr>
    </w:p>
    <w:p w14:paraId="4DE5B7CE" w14:textId="77777777" w:rsidR="00004A58" w:rsidRPr="00004A58" w:rsidRDefault="00004A58" w:rsidP="0066615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Poslanec </w:t>
      </w:r>
      <w:r w:rsidRPr="00004A58">
        <w:rPr>
          <w:rFonts w:ascii="Times New Roman" w:hAnsi="Times New Roman" w:cs="Times New Roman"/>
          <w:bCs/>
          <w:sz w:val="24"/>
          <w:szCs w:val="24"/>
        </w:rPr>
        <w:t xml:space="preserve">Národnej rady Slovenskej republiky </w:t>
      </w:r>
      <w:r>
        <w:rPr>
          <w:rFonts w:ascii="Times New Roman" w:hAnsi="Times New Roman" w:cs="Times New Roman"/>
          <w:bCs/>
          <w:sz w:val="24"/>
          <w:szCs w:val="24"/>
        </w:rPr>
        <w:t>Ján Ferenčák</w:t>
      </w:r>
      <w:r w:rsidRPr="00004A58">
        <w:rPr>
          <w:rFonts w:ascii="Times New Roman" w:hAnsi="Times New Roman" w:cs="Times New Roman"/>
          <w:bCs/>
          <w:sz w:val="24"/>
          <w:szCs w:val="24"/>
        </w:rPr>
        <w:t xml:space="preserve"> predklad</w:t>
      </w:r>
      <w:r>
        <w:rPr>
          <w:rFonts w:ascii="Times New Roman" w:hAnsi="Times New Roman" w:cs="Times New Roman"/>
          <w:bCs/>
          <w:sz w:val="24"/>
          <w:szCs w:val="24"/>
        </w:rPr>
        <w:t>á</w:t>
      </w:r>
      <w:r w:rsidRPr="00004A58">
        <w:rPr>
          <w:rFonts w:ascii="Times New Roman" w:hAnsi="Times New Roman" w:cs="Times New Roman"/>
          <w:bCs/>
          <w:sz w:val="24"/>
          <w:szCs w:val="24"/>
        </w:rPr>
        <w:t xml:space="preserve"> do legislatívneho procesu návrh zákona o zmene a doplnení niektorých zákonov v súvislosti s</w:t>
      </w:r>
      <w:r>
        <w:rPr>
          <w:rFonts w:ascii="Times New Roman" w:hAnsi="Times New Roman" w:cs="Times New Roman"/>
          <w:bCs/>
          <w:sz w:val="24"/>
          <w:szCs w:val="24"/>
        </w:rPr>
        <w:t> potrebou legislatívneho riešenia situácie, v ktorej dlhotrvajúce spory niektorých obcí majú negatívny vplyv na výkon územnej samosprávy a ochranu záujmov ich obyvateľov.</w:t>
      </w:r>
    </w:p>
    <w:p w14:paraId="00C939D3" w14:textId="77777777" w:rsidR="00004A58" w:rsidRDefault="00004A58" w:rsidP="00666156">
      <w:pPr>
        <w:widowControl w:val="0"/>
        <w:spacing w:after="4" w:line="276" w:lineRule="auto"/>
        <w:jc w:val="both"/>
        <w:rPr>
          <w:rFonts w:ascii="Times New Roman" w:hAnsi="Times New Roman" w:cs="Times New Roman"/>
          <w:bCs/>
          <w:sz w:val="24"/>
          <w:szCs w:val="24"/>
        </w:rPr>
      </w:pPr>
      <w:r w:rsidRPr="00004A58">
        <w:rPr>
          <w:rFonts w:ascii="Times New Roman" w:hAnsi="Times New Roman" w:cs="Times New Roman"/>
          <w:bCs/>
          <w:sz w:val="24"/>
          <w:szCs w:val="24"/>
        </w:rPr>
        <w:t>Cieľom návrhu zákona je</w:t>
      </w:r>
      <w:r>
        <w:rPr>
          <w:rFonts w:ascii="Times New Roman" w:hAnsi="Times New Roman" w:cs="Times New Roman"/>
          <w:bCs/>
          <w:sz w:val="24"/>
          <w:szCs w:val="24"/>
        </w:rPr>
        <w:t xml:space="preserve"> jednak ustanoviť primerané a spravodlivé podmienky, pri splnení ktorých je príslušný správny orgán (okresný úrad v sídle kraja) oprávnený rozhodnúť o zmene hranice obce</w:t>
      </w:r>
      <w:r w:rsidR="00A77555">
        <w:rPr>
          <w:rFonts w:ascii="Times New Roman" w:hAnsi="Times New Roman" w:cs="Times New Roman"/>
          <w:bCs/>
          <w:sz w:val="24"/>
          <w:szCs w:val="24"/>
        </w:rPr>
        <w:t xml:space="preserve"> aj bez súhlasu jednej z dotknutých obcí (čl. I, zákon č. 369/1990 Zb. o obecnom zriadení) a jednak legislatívno-technicky spresniť následné konanie správneho orgánu (okresný úrad), ktorého účelom je premietnuť rozhodnutie o zmene hranice obce do katastrálnej evidencie (čl. II, zákon č. 162/1995 </w:t>
      </w:r>
      <w:proofErr w:type="spellStart"/>
      <w:r w:rsidR="00A77555">
        <w:rPr>
          <w:rFonts w:ascii="Times New Roman" w:hAnsi="Times New Roman" w:cs="Times New Roman"/>
          <w:bCs/>
          <w:sz w:val="24"/>
          <w:szCs w:val="24"/>
        </w:rPr>
        <w:t>Z.z</w:t>
      </w:r>
      <w:proofErr w:type="spellEnd"/>
      <w:r w:rsidR="00A77555">
        <w:rPr>
          <w:rFonts w:ascii="Times New Roman" w:hAnsi="Times New Roman" w:cs="Times New Roman"/>
          <w:bCs/>
          <w:sz w:val="24"/>
          <w:szCs w:val="24"/>
        </w:rPr>
        <w:t>. o katastri nehnuteľností).</w:t>
      </w:r>
    </w:p>
    <w:p w14:paraId="42BBFAEA" w14:textId="77777777" w:rsidR="00004A58" w:rsidRPr="00004A58" w:rsidRDefault="00004A58" w:rsidP="00666156">
      <w:pPr>
        <w:widowControl w:val="0"/>
        <w:spacing w:after="4" w:line="276" w:lineRule="auto"/>
        <w:ind w:firstLine="720"/>
        <w:jc w:val="both"/>
        <w:rPr>
          <w:rFonts w:ascii="Times New Roman" w:hAnsi="Times New Roman" w:cs="Times New Roman"/>
          <w:bCs/>
          <w:sz w:val="24"/>
          <w:szCs w:val="24"/>
        </w:rPr>
      </w:pPr>
    </w:p>
    <w:p w14:paraId="4095C3BE" w14:textId="77777777" w:rsidR="00004A58" w:rsidRPr="00004A58" w:rsidRDefault="00004A58" w:rsidP="00666156">
      <w:pPr>
        <w:widowControl w:val="0"/>
        <w:spacing w:after="4" w:line="276" w:lineRule="auto"/>
        <w:jc w:val="both"/>
        <w:rPr>
          <w:rFonts w:ascii="Times New Roman" w:hAnsi="Times New Roman" w:cs="Times New Roman"/>
          <w:bCs/>
          <w:sz w:val="24"/>
          <w:szCs w:val="24"/>
        </w:rPr>
      </w:pPr>
      <w:r w:rsidRPr="00004A58">
        <w:rPr>
          <w:rFonts w:ascii="Times New Roman" w:hAnsi="Times New Roman" w:cs="Times New Roman"/>
          <w:bCs/>
          <w:sz w:val="24"/>
          <w:szCs w:val="24"/>
        </w:rPr>
        <w:t xml:space="preserve">Účinnosť navrhovanej právnej úpravy sa navrhuje od 1. </w:t>
      </w:r>
      <w:r w:rsidR="00A77555">
        <w:rPr>
          <w:rFonts w:ascii="Times New Roman" w:hAnsi="Times New Roman" w:cs="Times New Roman"/>
          <w:bCs/>
          <w:sz w:val="24"/>
          <w:szCs w:val="24"/>
        </w:rPr>
        <w:t>januára 2026</w:t>
      </w:r>
      <w:r w:rsidRPr="00004A58">
        <w:rPr>
          <w:rFonts w:ascii="Times New Roman" w:hAnsi="Times New Roman" w:cs="Times New Roman"/>
          <w:bCs/>
          <w:sz w:val="24"/>
          <w:szCs w:val="24"/>
        </w:rPr>
        <w:t>.</w:t>
      </w:r>
    </w:p>
    <w:p w14:paraId="4C832212" w14:textId="77777777" w:rsidR="00004A58" w:rsidRPr="00004A58" w:rsidRDefault="00004A58" w:rsidP="00666156">
      <w:pPr>
        <w:widowControl w:val="0"/>
        <w:spacing w:after="4" w:line="276" w:lineRule="auto"/>
        <w:ind w:firstLine="720"/>
        <w:jc w:val="both"/>
        <w:rPr>
          <w:rFonts w:ascii="Times New Roman" w:hAnsi="Times New Roman" w:cs="Times New Roman"/>
          <w:bCs/>
          <w:sz w:val="24"/>
          <w:szCs w:val="24"/>
        </w:rPr>
      </w:pPr>
    </w:p>
    <w:p w14:paraId="5DBEE268" w14:textId="77777777" w:rsidR="00004A58" w:rsidRPr="00004A58" w:rsidRDefault="00004A58" w:rsidP="00666156">
      <w:pPr>
        <w:widowControl w:val="0"/>
        <w:spacing w:after="4" w:line="276" w:lineRule="auto"/>
        <w:jc w:val="both"/>
        <w:rPr>
          <w:rFonts w:ascii="Times New Roman" w:hAnsi="Times New Roman" w:cs="Times New Roman"/>
          <w:bCs/>
          <w:sz w:val="24"/>
          <w:szCs w:val="24"/>
        </w:rPr>
      </w:pPr>
      <w:r w:rsidRPr="00004A58">
        <w:rPr>
          <w:rFonts w:ascii="Times New Roman" w:hAnsi="Times New Roman" w:cs="Times New Roman"/>
          <w:bCs/>
          <w:sz w:val="24"/>
          <w:szCs w:val="24"/>
        </w:rPr>
        <w:t>Návrh zákona je v súlade s Ústavou Slovenskej republiky, ústavnými zákonmi, nálezmi Ústavného súdu Slovenskej republiky, medzinárodnými zmluvami, ktorými je Slovenská republika viazaná a súčasne je v súlade s právom Európskej únie.</w:t>
      </w:r>
    </w:p>
    <w:p w14:paraId="7F008FC3" w14:textId="77777777" w:rsidR="00004A58" w:rsidRPr="00004A58" w:rsidRDefault="00004A58" w:rsidP="00666156">
      <w:pPr>
        <w:widowControl w:val="0"/>
        <w:spacing w:after="4" w:line="276" w:lineRule="auto"/>
        <w:ind w:firstLine="720"/>
        <w:jc w:val="both"/>
        <w:rPr>
          <w:rFonts w:ascii="Times New Roman" w:hAnsi="Times New Roman" w:cs="Times New Roman"/>
          <w:bCs/>
          <w:sz w:val="24"/>
          <w:szCs w:val="24"/>
        </w:rPr>
      </w:pPr>
    </w:p>
    <w:p w14:paraId="53981FD4" w14:textId="77777777" w:rsidR="00004A58" w:rsidRPr="00004A58" w:rsidRDefault="00004A58" w:rsidP="00666156">
      <w:pPr>
        <w:widowControl w:val="0"/>
        <w:spacing w:after="4" w:line="276" w:lineRule="auto"/>
        <w:jc w:val="both"/>
        <w:rPr>
          <w:rFonts w:ascii="Times New Roman" w:hAnsi="Times New Roman" w:cs="Times New Roman"/>
          <w:bCs/>
          <w:sz w:val="24"/>
          <w:szCs w:val="24"/>
        </w:rPr>
      </w:pPr>
      <w:r w:rsidRPr="00004A58">
        <w:rPr>
          <w:rFonts w:ascii="Times New Roman" w:hAnsi="Times New Roman" w:cs="Times New Roman"/>
          <w:bCs/>
          <w:sz w:val="24"/>
          <w:szCs w:val="24"/>
        </w:rPr>
        <w:t xml:space="preserve">Návrh zákona nie je predmetom </w:t>
      </w:r>
      <w:proofErr w:type="spellStart"/>
      <w:r w:rsidRPr="00004A58">
        <w:rPr>
          <w:rFonts w:ascii="Times New Roman" w:hAnsi="Times New Roman" w:cs="Times New Roman"/>
          <w:bCs/>
          <w:sz w:val="24"/>
          <w:szCs w:val="24"/>
        </w:rPr>
        <w:t>vnútrokomunitárneho</w:t>
      </w:r>
      <w:proofErr w:type="spellEnd"/>
      <w:r w:rsidRPr="00004A58">
        <w:rPr>
          <w:rFonts w:ascii="Times New Roman" w:hAnsi="Times New Roman" w:cs="Times New Roman"/>
          <w:bCs/>
          <w:sz w:val="24"/>
          <w:szCs w:val="24"/>
        </w:rPr>
        <w:t xml:space="preserve"> pripomienkového konania.</w:t>
      </w:r>
    </w:p>
    <w:p w14:paraId="0E09E8C0" w14:textId="77777777" w:rsidR="00004A58" w:rsidRPr="00004A58" w:rsidRDefault="00004A58" w:rsidP="00666156">
      <w:pPr>
        <w:widowControl w:val="0"/>
        <w:spacing w:after="4" w:line="276" w:lineRule="auto"/>
        <w:ind w:firstLine="720"/>
        <w:jc w:val="both"/>
        <w:rPr>
          <w:rFonts w:ascii="Times New Roman" w:hAnsi="Times New Roman" w:cs="Times New Roman"/>
          <w:bCs/>
          <w:sz w:val="24"/>
          <w:szCs w:val="24"/>
        </w:rPr>
      </w:pPr>
    </w:p>
    <w:p w14:paraId="2D32D455" w14:textId="77777777" w:rsidR="00A77555" w:rsidRPr="00A77555" w:rsidRDefault="00A77555" w:rsidP="00666156">
      <w:pPr>
        <w:widowControl w:val="0"/>
        <w:spacing w:after="4" w:line="276" w:lineRule="auto"/>
        <w:jc w:val="both"/>
        <w:rPr>
          <w:rFonts w:ascii="Times New Roman" w:hAnsi="Times New Roman" w:cs="Times New Roman"/>
          <w:bCs/>
          <w:sz w:val="24"/>
          <w:szCs w:val="24"/>
        </w:rPr>
        <w:sectPr w:rsidR="00A77555" w:rsidRPr="00A77555" w:rsidSect="00AC1260">
          <w:pgSz w:w="11900" w:h="16840"/>
          <w:pgMar w:top="1440" w:right="1440" w:bottom="1440" w:left="1440" w:header="720" w:footer="720" w:gutter="0"/>
          <w:cols w:space="720"/>
          <w:docGrid w:linePitch="360"/>
        </w:sectPr>
      </w:pPr>
      <w:r>
        <w:rPr>
          <w:rFonts w:ascii="Times New Roman" w:hAnsi="Times New Roman" w:cs="Times New Roman"/>
          <w:bCs/>
          <w:sz w:val="24"/>
          <w:szCs w:val="24"/>
        </w:rPr>
        <w:t xml:space="preserve">Návrh zákona </w:t>
      </w:r>
      <w:r w:rsidR="00004A58" w:rsidRPr="00004A58">
        <w:rPr>
          <w:rFonts w:ascii="Times New Roman" w:hAnsi="Times New Roman" w:cs="Times New Roman"/>
          <w:bCs/>
          <w:sz w:val="24"/>
          <w:szCs w:val="24"/>
        </w:rPr>
        <w:t xml:space="preserve">nebude mať negatívne vplyvy na rozpočet verejnej správy, podnikateľské prostredie, </w:t>
      </w:r>
      <w:r>
        <w:rPr>
          <w:rFonts w:ascii="Times New Roman" w:hAnsi="Times New Roman" w:cs="Times New Roman"/>
          <w:bCs/>
          <w:sz w:val="24"/>
          <w:szCs w:val="24"/>
        </w:rPr>
        <w:t>informatizáciu spoločnosti a</w:t>
      </w:r>
      <w:r w:rsidR="00004A58" w:rsidRPr="00004A58">
        <w:rPr>
          <w:rFonts w:ascii="Times New Roman" w:hAnsi="Times New Roman" w:cs="Times New Roman"/>
          <w:bCs/>
          <w:sz w:val="24"/>
          <w:szCs w:val="24"/>
        </w:rPr>
        <w:t xml:space="preserve"> služby verejnej správy pre občana, nebude mať vplyvy na životné prostredie, sociálne vplyvy a vplyvy na manželstvo, rodičovstvo a rodinu.</w:t>
      </w:r>
      <w:r>
        <w:rPr>
          <w:rFonts w:ascii="Times New Roman" w:hAnsi="Times New Roman" w:cs="Times New Roman"/>
          <w:bCs/>
          <w:sz w:val="24"/>
          <w:szCs w:val="24"/>
        </w:rPr>
        <w:t xml:space="preserve"> Naopak, návrh zákona bude mať priaznivý vplyv na efektivitu výkonu územnej </w:t>
      </w:r>
      <w:r w:rsidR="00726A82">
        <w:rPr>
          <w:rFonts w:ascii="Times New Roman" w:hAnsi="Times New Roman" w:cs="Times New Roman"/>
          <w:bCs/>
          <w:sz w:val="24"/>
          <w:szCs w:val="24"/>
        </w:rPr>
        <w:t>samosprávy a v jej rámci na úroveň ochrany</w:t>
      </w:r>
      <w:r>
        <w:rPr>
          <w:rFonts w:ascii="Times New Roman" w:hAnsi="Times New Roman" w:cs="Times New Roman"/>
          <w:bCs/>
          <w:sz w:val="24"/>
          <w:szCs w:val="24"/>
        </w:rPr>
        <w:t xml:space="preserve"> práv obyvateľov dotknutých obcí.</w:t>
      </w:r>
    </w:p>
    <w:p w14:paraId="12089EC4" w14:textId="77777777" w:rsidR="00A77555" w:rsidRPr="00A77555" w:rsidRDefault="00A77555" w:rsidP="00666156">
      <w:pPr>
        <w:spacing w:line="276" w:lineRule="auto"/>
        <w:rPr>
          <w:rFonts w:ascii="Times New Roman" w:hAnsi="Times New Roman" w:cs="Times New Roman"/>
          <w:b/>
          <w:sz w:val="24"/>
          <w:szCs w:val="24"/>
        </w:rPr>
      </w:pPr>
      <w:r w:rsidRPr="00A77555">
        <w:rPr>
          <w:rFonts w:ascii="Times New Roman" w:hAnsi="Times New Roman" w:cs="Times New Roman"/>
          <w:b/>
          <w:sz w:val="24"/>
          <w:szCs w:val="24"/>
        </w:rPr>
        <w:lastRenderedPageBreak/>
        <w:t>B. Osobitná časť</w:t>
      </w:r>
    </w:p>
    <w:p w14:paraId="6FBF8F88" w14:textId="77777777" w:rsidR="008407A2" w:rsidRPr="00A77555" w:rsidRDefault="008407A2" w:rsidP="00666156">
      <w:pPr>
        <w:pStyle w:val="Odsekzoznamu"/>
        <w:spacing w:line="276" w:lineRule="auto"/>
      </w:pPr>
    </w:p>
    <w:p w14:paraId="22F23571" w14:textId="77777777" w:rsidR="008407A2" w:rsidRPr="00004A58" w:rsidRDefault="008407A2" w:rsidP="00666156">
      <w:pPr>
        <w:spacing w:line="276" w:lineRule="auto"/>
        <w:rPr>
          <w:rFonts w:ascii="Times New Roman" w:hAnsi="Times New Roman" w:cs="Times New Roman"/>
          <w:b/>
          <w:sz w:val="24"/>
          <w:szCs w:val="24"/>
        </w:rPr>
      </w:pPr>
      <w:r w:rsidRPr="00004A58">
        <w:rPr>
          <w:rFonts w:ascii="Times New Roman" w:hAnsi="Times New Roman" w:cs="Times New Roman"/>
          <w:b/>
          <w:sz w:val="24"/>
          <w:szCs w:val="24"/>
        </w:rPr>
        <w:t>K čl. I</w:t>
      </w:r>
    </w:p>
    <w:p w14:paraId="40F8EC38" w14:textId="77777777" w:rsidR="008407A2" w:rsidRPr="00004A58" w:rsidRDefault="00C75890" w:rsidP="00666156">
      <w:pPr>
        <w:spacing w:line="276" w:lineRule="auto"/>
        <w:jc w:val="both"/>
        <w:rPr>
          <w:rFonts w:ascii="Times New Roman" w:hAnsi="Times New Roman" w:cs="Times New Roman"/>
          <w:sz w:val="24"/>
          <w:szCs w:val="24"/>
        </w:rPr>
      </w:pPr>
      <w:r w:rsidRPr="00004A58">
        <w:rPr>
          <w:rFonts w:ascii="Times New Roman" w:hAnsi="Times New Roman" w:cs="Times New Roman"/>
          <w:sz w:val="24"/>
          <w:szCs w:val="24"/>
        </w:rPr>
        <w:t>Návrh úpravy odpovedá na požiadavky orgánov územnej samosprávy, ktoré v niektorých prípadoch v dôsledku dlhotrvajúcich sporov čelia závažným ťažkostiam pri výkone územnej samosprávy, a to napríklad v kontexte prihlasovania obyvateľov na trvalý pobyt, výberu daní či možnosti financovať rozvojové aktivity obce z prostriedkov príslušných fondov Európskej únie.</w:t>
      </w:r>
    </w:p>
    <w:p w14:paraId="288AF4B7" w14:textId="77777777" w:rsidR="00004A58" w:rsidRPr="00004A58" w:rsidRDefault="00C75890" w:rsidP="00666156">
      <w:pPr>
        <w:spacing w:line="276" w:lineRule="auto"/>
        <w:jc w:val="both"/>
        <w:rPr>
          <w:rFonts w:ascii="Times New Roman" w:hAnsi="Times New Roman" w:cs="Times New Roman"/>
          <w:sz w:val="24"/>
          <w:szCs w:val="24"/>
        </w:rPr>
      </w:pPr>
      <w:r w:rsidRPr="00004A58">
        <w:rPr>
          <w:rFonts w:ascii="Times New Roman" w:hAnsi="Times New Roman" w:cs="Times New Roman"/>
          <w:sz w:val="24"/>
          <w:szCs w:val="24"/>
        </w:rPr>
        <w:t>Sporové konania, z ktorých niektoré trvajú viacero desaťročí, výrazne oslabujú akcieschopnosť dotknutých samospráv a spôsobujú tiež praktické problémy ich obyvateľom</w:t>
      </w:r>
      <w:r w:rsidR="00004A58" w:rsidRPr="00004A58">
        <w:rPr>
          <w:rFonts w:ascii="Times New Roman" w:hAnsi="Times New Roman" w:cs="Times New Roman"/>
          <w:sz w:val="24"/>
          <w:szCs w:val="24"/>
        </w:rPr>
        <w:t>. Prezident Slovenskej republiky vo svojich pripomienkach, ktoré uplatnil voči zákonu o podpore prioritných okresov, takisto zdôrazňuje potrebu „</w:t>
      </w:r>
      <w:r w:rsidR="00004A58" w:rsidRPr="00004A58">
        <w:rPr>
          <w:rFonts w:ascii="Times New Roman" w:hAnsi="Times New Roman" w:cs="Times New Roman"/>
          <w:i/>
          <w:sz w:val="24"/>
          <w:szCs w:val="24"/>
        </w:rPr>
        <w:t>hľadať efektívne riešenie situácií, kde obce v rozpore so záujmami svojich obyvateľov vedú navzájom dlhodobé súdne spory</w:t>
      </w:r>
      <w:r w:rsidR="00A77555">
        <w:rPr>
          <w:rFonts w:ascii="Times New Roman" w:hAnsi="Times New Roman" w:cs="Times New Roman"/>
          <w:i/>
          <w:sz w:val="24"/>
          <w:szCs w:val="24"/>
        </w:rPr>
        <w:t xml:space="preserve">“ </w:t>
      </w:r>
      <w:r w:rsidR="00A77555" w:rsidRPr="00A77555">
        <w:rPr>
          <w:rFonts w:ascii="Times New Roman" w:hAnsi="Times New Roman" w:cs="Times New Roman"/>
          <w:sz w:val="24"/>
          <w:szCs w:val="24"/>
        </w:rPr>
        <w:t>a v tejto súvislosti aj potrebu</w:t>
      </w:r>
      <w:r w:rsidR="00A77555">
        <w:rPr>
          <w:rFonts w:ascii="Times New Roman" w:hAnsi="Times New Roman" w:cs="Times New Roman"/>
          <w:sz w:val="24"/>
          <w:szCs w:val="24"/>
        </w:rPr>
        <w:t xml:space="preserve"> ukončiť spory „</w:t>
      </w:r>
      <w:r w:rsidR="00004A58" w:rsidRPr="00004A58">
        <w:rPr>
          <w:rFonts w:ascii="Times New Roman" w:hAnsi="Times New Roman" w:cs="Times New Roman"/>
          <w:i/>
          <w:sz w:val="24"/>
          <w:szCs w:val="24"/>
        </w:rPr>
        <w:t>obcí o územie, ktorý dostal obyvateľov do situácie, že majú „kuchyňu v jednej obci a obývačku v druhej obci“ a žiaľ žiadne z mnohých súdnych rozhodnutí nebolo trvalé s jasným a konečným riešením.</w:t>
      </w:r>
      <w:r w:rsidR="00004A58" w:rsidRPr="00004A58">
        <w:rPr>
          <w:rFonts w:ascii="Times New Roman" w:hAnsi="Times New Roman" w:cs="Times New Roman"/>
          <w:sz w:val="24"/>
          <w:szCs w:val="24"/>
        </w:rPr>
        <w:t>“</w:t>
      </w:r>
    </w:p>
    <w:p w14:paraId="75DAD82F" w14:textId="33F60F76" w:rsidR="00C75890" w:rsidRDefault="00A77555" w:rsidP="00666156">
      <w:pPr>
        <w:spacing w:line="276" w:lineRule="auto"/>
        <w:jc w:val="both"/>
        <w:rPr>
          <w:rFonts w:ascii="Times New Roman" w:hAnsi="Times New Roman" w:cs="Times New Roman"/>
          <w:sz w:val="24"/>
          <w:szCs w:val="24"/>
        </w:rPr>
      </w:pPr>
      <w:r>
        <w:rPr>
          <w:rFonts w:ascii="Times New Roman" w:hAnsi="Times New Roman" w:cs="Times New Roman"/>
          <w:sz w:val="24"/>
          <w:szCs w:val="24"/>
        </w:rPr>
        <w:t>Navrhuje sa, aby sa súhlas všetkých dotknutých obcí alebo častí obce nevyžadoval výlučne v prípade, ak spor zasahujúci do efektivity a predvídateľnosti výkonu územnej samosprávy trvá po dobu dlhšiu ako desať rokov</w:t>
      </w:r>
      <w:r w:rsidR="00C92850">
        <w:rPr>
          <w:rFonts w:ascii="Times New Roman" w:hAnsi="Times New Roman" w:cs="Times New Roman"/>
          <w:sz w:val="24"/>
          <w:szCs w:val="24"/>
        </w:rPr>
        <w:t>,</w:t>
      </w:r>
      <w:r>
        <w:rPr>
          <w:rFonts w:ascii="Times New Roman" w:hAnsi="Times New Roman" w:cs="Times New Roman"/>
          <w:sz w:val="24"/>
          <w:szCs w:val="24"/>
        </w:rPr>
        <w:t xml:space="preserve"> a ak zároveň došlo k takej faktickej úprave pomerov, aká spočíva v urbanistickom splynutí sporného územia s územím jednej z dotknutých obcí alebo jej častí. Takáto úprava</w:t>
      </w:r>
      <w:r w:rsidR="00666156">
        <w:rPr>
          <w:rFonts w:ascii="Times New Roman" w:hAnsi="Times New Roman" w:cs="Times New Roman"/>
          <w:sz w:val="24"/>
          <w:szCs w:val="24"/>
        </w:rPr>
        <w:t xml:space="preserve"> reflektuje jednak potrebu odstrániť priestor pre vzájomné obštrukcie zo strany dotknutých obcí na úkor ochrany záujmov ich obyvateľov a jednak potrebu dosiahnuť súlad medzi skutočným stavom (urbanistické splynutie) a právnym stavom (katastrálna evidencia).</w:t>
      </w:r>
    </w:p>
    <w:p w14:paraId="67A47CC1" w14:textId="77777777" w:rsidR="00666156" w:rsidRDefault="00666156" w:rsidP="0066615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Navrhované podmienky predstavujú zásah do výkonu územnej samosprávy, ktorý je vedený legitímnym cieľom verejného záujmu a zároveň je obmedzený na nevyhnutnú mieru. Medzi sledovaným cieľom a navrhovanými prostriedkami jeho realizácie je celkom zjavne primeraná vecná súvislosť. </w:t>
      </w:r>
    </w:p>
    <w:p w14:paraId="2C52F7B8" w14:textId="77777777" w:rsidR="00666156" w:rsidRPr="00004A58" w:rsidRDefault="00666156" w:rsidP="00666156">
      <w:pPr>
        <w:spacing w:line="276" w:lineRule="auto"/>
        <w:jc w:val="both"/>
        <w:rPr>
          <w:rFonts w:ascii="Times New Roman" w:hAnsi="Times New Roman" w:cs="Times New Roman"/>
          <w:sz w:val="24"/>
          <w:szCs w:val="24"/>
        </w:rPr>
      </w:pPr>
      <w:r>
        <w:rPr>
          <w:rFonts w:ascii="Times New Roman" w:hAnsi="Times New Roman" w:cs="Times New Roman"/>
          <w:sz w:val="24"/>
          <w:szCs w:val="24"/>
        </w:rPr>
        <w:t>Navrhovaná úprava je jednoznačná a zrozumiteľná, nevytvára priestor pre protichodné interpretácie a zodpovedá legislatívno-technickým požiadavkám tvorby právnych predpisov.</w:t>
      </w:r>
    </w:p>
    <w:p w14:paraId="05F60E23" w14:textId="77777777" w:rsidR="008407A2" w:rsidRPr="00004A58" w:rsidRDefault="008407A2" w:rsidP="00666156">
      <w:pPr>
        <w:spacing w:line="276" w:lineRule="auto"/>
        <w:rPr>
          <w:rFonts w:ascii="Times New Roman" w:hAnsi="Times New Roman" w:cs="Times New Roman"/>
          <w:b/>
          <w:sz w:val="24"/>
          <w:szCs w:val="24"/>
        </w:rPr>
      </w:pPr>
    </w:p>
    <w:p w14:paraId="4B890259" w14:textId="77777777" w:rsidR="008407A2" w:rsidRPr="00004A58" w:rsidRDefault="008407A2" w:rsidP="00666156">
      <w:pPr>
        <w:spacing w:line="276" w:lineRule="auto"/>
        <w:rPr>
          <w:rFonts w:ascii="Times New Roman" w:hAnsi="Times New Roman" w:cs="Times New Roman"/>
          <w:b/>
          <w:sz w:val="24"/>
          <w:szCs w:val="24"/>
        </w:rPr>
      </w:pPr>
      <w:r w:rsidRPr="00004A58">
        <w:rPr>
          <w:rFonts w:ascii="Times New Roman" w:hAnsi="Times New Roman" w:cs="Times New Roman"/>
          <w:b/>
          <w:sz w:val="24"/>
          <w:szCs w:val="24"/>
        </w:rPr>
        <w:t>K čl. II</w:t>
      </w:r>
    </w:p>
    <w:p w14:paraId="622BDB8F" w14:textId="77777777" w:rsidR="008407A2" w:rsidRPr="00004A58" w:rsidRDefault="008407A2" w:rsidP="00666156">
      <w:pPr>
        <w:spacing w:line="276" w:lineRule="auto"/>
        <w:rPr>
          <w:rFonts w:ascii="Times New Roman" w:hAnsi="Times New Roman" w:cs="Times New Roman"/>
          <w:b/>
          <w:sz w:val="24"/>
          <w:szCs w:val="24"/>
        </w:rPr>
      </w:pPr>
      <w:r w:rsidRPr="00004A58">
        <w:rPr>
          <w:rFonts w:ascii="Times New Roman" w:hAnsi="Times New Roman" w:cs="Times New Roman"/>
          <w:b/>
          <w:sz w:val="24"/>
          <w:szCs w:val="24"/>
        </w:rPr>
        <w:t>K bodu 1</w:t>
      </w:r>
    </w:p>
    <w:p w14:paraId="4792E4E0" w14:textId="77777777" w:rsidR="008407A2" w:rsidRPr="00004A58" w:rsidRDefault="008407A2" w:rsidP="00666156">
      <w:pPr>
        <w:spacing w:line="276" w:lineRule="auto"/>
        <w:jc w:val="both"/>
        <w:rPr>
          <w:rFonts w:ascii="Times New Roman" w:hAnsi="Times New Roman" w:cs="Times New Roman"/>
          <w:color w:val="000000"/>
          <w:sz w:val="24"/>
          <w:szCs w:val="24"/>
        </w:rPr>
      </w:pPr>
      <w:r w:rsidRPr="00004A58">
        <w:rPr>
          <w:rFonts w:ascii="Times New Roman" w:hAnsi="Times New Roman" w:cs="Times New Roman"/>
          <w:sz w:val="24"/>
          <w:szCs w:val="24"/>
        </w:rPr>
        <w:t>Návrh úpravy reflektuje a kodifikuje ustálenú aplikačnú prax, v zmysle ktorej „</w:t>
      </w:r>
      <w:r w:rsidR="00666156">
        <w:rPr>
          <w:rFonts w:ascii="Times New Roman" w:hAnsi="Times New Roman" w:cs="Times New Roman"/>
          <w:i/>
          <w:color w:val="000000"/>
          <w:sz w:val="24"/>
          <w:szCs w:val="24"/>
        </w:rPr>
        <w:t>p</w:t>
      </w:r>
      <w:r w:rsidRPr="00004A58">
        <w:rPr>
          <w:rFonts w:ascii="Times New Roman" w:hAnsi="Times New Roman" w:cs="Times New Roman"/>
          <w:i/>
          <w:color w:val="000000"/>
          <w:sz w:val="24"/>
          <w:szCs w:val="24"/>
        </w:rPr>
        <w:t>odľa § 58 ods. 2 katastrálneho zákona možno rozhodnúť o zmene hranice katastrálneho územia, ktorá je súčasne hranicou obce, až po zmene hranice obce, o ktorej rozhoduje okresný úrad v sídle kraja.</w:t>
      </w:r>
      <w:r w:rsidRPr="00004A58">
        <w:rPr>
          <w:rFonts w:ascii="Times New Roman" w:hAnsi="Times New Roman" w:cs="Times New Roman"/>
          <w:color w:val="000000"/>
          <w:sz w:val="24"/>
          <w:szCs w:val="24"/>
        </w:rPr>
        <w:t xml:space="preserve">“ (napríklad rozhodnutie Najvyššieho súdu Slovenskej republiky, </w:t>
      </w:r>
      <w:proofErr w:type="spellStart"/>
      <w:r w:rsidRPr="00004A58">
        <w:rPr>
          <w:rFonts w:ascii="Times New Roman" w:hAnsi="Times New Roman" w:cs="Times New Roman"/>
          <w:color w:val="000000"/>
          <w:sz w:val="24"/>
          <w:szCs w:val="24"/>
        </w:rPr>
        <w:t>sp.zn</w:t>
      </w:r>
      <w:proofErr w:type="spellEnd"/>
      <w:r w:rsidRPr="00004A58">
        <w:rPr>
          <w:rFonts w:ascii="Times New Roman" w:hAnsi="Times New Roman" w:cs="Times New Roman"/>
          <w:color w:val="000000"/>
          <w:sz w:val="24"/>
          <w:szCs w:val="24"/>
        </w:rPr>
        <w:t>. 4Sžrk/5/2019)</w:t>
      </w:r>
    </w:p>
    <w:p w14:paraId="69633CBD" w14:textId="77777777" w:rsidR="008407A2" w:rsidRPr="00004A58" w:rsidRDefault="008407A2" w:rsidP="00666156">
      <w:pPr>
        <w:spacing w:line="276" w:lineRule="auto"/>
        <w:jc w:val="both"/>
        <w:rPr>
          <w:rFonts w:ascii="Times New Roman" w:hAnsi="Times New Roman" w:cs="Times New Roman"/>
          <w:sz w:val="24"/>
          <w:szCs w:val="24"/>
        </w:rPr>
      </w:pPr>
      <w:r w:rsidRPr="00004A58">
        <w:rPr>
          <w:rFonts w:ascii="Times New Roman" w:hAnsi="Times New Roman" w:cs="Times New Roman"/>
          <w:color w:val="000000"/>
          <w:sz w:val="24"/>
          <w:szCs w:val="24"/>
        </w:rPr>
        <w:lastRenderedPageBreak/>
        <w:t>Doktrinálne závery v tejto súvislosti potvrdzujú, že „</w:t>
      </w:r>
      <w:r w:rsidRPr="00004A58">
        <w:rPr>
          <w:rFonts w:ascii="Times New Roman" w:hAnsi="Times New Roman" w:cs="Times New Roman"/>
          <w:i/>
          <w:color w:val="000000"/>
          <w:sz w:val="24"/>
          <w:szCs w:val="24"/>
        </w:rPr>
        <w:t>v</w:t>
      </w:r>
      <w:r w:rsidRPr="00004A58">
        <w:rPr>
          <w:rFonts w:ascii="Times New Roman" w:hAnsi="Times New Roman" w:cs="Times New Roman"/>
          <w:i/>
          <w:iCs/>
          <w:sz w:val="24"/>
          <w:szCs w:val="24"/>
        </w:rPr>
        <w:t> prípadoch, keď sa zmena katastrálneho územia odvíja od zmeny hraníc obce, rozhoduje o zmene katastrálneho územia katastrálny odbor okresného úradu v zmysle </w:t>
      </w:r>
      <w:hyperlink r:id="rId5" w:history="1">
        <w:r w:rsidRPr="00004A58">
          <w:rPr>
            <w:rStyle w:val="Hypertextovprepojenie"/>
            <w:rFonts w:ascii="Times New Roman" w:hAnsi="Times New Roman" w:cs="Times New Roman"/>
            <w:i/>
            <w:iCs/>
            <w:color w:val="auto"/>
            <w:sz w:val="24"/>
            <w:szCs w:val="24"/>
            <w:u w:val="none"/>
          </w:rPr>
          <w:t>§ 58</w:t>
        </w:r>
      </w:hyperlink>
      <w:r w:rsidRPr="00004A58">
        <w:rPr>
          <w:rFonts w:ascii="Times New Roman" w:hAnsi="Times New Roman" w:cs="Times New Roman"/>
          <w:i/>
          <w:iCs/>
          <w:sz w:val="24"/>
          <w:szCs w:val="24"/>
        </w:rPr>
        <w:t> ods. 2 katastrálneho zákona deklaratívnym rozhodnutím. Právoplatnosťou tohto rozhodnutia teda nedochádza k zmene katastrálneho územia, pretože táto zmena nastala už skôr v dôsledku zmeny hranice obce. V zmysle </w:t>
      </w:r>
      <w:hyperlink r:id="rId6" w:history="1">
        <w:r w:rsidRPr="00004A58">
          <w:rPr>
            <w:rStyle w:val="Hypertextovprepojenie"/>
            <w:rFonts w:ascii="Times New Roman" w:hAnsi="Times New Roman" w:cs="Times New Roman"/>
            <w:i/>
            <w:iCs/>
            <w:color w:val="auto"/>
            <w:sz w:val="24"/>
            <w:szCs w:val="24"/>
            <w:u w:val="none"/>
          </w:rPr>
          <w:t>§ 58</w:t>
        </w:r>
      </w:hyperlink>
      <w:r w:rsidRPr="00004A58">
        <w:rPr>
          <w:rFonts w:ascii="Times New Roman" w:hAnsi="Times New Roman" w:cs="Times New Roman"/>
          <w:i/>
          <w:iCs/>
          <w:sz w:val="24"/>
          <w:szCs w:val="24"/>
        </w:rPr>
        <w:t> ods. 2 katastrálneho zákona totiž katastrálny odbor okresného úradu o zmene hranice katastrálneho územia rozhodne „v súlade so zmenou hranice obce“. Inak povedané, účelom predmetného rozhodnutia katastrálneho odboru okresného úradu je len premietnuť administratívnu zmenu (napr. nariadenie vlády) týkajúcu sa obce ako správneho celku do roviny katastrálnej</w:t>
      </w:r>
      <w:r w:rsidRPr="00004A58">
        <w:rPr>
          <w:rFonts w:ascii="Times New Roman" w:hAnsi="Times New Roman" w:cs="Times New Roman"/>
          <w:sz w:val="24"/>
          <w:szCs w:val="24"/>
        </w:rPr>
        <w:t>.“</w:t>
      </w:r>
      <w:r w:rsidR="00726A82">
        <w:rPr>
          <w:rFonts w:ascii="Times New Roman" w:hAnsi="Times New Roman" w:cs="Times New Roman"/>
          <w:sz w:val="24"/>
          <w:szCs w:val="24"/>
        </w:rPr>
        <w:t xml:space="preserve"> </w:t>
      </w:r>
      <w:r w:rsidR="00726A82">
        <w:rPr>
          <w:rFonts w:ascii="Times New Roman" w:hAnsi="Times New Roman" w:cs="Times New Roman"/>
          <w:sz w:val="24"/>
          <w:szCs w:val="24"/>
          <w:lang w:val="en-GB"/>
        </w:rPr>
        <w:t>(FEČÍK, Marián-JAKUBÁČ, Róbert:</w:t>
      </w:r>
      <w:r w:rsidR="00726A82" w:rsidRPr="00726A82">
        <w:rPr>
          <w:rFonts w:ascii="Times New Roman" w:hAnsi="Times New Roman" w:cs="Times New Roman"/>
          <w:sz w:val="24"/>
          <w:szCs w:val="24"/>
          <w:lang w:val="en-GB"/>
        </w:rPr>
        <w:t xml:space="preserve"> </w:t>
      </w:r>
      <w:proofErr w:type="spellStart"/>
      <w:r w:rsidR="00726A82" w:rsidRPr="00726A82">
        <w:rPr>
          <w:rFonts w:ascii="Times New Roman" w:hAnsi="Times New Roman" w:cs="Times New Roman"/>
          <w:sz w:val="24"/>
          <w:szCs w:val="24"/>
          <w:lang w:val="en-GB"/>
        </w:rPr>
        <w:t>Katastrálny</w:t>
      </w:r>
      <w:proofErr w:type="spellEnd"/>
      <w:r w:rsidR="00726A82" w:rsidRPr="00726A82">
        <w:rPr>
          <w:rFonts w:ascii="Times New Roman" w:hAnsi="Times New Roman" w:cs="Times New Roman"/>
          <w:sz w:val="24"/>
          <w:szCs w:val="24"/>
          <w:lang w:val="en-GB"/>
        </w:rPr>
        <w:t xml:space="preserve"> </w:t>
      </w:r>
      <w:proofErr w:type="spellStart"/>
      <w:r w:rsidR="00726A82" w:rsidRPr="00726A82">
        <w:rPr>
          <w:rFonts w:ascii="Times New Roman" w:hAnsi="Times New Roman" w:cs="Times New Roman"/>
          <w:sz w:val="24"/>
          <w:szCs w:val="24"/>
          <w:lang w:val="en-GB"/>
        </w:rPr>
        <w:t>zákon</w:t>
      </w:r>
      <w:proofErr w:type="spellEnd"/>
      <w:r w:rsidR="00726A82" w:rsidRPr="00726A82">
        <w:rPr>
          <w:rFonts w:ascii="Times New Roman" w:hAnsi="Times New Roman" w:cs="Times New Roman"/>
          <w:sz w:val="24"/>
          <w:szCs w:val="24"/>
          <w:lang w:val="en-GB"/>
        </w:rPr>
        <w:t xml:space="preserve">. 1. </w:t>
      </w:r>
      <w:proofErr w:type="spellStart"/>
      <w:r w:rsidR="00726A82" w:rsidRPr="00726A82">
        <w:rPr>
          <w:rFonts w:ascii="Times New Roman" w:hAnsi="Times New Roman" w:cs="Times New Roman"/>
          <w:sz w:val="24"/>
          <w:szCs w:val="24"/>
          <w:lang w:val="en-GB"/>
        </w:rPr>
        <w:t>vydanie</w:t>
      </w:r>
      <w:proofErr w:type="spellEnd"/>
      <w:r w:rsidR="00726A82" w:rsidRPr="00726A82">
        <w:rPr>
          <w:rFonts w:ascii="Times New Roman" w:hAnsi="Times New Roman" w:cs="Times New Roman"/>
          <w:sz w:val="24"/>
          <w:szCs w:val="24"/>
          <w:lang w:val="en-GB"/>
        </w:rPr>
        <w:t>. Bratislava: C. H. Beck, 2021, s. 802</w:t>
      </w:r>
      <w:r w:rsidR="00726A82">
        <w:rPr>
          <w:rFonts w:ascii="Times New Roman" w:hAnsi="Times New Roman" w:cs="Times New Roman"/>
          <w:sz w:val="24"/>
          <w:szCs w:val="24"/>
          <w:lang w:val="en-GB"/>
        </w:rPr>
        <w:t>)</w:t>
      </w:r>
    </w:p>
    <w:p w14:paraId="1F1E16EC" w14:textId="77777777" w:rsidR="008407A2" w:rsidRPr="00004A58" w:rsidRDefault="008407A2" w:rsidP="00666156">
      <w:pPr>
        <w:spacing w:line="276" w:lineRule="auto"/>
        <w:jc w:val="both"/>
        <w:rPr>
          <w:rFonts w:ascii="Times New Roman" w:hAnsi="Times New Roman" w:cs="Times New Roman"/>
          <w:sz w:val="24"/>
          <w:szCs w:val="24"/>
        </w:rPr>
      </w:pPr>
      <w:r w:rsidRPr="00004A58">
        <w:rPr>
          <w:rFonts w:ascii="Times New Roman" w:hAnsi="Times New Roman" w:cs="Times New Roman"/>
          <w:sz w:val="24"/>
          <w:szCs w:val="24"/>
        </w:rPr>
        <w:t>V súlade s povahou a účelom konania podľa § 58 ods. 2 sa navrhuje, aby správny orgán konal buď z vlastného podnetu alebo na návrh ktorejkoľvek z obcí alebo častí obce, ktorej sa týka zmena hranice jej územia.</w:t>
      </w:r>
    </w:p>
    <w:p w14:paraId="606223AA" w14:textId="77777777" w:rsidR="008407A2" w:rsidRPr="00004A58" w:rsidRDefault="008407A2" w:rsidP="00666156">
      <w:pPr>
        <w:spacing w:line="276" w:lineRule="auto"/>
        <w:jc w:val="both"/>
        <w:rPr>
          <w:rFonts w:ascii="Times New Roman" w:hAnsi="Times New Roman" w:cs="Times New Roman"/>
          <w:sz w:val="24"/>
          <w:szCs w:val="24"/>
        </w:rPr>
      </w:pPr>
    </w:p>
    <w:p w14:paraId="2FFF18FC" w14:textId="77777777" w:rsidR="008407A2" w:rsidRPr="00004A58" w:rsidRDefault="008407A2" w:rsidP="00666156">
      <w:pPr>
        <w:spacing w:line="276" w:lineRule="auto"/>
        <w:jc w:val="both"/>
        <w:rPr>
          <w:rFonts w:ascii="Times New Roman" w:hAnsi="Times New Roman" w:cs="Times New Roman"/>
          <w:b/>
          <w:sz w:val="24"/>
          <w:szCs w:val="24"/>
        </w:rPr>
      </w:pPr>
      <w:r w:rsidRPr="00004A58">
        <w:rPr>
          <w:rFonts w:ascii="Times New Roman" w:hAnsi="Times New Roman" w:cs="Times New Roman"/>
          <w:b/>
          <w:sz w:val="24"/>
          <w:szCs w:val="24"/>
        </w:rPr>
        <w:t>K bodu 2</w:t>
      </w:r>
    </w:p>
    <w:p w14:paraId="686E486C" w14:textId="77777777" w:rsidR="00C75890" w:rsidRPr="00004A58" w:rsidRDefault="00C75890" w:rsidP="00666156">
      <w:pPr>
        <w:spacing w:line="276" w:lineRule="auto"/>
        <w:jc w:val="both"/>
        <w:rPr>
          <w:rFonts w:ascii="Times New Roman" w:hAnsi="Times New Roman" w:cs="Times New Roman"/>
          <w:sz w:val="24"/>
          <w:szCs w:val="24"/>
        </w:rPr>
      </w:pPr>
      <w:r w:rsidRPr="00004A58">
        <w:rPr>
          <w:rFonts w:ascii="Times New Roman" w:hAnsi="Times New Roman" w:cs="Times New Roman"/>
          <w:sz w:val="24"/>
          <w:szCs w:val="24"/>
        </w:rPr>
        <w:t>Z legislatívno-technických dôvodov sa s</w:t>
      </w:r>
      <w:r w:rsidR="008407A2" w:rsidRPr="00004A58">
        <w:rPr>
          <w:rFonts w:ascii="Times New Roman" w:hAnsi="Times New Roman" w:cs="Times New Roman"/>
          <w:sz w:val="24"/>
          <w:szCs w:val="24"/>
        </w:rPr>
        <w:t xml:space="preserve">presňuje, že postup správneho orgánu podľa § 58 ods. 4 sa vzťahuje na konanie podľa odseku 1, </w:t>
      </w:r>
      <w:proofErr w:type="spellStart"/>
      <w:r w:rsidR="008407A2" w:rsidRPr="00004A58">
        <w:rPr>
          <w:rFonts w:ascii="Times New Roman" w:hAnsi="Times New Roman" w:cs="Times New Roman"/>
          <w:sz w:val="24"/>
          <w:szCs w:val="24"/>
        </w:rPr>
        <w:t>t.j</w:t>
      </w:r>
      <w:proofErr w:type="spellEnd"/>
      <w:r w:rsidR="008407A2" w:rsidRPr="00004A58">
        <w:rPr>
          <w:rFonts w:ascii="Times New Roman" w:hAnsi="Times New Roman" w:cs="Times New Roman"/>
          <w:sz w:val="24"/>
          <w:szCs w:val="24"/>
        </w:rPr>
        <w:t xml:space="preserve">. konanie, ktoré sa </w:t>
      </w:r>
      <w:r w:rsidRPr="00004A58">
        <w:rPr>
          <w:rFonts w:ascii="Times New Roman" w:hAnsi="Times New Roman" w:cs="Times New Roman"/>
          <w:sz w:val="24"/>
          <w:szCs w:val="24"/>
        </w:rPr>
        <w:t>týka zmeny</w:t>
      </w:r>
      <w:r w:rsidR="008407A2" w:rsidRPr="00004A58">
        <w:rPr>
          <w:rFonts w:ascii="Times New Roman" w:hAnsi="Times New Roman" w:cs="Times New Roman"/>
          <w:sz w:val="24"/>
          <w:szCs w:val="24"/>
        </w:rPr>
        <w:t xml:space="preserve"> hranice katastrálneho územia, ktorá</w:t>
      </w:r>
      <w:r w:rsidRPr="00004A58">
        <w:rPr>
          <w:rFonts w:ascii="Times New Roman" w:hAnsi="Times New Roman" w:cs="Times New Roman"/>
          <w:sz w:val="24"/>
          <w:szCs w:val="24"/>
        </w:rPr>
        <w:t xml:space="preserve"> nie je totožná s hranicou obce.</w:t>
      </w:r>
    </w:p>
    <w:p w14:paraId="69DD3F02" w14:textId="77777777" w:rsidR="00C75890" w:rsidRPr="00004A58" w:rsidRDefault="00C75890" w:rsidP="00666156">
      <w:pPr>
        <w:spacing w:line="276" w:lineRule="auto"/>
        <w:jc w:val="both"/>
        <w:rPr>
          <w:rFonts w:ascii="Times New Roman" w:hAnsi="Times New Roman" w:cs="Times New Roman"/>
          <w:sz w:val="24"/>
          <w:szCs w:val="24"/>
        </w:rPr>
      </w:pPr>
    </w:p>
    <w:p w14:paraId="67C71F84" w14:textId="77777777" w:rsidR="008407A2" w:rsidRPr="00004A58" w:rsidRDefault="00C75890" w:rsidP="00666156">
      <w:pPr>
        <w:spacing w:line="276" w:lineRule="auto"/>
        <w:jc w:val="both"/>
        <w:rPr>
          <w:rFonts w:ascii="Times New Roman" w:hAnsi="Times New Roman" w:cs="Times New Roman"/>
          <w:b/>
          <w:sz w:val="24"/>
          <w:szCs w:val="24"/>
        </w:rPr>
      </w:pPr>
      <w:r w:rsidRPr="00004A58">
        <w:rPr>
          <w:rFonts w:ascii="Times New Roman" w:hAnsi="Times New Roman" w:cs="Times New Roman"/>
          <w:b/>
          <w:sz w:val="24"/>
          <w:szCs w:val="24"/>
        </w:rPr>
        <w:t>K bodu 3</w:t>
      </w:r>
      <w:r w:rsidR="008407A2" w:rsidRPr="00004A58">
        <w:rPr>
          <w:rFonts w:ascii="Times New Roman" w:hAnsi="Times New Roman" w:cs="Times New Roman"/>
          <w:b/>
          <w:sz w:val="24"/>
          <w:szCs w:val="24"/>
        </w:rPr>
        <w:t xml:space="preserve"> </w:t>
      </w:r>
    </w:p>
    <w:p w14:paraId="5D110B74" w14:textId="77777777" w:rsidR="008407A2" w:rsidRPr="00004A58" w:rsidRDefault="00C75890" w:rsidP="00666156">
      <w:pPr>
        <w:spacing w:line="276" w:lineRule="auto"/>
        <w:jc w:val="both"/>
        <w:rPr>
          <w:rFonts w:ascii="Times New Roman" w:hAnsi="Times New Roman" w:cs="Times New Roman"/>
          <w:color w:val="000000"/>
          <w:sz w:val="24"/>
          <w:szCs w:val="24"/>
        </w:rPr>
      </w:pPr>
      <w:r w:rsidRPr="00004A58">
        <w:rPr>
          <w:rFonts w:ascii="Times New Roman" w:hAnsi="Times New Roman" w:cs="Times New Roman"/>
          <w:color w:val="000000"/>
          <w:sz w:val="24"/>
          <w:szCs w:val="24"/>
        </w:rPr>
        <w:t>Vzhľadom na skutočnosť, že úprava podľa novelizačného bodu 1 (§58 ods. 2) priamo odráža aplikačnú prax a zodpovedá povahe a účelu konania o zmene hranice katastrálneho územia, ktorá je súčasne hranicou obce, sa z dôvodov právnej istoty navrhuje, aby konania podľa § 58 ods. 2, ktoré boli začaté, avšak neskončené do navrhovaného dátumu nadobudnutia účinnosti tohto zákona, boli dokončené podľa novej právnej úpravy.</w:t>
      </w:r>
    </w:p>
    <w:p w14:paraId="71F14EAF" w14:textId="77777777" w:rsidR="008407A2" w:rsidRPr="00004A58" w:rsidRDefault="008407A2" w:rsidP="00666156">
      <w:pPr>
        <w:spacing w:line="276" w:lineRule="auto"/>
        <w:rPr>
          <w:rFonts w:ascii="Times New Roman" w:hAnsi="Times New Roman" w:cs="Times New Roman"/>
          <w:sz w:val="24"/>
          <w:szCs w:val="24"/>
        </w:rPr>
      </w:pPr>
    </w:p>
    <w:p w14:paraId="51647ED8" w14:textId="77777777" w:rsidR="00C75890" w:rsidRPr="00004A58" w:rsidRDefault="00C75890" w:rsidP="00666156">
      <w:pPr>
        <w:spacing w:line="276" w:lineRule="auto"/>
        <w:rPr>
          <w:rFonts w:ascii="Times New Roman" w:hAnsi="Times New Roman" w:cs="Times New Roman"/>
          <w:b/>
          <w:sz w:val="24"/>
          <w:szCs w:val="24"/>
        </w:rPr>
      </w:pPr>
      <w:r w:rsidRPr="00004A58">
        <w:rPr>
          <w:rFonts w:ascii="Times New Roman" w:hAnsi="Times New Roman" w:cs="Times New Roman"/>
          <w:b/>
          <w:sz w:val="24"/>
          <w:szCs w:val="24"/>
        </w:rPr>
        <w:t>K čl. III</w:t>
      </w:r>
    </w:p>
    <w:p w14:paraId="1762F445" w14:textId="54B2E31B" w:rsidR="00C75890" w:rsidRPr="00004A58" w:rsidRDefault="00C75890" w:rsidP="00666156">
      <w:pPr>
        <w:spacing w:line="276" w:lineRule="auto"/>
        <w:rPr>
          <w:rFonts w:ascii="Times New Roman" w:hAnsi="Times New Roman" w:cs="Times New Roman"/>
          <w:sz w:val="24"/>
          <w:szCs w:val="24"/>
        </w:rPr>
      </w:pPr>
      <w:r w:rsidRPr="00004A58">
        <w:rPr>
          <w:rFonts w:ascii="Times New Roman" w:hAnsi="Times New Roman" w:cs="Times New Roman"/>
          <w:sz w:val="24"/>
          <w:szCs w:val="24"/>
        </w:rPr>
        <w:t>Z dôvodu prehľadnosti a stability právneho poriadku sa navrhuje, aby nová úprava nadobudla účinnosť dňom 1. januára 2026.</w:t>
      </w:r>
    </w:p>
    <w:p w14:paraId="4A41BFB3" w14:textId="77777777" w:rsidR="00C75890" w:rsidRDefault="00C75890" w:rsidP="00666156">
      <w:pPr>
        <w:spacing w:line="276" w:lineRule="auto"/>
        <w:rPr>
          <w:rFonts w:ascii="Times New Roman" w:hAnsi="Times New Roman" w:cs="Times New Roman"/>
          <w:b/>
          <w:sz w:val="24"/>
          <w:szCs w:val="24"/>
        </w:rPr>
      </w:pPr>
    </w:p>
    <w:p w14:paraId="631FFA9F" w14:textId="77777777" w:rsidR="001D36D1" w:rsidRDefault="001D36D1" w:rsidP="00666156">
      <w:pPr>
        <w:spacing w:line="276" w:lineRule="auto"/>
        <w:rPr>
          <w:rFonts w:ascii="Times New Roman" w:hAnsi="Times New Roman" w:cs="Times New Roman"/>
          <w:b/>
          <w:sz w:val="24"/>
          <w:szCs w:val="24"/>
        </w:rPr>
      </w:pPr>
    </w:p>
    <w:p w14:paraId="5F00068C" w14:textId="77777777" w:rsidR="001D36D1" w:rsidRDefault="001D36D1" w:rsidP="00666156">
      <w:pPr>
        <w:spacing w:line="276" w:lineRule="auto"/>
        <w:rPr>
          <w:rFonts w:ascii="Times New Roman" w:hAnsi="Times New Roman" w:cs="Times New Roman"/>
          <w:b/>
          <w:sz w:val="24"/>
          <w:szCs w:val="24"/>
        </w:rPr>
      </w:pPr>
    </w:p>
    <w:p w14:paraId="12E90CDB" w14:textId="77777777" w:rsidR="001D36D1" w:rsidRDefault="001D36D1" w:rsidP="00666156">
      <w:pPr>
        <w:spacing w:line="276" w:lineRule="auto"/>
        <w:rPr>
          <w:rFonts w:ascii="Times New Roman" w:hAnsi="Times New Roman" w:cs="Times New Roman"/>
          <w:b/>
          <w:sz w:val="24"/>
          <w:szCs w:val="24"/>
        </w:rPr>
      </w:pPr>
    </w:p>
    <w:p w14:paraId="181D5D15" w14:textId="77777777" w:rsidR="001D36D1" w:rsidRDefault="001D36D1" w:rsidP="00666156">
      <w:pPr>
        <w:spacing w:line="276" w:lineRule="auto"/>
        <w:rPr>
          <w:rFonts w:ascii="Times New Roman" w:hAnsi="Times New Roman" w:cs="Times New Roman"/>
          <w:b/>
          <w:sz w:val="24"/>
          <w:szCs w:val="24"/>
        </w:rPr>
      </w:pPr>
    </w:p>
    <w:p w14:paraId="498BF9CF" w14:textId="77777777" w:rsidR="001D36D1" w:rsidRDefault="001D36D1" w:rsidP="00666156">
      <w:pPr>
        <w:spacing w:line="276" w:lineRule="auto"/>
        <w:rPr>
          <w:rFonts w:ascii="Times New Roman" w:hAnsi="Times New Roman" w:cs="Times New Roman"/>
          <w:b/>
          <w:sz w:val="24"/>
          <w:szCs w:val="24"/>
        </w:rPr>
      </w:pPr>
    </w:p>
    <w:p w14:paraId="5D6672F8" w14:textId="77777777" w:rsidR="001D36D1" w:rsidRPr="002E5011" w:rsidRDefault="001D36D1" w:rsidP="001D36D1">
      <w:pPr>
        <w:pStyle w:val="Standard"/>
        <w:pageBreakBefore/>
        <w:suppressAutoHyphens w:val="0"/>
        <w:spacing w:after="0" w:line="240" w:lineRule="auto"/>
        <w:jc w:val="center"/>
        <w:rPr>
          <w:rFonts w:ascii="Times New Roman" w:hAnsi="Times New Roman" w:cs="Times New Roman"/>
          <w:sz w:val="24"/>
          <w:szCs w:val="24"/>
        </w:rPr>
      </w:pPr>
      <w:r w:rsidRPr="002E5011">
        <w:rPr>
          <w:rFonts w:ascii="Times New Roman" w:hAnsi="Times New Roman" w:cs="Times New Roman"/>
          <w:b/>
          <w:caps/>
          <w:spacing w:val="30"/>
          <w:sz w:val="24"/>
          <w:szCs w:val="24"/>
          <w:lang w:eastAsia="en-US"/>
        </w:rPr>
        <w:lastRenderedPageBreak/>
        <w:t>Doložka zlučiteľnosti</w:t>
      </w:r>
    </w:p>
    <w:p w14:paraId="3E557CFE" w14:textId="77777777" w:rsidR="001D36D1" w:rsidRPr="002E5011" w:rsidRDefault="001D36D1" w:rsidP="001D36D1">
      <w:pPr>
        <w:pStyle w:val="Standard"/>
        <w:suppressAutoHyphens w:val="0"/>
        <w:spacing w:after="0" w:line="240" w:lineRule="auto"/>
        <w:jc w:val="center"/>
        <w:rPr>
          <w:rFonts w:ascii="Times New Roman" w:hAnsi="Times New Roman" w:cs="Times New Roman"/>
          <w:sz w:val="24"/>
          <w:szCs w:val="24"/>
        </w:rPr>
      </w:pPr>
      <w:r>
        <w:rPr>
          <w:rFonts w:ascii="Times New Roman" w:hAnsi="Times New Roman" w:cs="Times New Roman"/>
          <w:b/>
          <w:sz w:val="24"/>
          <w:szCs w:val="24"/>
          <w:lang w:eastAsia="en-US"/>
        </w:rPr>
        <w:t>návrhu zákona</w:t>
      </w:r>
      <w:r w:rsidRPr="002E5011">
        <w:rPr>
          <w:rFonts w:ascii="Times New Roman" w:hAnsi="Times New Roman" w:cs="Times New Roman"/>
          <w:b/>
          <w:sz w:val="24"/>
          <w:szCs w:val="24"/>
          <w:lang w:eastAsia="en-US"/>
        </w:rPr>
        <w:t xml:space="preserve"> s právom Európskej únie</w:t>
      </w:r>
    </w:p>
    <w:p w14:paraId="70A90180" w14:textId="77777777" w:rsidR="001D36D1" w:rsidRPr="00333B88" w:rsidRDefault="001D36D1" w:rsidP="001D36D1">
      <w:pPr>
        <w:pStyle w:val="Standard"/>
        <w:suppressAutoHyphens w:val="0"/>
        <w:spacing w:after="0" w:line="240" w:lineRule="auto"/>
        <w:jc w:val="both"/>
        <w:rPr>
          <w:rFonts w:ascii="Times New Roman" w:hAnsi="Times New Roman" w:cs="Times New Roman"/>
          <w:sz w:val="24"/>
          <w:szCs w:val="24"/>
          <w:lang w:eastAsia="en-US"/>
        </w:rPr>
      </w:pPr>
    </w:p>
    <w:p w14:paraId="1EAB748D" w14:textId="77777777" w:rsidR="001D36D1" w:rsidRPr="001D36D1" w:rsidRDefault="001D36D1" w:rsidP="001D36D1">
      <w:pPr>
        <w:pStyle w:val="Standard"/>
        <w:suppressAutoHyphens w:val="0"/>
        <w:spacing w:after="0" w:line="240" w:lineRule="auto"/>
        <w:jc w:val="both"/>
        <w:rPr>
          <w:rFonts w:ascii="Times New Roman" w:hAnsi="Times New Roman" w:cs="Times New Roman"/>
          <w:sz w:val="24"/>
          <w:szCs w:val="24"/>
          <w:lang w:eastAsia="en-US"/>
        </w:rPr>
      </w:pPr>
      <w:r w:rsidRPr="001D36D1">
        <w:rPr>
          <w:rFonts w:ascii="Times New Roman" w:hAnsi="Times New Roman" w:cs="Times New Roman"/>
          <w:b/>
          <w:sz w:val="24"/>
          <w:szCs w:val="24"/>
          <w:lang w:eastAsia="en-US"/>
        </w:rPr>
        <w:t>1. Navrhovateľ zákona:</w:t>
      </w:r>
      <w:r w:rsidRPr="001D36D1">
        <w:rPr>
          <w:rFonts w:ascii="Times New Roman" w:hAnsi="Times New Roman" w:cs="Times New Roman"/>
          <w:sz w:val="24"/>
          <w:szCs w:val="24"/>
          <w:lang w:eastAsia="en-US"/>
        </w:rPr>
        <w:t xml:space="preserve"> poslanec Národnej rady Slovenskej republiky Ján FERENČÁK</w:t>
      </w:r>
    </w:p>
    <w:p w14:paraId="32A3122D" w14:textId="77777777" w:rsidR="001D36D1" w:rsidRPr="001D36D1" w:rsidRDefault="001D36D1" w:rsidP="001D36D1">
      <w:pPr>
        <w:pStyle w:val="Standard"/>
        <w:suppressAutoHyphens w:val="0"/>
        <w:spacing w:after="0" w:line="240" w:lineRule="auto"/>
        <w:jc w:val="both"/>
        <w:rPr>
          <w:rFonts w:ascii="Times New Roman" w:hAnsi="Times New Roman" w:cs="Times New Roman"/>
          <w:sz w:val="24"/>
          <w:szCs w:val="24"/>
        </w:rPr>
      </w:pPr>
    </w:p>
    <w:p w14:paraId="34FD10BB" w14:textId="77777777" w:rsidR="001D36D1" w:rsidRPr="001D36D1" w:rsidRDefault="001D36D1" w:rsidP="001D36D1">
      <w:pPr>
        <w:pStyle w:val="Standard"/>
        <w:spacing w:after="0" w:line="240" w:lineRule="auto"/>
        <w:jc w:val="both"/>
        <w:rPr>
          <w:rFonts w:ascii="Times New Roman" w:hAnsi="Times New Roman" w:cs="Times New Roman"/>
          <w:sz w:val="24"/>
          <w:szCs w:val="24"/>
          <w:lang w:eastAsia="en-US"/>
        </w:rPr>
      </w:pPr>
      <w:r w:rsidRPr="001D36D1">
        <w:rPr>
          <w:rFonts w:ascii="Times New Roman" w:hAnsi="Times New Roman" w:cs="Times New Roman"/>
          <w:b/>
          <w:sz w:val="24"/>
          <w:szCs w:val="24"/>
          <w:lang w:eastAsia="en-US"/>
        </w:rPr>
        <w:t>2. Názov návrhu zákona:</w:t>
      </w:r>
      <w:r w:rsidRPr="001D36D1">
        <w:rPr>
          <w:rFonts w:ascii="Times New Roman" w:hAnsi="Times New Roman" w:cs="Times New Roman"/>
          <w:sz w:val="24"/>
          <w:szCs w:val="24"/>
          <w:lang w:eastAsia="en-US"/>
        </w:rPr>
        <w:t xml:space="preserve"> </w:t>
      </w:r>
      <w:r w:rsidRPr="001D36D1">
        <w:rPr>
          <w:rFonts w:ascii="Times New Roman" w:hAnsi="Times New Roman" w:cs="Times New Roman"/>
          <w:sz w:val="24"/>
          <w:szCs w:val="24"/>
        </w:rPr>
        <w:t>návrh zákona, ktorým sa dopĺňa zákon Slovenskej národnej rady č. 369/1990 Zb. o obecnom zriadení v znení neskorších predpisov a ktorým sa dopĺňa zákon Národnej rady Slovenskej republiky č. 162/1995 Z. z. o katastri nehnuteľností a o zápise vlastníckych a iných práv k nehnuteľnostiam (katastrálny zákon) v znení neskorších predpisov</w:t>
      </w:r>
    </w:p>
    <w:p w14:paraId="6B779B3D" w14:textId="77777777" w:rsidR="001D36D1" w:rsidRPr="001D36D1" w:rsidRDefault="001D36D1" w:rsidP="001D36D1">
      <w:pPr>
        <w:pStyle w:val="Standard"/>
        <w:suppressAutoHyphens w:val="0"/>
        <w:spacing w:after="0" w:line="240" w:lineRule="auto"/>
        <w:jc w:val="both"/>
        <w:rPr>
          <w:rFonts w:ascii="Times New Roman" w:hAnsi="Times New Roman" w:cs="Times New Roman"/>
          <w:sz w:val="24"/>
          <w:szCs w:val="24"/>
          <w:lang w:eastAsia="en-US"/>
        </w:rPr>
      </w:pPr>
    </w:p>
    <w:p w14:paraId="668B7409" w14:textId="77777777" w:rsidR="001D36D1" w:rsidRPr="001D36D1" w:rsidRDefault="001D36D1" w:rsidP="001D36D1">
      <w:pPr>
        <w:jc w:val="both"/>
        <w:rPr>
          <w:rFonts w:ascii="Times New Roman" w:hAnsi="Times New Roman" w:cs="Times New Roman"/>
          <w:b/>
          <w:bCs/>
          <w:sz w:val="24"/>
          <w:szCs w:val="24"/>
        </w:rPr>
      </w:pPr>
      <w:r w:rsidRPr="001D36D1">
        <w:rPr>
          <w:rFonts w:ascii="Times New Roman" w:hAnsi="Times New Roman" w:cs="Times New Roman"/>
          <w:b/>
          <w:sz w:val="24"/>
          <w:szCs w:val="24"/>
        </w:rPr>
        <w:t xml:space="preserve">3. </w:t>
      </w:r>
      <w:r w:rsidRPr="001D36D1">
        <w:rPr>
          <w:rFonts w:ascii="Times New Roman" w:hAnsi="Times New Roman" w:cs="Times New Roman"/>
          <w:b/>
          <w:bCs/>
          <w:sz w:val="24"/>
          <w:szCs w:val="24"/>
        </w:rPr>
        <w:t xml:space="preserve">Predmet návrhu </w:t>
      </w:r>
      <w:r w:rsidRPr="001D36D1">
        <w:rPr>
          <w:rFonts w:ascii="Times New Roman" w:hAnsi="Times New Roman" w:cs="Times New Roman"/>
          <w:b/>
          <w:sz w:val="24"/>
          <w:szCs w:val="24"/>
        </w:rPr>
        <w:t>zákona je upravený v práve Európskej únie</w:t>
      </w:r>
      <w:r w:rsidRPr="001D36D1">
        <w:rPr>
          <w:rFonts w:ascii="Times New Roman" w:hAnsi="Times New Roman" w:cs="Times New Roman"/>
          <w:b/>
          <w:bCs/>
          <w:sz w:val="24"/>
          <w:szCs w:val="24"/>
        </w:rPr>
        <w:t>:</w:t>
      </w:r>
    </w:p>
    <w:p w14:paraId="0EEF674C" w14:textId="77777777" w:rsidR="001D36D1" w:rsidRPr="001D36D1" w:rsidRDefault="001D36D1" w:rsidP="001D36D1">
      <w:pPr>
        <w:pStyle w:val="Zkladntext"/>
        <w:widowControl/>
        <w:numPr>
          <w:ilvl w:val="1"/>
          <w:numId w:val="2"/>
        </w:numPr>
        <w:autoSpaceDE/>
        <w:autoSpaceDN/>
        <w:jc w:val="left"/>
        <w:rPr>
          <w:i/>
          <w:iCs/>
        </w:rPr>
      </w:pPr>
      <w:r w:rsidRPr="001D36D1">
        <w:rPr>
          <w:i/>
          <w:iCs/>
        </w:rPr>
        <w:t xml:space="preserve">v primárnom práve </w:t>
      </w:r>
    </w:p>
    <w:p w14:paraId="115A82EA" w14:textId="77777777" w:rsidR="001D36D1" w:rsidRPr="001D36D1" w:rsidRDefault="001D36D1" w:rsidP="001D36D1">
      <w:pPr>
        <w:pStyle w:val="Zkladntext"/>
        <w:ind w:left="850"/>
      </w:pPr>
      <w:r w:rsidRPr="001D36D1">
        <w:t>- nie je obsiahnutý</w:t>
      </w:r>
    </w:p>
    <w:p w14:paraId="585CF63E" w14:textId="77777777" w:rsidR="001D36D1" w:rsidRPr="001D36D1" w:rsidRDefault="001D36D1" w:rsidP="001D36D1">
      <w:pPr>
        <w:pStyle w:val="Zkladntext"/>
        <w:ind w:left="850"/>
        <w:rPr>
          <w:i/>
        </w:rPr>
      </w:pPr>
    </w:p>
    <w:p w14:paraId="015F7AF3" w14:textId="77777777" w:rsidR="001D36D1" w:rsidRPr="001D36D1" w:rsidRDefault="001D36D1" w:rsidP="001D36D1">
      <w:pPr>
        <w:pStyle w:val="Zkladntext"/>
        <w:widowControl/>
        <w:numPr>
          <w:ilvl w:val="1"/>
          <w:numId w:val="2"/>
        </w:numPr>
        <w:autoSpaceDE/>
        <w:autoSpaceDN/>
        <w:jc w:val="left"/>
        <w:rPr>
          <w:i/>
          <w:iCs/>
        </w:rPr>
      </w:pPr>
      <w:r w:rsidRPr="001D36D1">
        <w:rPr>
          <w:i/>
          <w:iCs/>
        </w:rPr>
        <w:t xml:space="preserve">v sekundárnom práve </w:t>
      </w:r>
    </w:p>
    <w:p w14:paraId="46FC6843" w14:textId="77777777" w:rsidR="001D36D1" w:rsidRPr="001D36D1" w:rsidRDefault="001D36D1" w:rsidP="001D36D1">
      <w:pPr>
        <w:pStyle w:val="Zkladntext"/>
        <w:ind w:left="850"/>
      </w:pPr>
      <w:r w:rsidRPr="001D36D1">
        <w:t>- nie je obsiahnutý</w:t>
      </w:r>
    </w:p>
    <w:p w14:paraId="5C389DB8" w14:textId="77777777" w:rsidR="001D36D1" w:rsidRPr="001D36D1" w:rsidRDefault="001D36D1" w:rsidP="001D36D1">
      <w:pPr>
        <w:pStyle w:val="Zkladntext"/>
        <w:ind w:left="850"/>
      </w:pPr>
    </w:p>
    <w:p w14:paraId="030776D0" w14:textId="77777777" w:rsidR="001D36D1" w:rsidRPr="001D36D1" w:rsidRDefault="001D36D1" w:rsidP="001D36D1">
      <w:pPr>
        <w:pStyle w:val="Zkladntext"/>
        <w:widowControl/>
        <w:numPr>
          <w:ilvl w:val="1"/>
          <w:numId w:val="2"/>
        </w:numPr>
        <w:autoSpaceDE/>
        <w:autoSpaceDN/>
        <w:ind w:left="896"/>
        <w:rPr>
          <w:i/>
          <w:iCs/>
        </w:rPr>
      </w:pPr>
      <w:r w:rsidRPr="001D36D1">
        <w:rPr>
          <w:i/>
          <w:iCs/>
        </w:rPr>
        <w:t>v judikatúre Súdneho dvora Európskej únie</w:t>
      </w:r>
    </w:p>
    <w:p w14:paraId="5065AA4E" w14:textId="77777777" w:rsidR="001D36D1" w:rsidRPr="001D36D1" w:rsidRDefault="001D36D1" w:rsidP="001D36D1">
      <w:pPr>
        <w:ind w:left="896"/>
        <w:jc w:val="both"/>
        <w:rPr>
          <w:rFonts w:ascii="Times New Roman" w:hAnsi="Times New Roman" w:cs="Times New Roman"/>
          <w:sz w:val="24"/>
          <w:szCs w:val="24"/>
        </w:rPr>
      </w:pPr>
      <w:r w:rsidRPr="001D36D1">
        <w:rPr>
          <w:rFonts w:ascii="Times New Roman" w:hAnsi="Times New Roman" w:cs="Times New Roman"/>
          <w:sz w:val="24"/>
          <w:szCs w:val="24"/>
        </w:rPr>
        <w:t>- nie je obsiahnutý</w:t>
      </w:r>
    </w:p>
    <w:p w14:paraId="67435AA3" w14:textId="77777777" w:rsidR="001D36D1" w:rsidRPr="001D36D1" w:rsidRDefault="001D36D1" w:rsidP="001D36D1">
      <w:pPr>
        <w:ind w:left="896"/>
        <w:jc w:val="both"/>
        <w:rPr>
          <w:rFonts w:ascii="Times New Roman" w:hAnsi="Times New Roman" w:cs="Times New Roman"/>
          <w:sz w:val="24"/>
          <w:szCs w:val="24"/>
        </w:rPr>
      </w:pPr>
    </w:p>
    <w:tbl>
      <w:tblPr>
        <w:tblW w:w="5000" w:type="pct"/>
        <w:jc w:val="center"/>
        <w:tblCellMar>
          <w:left w:w="0" w:type="dxa"/>
          <w:right w:w="0" w:type="dxa"/>
        </w:tblCellMar>
        <w:tblLook w:val="04A0" w:firstRow="1" w:lastRow="0" w:firstColumn="1" w:lastColumn="0" w:noHBand="0" w:noVBand="1"/>
      </w:tblPr>
      <w:tblGrid>
        <w:gridCol w:w="454"/>
        <w:gridCol w:w="368"/>
        <w:gridCol w:w="8250"/>
      </w:tblGrid>
      <w:tr w:rsidR="001D36D1" w:rsidRPr="001D36D1" w14:paraId="0E11540D" w14:textId="77777777" w:rsidTr="00D3609D">
        <w:trPr>
          <w:jc w:val="center"/>
        </w:trPr>
        <w:tc>
          <w:tcPr>
            <w:tcW w:w="250" w:type="pct"/>
            <w:tcBorders>
              <w:top w:val="nil"/>
              <w:left w:val="nil"/>
              <w:bottom w:val="nil"/>
              <w:right w:val="nil"/>
            </w:tcBorders>
            <w:hideMark/>
          </w:tcPr>
          <w:p w14:paraId="1DF90A11" w14:textId="77777777" w:rsidR="001D36D1" w:rsidRPr="001D36D1" w:rsidRDefault="001D36D1" w:rsidP="00D3609D">
            <w:pPr>
              <w:rPr>
                <w:rFonts w:ascii="Times New Roman" w:hAnsi="Times New Roman" w:cs="Times New Roman"/>
                <w:b/>
                <w:bCs/>
                <w:sz w:val="24"/>
                <w:szCs w:val="24"/>
              </w:rPr>
            </w:pPr>
            <w:r w:rsidRPr="001D36D1">
              <w:rPr>
                <w:rFonts w:ascii="Times New Roman" w:hAnsi="Times New Roman" w:cs="Times New Roman"/>
                <w:b/>
                <w:bCs/>
                <w:sz w:val="24"/>
                <w:szCs w:val="24"/>
              </w:rPr>
              <w:t>4.</w:t>
            </w:r>
          </w:p>
        </w:tc>
        <w:tc>
          <w:tcPr>
            <w:tcW w:w="4750" w:type="pct"/>
            <w:gridSpan w:val="2"/>
            <w:tcBorders>
              <w:top w:val="nil"/>
              <w:left w:val="nil"/>
              <w:bottom w:val="nil"/>
              <w:right w:val="nil"/>
            </w:tcBorders>
            <w:vAlign w:val="center"/>
            <w:hideMark/>
          </w:tcPr>
          <w:p w14:paraId="7603E266" w14:textId="77777777" w:rsidR="001D36D1" w:rsidRPr="001D36D1" w:rsidRDefault="001D36D1" w:rsidP="00D3609D">
            <w:pPr>
              <w:spacing w:after="250"/>
              <w:rPr>
                <w:rFonts w:ascii="Times New Roman" w:hAnsi="Times New Roman" w:cs="Times New Roman"/>
                <w:b/>
                <w:bCs/>
                <w:sz w:val="24"/>
                <w:szCs w:val="24"/>
              </w:rPr>
            </w:pPr>
            <w:r w:rsidRPr="001D36D1">
              <w:rPr>
                <w:rFonts w:ascii="Times New Roman" w:hAnsi="Times New Roman" w:cs="Times New Roman"/>
                <w:b/>
                <w:bCs/>
                <w:sz w:val="24"/>
                <w:szCs w:val="24"/>
              </w:rPr>
              <w:t>Záväzky Slovenskej republiky vo vzťahu k Európskej únii:</w:t>
            </w:r>
          </w:p>
        </w:tc>
      </w:tr>
      <w:tr w:rsidR="001D36D1" w:rsidRPr="001D36D1" w14:paraId="132B1DAD" w14:textId="77777777" w:rsidTr="00D3609D">
        <w:trPr>
          <w:jc w:val="center"/>
        </w:trPr>
        <w:tc>
          <w:tcPr>
            <w:tcW w:w="0" w:type="auto"/>
            <w:tcBorders>
              <w:top w:val="nil"/>
              <w:left w:val="nil"/>
              <w:bottom w:val="nil"/>
              <w:right w:val="nil"/>
            </w:tcBorders>
            <w:hideMark/>
          </w:tcPr>
          <w:p w14:paraId="49D226E7" w14:textId="77777777" w:rsidR="001D36D1" w:rsidRPr="001D36D1" w:rsidRDefault="001D36D1" w:rsidP="00D3609D">
            <w:pPr>
              <w:spacing w:after="250"/>
              <w:rPr>
                <w:rFonts w:ascii="Times New Roman" w:hAnsi="Times New Roman" w:cs="Times New Roman"/>
                <w:b/>
                <w:bCs/>
                <w:sz w:val="24"/>
                <w:szCs w:val="24"/>
              </w:rPr>
            </w:pPr>
          </w:p>
        </w:tc>
        <w:tc>
          <w:tcPr>
            <w:tcW w:w="203" w:type="pct"/>
            <w:tcBorders>
              <w:top w:val="nil"/>
              <w:left w:val="nil"/>
              <w:bottom w:val="nil"/>
              <w:right w:val="nil"/>
            </w:tcBorders>
            <w:hideMark/>
          </w:tcPr>
          <w:p w14:paraId="1E2B3DE4" w14:textId="77777777" w:rsidR="001D36D1" w:rsidRPr="001D36D1" w:rsidRDefault="001D36D1" w:rsidP="00D3609D">
            <w:pPr>
              <w:rPr>
                <w:rFonts w:ascii="Times New Roman" w:hAnsi="Times New Roman" w:cs="Times New Roman"/>
                <w:sz w:val="24"/>
                <w:szCs w:val="24"/>
              </w:rPr>
            </w:pPr>
            <w:r w:rsidRPr="001D36D1">
              <w:rPr>
                <w:rFonts w:ascii="Times New Roman" w:hAnsi="Times New Roman" w:cs="Times New Roman"/>
                <w:sz w:val="24"/>
                <w:szCs w:val="24"/>
              </w:rPr>
              <w:t>a)</w:t>
            </w:r>
          </w:p>
        </w:tc>
        <w:tc>
          <w:tcPr>
            <w:tcW w:w="4548" w:type="pct"/>
            <w:tcBorders>
              <w:top w:val="nil"/>
              <w:left w:val="nil"/>
              <w:bottom w:val="nil"/>
              <w:right w:val="nil"/>
            </w:tcBorders>
            <w:vAlign w:val="center"/>
            <w:hideMark/>
          </w:tcPr>
          <w:p w14:paraId="7BF222B9" w14:textId="77777777" w:rsidR="001D36D1" w:rsidRPr="001D36D1" w:rsidRDefault="001D36D1" w:rsidP="00D3609D">
            <w:pPr>
              <w:spacing w:after="250"/>
              <w:rPr>
                <w:rFonts w:ascii="Times New Roman" w:hAnsi="Times New Roman" w:cs="Times New Roman"/>
                <w:sz w:val="24"/>
                <w:szCs w:val="24"/>
              </w:rPr>
            </w:pPr>
            <w:r w:rsidRPr="001D36D1">
              <w:rPr>
                <w:rFonts w:ascii="Times New Roman" w:hAnsi="Times New Roman" w:cs="Times New Roman"/>
                <w:sz w:val="24"/>
                <w:szCs w:val="24"/>
              </w:rPr>
              <w:t>lehota na prebratie príslušného právneho aktu Európskej únie, príp. aj osobitná lehota účinnosti jeho ustanovení</w:t>
            </w:r>
          </w:p>
        </w:tc>
      </w:tr>
      <w:tr w:rsidR="001D36D1" w:rsidRPr="001D36D1" w14:paraId="210767B7" w14:textId="77777777" w:rsidTr="00D3609D">
        <w:trPr>
          <w:jc w:val="center"/>
        </w:trPr>
        <w:tc>
          <w:tcPr>
            <w:tcW w:w="0" w:type="auto"/>
            <w:tcBorders>
              <w:top w:val="nil"/>
              <w:left w:val="nil"/>
              <w:bottom w:val="nil"/>
              <w:right w:val="nil"/>
            </w:tcBorders>
            <w:hideMark/>
          </w:tcPr>
          <w:p w14:paraId="781E4318" w14:textId="77777777" w:rsidR="001D36D1" w:rsidRPr="001D36D1" w:rsidRDefault="001D36D1" w:rsidP="00D3609D">
            <w:pPr>
              <w:spacing w:after="250"/>
              <w:rPr>
                <w:rFonts w:ascii="Times New Roman" w:hAnsi="Times New Roman" w:cs="Times New Roman"/>
                <w:sz w:val="24"/>
                <w:szCs w:val="24"/>
              </w:rPr>
            </w:pPr>
          </w:p>
        </w:tc>
        <w:tc>
          <w:tcPr>
            <w:tcW w:w="203" w:type="pct"/>
            <w:tcBorders>
              <w:top w:val="nil"/>
              <w:left w:val="nil"/>
              <w:bottom w:val="nil"/>
              <w:right w:val="nil"/>
            </w:tcBorders>
            <w:hideMark/>
          </w:tcPr>
          <w:p w14:paraId="3C00FA56" w14:textId="77777777" w:rsidR="001D36D1" w:rsidRPr="001D36D1" w:rsidRDefault="001D36D1" w:rsidP="00D3609D">
            <w:pPr>
              <w:rPr>
                <w:rFonts w:ascii="Times New Roman" w:hAnsi="Times New Roman" w:cs="Times New Roman"/>
                <w:sz w:val="24"/>
                <w:szCs w:val="24"/>
              </w:rPr>
            </w:pPr>
          </w:p>
        </w:tc>
        <w:tc>
          <w:tcPr>
            <w:tcW w:w="4548" w:type="pct"/>
            <w:tcBorders>
              <w:top w:val="nil"/>
              <w:left w:val="nil"/>
              <w:bottom w:val="nil"/>
              <w:right w:val="nil"/>
            </w:tcBorders>
            <w:vAlign w:val="center"/>
            <w:hideMark/>
          </w:tcPr>
          <w:p w14:paraId="0C909095" w14:textId="77777777" w:rsidR="001D36D1" w:rsidRPr="001D36D1" w:rsidRDefault="001D36D1" w:rsidP="00D3609D">
            <w:pPr>
              <w:spacing w:after="250"/>
              <w:rPr>
                <w:rFonts w:ascii="Times New Roman" w:hAnsi="Times New Roman" w:cs="Times New Roman"/>
                <w:sz w:val="24"/>
                <w:szCs w:val="24"/>
              </w:rPr>
            </w:pPr>
            <w:r w:rsidRPr="001D36D1">
              <w:rPr>
                <w:rFonts w:ascii="Times New Roman" w:hAnsi="Times New Roman" w:cs="Times New Roman"/>
                <w:sz w:val="24"/>
                <w:szCs w:val="24"/>
              </w:rPr>
              <w:t>Bezpredmetné.</w:t>
            </w:r>
          </w:p>
        </w:tc>
      </w:tr>
      <w:tr w:rsidR="001D36D1" w:rsidRPr="001D36D1" w14:paraId="65871193" w14:textId="77777777" w:rsidTr="00D3609D">
        <w:trPr>
          <w:jc w:val="center"/>
        </w:trPr>
        <w:tc>
          <w:tcPr>
            <w:tcW w:w="0" w:type="auto"/>
            <w:tcBorders>
              <w:top w:val="nil"/>
              <w:left w:val="nil"/>
              <w:bottom w:val="nil"/>
              <w:right w:val="nil"/>
            </w:tcBorders>
            <w:hideMark/>
          </w:tcPr>
          <w:p w14:paraId="3422AB2D" w14:textId="77777777" w:rsidR="001D36D1" w:rsidRPr="001D36D1" w:rsidRDefault="001D36D1" w:rsidP="00D3609D">
            <w:pPr>
              <w:spacing w:after="250"/>
              <w:rPr>
                <w:rFonts w:ascii="Times New Roman" w:hAnsi="Times New Roman" w:cs="Times New Roman"/>
                <w:sz w:val="24"/>
                <w:szCs w:val="24"/>
              </w:rPr>
            </w:pPr>
          </w:p>
        </w:tc>
        <w:tc>
          <w:tcPr>
            <w:tcW w:w="203" w:type="pct"/>
            <w:tcBorders>
              <w:top w:val="nil"/>
              <w:left w:val="nil"/>
              <w:bottom w:val="nil"/>
              <w:right w:val="nil"/>
            </w:tcBorders>
            <w:hideMark/>
          </w:tcPr>
          <w:p w14:paraId="310DB311" w14:textId="77777777" w:rsidR="001D36D1" w:rsidRPr="001D36D1" w:rsidRDefault="001D36D1" w:rsidP="00D3609D">
            <w:pPr>
              <w:rPr>
                <w:rFonts w:ascii="Times New Roman" w:hAnsi="Times New Roman" w:cs="Times New Roman"/>
                <w:sz w:val="24"/>
                <w:szCs w:val="24"/>
              </w:rPr>
            </w:pPr>
            <w:r w:rsidRPr="001D36D1">
              <w:rPr>
                <w:rFonts w:ascii="Times New Roman" w:hAnsi="Times New Roman" w:cs="Times New Roman"/>
                <w:sz w:val="24"/>
                <w:szCs w:val="24"/>
              </w:rPr>
              <w:t>b)</w:t>
            </w:r>
          </w:p>
        </w:tc>
        <w:tc>
          <w:tcPr>
            <w:tcW w:w="4548" w:type="pct"/>
            <w:tcBorders>
              <w:top w:val="nil"/>
              <w:left w:val="nil"/>
              <w:bottom w:val="nil"/>
              <w:right w:val="nil"/>
            </w:tcBorders>
            <w:vAlign w:val="center"/>
            <w:hideMark/>
          </w:tcPr>
          <w:p w14:paraId="759B6538" w14:textId="77777777" w:rsidR="001D36D1" w:rsidRPr="001D36D1" w:rsidRDefault="001D36D1" w:rsidP="00D3609D">
            <w:pPr>
              <w:spacing w:after="250"/>
              <w:rPr>
                <w:rFonts w:ascii="Times New Roman" w:hAnsi="Times New Roman" w:cs="Times New Roman"/>
                <w:sz w:val="24"/>
                <w:szCs w:val="24"/>
              </w:rPr>
            </w:pPr>
            <w:r w:rsidRPr="001D36D1">
              <w:rPr>
                <w:rFonts w:ascii="Times New Roman" w:hAnsi="Times New Roman" w:cs="Times New Roman"/>
                <w:sz w:val="24"/>
                <w:szCs w:val="24"/>
              </w:rPr>
              <w:t xml:space="preserve">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w:t>
            </w:r>
          </w:p>
        </w:tc>
      </w:tr>
      <w:tr w:rsidR="001D36D1" w:rsidRPr="001D36D1" w14:paraId="1C1443D9" w14:textId="77777777" w:rsidTr="00D3609D">
        <w:trPr>
          <w:jc w:val="center"/>
        </w:trPr>
        <w:tc>
          <w:tcPr>
            <w:tcW w:w="0" w:type="auto"/>
            <w:tcBorders>
              <w:top w:val="nil"/>
              <w:left w:val="nil"/>
              <w:bottom w:val="nil"/>
              <w:right w:val="nil"/>
            </w:tcBorders>
            <w:hideMark/>
          </w:tcPr>
          <w:p w14:paraId="09BA148A" w14:textId="77777777" w:rsidR="001D36D1" w:rsidRPr="001D36D1" w:rsidRDefault="001D36D1" w:rsidP="00D3609D">
            <w:pPr>
              <w:spacing w:after="250"/>
              <w:rPr>
                <w:rFonts w:ascii="Times New Roman" w:hAnsi="Times New Roman" w:cs="Times New Roman"/>
                <w:sz w:val="24"/>
                <w:szCs w:val="24"/>
              </w:rPr>
            </w:pPr>
          </w:p>
        </w:tc>
        <w:tc>
          <w:tcPr>
            <w:tcW w:w="203" w:type="pct"/>
            <w:tcBorders>
              <w:top w:val="nil"/>
              <w:left w:val="nil"/>
              <w:bottom w:val="nil"/>
              <w:right w:val="nil"/>
            </w:tcBorders>
            <w:hideMark/>
          </w:tcPr>
          <w:p w14:paraId="42B2A755" w14:textId="77777777" w:rsidR="001D36D1" w:rsidRPr="001D36D1" w:rsidRDefault="001D36D1" w:rsidP="00D3609D">
            <w:pPr>
              <w:rPr>
                <w:rFonts w:ascii="Times New Roman" w:hAnsi="Times New Roman" w:cs="Times New Roman"/>
                <w:sz w:val="24"/>
                <w:szCs w:val="24"/>
              </w:rPr>
            </w:pPr>
          </w:p>
        </w:tc>
        <w:tc>
          <w:tcPr>
            <w:tcW w:w="4548" w:type="pct"/>
            <w:tcBorders>
              <w:top w:val="nil"/>
              <w:left w:val="nil"/>
              <w:bottom w:val="nil"/>
              <w:right w:val="nil"/>
            </w:tcBorders>
            <w:vAlign w:val="center"/>
            <w:hideMark/>
          </w:tcPr>
          <w:p w14:paraId="5ACA405E" w14:textId="77777777" w:rsidR="001D36D1" w:rsidRPr="001D36D1" w:rsidRDefault="001D36D1" w:rsidP="00D3609D">
            <w:pPr>
              <w:spacing w:after="250"/>
              <w:rPr>
                <w:rFonts w:ascii="Times New Roman" w:hAnsi="Times New Roman" w:cs="Times New Roman"/>
                <w:sz w:val="24"/>
                <w:szCs w:val="24"/>
              </w:rPr>
            </w:pPr>
            <w:r w:rsidRPr="001D36D1">
              <w:rPr>
                <w:rFonts w:ascii="Times New Roman" w:hAnsi="Times New Roman" w:cs="Times New Roman"/>
                <w:sz w:val="24"/>
                <w:szCs w:val="24"/>
              </w:rPr>
              <w:t>Bezpredmetné.</w:t>
            </w:r>
          </w:p>
        </w:tc>
      </w:tr>
      <w:tr w:rsidR="001D36D1" w:rsidRPr="001D36D1" w14:paraId="3EBD3808" w14:textId="77777777" w:rsidTr="00D3609D">
        <w:trPr>
          <w:jc w:val="center"/>
        </w:trPr>
        <w:tc>
          <w:tcPr>
            <w:tcW w:w="0" w:type="auto"/>
            <w:tcBorders>
              <w:top w:val="nil"/>
              <w:left w:val="nil"/>
              <w:bottom w:val="nil"/>
              <w:right w:val="nil"/>
            </w:tcBorders>
            <w:hideMark/>
          </w:tcPr>
          <w:p w14:paraId="507B8C4F" w14:textId="77777777" w:rsidR="001D36D1" w:rsidRPr="001D36D1" w:rsidRDefault="001D36D1" w:rsidP="00D3609D">
            <w:pPr>
              <w:spacing w:after="250"/>
              <w:rPr>
                <w:rFonts w:ascii="Times New Roman" w:hAnsi="Times New Roman" w:cs="Times New Roman"/>
                <w:sz w:val="24"/>
                <w:szCs w:val="24"/>
              </w:rPr>
            </w:pPr>
          </w:p>
        </w:tc>
        <w:tc>
          <w:tcPr>
            <w:tcW w:w="203" w:type="pct"/>
            <w:tcBorders>
              <w:top w:val="nil"/>
              <w:left w:val="nil"/>
              <w:bottom w:val="nil"/>
              <w:right w:val="nil"/>
            </w:tcBorders>
            <w:hideMark/>
          </w:tcPr>
          <w:p w14:paraId="2EC2A08C" w14:textId="77777777" w:rsidR="001D36D1" w:rsidRPr="001D36D1" w:rsidRDefault="001D36D1" w:rsidP="00D3609D">
            <w:pPr>
              <w:rPr>
                <w:rFonts w:ascii="Times New Roman" w:hAnsi="Times New Roman" w:cs="Times New Roman"/>
                <w:sz w:val="24"/>
                <w:szCs w:val="24"/>
              </w:rPr>
            </w:pPr>
            <w:r w:rsidRPr="001D36D1">
              <w:rPr>
                <w:rFonts w:ascii="Times New Roman" w:hAnsi="Times New Roman" w:cs="Times New Roman"/>
                <w:sz w:val="24"/>
                <w:szCs w:val="24"/>
              </w:rPr>
              <w:t>c)</w:t>
            </w:r>
          </w:p>
        </w:tc>
        <w:tc>
          <w:tcPr>
            <w:tcW w:w="4548" w:type="pct"/>
            <w:tcBorders>
              <w:top w:val="nil"/>
              <w:left w:val="nil"/>
              <w:bottom w:val="nil"/>
              <w:right w:val="nil"/>
            </w:tcBorders>
            <w:vAlign w:val="center"/>
            <w:hideMark/>
          </w:tcPr>
          <w:p w14:paraId="7B95D945" w14:textId="77777777" w:rsidR="001D36D1" w:rsidRPr="001D36D1" w:rsidRDefault="001D36D1" w:rsidP="00D3609D">
            <w:pPr>
              <w:spacing w:after="250"/>
              <w:rPr>
                <w:rFonts w:ascii="Times New Roman" w:hAnsi="Times New Roman" w:cs="Times New Roman"/>
                <w:sz w:val="24"/>
                <w:szCs w:val="24"/>
              </w:rPr>
            </w:pPr>
            <w:r w:rsidRPr="001D36D1">
              <w:rPr>
                <w:rFonts w:ascii="Times New Roman" w:hAnsi="Times New Roman" w:cs="Times New Roman"/>
                <w:sz w:val="24"/>
                <w:szCs w:val="24"/>
              </w:rPr>
              <w:t>informácia o právnych predpisoch, v ktorých sú preberané smernice už prebraté spolu s uvedením rozsahu tohto prebratia, príp. potreby prijatia ďalších úprav</w:t>
            </w:r>
          </w:p>
        </w:tc>
      </w:tr>
      <w:tr w:rsidR="001D36D1" w:rsidRPr="001D36D1" w14:paraId="295F0AB5" w14:textId="77777777" w:rsidTr="00D3609D">
        <w:trPr>
          <w:jc w:val="center"/>
        </w:trPr>
        <w:tc>
          <w:tcPr>
            <w:tcW w:w="0" w:type="auto"/>
            <w:tcBorders>
              <w:top w:val="nil"/>
              <w:left w:val="nil"/>
              <w:bottom w:val="nil"/>
              <w:right w:val="nil"/>
            </w:tcBorders>
            <w:hideMark/>
          </w:tcPr>
          <w:p w14:paraId="7C1B706E" w14:textId="77777777" w:rsidR="001D36D1" w:rsidRPr="001D36D1" w:rsidRDefault="001D36D1" w:rsidP="00D3609D">
            <w:pPr>
              <w:spacing w:after="250"/>
              <w:rPr>
                <w:rFonts w:ascii="Times New Roman" w:hAnsi="Times New Roman" w:cs="Times New Roman"/>
                <w:sz w:val="24"/>
                <w:szCs w:val="24"/>
              </w:rPr>
            </w:pPr>
          </w:p>
        </w:tc>
        <w:tc>
          <w:tcPr>
            <w:tcW w:w="203" w:type="pct"/>
            <w:tcBorders>
              <w:top w:val="nil"/>
              <w:left w:val="nil"/>
              <w:bottom w:val="nil"/>
              <w:right w:val="nil"/>
            </w:tcBorders>
            <w:hideMark/>
          </w:tcPr>
          <w:p w14:paraId="43B530E2" w14:textId="77777777" w:rsidR="001D36D1" w:rsidRPr="001D36D1" w:rsidRDefault="001D36D1" w:rsidP="00D3609D">
            <w:pPr>
              <w:rPr>
                <w:rFonts w:ascii="Times New Roman" w:hAnsi="Times New Roman" w:cs="Times New Roman"/>
                <w:sz w:val="24"/>
                <w:szCs w:val="24"/>
              </w:rPr>
            </w:pPr>
          </w:p>
        </w:tc>
        <w:tc>
          <w:tcPr>
            <w:tcW w:w="4548" w:type="pct"/>
            <w:tcBorders>
              <w:top w:val="nil"/>
              <w:left w:val="nil"/>
              <w:bottom w:val="nil"/>
              <w:right w:val="nil"/>
            </w:tcBorders>
            <w:vAlign w:val="center"/>
            <w:hideMark/>
          </w:tcPr>
          <w:p w14:paraId="192130EF" w14:textId="77777777" w:rsidR="001D36D1" w:rsidRPr="001D36D1" w:rsidRDefault="001D36D1" w:rsidP="00D3609D">
            <w:pPr>
              <w:spacing w:after="250"/>
              <w:rPr>
                <w:rFonts w:ascii="Times New Roman" w:hAnsi="Times New Roman" w:cs="Times New Roman"/>
                <w:sz w:val="24"/>
                <w:szCs w:val="24"/>
              </w:rPr>
            </w:pPr>
            <w:r w:rsidRPr="001D36D1">
              <w:rPr>
                <w:rFonts w:ascii="Times New Roman" w:hAnsi="Times New Roman" w:cs="Times New Roman"/>
                <w:sz w:val="24"/>
                <w:szCs w:val="24"/>
              </w:rPr>
              <w:t>Bezpredmetné.</w:t>
            </w:r>
          </w:p>
        </w:tc>
      </w:tr>
      <w:tr w:rsidR="001D36D1" w:rsidRPr="001D36D1" w14:paraId="257CD5BC" w14:textId="77777777" w:rsidTr="00D3609D">
        <w:trPr>
          <w:jc w:val="center"/>
        </w:trPr>
        <w:tc>
          <w:tcPr>
            <w:tcW w:w="0" w:type="auto"/>
            <w:tcBorders>
              <w:top w:val="nil"/>
              <w:left w:val="nil"/>
              <w:bottom w:val="nil"/>
              <w:right w:val="nil"/>
            </w:tcBorders>
            <w:hideMark/>
          </w:tcPr>
          <w:p w14:paraId="3E2A78FA" w14:textId="77777777" w:rsidR="001D36D1" w:rsidRPr="001D36D1" w:rsidRDefault="001D36D1" w:rsidP="00D3609D">
            <w:pPr>
              <w:rPr>
                <w:rFonts w:ascii="Times New Roman" w:hAnsi="Times New Roman" w:cs="Times New Roman"/>
                <w:b/>
                <w:bCs/>
                <w:sz w:val="24"/>
                <w:szCs w:val="24"/>
              </w:rPr>
            </w:pPr>
            <w:r w:rsidRPr="001D36D1">
              <w:rPr>
                <w:rFonts w:ascii="Times New Roman" w:hAnsi="Times New Roman" w:cs="Times New Roman"/>
                <w:b/>
                <w:bCs/>
                <w:sz w:val="24"/>
                <w:szCs w:val="24"/>
              </w:rPr>
              <w:t>5.</w:t>
            </w:r>
          </w:p>
        </w:tc>
        <w:tc>
          <w:tcPr>
            <w:tcW w:w="0" w:type="auto"/>
            <w:gridSpan w:val="2"/>
            <w:tcBorders>
              <w:top w:val="nil"/>
              <w:left w:val="nil"/>
              <w:bottom w:val="nil"/>
              <w:right w:val="nil"/>
            </w:tcBorders>
            <w:hideMark/>
          </w:tcPr>
          <w:p w14:paraId="7E6FE3A3" w14:textId="77777777" w:rsidR="001D36D1" w:rsidRPr="001D36D1" w:rsidRDefault="001D36D1" w:rsidP="00D3609D">
            <w:pPr>
              <w:spacing w:after="250"/>
              <w:rPr>
                <w:rFonts w:ascii="Times New Roman" w:hAnsi="Times New Roman" w:cs="Times New Roman"/>
                <w:b/>
                <w:bCs/>
                <w:sz w:val="24"/>
                <w:szCs w:val="24"/>
              </w:rPr>
            </w:pPr>
            <w:r w:rsidRPr="001D36D1">
              <w:rPr>
                <w:rFonts w:ascii="Times New Roman" w:hAnsi="Times New Roman" w:cs="Times New Roman"/>
                <w:b/>
                <w:bCs/>
                <w:sz w:val="24"/>
                <w:szCs w:val="24"/>
              </w:rPr>
              <w:t>Návrh zákona je zlučiteľný s právom Európskej únie:</w:t>
            </w:r>
          </w:p>
        </w:tc>
      </w:tr>
      <w:tr w:rsidR="001D36D1" w:rsidRPr="001D36D1" w14:paraId="363942EF" w14:textId="77777777" w:rsidTr="001D36D1">
        <w:trPr>
          <w:trHeight w:val="68"/>
          <w:jc w:val="center"/>
        </w:trPr>
        <w:tc>
          <w:tcPr>
            <w:tcW w:w="0" w:type="auto"/>
            <w:tcBorders>
              <w:top w:val="nil"/>
              <w:left w:val="nil"/>
              <w:bottom w:val="nil"/>
              <w:right w:val="nil"/>
            </w:tcBorders>
            <w:hideMark/>
          </w:tcPr>
          <w:p w14:paraId="412047F7" w14:textId="77777777" w:rsidR="001D36D1" w:rsidRPr="001D36D1" w:rsidRDefault="001D36D1" w:rsidP="00D3609D">
            <w:pPr>
              <w:spacing w:after="250"/>
              <w:rPr>
                <w:rFonts w:ascii="Times New Roman" w:hAnsi="Times New Roman" w:cs="Times New Roman"/>
                <w:b/>
                <w:bCs/>
                <w:sz w:val="24"/>
                <w:szCs w:val="24"/>
              </w:rPr>
            </w:pPr>
          </w:p>
        </w:tc>
        <w:tc>
          <w:tcPr>
            <w:tcW w:w="203" w:type="pct"/>
            <w:tcBorders>
              <w:top w:val="nil"/>
              <w:left w:val="nil"/>
              <w:bottom w:val="nil"/>
              <w:right w:val="nil"/>
            </w:tcBorders>
            <w:hideMark/>
          </w:tcPr>
          <w:p w14:paraId="0E75B131" w14:textId="77777777" w:rsidR="001D36D1" w:rsidRPr="001D36D1" w:rsidRDefault="001D36D1" w:rsidP="00D3609D">
            <w:pPr>
              <w:rPr>
                <w:rFonts w:ascii="Times New Roman" w:hAnsi="Times New Roman" w:cs="Times New Roman"/>
                <w:sz w:val="24"/>
                <w:szCs w:val="24"/>
              </w:rPr>
            </w:pPr>
          </w:p>
        </w:tc>
        <w:tc>
          <w:tcPr>
            <w:tcW w:w="4548" w:type="pct"/>
            <w:tcBorders>
              <w:top w:val="nil"/>
              <w:left w:val="nil"/>
              <w:bottom w:val="nil"/>
              <w:right w:val="nil"/>
            </w:tcBorders>
            <w:vAlign w:val="center"/>
            <w:hideMark/>
          </w:tcPr>
          <w:p w14:paraId="541B4BD6" w14:textId="77777777" w:rsidR="001D36D1" w:rsidRPr="001D36D1" w:rsidRDefault="001D36D1" w:rsidP="00D3609D">
            <w:pPr>
              <w:spacing w:after="250"/>
              <w:rPr>
                <w:rFonts w:ascii="Times New Roman" w:hAnsi="Times New Roman" w:cs="Times New Roman"/>
                <w:sz w:val="24"/>
                <w:szCs w:val="24"/>
              </w:rPr>
            </w:pPr>
            <w:r w:rsidRPr="001D36D1">
              <w:rPr>
                <w:rFonts w:ascii="Times New Roman" w:hAnsi="Times New Roman" w:cs="Times New Roman"/>
                <w:sz w:val="24"/>
                <w:szCs w:val="24"/>
              </w:rPr>
              <w:t>Bezpredmetné.</w:t>
            </w:r>
          </w:p>
        </w:tc>
      </w:tr>
    </w:tbl>
    <w:p w14:paraId="4DC99DC5" w14:textId="77777777" w:rsidR="001D36D1" w:rsidRPr="001D36D1" w:rsidRDefault="001D36D1" w:rsidP="001D36D1">
      <w:pPr>
        <w:widowControl w:val="0"/>
        <w:spacing w:afterLines="20" w:after="48"/>
        <w:ind w:right="40"/>
        <w:rPr>
          <w:rFonts w:ascii="Times New Roman" w:hAnsi="Times New Roman" w:cs="Times New Roman"/>
          <w:sz w:val="24"/>
          <w:szCs w:val="24"/>
        </w:rPr>
      </w:pPr>
    </w:p>
    <w:p w14:paraId="5960DA7A" w14:textId="77777777" w:rsidR="001D36D1" w:rsidRDefault="001D36D1" w:rsidP="00666156">
      <w:pPr>
        <w:spacing w:line="276" w:lineRule="auto"/>
        <w:rPr>
          <w:rFonts w:ascii="Times New Roman" w:hAnsi="Times New Roman" w:cs="Times New Roman"/>
          <w:b/>
          <w:sz w:val="24"/>
          <w:szCs w:val="24"/>
        </w:rPr>
      </w:pPr>
    </w:p>
    <w:p w14:paraId="16FC24DE" w14:textId="77777777" w:rsidR="001D36D1" w:rsidRDefault="001D36D1" w:rsidP="00666156">
      <w:pPr>
        <w:spacing w:line="276" w:lineRule="auto"/>
        <w:rPr>
          <w:rFonts w:ascii="Times New Roman" w:hAnsi="Times New Roman" w:cs="Times New Roman"/>
          <w:b/>
          <w:sz w:val="24"/>
          <w:szCs w:val="24"/>
        </w:rPr>
      </w:pPr>
    </w:p>
    <w:p w14:paraId="5A340C19" w14:textId="77777777" w:rsidR="001D36D1" w:rsidRPr="001D36D1" w:rsidRDefault="001D36D1" w:rsidP="001D36D1">
      <w:pPr>
        <w:widowControl w:val="0"/>
        <w:spacing w:afterLines="20" w:after="48"/>
        <w:ind w:right="40"/>
        <w:jc w:val="center"/>
        <w:rPr>
          <w:rFonts w:ascii="Times New Roman" w:hAnsi="Times New Roman" w:cs="Times New Roman"/>
          <w:b/>
          <w:caps/>
          <w:spacing w:val="30"/>
          <w:sz w:val="24"/>
          <w:szCs w:val="24"/>
        </w:rPr>
      </w:pPr>
      <w:r w:rsidRPr="001D36D1">
        <w:rPr>
          <w:rFonts w:ascii="Times New Roman" w:hAnsi="Times New Roman" w:cs="Times New Roman"/>
          <w:b/>
          <w:caps/>
          <w:spacing w:val="30"/>
          <w:sz w:val="24"/>
          <w:szCs w:val="24"/>
        </w:rPr>
        <w:lastRenderedPageBreak/>
        <w:t>Doložka</w:t>
      </w:r>
    </w:p>
    <w:p w14:paraId="19C113A5" w14:textId="77777777" w:rsidR="001D36D1" w:rsidRPr="001D36D1" w:rsidRDefault="001D36D1" w:rsidP="001D36D1">
      <w:pPr>
        <w:pStyle w:val="Standard"/>
        <w:suppressAutoHyphens w:val="0"/>
        <w:spacing w:after="0" w:line="240" w:lineRule="auto"/>
        <w:jc w:val="center"/>
        <w:rPr>
          <w:rFonts w:ascii="Times New Roman" w:hAnsi="Times New Roman" w:cs="Times New Roman"/>
          <w:b/>
          <w:sz w:val="24"/>
          <w:szCs w:val="24"/>
          <w:lang w:eastAsia="en-US"/>
        </w:rPr>
      </w:pPr>
      <w:r w:rsidRPr="001D36D1">
        <w:rPr>
          <w:rFonts w:ascii="Times New Roman" w:hAnsi="Times New Roman" w:cs="Times New Roman"/>
          <w:b/>
          <w:sz w:val="24"/>
          <w:szCs w:val="24"/>
          <w:lang w:eastAsia="en-US"/>
        </w:rPr>
        <w:t>vybraných vplyvov</w:t>
      </w:r>
    </w:p>
    <w:p w14:paraId="1F1B5E63" w14:textId="77777777" w:rsidR="001D36D1" w:rsidRPr="001D36D1" w:rsidRDefault="001D36D1" w:rsidP="001D36D1">
      <w:pPr>
        <w:pStyle w:val="Standard"/>
        <w:suppressAutoHyphens w:val="0"/>
        <w:spacing w:after="0" w:line="240" w:lineRule="auto"/>
        <w:rPr>
          <w:rFonts w:ascii="Times New Roman" w:hAnsi="Times New Roman" w:cs="Times New Roman"/>
          <w:b/>
          <w:sz w:val="24"/>
          <w:szCs w:val="24"/>
          <w:lang w:eastAsia="en-US"/>
        </w:rPr>
      </w:pPr>
    </w:p>
    <w:p w14:paraId="7800AD57" w14:textId="77777777" w:rsidR="001D36D1" w:rsidRPr="001D36D1" w:rsidRDefault="001D36D1" w:rsidP="001D36D1">
      <w:pPr>
        <w:pStyle w:val="Standard"/>
        <w:suppressAutoHyphens w:val="0"/>
        <w:spacing w:after="0" w:line="240" w:lineRule="auto"/>
        <w:rPr>
          <w:rFonts w:ascii="Times New Roman" w:hAnsi="Times New Roman" w:cs="Times New Roman"/>
          <w:b/>
          <w:sz w:val="24"/>
          <w:szCs w:val="24"/>
          <w:lang w:eastAsia="en-US"/>
        </w:rPr>
      </w:pPr>
      <w:r w:rsidRPr="001D36D1">
        <w:rPr>
          <w:rFonts w:ascii="Times New Roman" w:hAnsi="Times New Roman" w:cs="Times New Roman"/>
          <w:b/>
          <w:sz w:val="24"/>
          <w:szCs w:val="24"/>
          <w:lang w:eastAsia="en-US"/>
        </w:rPr>
        <w:t>A.1. Názov materiálu:</w:t>
      </w:r>
    </w:p>
    <w:p w14:paraId="4D06D758" w14:textId="77777777" w:rsidR="001D36D1" w:rsidRPr="001D36D1" w:rsidRDefault="001D36D1" w:rsidP="001D36D1">
      <w:pPr>
        <w:pStyle w:val="Standard"/>
        <w:suppressAutoHyphens w:val="0"/>
        <w:spacing w:after="0" w:line="240" w:lineRule="auto"/>
        <w:jc w:val="both"/>
        <w:rPr>
          <w:rFonts w:ascii="Times New Roman" w:hAnsi="Times New Roman" w:cs="Times New Roman"/>
          <w:sz w:val="24"/>
          <w:szCs w:val="24"/>
          <w:lang w:eastAsia="en-US"/>
        </w:rPr>
      </w:pPr>
      <w:r w:rsidRPr="001D36D1">
        <w:rPr>
          <w:rFonts w:ascii="Times New Roman" w:hAnsi="Times New Roman" w:cs="Times New Roman"/>
          <w:sz w:val="24"/>
          <w:szCs w:val="24"/>
        </w:rPr>
        <w:t>Návrh zákona, ktorým sa dopĺňa zákon Slovenskej národnej rady č. 369/1990 Zb. o obecnom zriadení v znení neskorších predpisov a ktorým sa dopĺňa zákon Národnej rady Slovenskej republiky č. 162/1995 Z. z. o katastri nehnuteľností a o zápise vlastníckych a iných práv k nehnuteľnostiam (katastrálny zákon) v znení neskorších predpisov</w:t>
      </w:r>
    </w:p>
    <w:p w14:paraId="1A8024CF" w14:textId="77777777" w:rsidR="001D36D1" w:rsidRPr="001D36D1" w:rsidRDefault="001D36D1" w:rsidP="001D36D1">
      <w:pPr>
        <w:pStyle w:val="Standard"/>
        <w:suppressAutoHyphens w:val="0"/>
        <w:spacing w:after="0" w:line="240" w:lineRule="auto"/>
        <w:rPr>
          <w:rFonts w:ascii="Times New Roman" w:hAnsi="Times New Roman" w:cs="Times New Roman"/>
          <w:sz w:val="24"/>
          <w:szCs w:val="24"/>
          <w:lang w:eastAsia="en-US"/>
        </w:rPr>
      </w:pPr>
    </w:p>
    <w:p w14:paraId="4110EADF" w14:textId="77777777" w:rsidR="001D36D1" w:rsidRPr="001D36D1" w:rsidRDefault="001D36D1" w:rsidP="001D36D1">
      <w:pPr>
        <w:pStyle w:val="Standard"/>
        <w:suppressAutoHyphens w:val="0"/>
        <w:spacing w:after="0" w:line="240" w:lineRule="auto"/>
        <w:rPr>
          <w:rFonts w:ascii="Times New Roman" w:hAnsi="Times New Roman" w:cs="Times New Roman"/>
          <w:b/>
          <w:bCs/>
          <w:sz w:val="24"/>
          <w:szCs w:val="24"/>
          <w:lang w:eastAsia="en-US"/>
        </w:rPr>
      </w:pPr>
      <w:r w:rsidRPr="001D36D1">
        <w:rPr>
          <w:rFonts w:ascii="Times New Roman" w:hAnsi="Times New Roman" w:cs="Times New Roman"/>
          <w:b/>
          <w:bCs/>
          <w:sz w:val="24"/>
          <w:szCs w:val="24"/>
          <w:lang w:eastAsia="en-US"/>
        </w:rPr>
        <w:t>A.2. Vplyvy</w:t>
      </w:r>
    </w:p>
    <w:tbl>
      <w:tblPr>
        <w:tblStyle w:val="Mriekatabuky"/>
        <w:tblW w:w="0" w:type="auto"/>
        <w:tblLook w:val="04A0" w:firstRow="1" w:lastRow="0" w:firstColumn="1" w:lastColumn="0" w:noHBand="0" w:noVBand="1"/>
      </w:tblPr>
      <w:tblGrid>
        <w:gridCol w:w="5395"/>
        <w:gridCol w:w="1350"/>
        <w:gridCol w:w="990"/>
        <w:gridCol w:w="1285"/>
      </w:tblGrid>
      <w:tr w:rsidR="001D36D1" w:rsidRPr="001D36D1" w14:paraId="73C9E776" w14:textId="77777777" w:rsidTr="00D3609D">
        <w:tc>
          <w:tcPr>
            <w:tcW w:w="5395" w:type="dxa"/>
          </w:tcPr>
          <w:p w14:paraId="410F4667" w14:textId="77777777" w:rsidR="001D36D1" w:rsidRPr="001D36D1" w:rsidRDefault="001D36D1" w:rsidP="00D3609D">
            <w:pPr>
              <w:pStyle w:val="Standard"/>
              <w:suppressAutoHyphens w:val="0"/>
              <w:spacing w:after="0" w:line="240" w:lineRule="auto"/>
              <w:rPr>
                <w:rFonts w:ascii="Times New Roman" w:hAnsi="Times New Roman" w:cs="Times New Roman"/>
                <w:lang w:val="sk-SK" w:eastAsia="en-US"/>
              </w:rPr>
            </w:pPr>
          </w:p>
        </w:tc>
        <w:tc>
          <w:tcPr>
            <w:tcW w:w="1350" w:type="dxa"/>
          </w:tcPr>
          <w:p w14:paraId="020CABA6" w14:textId="77777777" w:rsidR="001D36D1" w:rsidRPr="001D36D1" w:rsidRDefault="001D36D1" w:rsidP="00D3609D">
            <w:pPr>
              <w:pStyle w:val="Standard"/>
              <w:suppressAutoHyphens w:val="0"/>
              <w:spacing w:after="0" w:line="240" w:lineRule="auto"/>
              <w:jc w:val="center"/>
              <w:rPr>
                <w:rFonts w:ascii="Times New Roman" w:hAnsi="Times New Roman" w:cs="Times New Roman"/>
                <w:lang w:val="sk-SK" w:eastAsia="en-US"/>
              </w:rPr>
            </w:pPr>
            <w:r w:rsidRPr="001D36D1">
              <w:rPr>
                <w:rFonts w:ascii="Times New Roman" w:hAnsi="Times New Roman" w:cs="Times New Roman"/>
                <w:lang w:val="sk-SK" w:eastAsia="en-US"/>
              </w:rPr>
              <w:t>Pozitívne</w:t>
            </w:r>
          </w:p>
        </w:tc>
        <w:tc>
          <w:tcPr>
            <w:tcW w:w="990" w:type="dxa"/>
          </w:tcPr>
          <w:p w14:paraId="3B21A4B2" w14:textId="77777777" w:rsidR="001D36D1" w:rsidRPr="001D36D1" w:rsidRDefault="001D36D1" w:rsidP="00D3609D">
            <w:pPr>
              <w:pStyle w:val="Standard"/>
              <w:suppressAutoHyphens w:val="0"/>
              <w:spacing w:after="0" w:line="240" w:lineRule="auto"/>
              <w:jc w:val="center"/>
              <w:rPr>
                <w:rFonts w:ascii="Times New Roman" w:hAnsi="Times New Roman" w:cs="Times New Roman"/>
                <w:lang w:val="sk-SK" w:eastAsia="en-US"/>
              </w:rPr>
            </w:pPr>
            <w:r w:rsidRPr="001D36D1">
              <w:rPr>
                <w:rFonts w:ascii="Times New Roman" w:hAnsi="Times New Roman" w:cs="Times New Roman"/>
                <w:lang w:val="sk-SK" w:eastAsia="en-US"/>
              </w:rPr>
              <w:t>Žiadne</w:t>
            </w:r>
          </w:p>
        </w:tc>
        <w:tc>
          <w:tcPr>
            <w:tcW w:w="1285" w:type="dxa"/>
          </w:tcPr>
          <w:p w14:paraId="14B80CA6" w14:textId="77777777" w:rsidR="001D36D1" w:rsidRPr="001D36D1" w:rsidRDefault="001D36D1" w:rsidP="00D3609D">
            <w:pPr>
              <w:pStyle w:val="Standard"/>
              <w:suppressAutoHyphens w:val="0"/>
              <w:spacing w:after="0" w:line="240" w:lineRule="auto"/>
              <w:jc w:val="center"/>
              <w:rPr>
                <w:rFonts w:ascii="Times New Roman" w:hAnsi="Times New Roman" w:cs="Times New Roman"/>
                <w:lang w:val="sk-SK" w:eastAsia="en-US"/>
              </w:rPr>
            </w:pPr>
            <w:r w:rsidRPr="001D36D1">
              <w:rPr>
                <w:rFonts w:ascii="Times New Roman" w:hAnsi="Times New Roman" w:cs="Times New Roman"/>
                <w:lang w:val="sk-SK" w:eastAsia="en-US"/>
              </w:rPr>
              <w:t>Negatívne</w:t>
            </w:r>
          </w:p>
        </w:tc>
      </w:tr>
      <w:tr w:rsidR="001D36D1" w:rsidRPr="001D36D1" w14:paraId="3C4B1ED3" w14:textId="77777777" w:rsidTr="00D3609D">
        <w:tc>
          <w:tcPr>
            <w:tcW w:w="5395" w:type="dxa"/>
          </w:tcPr>
          <w:p w14:paraId="23C18BAF" w14:textId="77777777" w:rsidR="001D36D1" w:rsidRPr="001D36D1" w:rsidRDefault="001D36D1" w:rsidP="001D36D1">
            <w:pPr>
              <w:pStyle w:val="Standard"/>
              <w:numPr>
                <w:ilvl w:val="0"/>
                <w:numId w:val="3"/>
              </w:numPr>
              <w:suppressAutoHyphens w:val="0"/>
              <w:spacing w:after="0" w:line="240" w:lineRule="auto"/>
              <w:ind w:left="342"/>
              <w:jc w:val="both"/>
              <w:rPr>
                <w:rFonts w:ascii="Times New Roman" w:hAnsi="Times New Roman" w:cs="Times New Roman"/>
                <w:lang w:val="sk-SK" w:eastAsia="en-US"/>
              </w:rPr>
            </w:pPr>
            <w:r w:rsidRPr="001D36D1">
              <w:rPr>
                <w:rFonts w:ascii="Times New Roman" w:hAnsi="Times New Roman" w:cs="Times New Roman"/>
                <w:lang w:val="sk-SK" w:eastAsia="en-US"/>
              </w:rPr>
              <w:t>Vplyvy na rozpočet verejnej správy</w:t>
            </w:r>
          </w:p>
        </w:tc>
        <w:tc>
          <w:tcPr>
            <w:tcW w:w="1350" w:type="dxa"/>
          </w:tcPr>
          <w:p w14:paraId="53188F1E" w14:textId="77777777" w:rsidR="001D36D1" w:rsidRPr="001D36D1" w:rsidRDefault="001D36D1" w:rsidP="00D3609D">
            <w:pPr>
              <w:pStyle w:val="Standard"/>
              <w:suppressAutoHyphens w:val="0"/>
              <w:spacing w:after="0" w:line="240" w:lineRule="auto"/>
              <w:jc w:val="center"/>
              <w:rPr>
                <w:rFonts w:ascii="Times New Roman" w:hAnsi="Times New Roman" w:cs="Times New Roman"/>
                <w:lang w:val="sk-SK" w:eastAsia="en-US"/>
              </w:rPr>
            </w:pPr>
          </w:p>
        </w:tc>
        <w:tc>
          <w:tcPr>
            <w:tcW w:w="990" w:type="dxa"/>
          </w:tcPr>
          <w:p w14:paraId="703743DE" w14:textId="77777777" w:rsidR="001D36D1" w:rsidRPr="001D36D1" w:rsidRDefault="001D36D1" w:rsidP="00D3609D">
            <w:pPr>
              <w:pStyle w:val="Standard"/>
              <w:suppressAutoHyphens w:val="0"/>
              <w:spacing w:after="0" w:line="240" w:lineRule="auto"/>
              <w:jc w:val="center"/>
              <w:rPr>
                <w:rFonts w:ascii="Times New Roman" w:hAnsi="Times New Roman" w:cs="Times New Roman"/>
                <w:lang w:val="sk-SK" w:eastAsia="en-US"/>
              </w:rPr>
            </w:pPr>
            <w:r w:rsidRPr="001D36D1">
              <w:rPr>
                <w:rFonts w:ascii="Times New Roman" w:hAnsi="Times New Roman" w:cs="Times New Roman"/>
                <w:lang w:val="sk-SK" w:eastAsia="en-US"/>
              </w:rPr>
              <w:t>x</w:t>
            </w:r>
          </w:p>
        </w:tc>
        <w:tc>
          <w:tcPr>
            <w:tcW w:w="1285" w:type="dxa"/>
          </w:tcPr>
          <w:p w14:paraId="133390EA" w14:textId="77777777" w:rsidR="001D36D1" w:rsidRPr="001D36D1" w:rsidRDefault="001D36D1" w:rsidP="00D3609D">
            <w:pPr>
              <w:pStyle w:val="Standard"/>
              <w:suppressAutoHyphens w:val="0"/>
              <w:spacing w:after="0" w:line="240" w:lineRule="auto"/>
              <w:jc w:val="center"/>
              <w:rPr>
                <w:rFonts w:ascii="Times New Roman" w:hAnsi="Times New Roman" w:cs="Times New Roman"/>
                <w:lang w:val="sk-SK" w:eastAsia="en-US"/>
              </w:rPr>
            </w:pPr>
          </w:p>
        </w:tc>
      </w:tr>
      <w:tr w:rsidR="001D36D1" w:rsidRPr="001D36D1" w14:paraId="41510CE4" w14:textId="77777777" w:rsidTr="00D3609D">
        <w:tc>
          <w:tcPr>
            <w:tcW w:w="5395" w:type="dxa"/>
          </w:tcPr>
          <w:p w14:paraId="28EA58E0" w14:textId="77777777" w:rsidR="001D36D1" w:rsidRPr="001D36D1" w:rsidRDefault="001D36D1" w:rsidP="001D36D1">
            <w:pPr>
              <w:pStyle w:val="Standard"/>
              <w:numPr>
                <w:ilvl w:val="0"/>
                <w:numId w:val="3"/>
              </w:numPr>
              <w:suppressAutoHyphens w:val="0"/>
              <w:spacing w:after="0" w:line="240" w:lineRule="auto"/>
              <w:ind w:left="342"/>
              <w:jc w:val="both"/>
              <w:rPr>
                <w:rFonts w:ascii="Times New Roman" w:hAnsi="Times New Roman" w:cs="Times New Roman"/>
                <w:lang w:val="sk-SK" w:eastAsia="en-US"/>
              </w:rPr>
            </w:pPr>
            <w:r w:rsidRPr="001D36D1">
              <w:rPr>
                <w:rFonts w:ascii="Times New Roman" w:hAnsi="Times New Roman" w:cs="Times New Roman"/>
                <w:lang w:val="sk-SK" w:eastAsia="en-US"/>
              </w:rPr>
              <w:t>Vplyvy na podnikateľské prostredie – dochádza k zvýšeniu regulačného zaťaženia?</w:t>
            </w:r>
          </w:p>
        </w:tc>
        <w:tc>
          <w:tcPr>
            <w:tcW w:w="1350" w:type="dxa"/>
          </w:tcPr>
          <w:p w14:paraId="41604325" w14:textId="77777777" w:rsidR="001D36D1" w:rsidRPr="001D36D1" w:rsidRDefault="001D36D1" w:rsidP="00D3609D">
            <w:pPr>
              <w:pStyle w:val="Standard"/>
              <w:suppressAutoHyphens w:val="0"/>
              <w:spacing w:after="0" w:line="240" w:lineRule="auto"/>
              <w:jc w:val="center"/>
              <w:rPr>
                <w:rFonts w:ascii="Times New Roman" w:hAnsi="Times New Roman" w:cs="Times New Roman"/>
                <w:lang w:val="sk-SK" w:eastAsia="en-US"/>
              </w:rPr>
            </w:pPr>
          </w:p>
        </w:tc>
        <w:tc>
          <w:tcPr>
            <w:tcW w:w="990" w:type="dxa"/>
          </w:tcPr>
          <w:p w14:paraId="24FCBE01" w14:textId="77777777" w:rsidR="001D36D1" w:rsidRPr="001D36D1" w:rsidRDefault="001D36D1" w:rsidP="00D3609D">
            <w:pPr>
              <w:pStyle w:val="Standard"/>
              <w:suppressAutoHyphens w:val="0"/>
              <w:spacing w:after="0" w:line="240" w:lineRule="auto"/>
              <w:jc w:val="center"/>
              <w:rPr>
                <w:rFonts w:ascii="Times New Roman" w:hAnsi="Times New Roman" w:cs="Times New Roman"/>
                <w:lang w:val="sk-SK" w:eastAsia="en-US"/>
              </w:rPr>
            </w:pPr>
            <w:r w:rsidRPr="001D36D1">
              <w:rPr>
                <w:rFonts w:ascii="Times New Roman" w:hAnsi="Times New Roman" w:cs="Times New Roman"/>
                <w:lang w:val="sk-SK" w:eastAsia="en-US"/>
              </w:rPr>
              <w:t>x</w:t>
            </w:r>
          </w:p>
        </w:tc>
        <w:tc>
          <w:tcPr>
            <w:tcW w:w="1285" w:type="dxa"/>
          </w:tcPr>
          <w:p w14:paraId="0F1204DB" w14:textId="77777777" w:rsidR="001D36D1" w:rsidRPr="001D36D1" w:rsidRDefault="001D36D1" w:rsidP="00D3609D">
            <w:pPr>
              <w:pStyle w:val="Standard"/>
              <w:suppressAutoHyphens w:val="0"/>
              <w:spacing w:after="0" w:line="240" w:lineRule="auto"/>
              <w:jc w:val="center"/>
              <w:rPr>
                <w:rFonts w:ascii="Times New Roman" w:hAnsi="Times New Roman" w:cs="Times New Roman"/>
                <w:lang w:val="sk-SK" w:eastAsia="en-US"/>
              </w:rPr>
            </w:pPr>
          </w:p>
        </w:tc>
      </w:tr>
      <w:tr w:rsidR="001D36D1" w:rsidRPr="001D36D1" w14:paraId="4B2E608B" w14:textId="77777777" w:rsidTr="00D3609D">
        <w:tc>
          <w:tcPr>
            <w:tcW w:w="5395" w:type="dxa"/>
          </w:tcPr>
          <w:p w14:paraId="5D685DAB" w14:textId="77777777" w:rsidR="001D36D1" w:rsidRPr="001D36D1" w:rsidRDefault="001D36D1" w:rsidP="001D36D1">
            <w:pPr>
              <w:pStyle w:val="Standard"/>
              <w:numPr>
                <w:ilvl w:val="0"/>
                <w:numId w:val="3"/>
              </w:numPr>
              <w:suppressAutoHyphens w:val="0"/>
              <w:spacing w:after="0" w:line="240" w:lineRule="auto"/>
              <w:ind w:left="342"/>
              <w:jc w:val="both"/>
              <w:rPr>
                <w:rFonts w:ascii="Times New Roman" w:hAnsi="Times New Roman" w:cs="Times New Roman"/>
                <w:lang w:val="sk-SK" w:eastAsia="en-US"/>
              </w:rPr>
            </w:pPr>
            <w:r w:rsidRPr="001D36D1">
              <w:rPr>
                <w:rFonts w:ascii="Times New Roman" w:hAnsi="Times New Roman" w:cs="Times New Roman"/>
                <w:lang w:val="sk-SK" w:eastAsia="en-US"/>
              </w:rPr>
              <w:t>Sociálne vplyvy</w:t>
            </w:r>
          </w:p>
        </w:tc>
        <w:tc>
          <w:tcPr>
            <w:tcW w:w="1350" w:type="dxa"/>
          </w:tcPr>
          <w:p w14:paraId="07DE56F8" w14:textId="77777777" w:rsidR="001D36D1" w:rsidRPr="001D36D1" w:rsidRDefault="001D36D1" w:rsidP="00D3609D">
            <w:pPr>
              <w:pStyle w:val="Standard"/>
              <w:suppressAutoHyphens w:val="0"/>
              <w:spacing w:after="0" w:line="240" w:lineRule="auto"/>
              <w:jc w:val="center"/>
              <w:rPr>
                <w:rFonts w:ascii="Times New Roman" w:hAnsi="Times New Roman" w:cs="Times New Roman"/>
                <w:lang w:val="sk-SK" w:eastAsia="en-US"/>
              </w:rPr>
            </w:pPr>
          </w:p>
        </w:tc>
        <w:tc>
          <w:tcPr>
            <w:tcW w:w="990" w:type="dxa"/>
          </w:tcPr>
          <w:p w14:paraId="77BB2682" w14:textId="77777777" w:rsidR="001D36D1" w:rsidRPr="001D36D1" w:rsidRDefault="001D36D1" w:rsidP="00D3609D">
            <w:pPr>
              <w:pStyle w:val="Standard"/>
              <w:suppressAutoHyphens w:val="0"/>
              <w:spacing w:after="0" w:line="240" w:lineRule="auto"/>
              <w:jc w:val="center"/>
              <w:rPr>
                <w:rFonts w:ascii="Times New Roman" w:hAnsi="Times New Roman" w:cs="Times New Roman"/>
                <w:lang w:val="sk-SK" w:eastAsia="en-US"/>
              </w:rPr>
            </w:pPr>
            <w:r w:rsidRPr="001D36D1">
              <w:rPr>
                <w:rFonts w:ascii="Times New Roman" w:hAnsi="Times New Roman" w:cs="Times New Roman"/>
                <w:lang w:val="sk-SK" w:eastAsia="en-US"/>
              </w:rPr>
              <w:t>x</w:t>
            </w:r>
          </w:p>
        </w:tc>
        <w:tc>
          <w:tcPr>
            <w:tcW w:w="1285" w:type="dxa"/>
          </w:tcPr>
          <w:p w14:paraId="61C12ED4" w14:textId="77777777" w:rsidR="001D36D1" w:rsidRPr="001D36D1" w:rsidRDefault="001D36D1" w:rsidP="00D3609D">
            <w:pPr>
              <w:pStyle w:val="Standard"/>
              <w:suppressAutoHyphens w:val="0"/>
              <w:spacing w:after="0" w:line="240" w:lineRule="auto"/>
              <w:jc w:val="center"/>
              <w:rPr>
                <w:rFonts w:ascii="Times New Roman" w:hAnsi="Times New Roman" w:cs="Times New Roman"/>
                <w:lang w:val="sk-SK" w:eastAsia="en-US"/>
              </w:rPr>
            </w:pPr>
          </w:p>
        </w:tc>
      </w:tr>
      <w:tr w:rsidR="001D36D1" w:rsidRPr="001D36D1" w14:paraId="63BC1D27" w14:textId="77777777" w:rsidTr="00D3609D">
        <w:tc>
          <w:tcPr>
            <w:tcW w:w="5395" w:type="dxa"/>
          </w:tcPr>
          <w:p w14:paraId="4D3A930E" w14:textId="77777777" w:rsidR="001D36D1" w:rsidRPr="001D36D1" w:rsidRDefault="001D36D1" w:rsidP="001D36D1">
            <w:pPr>
              <w:pStyle w:val="Standard"/>
              <w:numPr>
                <w:ilvl w:val="0"/>
                <w:numId w:val="4"/>
              </w:numPr>
              <w:suppressAutoHyphens w:val="0"/>
              <w:spacing w:after="0" w:line="240" w:lineRule="auto"/>
              <w:jc w:val="both"/>
              <w:rPr>
                <w:rFonts w:ascii="Times New Roman" w:hAnsi="Times New Roman" w:cs="Times New Roman"/>
                <w:lang w:val="sk-SK" w:eastAsia="en-US"/>
              </w:rPr>
            </w:pPr>
            <w:r w:rsidRPr="001D36D1">
              <w:rPr>
                <w:rFonts w:ascii="Times New Roman" w:hAnsi="Times New Roman" w:cs="Times New Roman"/>
                <w:lang w:val="sk-SK" w:eastAsia="en-US"/>
              </w:rPr>
              <w:t>vplyvy na hospodárenie obyvateľstva</w:t>
            </w:r>
          </w:p>
        </w:tc>
        <w:tc>
          <w:tcPr>
            <w:tcW w:w="1350" w:type="dxa"/>
          </w:tcPr>
          <w:p w14:paraId="5B2862C4" w14:textId="77777777" w:rsidR="001D36D1" w:rsidRPr="001D36D1" w:rsidRDefault="001D36D1" w:rsidP="00D3609D">
            <w:pPr>
              <w:pStyle w:val="Standard"/>
              <w:suppressAutoHyphens w:val="0"/>
              <w:spacing w:after="0" w:line="240" w:lineRule="auto"/>
              <w:jc w:val="center"/>
              <w:rPr>
                <w:rFonts w:ascii="Times New Roman" w:hAnsi="Times New Roman" w:cs="Times New Roman"/>
                <w:lang w:val="sk-SK" w:eastAsia="en-US"/>
              </w:rPr>
            </w:pPr>
          </w:p>
        </w:tc>
        <w:tc>
          <w:tcPr>
            <w:tcW w:w="990" w:type="dxa"/>
          </w:tcPr>
          <w:p w14:paraId="3761DB83" w14:textId="77777777" w:rsidR="001D36D1" w:rsidRPr="001D36D1" w:rsidRDefault="001D36D1" w:rsidP="00D3609D">
            <w:pPr>
              <w:pStyle w:val="Standard"/>
              <w:suppressAutoHyphens w:val="0"/>
              <w:spacing w:after="0" w:line="240" w:lineRule="auto"/>
              <w:jc w:val="center"/>
              <w:rPr>
                <w:rFonts w:ascii="Times New Roman" w:hAnsi="Times New Roman" w:cs="Times New Roman"/>
                <w:lang w:val="sk-SK" w:eastAsia="en-US"/>
              </w:rPr>
            </w:pPr>
            <w:r w:rsidRPr="001D36D1">
              <w:rPr>
                <w:rFonts w:ascii="Times New Roman" w:hAnsi="Times New Roman" w:cs="Times New Roman"/>
                <w:lang w:val="sk-SK" w:eastAsia="en-US"/>
              </w:rPr>
              <w:t>x</w:t>
            </w:r>
          </w:p>
        </w:tc>
        <w:tc>
          <w:tcPr>
            <w:tcW w:w="1285" w:type="dxa"/>
          </w:tcPr>
          <w:p w14:paraId="402EF00E" w14:textId="77777777" w:rsidR="001D36D1" w:rsidRPr="001D36D1" w:rsidRDefault="001D36D1" w:rsidP="00D3609D">
            <w:pPr>
              <w:pStyle w:val="Standard"/>
              <w:suppressAutoHyphens w:val="0"/>
              <w:spacing w:after="0" w:line="240" w:lineRule="auto"/>
              <w:jc w:val="center"/>
              <w:rPr>
                <w:rFonts w:ascii="Times New Roman" w:hAnsi="Times New Roman" w:cs="Times New Roman"/>
                <w:lang w:val="sk-SK" w:eastAsia="en-US"/>
              </w:rPr>
            </w:pPr>
          </w:p>
        </w:tc>
      </w:tr>
      <w:tr w:rsidR="001D36D1" w:rsidRPr="001D36D1" w14:paraId="7F82369E" w14:textId="77777777" w:rsidTr="00D3609D">
        <w:tc>
          <w:tcPr>
            <w:tcW w:w="5395" w:type="dxa"/>
          </w:tcPr>
          <w:p w14:paraId="42B759BA" w14:textId="77777777" w:rsidR="001D36D1" w:rsidRPr="001D36D1" w:rsidRDefault="001D36D1" w:rsidP="001D36D1">
            <w:pPr>
              <w:pStyle w:val="Standard"/>
              <w:numPr>
                <w:ilvl w:val="0"/>
                <w:numId w:val="4"/>
              </w:numPr>
              <w:suppressAutoHyphens w:val="0"/>
              <w:spacing w:after="0" w:line="240" w:lineRule="auto"/>
              <w:jc w:val="both"/>
              <w:rPr>
                <w:rFonts w:ascii="Times New Roman" w:hAnsi="Times New Roman" w:cs="Times New Roman"/>
                <w:lang w:val="sk-SK" w:eastAsia="en-US"/>
              </w:rPr>
            </w:pPr>
            <w:r w:rsidRPr="001D36D1">
              <w:rPr>
                <w:rFonts w:ascii="Times New Roman" w:hAnsi="Times New Roman" w:cs="Times New Roman"/>
                <w:lang w:val="sk-SK" w:eastAsia="en-US"/>
              </w:rPr>
              <w:t xml:space="preserve">sociálnu </w:t>
            </w:r>
            <w:proofErr w:type="spellStart"/>
            <w:r w:rsidRPr="001D36D1">
              <w:rPr>
                <w:rFonts w:ascii="Times New Roman" w:hAnsi="Times New Roman" w:cs="Times New Roman"/>
                <w:lang w:val="sk-SK" w:eastAsia="en-US"/>
              </w:rPr>
              <w:t>exklúziu</w:t>
            </w:r>
            <w:proofErr w:type="spellEnd"/>
          </w:p>
        </w:tc>
        <w:tc>
          <w:tcPr>
            <w:tcW w:w="1350" w:type="dxa"/>
          </w:tcPr>
          <w:p w14:paraId="0EFA1861" w14:textId="77777777" w:rsidR="001D36D1" w:rsidRPr="001D36D1" w:rsidRDefault="001D36D1" w:rsidP="00D3609D">
            <w:pPr>
              <w:pStyle w:val="Standard"/>
              <w:suppressAutoHyphens w:val="0"/>
              <w:spacing w:after="0" w:line="240" w:lineRule="auto"/>
              <w:jc w:val="center"/>
              <w:rPr>
                <w:rFonts w:ascii="Times New Roman" w:hAnsi="Times New Roman" w:cs="Times New Roman"/>
                <w:lang w:val="sk-SK" w:eastAsia="en-US"/>
              </w:rPr>
            </w:pPr>
          </w:p>
        </w:tc>
        <w:tc>
          <w:tcPr>
            <w:tcW w:w="990" w:type="dxa"/>
          </w:tcPr>
          <w:p w14:paraId="2B85F29E" w14:textId="77777777" w:rsidR="001D36D1" w:rsidRPr="001D36D1" w:rsidRDefault="001D36D1" w:rsidP="00D3609D">
            <w:pPr>
              <w:pStyle w:val="Standard"/>
              <w:suppressAutoHyphens w:val="0"/>
              <w:spacing w:after="0" w:line="240" w:lineRule="auto"/>
              <w:jc w:val="center"/>
              <w:rPr>
                <w:rFonts w:ascii="Times New Roman" w:hAnsi="Times New Roman" w:cs="Times New Roman"/>
                <w:lang w:val="sk-SK" w:eastAsia="en-US"/>
              </w:rPr>
            </w:pPr>
            <w:r w:rsidRPr="001D36D1">
              <w:rPr>
                <w:rFonts w:ascii="Times New Roman" w:hAnsi="Times New Roman" w:cs="Times New Roman"/>
                <w:lang w:val="sk-SK" w:eastAsia="en-US"/>
              </w:rPr>
              <w:t>x</w:t>
            </w:r>
          </w:p>
        </w:tc>
        <w:tc>
          <w:tcPr>
            <w:tcW w:w="1285" w:type="dxa"/>
          </w:tcPr>
          <w:p w14:paraId="4CB965C6" w14:textId="77777777" w:rsidR="001D36D1" w:rsidRPr="001D36D1" w:rsidRDefault="001D36D1" w:rsidP="00D3609D">
            <w:pPr>
              <w:pStyle w:val="Standard"/>
              <w:suppressAutoHyphens w:val="0"/>
              <w:spacing w:after="0" w:line="240" w:lineRule="auto"/>
              <w:jc w:val="center"/>
              <w:rPr>
                <w:rFonts w:ascii="Times New Roman" w:hAnsi="Times New Roman" w:cs="Times New Roman"/>
                <w:lang w:val="sk-SK" w:eastAsia="en-US"/>
              </w:rPr>
            </w:pPr>
          </w:p>
        </w:tc>
      </w:tr>
      <w:tr w:rsidR="001D36D1" w:rsidRPr="001D36D1" w14:paraId="37408F50" w14:textId="77777777" w:rsidTr="00D3609D">
        <w:tc>
          <w:tcPr>
            <w:tcW w:w="5395" w:type="dxa"/>
          </w:tcPr>
          <w:p w14:paraId="4176357F" w14:textId="77777777" w:rsidR="001D36D1" w:rsidRPr="001D36D1" w:rsidRDefault="001D36D1" w:rsidP="001D36D1">
            <w:pPr>
              <w:pStyle w:val="Standard"/>
              <w:numPr>
                <w:ilvl w:val="0"/>
                <w:numId w:val="4"/>
              </w:numPr>
              <w:suppressAutoHyphens w:val="0"/>
              <w:spacing w:after="0" w:line="240" w:lineRule="auto"/>
              <w:jc w:val="both"/>
              <w:rPr>
                <w:rFonts w:ascii="Times New Roman" w:hAnsi="Times New Roman" w:cs="Times New Roman"/>
                <w:lang w:val="sk-SK" w:eastAsia="en-US"/>
              </w:rPr>
            </w:pPr>
            <w:r w:rsidRPr="001D36D1">
              <w:rPr>
                <w:rFonts w:ascii="Times New Roman" w:hAnsi="Times New Roman" w:cs="Times New Roman"/>
                <w:lang w:val="sk-SK" w:eastAsia="en-US"/>
              </w:rPr>
              <w:t>rovnosť príležitostí a rodovú rovnosť a vplyvy na zamestnanosť</w:t>
            </w:r>
          </w:p>
        </w:tc>
        <w:tc>
          <w:tcPr>
            <w:tcW w:w="1350" w:type="dxa"/>
          </w:tcPr>
          <w:p w14:paraId="6EEF2AC4" w14:textId="77777777" w:rsidR="001D36D1" w:rsidRPr="001D36D1" w:rsidRDefault="001D36D1" w:rsidP="00D3609D">
            <w:pPr>
              <w:pStyle w:val="Standard"/>
              <w:suppressAutoHyphens w:val="0"/>
              <w:spacing w:after="0" w:line="240" w:lineRule="auto"/>
              <w:jc w:val="center"/>
              <w:rPr>
                <w:rFonts w:ascii="Times New Roman" w:hAnsi="Times New Roman" w:cs="Times New Roman"/>
                <w:lang w:val="sk-SK" w:eastAsia="en-US"/>
              </w:rPr>
            </w:pPr>
          </w:p>
        </w:tc>
        <w:tc>
          <w:tcPr>
            <w:tcW w:w="990" w:type="dxa"/>
          </w:tcPr>
          <w:p w14:paraId="6848950A" w14:textId="77777777" w:rsidR="001D36D1" w:rsidRPr="001D36D1" w:rsidRDefault="001D36D1" w:rsidP="00D3609D">
            <w:pPr>
              <w:pStyle w:val="Standard"/>
              <w:suppressAutoHyphens w:val="0"/>
              <w:spacing w:after="0" w:line="240" w:lineRule="auto"/>
              <w:jc w:val="center"/>
              <w:rPr>
                <w:rFonts w:ascii="Times New Roman" w:hAnsi="Times New Roman" w:cs="Times New Roman"/>
                <w:lang w:val="sk-SK" w:eastAsia="en-US"/>
              </w:rPr>
            </w:pPr>
            <w:r w:rsidRPr="001D36D1">
              <w:rPr>
                <w:rFonts w:ascii="Times New Roman" w:hAnsi="Times New Roman" w:cs="Times New Roman"/>
                <w:lang w:val="sk-SK" w:eastAsia="en-US"/>
              </w:rPr>
              <w:t>x</w:t>
            </w:r>
          </w:p>
        </w:tc>
        <w:tc>
          <w:tcPr>
            <w:tcW w:w="1285" w:type="dxa"/>
          </w:tcPr>
          <w:p w14:paraId="438A99F1" w14:textId="77777777" w:rsidR="001D36D1" w:rsidRPr="001D36D1" w:rsidRDefault="001D36D1" w:rsidP="00D3609D">
            <w:pPr>
              <w:pStyle w:val="Standard"/>
              <w:suppressAutoHyphens w:val="0"/>
              <w:spacing w:after="0" w:line="240" w:lineRule="auto"/>
              <w:jc w:val="center"/>
              <w:rPr>
                <w:rFonts w:ascii="Times New Roman" w:hAnsi="Times New Roman" w:cs="Times New Roman"/>
                <w:lang w:val="sk-SK" w:eastAsia="en-US"/>
              </w:rPr>
            </w:pPr>
          </w:p>
        </w:tc>
      </w:tr>
      <w:tr w:rsidR="001D36D1" w:rsidRPr="001D36D1" w14:paraId="42C38EEF" w14:textId="77777777" w:rsidTr="00D3609D">
        <w:tc>
          <w:tcPr>
            <w:tcW w:w="5395" w:type="dxa"/>
          </w:tcPr>
          <w:p w14:paraId="42C6C4F5" w14:textId="77777777" w:rsidR="001D36D1" w:rsidRPr="001D36D1" w:rsidRDefault="001D36D1" w:rsidP="001D36D1">
            <w:pPr>
              <w:pStyle w:val="Standard"/>
              <w:numPr>
                <w:ilvl w:val="0"/>
                <w:numId w:val="3"/>
              </w:numPr>
              <w:suppressAutoHyphens w:val="0"/>
              <w:spacing w:after="0" w:line="240" w:lineRule="auto"/>
              <w:ind w:left="342"/>
              <w:jc w:val="both"/>
              <w:rPr>
                <w:rFonts w:ascii="Times New Roman" w:hAnsi="Times New Roman" w:cs="Times New Roman"/>
                <w:lang w:val="sk-SK" w:eastAsia="en-US"/>
              </w:rPr>
            </w:pPr>
            <w:r w:rsidRPr="001D36D1">
              <w:rPr>
                <w:rFonts w:ascii="Times New Roman" w:hAnsi="Times New Roman" w:cs="Times New Roman"/>
                <w:lang w:val="sk-SK" w:eastAsia="en-US"/>
              </w:rPr>
              <w:t>Vplyvy na životné prostredie</w:t>
            </w:r>
          </w:p>
        </w:tc>
        <w:tc>
          <w:tcPr>
            <w:tcW w:w="1350" w:type="dxa"/>
          </w:tcPr>
          <w:p w14:paraId="5E7EBD20" w14:textId="77777777" w:rsidR="001D36D1" w:rsidRPr="001D36D1" w:rsidRDefault="001D36D1" w:rsidP="00D3609D">
            <w:pPr>
              <w:pStyle w:val="Standard"/>
              <w:suppressAutoHyphens w:val="0"/>
              <w:spacing w:after="0" w:line="240" w:lineRule="auto"/>
              <w:jc w:val="center"/>
              <w:rPr>
                <w:rFonts w:ascii="Times New Roman" w:hAnsi="Times New Roman" w:cs="Times New Roman"/>
                <w:lang w:val="sk-SK" w:eastAsia="en-US"/>
              </w:rPr>
            </w:pPr>
          </w:p>
        </w:tc>
        <w:tc>
          <w:tcPr>
            <w:tcW w:w="990" w:type="dxa"/>
          </w:tcPr>
          <w:p w14:paraId="3F2A5176" w14:textId="77777777" w:rsidR="001D36D1" w:rsidRPr="001D36D1" w:rsidRDefault="001D36D1" w:rsidP="00D3609D">
            <w:pPr>
              <w:pStyle w:val="Standard"/>
              <w:suppressAutoHyphens w:val="0"/>
              <w:spacing w:after="0" w:line="240" w:lineRule="auto"/>
              <w:jc w:val="center"/>
              <w:rPr>
                <w:rFonts w:ascii="Times New Roman" w:hAnsi="Times New Roman" w:cs="Times New Roman"/>
                <w:lang w:val="sk-SK" w:eastAsia="en-US"/>
              </w:rPr>
            </w:pPr>
            <w:r w:rsidRPr="001D36D1">
              <w:rPr>
                <w:rFonts w:ascii="Times New Roman" w:hAnsi="Times New Roman" w:cs="Times New Roman"/>
                <w:lang w:val="sk-SK" w:eastAsia="en-US"/>
              </w:rPr>
              <w:t>x</w:t>
            </w:r>
          </w:p>
        </w:tc>
        <w:tc>
          <w:tcPr>
            <w:tcW w:w="1285" w:type="dxa"/>
          </w:tcPr>
          <w:p w14:paraId="5583F7BA" w14:textId="77777777" w:rsidR="001D36D1" w:rsidRPr="001D36D1" w:rsidRDefault="001D36D1" w:rsidP="00D3609D">
            <w:pPr>
              <w:pStyle w:val="Standard"/>
              <w:suppressAutoHyphens w:val="0"/>
              <w:spacing w:after="0" w:line="240" w:lineRule="auto"/>
              <w:jc w:val="center"/>
              <w:rPr>
                <w:rFonts w:ascii="Times New Roman" w:hAnsi="Times New Roman" w:cs="Times New Roman"/>
                <w:lang w:val="sk-SK" w:eastAsia="en-US"/>
              </w:rPr>
            </w:pPr>
          </w:p>
        </w:tc>
      </w:tr>
      <w:tr w:rsidR="001D36D1" w:rsidRPr="001D36D1" w14:paraId="1B981AD6" w14:textId="77777777" w:rsidTr="00D3609D">
        <w:tc>
          <w:tcPr>
            <w:tcW w:w="5395" w:type="dxa"/>
          </w:tcPr>
          <w:p w14:paraId="634F4408" w14:textId="77777777" w:rsidR="001D36D1" w:rsidRPr="001D36D1" w:rsidRDefault="001D36D1" w:rsidP="001D36D1">
            <w:pPr>
              <w:pStyle w:val="Standard"/>
              <w:numPr>
                <w:ilvl w:val="0"/>
                <w:numId w:val="3"/>
              </w:numPr>
              <w:suppressAutoHyphens w:val="0"/>
              <w:spacing w:after="0" w:line="240" w:lineRule="auto"/>
              <w:ind w:left="342"/>
              <w:jc w:val="both"/>
              <w:rPr>
                <w:rFonts w:ascii="Times New Roman" w:hAnsi="Times New Roman" w:cs="Times New Roman"/>
                <w:lang w:val="sk-SK" w:eastAsia="en-US"/>
              </w:rPr>
            </w:pPr>
            <w:r w:rsidRPr="001D36D1">
              <w:rPr>
                <w:rFonts w:ascii="Times New Roman" w:hAnsi="Times New Roman" w:cs="Times New Roman"/>
                <w:lang w:val="sk-SK" w:eastAsia="en-US"/>
              </w:rPr>
              <w:t>Vplyvy na informatizáciu spoločnosti</w:t>
            </w:r>
          </w:p>
        </w:tc>
        <w:tc>
          <w:tcPr>
            <w:tcW w:w="1350" w:type="dxa"/>
          </w:tcPr>
          <w:p w14:paraId="72F1E59B" w14:textId="77777777" w:rsidR="001D36D1" w:rsidRPr="001D36D1" w:rsidRDefault="001D36D1" w:rsidP="00D3609D">
            <w:pPr>
              <w:pStyle w:val="Standard"/>
              <w:suppressAutoHyphens w:val="0"/>
              <w:spacing w:after="0" w:line="240" w:lineRule="auto"/>
              <w:jc w:val="center"/>
              <w:rPr>
                <w:rFonts w:ascii="Times New Roman" w:hAnsi="Times New Roman" w:cs="Times New Roman"/>
                <w:lang w:val="sk-SK" w:eastAsia="en-US"/>
              </w:rPr>
            </w:pPr>
          </w:p>
        </w:tc>
        <w:tc>
          <w:tcPr>
            <w:tcW w:w="990" w:type="dxa"/>
          </w:tcPr>
          <w:p w14:paraId="4502716E" w14:textId="77777777" w:rsidR="001D36D1" w:rsidRPr="001D36D1" w:rsidRDefault="001D36D1" w:rsidP="00D3609D">
            <w:pPr>
              <w:pStyle w:val="Standard"/>
              <w:suppressAutoHyphens w:val="0"/>
              <w:spacing w:after="0" w:line="240" w:lineRule="auto"/>
              <w:jc w:val="center"/>
              <w:rPr>
                <w:rFonts w:ascii="Times New Roman" w:hAnsi="Times New Roman" w:cs="Times New Roman"/>
                <w:lang w:val="sk-SK" w:eastAsia="en-US"/>
              </w:rPr>
            </w:pPr>
            <w:r w:rsidRPr="001D36D1">
              <w:rPr>
                <w:rFonts w:ascii="Times New Roman" w:hAnsi="Times New Roman" w:cs="Times New Roman"/>
                <w:lang w:val="sk-SK" w:eastAsia="en-US"/>
              </w:rPr>
              <w:t>x</w:t>
            </w:r>
          </w:p>
        </w:tc>
        <w:tc>
          <w:tcPr>
            <w:tcW w:w="1285" w:type="dxa"/>
          </w:tcPr>
          <w:p w14:paraId="09C66833" w14:textId="77777777" w:rsidR="001D36D1" w:rsidRPr="001D36D1" w:rsidRDefault="001D36D1" w:rsidP="00D3609D">
            <w:pPr>
              <w:pStyle w:val="Standard"/>
              <w:suppressAutoHyphens w:val="0"/>
              <w:spacing w:after="0" w:line="240" w:lineRule="auto"/>
              <w:jc w:val="center"/>
              <w:rPr>
                <w:rFonts w:ascii="Times New Roman" w:hAnsi="Times New Roman" w:cs="Times New Roman"/>
                <w:lang w:val="sk-SK" w:eastAsia="en-US"/>
              </w:rPr>
            </w:pPr>
          </w:p>
        </w:tc>
      </w:tr>
    </w:tbl>
    <w:p w14:paraId="354A40F6" w14:textId="77777777" w:rsidR="001D36D1" w:rsidRPr="001D36D1" w:rsidRDefault="001D36D1" w:rsidP="001D36D1">
      <w:pPr>
        <w:pStyle w:val="Standard"/>
        <w:suppressAutoHyphens w:val="0"/>
        <w:spacing w:after="0" w:line="240" w:lineRule="auto"/>
        <w:rPr>
          <w:rFonts w:ascii="Times New Roman" w:hAnsi="Times New Roman" w:cs="Times New Roman"/>
          <w:sz w:val="24"/>
          <w:szCs w:val="24"/>
          <w:lang w:eastAsia="en-US"/>
        </w:rPr>
      </w:pPr>
    </w:p>
    <w:p w14:paraId="7CAAE033" w14:textId="77777777" w:rsidR="001D36D1" w:rsidRPr="001D36D1" w:rsidRDefault="001D36D1" w:rsidP="001D36D1">
      <w:pPr>
        <w:pStyle w:val="Standard"/>
        <w:suppressAutoHyphens w:val="0"/>
        <w:spacing w:after="0" w:line="240" w:lineRule="auto"/>
        <w:rPr>
          <w:rFonts w:ascii="Times New Roman" w:hAnsi="Times New Roman" w:cs="Times New Roman"/>
          <w:b/>
          <w:bCs/>
          <w:sz w:val="24"/>
          <w:szCs w:val="24"/>
          <w:lang w:eastAsia="en-US"/>
        </w:rPr>
      </w:pPr>
      <w:r w:rsidRPr="001D36D1">
        <w:rPr>
          <w:rFonts w:ascii="Times New Roman" w:hAnsi="Times New Roman" w:cs="Times New Roman"/>
          <w:b/>
          <w:bCs/>
          <w:sz w:val="24"/>
          <w:szCs w:val="24"/>
          <w:lang w:eastAsia="en-US"/>
        </w:rPr>
        <w:t>A.3. Poznámky</w:t>
      </w:r>
    </w:p>
    <w:p w14:paraId="426805A1" w14:textId="77777777" w:rsidR="001D36D1" w:rsidRPr="001D36D1" w:rsidRDefault="001D36D1" w:rsidP="001D36D1">
      <w:pPr>
        <w:pStyle w:val="Standard"/>
        <w:suppressAutoHyphens w:val="0"/>
        <w:spacing w:after="0" w:line="240" w:lineRule="auto"/>
        <w:rPr>
          <w:rFonts w:ascii="Times New Roman" w:hAnsi="Times New Roman" w:cs="Times New Roman"/>
          <w:sz w:val="24"/>
          <w:szCs w:val="24"/>
        </w:rPr>
      </w:pPr>
    </w:p>
    <w:p w14:paraId="2BACCA21" w14:textId="77777777" w:rsidR="001D36D1" w:rsidRPr="001D36D1" w:rsidRDefault="001D36D1" w:rsidP="001D36D1">
      <w:pPr>
        <w:pStyle w:val="Standard"/>
        <w:suppressAutoHyphens w:val="0"/>
        <w:spacing w:after="0" w:line="240" w:lineRule="auto"/>
        <w:rPr>
          <w:rFonts w:ascii="Times New Roman" w:hAnsi="Times New Roman" w:cs="Times New Roman"/>
          <w:b/>
          <w:bCs/>
          <w:sz w:val="24"/>
          <w:szCs w:val="24"/>
          <w:lang w:eastAsia="en-US"/>
        </w:rPr>
      </w:pPr>
      <w:r w:rsidRPr="001D36D1">
        <w:rPr>
          <w:rFonts w:ascii="Times New Roman" w:hAnsi="Times New Roman" w:cs="Times New Roman"/>
          <w:b/>
          <w:bCs/>
          <w:sz w:val="24"/>
          <w:szCs w:val="24"/>
          <w:lang w:eastAsia="en-US"/>
        </w:rPr>
        <w:t>A.3. Alternatívne riešenia</w:t>
      </w:r>
    </w:p>
    <w:p w14:paraId="1ED32942" w14:textId="77777777" w:rsidR="001D36D1" w:rsidRPr="001D36D1" w:rsidRDefault="001D36D1" w:rsidP="001D36D1">
      <w:pPr>
        <w:pStyle w:val="Standard"/>
        <w:suppressAutoHyphens w:val="0"/>
        <w:spacing w:after="0" w:line="240" w:lineRule="auto"/>
        <w:jc w:val="both"/>
        <w:rPr>
          <w:rFonts w:ascii="Times New Roman" w:hAnsi="Times New Roman" w:cs="Times New Roman"/>
          <w:sz w:val="24"/>
          <w:szCs w:val="24"/>
        </w:rPr>
      </w:pPr>
      <w:r w:rsidRPr="001D36D1">
        <w:rPr>
          <w:rFonts w:ascii="Times New Roman" w:hAnsi="Times New Roman" w:cs="Times New Roman"/>
          <w:sz w:val="24"/>
          <w:szCs w:val="24"/>
        </w:rPr>
        <w:t>Cieľom je odpovedať na požiadavky orgánov územnej samosprávy, ktoré v niektorých prípadoch v dôsledku dlhotrvajúcich sporov čelia závažným ťažkostiam pri výkone územnej samosprávy, a to napríklad v kontexte prihlasovania obyvateľov na trvalý pobyt, výberu daní či možnosti financovať rozvojové aktivity obce z prostriedkov príslušných fondov Európskej únie.</w:t>
      </w:r>
    </w:p>
    <w:p w14:paraId="25E29794" w14:textId="77777777" w:rsidR="001D36D1" w:rsidRPr="001D36D1" w:rsidRDefault="001D36D1" w:rsidP="001D36D1">
      <w:pPr>
        <w:pStyle w:val="Standard"/>
        <w:suppressAutoHyphens w:val="0"/>
        <w:spacing w:after="0" w:line="240" w:lineRule="auto"/>
        <w:jc w:val="both"/>
        <w:rPr>
          <w:rFonts w:ascii="Times New Roman" w:hAnsi="Times New Roman" w:cs="Times New Roman"/>
          <w:sz w:val="24"/>
          <w:szCs w:val="24"/>
        </w:rPr>
      </w:pPr>
      <w:r w:rsidRPr="001D36D1">
        <w:rPr>
          <w:rFonts w:ascii="Times New Roman" w:hAnsi="Times New Roman" w:cs="Times New Roman"/>
          <w:sz w:val="24"/>
          <w:szCs w:val="24"/>
          <w:lang w:eastAsia="en-US"/>
        </w:rPr>
        <w:t xml:space="preserve">Alternatívne riešenia nie sú možné, ak sa má dosiahnuť cieľ a výsledný stav. </w:t>
      </w:r>
    </w:p>
    <w:p w14:paraId="00DDD100" w14:textId="77777777" w:rsidR="001D36D1" w:rsidRPr="001D36D1" w:rsidRDefault="001D36D1" w:rsidP="001D36D1">
      <w:pPr>
        <w:pStyle w:val="Standard"/>
        <w:suppressAutoHyphens w:val="0"/>
        <w:spacing w:after="0" w:line="240" w:lineRule="auto"/>
        <w:rPr>
          <w:rFonts w:ascii="Times New Roman" w:hAnsi="Times New Roman" w:cs="Times New Roman"/>
          <w:sz w:val="24"/>
          <w:szCs w:val="24"/>
          <w:lang w:eastAsia="en-US"/>
        </w:rPr>
      </w:pPr>
    </w:p>
    <w:p w14:paraId="58A7A45F" w14:textId="77777777" w:rsidR="001D36D1" w:rsidRPr="001D36D1" w:rsidRDefault="001D36D1" w:rsidP="001D36D1">
      <w:pPr>
        <w:pStyle w:val="Standard"/>
        <w:suppressAutoHyphens w:val="0"/>
        <w:spacing w:after="0" w:line="240" w:lineRule="auto"/>
        <w:rPr>
          <w:rFonts w:ascii="Times New Roman" w:hAnsi="Times New Roman" w:cs="Times New Roman"/>
          <w:b/>
          <w:bCs/>
          <w:sz w:val="24"/>
          <w:szCs w:val="24"/>
          <w:lang w:eastAsia="en-US"/>
        </w:rPr>
      </w:pPr>
      <w:r w:rsidRPr="001D36D1">
        <w:rPr>
          <w:rFonts w:ascii="Times New Roman" w:hAnsi="Times New Roman" w:cs="Times New Roman"/>
          <w:b/>
          <w:bCs/>
          <w:sz w:val="24"/>
          <w:szCs w:val="24"/>
          <w:lang w:eastAsia="en-US"/>
        </w:rPr>
        <w:t>A.3. Stanovisko gestorov</w:t>
      </w:r>
    </w:p>
    <w:p w14:paraId="3259B345" w14:textId="77777777" w:rsidR="001D36D1" w:rsidRPr="001D36D1" w:rsidRDefault="001D36D1" w:rsidP="001D36D1">
      <w:pPr>
        <w:pStyle w:val="Standard"/>
        <w:suppressAutoHyphens w:val="0"/>
        <w:spacing w:after="0" w:line="240" w:lineRule="auto"/>
        <w:jc w:val="both"/>
        <w:rPr>
          <w:rFonts w:ascii="Times New Roman" w:hAnsi="Times New Roman" w:cs="Times New Roman"/>
          <w:sz w:val="24"/>
          <w:szCs w:val="24"/>
          <w:lang w:eastAsia="en-US"/>
        </w:rPr>
      </w:pPr>
      <w:r w:rsidRPr="001D36D1">
        <w:rPr>
          <w:rFonts w:ascii="Times New Roman" w:hAnsi="Times New Roman" w:cs="Times New Roman"/>
          <w:sz w:val="24"/>
          <w:szCs w:val="24"/>
          <w:lang w:eastAsia="en-US"/>
        </w:rPr>
        <w:t>Návrh zákona bol zaslaný na vyjadrenie Ministerstvu financií Slovenskej republiky.</w:t>
      </w:r>
    </w:p>
    <w:p w14:paraId="363F2C71" w14:textId="77777777" w:rsidR="001D36D1" w:rsidRPr="00F652B3" w:rsidRDefault="001D36D1" w:rsidP="001D36D1">
      <w:pPr>
        <w:pStyle w:val="Standard"/>
        <w:suppressAutoHyphens w:val="0"/>
        <w:spacing w:after="0" w:line="240" w:lineRule="auto"/>
        <w:jc w:val="both"/>
        <w:rPr>
          <w:rFonts w:ascii="Times New Roman" w:hAnsi="Times New Roman" w:cs="Times New Roman"/>
          <w:sz w:val="24"/>
          <w:szCs w:val="24"/>
          <w:lang w:eastAsia="en-US"/>
        </w:rPr>
      </w:pPr>
    </w:p>
    <w:p w14:paraId="3098C4BE" w14:textId="77777777" w:rsidR="001D36D1" w:rsidRPr="00F652B3" w:rsidRDefault="001D36D1" w:rsidP="001D36D1"/>
    <w:p w14:paraId="6FC070C2" w14:textId="77777777" w:rsidR="001D36D1" w:rsidRPr="00F652B3" w:rsidRDefault="001D36D1" w:rsidP="001D36D1"/>
    <w:p w14:paraId="5B71A12F" w14:textId="77777777" w:rsidR="001D36D1" w:rsidRDefault="001D36D1" w:rsidP="00666156">
      <w:pPr>
        <w:spacing w:line="276" w:lineRule="auto"/>
        <w:rPr>
          <w:rFonts w:ascii="Times New Roman" w:hAnsi="Times New Roman" w:cs="Times New Roman"/>
          <w:b/>
          <w:sz w:val="24"/>
          <w:szCs w:val="24"/>
        </w:rPr>
      </w:pPr>
    </w:p>
    <w:p w14:paraId="37725BDB" w14:textId="77777777" w:rsidR="001D36D1" w:rsidRDefault="001D36D1" w:rsidP="00666156">
      <w:pPr>
        <w:spacing w:line="276" w:lineRule="auto"/>
        <w:rPr>
          <w:rFonts w:ascii="Times New Roman" w:hAnsi="Times New Roman" w:cs="Times New Roman"/>
          <w:b/>
          <w:sz w:val="24"/>
          <w:szCs w:val="24"/>
        </w:rPr>
      </w:pPr>
    </w:p>
    <w:p w14:paraId="1E63BD57" w14:textId="77777777" w:rsidR="001D36D1" w:rsidRDefault="001D36D1" w:rsidP="00666156">
      <w:pPr>
        <w:spacing w:line="276" w:lineRule="auto"/>
        <w:rPr>
          <w:rFonts w:ascii="Times New Roman" w:hAnsi="Times New Roman" w:cs="Times New Roman"/>
          <w:b/>
          <w:sz w:val="24"/>
          <w:szCs w:val="24"/>
        </w:rPr>
      </w:pPr>
    </w:p>
    <w:p w14:paraId="487DD7B9" w14:textId="77777777" w:rsidR="001D36D1" w:rsidRPr="00004A58" w:rsidRDefault="001D36D1" w:rsidP="00666156">
      <w:pPr>
        <w:spacing w:line="276" w:lineRule="auto"/>
        <w:rPr>
          <w:rFonts w:ascii="Times New Roman" w:hAnsi="Times New Roman" w:cs="Times New Roman"/>
          <w:b/>
          <w:sz w:val="24"/>
          <w:szCs w:val="24"/>
        </w:rPr>
      </w:pPr>
    </w:p>
    <w:sectPr w:rsidR="001D36D1" w:rsidRPr="00004A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33EA9"/>
    <w:multiLevelType w:val="hybridMultilevel"/>
    <w:tmpl w:val="C75482D0"/>
    <w:lvl w:ilvl="0" w:tplc="DE32BB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7C25B1"/>
    <w:multiLevelType w:val="hybridMultilevel"/>
    <w:tmpl w:val="155E37A8"/>
    <w:lvl w:ilvl="0" w:tplc="46EAFE7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2E6966"/>
    <w:multiLevelType w:val="hybridMultilevel"/>
    <w:tmpl w:val="E3523F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9B77D4"/>
    <w:multiLevelType w:val="multilevel"/>
    <w:tmpl w:val="31CA9A1E"/>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0" w:hanging="425"/>
      </w:pPr>
      <w:rPr>
        <w:rFonts w:cs="Times New Roman"/>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num w:numId="1" w16cid:durableId="1504316853">
    <w:abstractNumId w:val="2"/>
  </w:num>
  <w:num w:numId="2" w16cid:durableId="1322470222">
    <w:abstractNumId w:val="3"/>
  </w:num>
  <w:num w:numId="3" w16cid:durableId="1420521387">
    <w:abstractNumId w:val="0"/>
  </w:num>
  <w:num w:numId="4" w16cid:durableId="173544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7A2"/>
    <w:rsid w:val="00004A58"/>
    <w:rsid w:val="001D36D1"/>
    <w:rsid w:val="0063615C"/>
    <w:rsid w:val="00666156"/>
    <w:rsid w:val="00726A82"/>
    <w:rsid w:val="008407A2"/>
    <w:rsid w:val="00A77555"/>
    <w:rsid w:val="00C75890"/>
    <w:rsid w:val="00C92850"/>
    <w:rsid w:val="00F26F3A"/>
    <w:rsid w:val="00FF49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E62AE"/>
  <w15:chartTrackingRefBased/>
  <w15:docId w15:val="{17FD7BAF-5310-4AF8-AEA8-0F98FF52F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8407A2"/>
    <w:rPr>
      <w:color w:val="0563C1"/>
      <w:u w:val="single"/>
    </w:rPr>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004A58"/>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basedOn w:val="Predvolenpsmoodseku"/>
    <w:link w:val="Odsekzoznamu"/>
    <w:uiPriority w:val="34"/>
    <w:qFormat/>
    <w:locked/>
    <w:rsid w:val="00004A58"/>
    <w:rPr>
      <w:rFonts w:ascii="Times New Roman" w:eastAsia="Times New Roman" w:hAnsi="Times New Roman" w:cs="Times New Roman"/>
      <w:sz w:val="24"/>
      <w:szCs w:val="24"/>
      <w:lang w:val="en-US"/>
    </w:rPr>
  </w:style>
  <w:style w:type="paragraph" w:styleId="Zkladntext">
    <w:name w:val="Body Text"/>
    <w:basedOn w:val="Normlny"/>
    <w:link w:val="ZkladntextChar"/>
    <w:uiPriority w:val="1"/>
    <w:qFormat/>
    <w:rsid w:val="001D36D1"/>
    <w:pPr>
      <w:widowControl w:val="0"/>
      <w:autoSpaceDE w:val="0"/>
      <w:autoSpaceDN w:val="0"/>
      <w:spacing w:after="0" w:line="240" w:lineRule="auto"/>
      <w:ind w:left="116"/>
      <w:jc w:val="both"/>
    </w:pPr>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1D36D1"/>
    <w:rPr>
      <w:rFonts w:ascii="Times New Roman" w:eastAsia="Times New Roman" w:hAnsi="Times New Roman" w:cs="Times New Roman"/>
      <w:sz w:val="24"/>
      <w:szCs w:val="24"/>
    </w:rPr>
  </w:style>
  <w:style w:type="paragraph" w:customStyle="1" w:styleId="Standard">
    <w:name w:val="Standard"/>
    <w:rsid w:val="001D36D1"/>
    <w:pPr>
      <w:suppressAutoHyphens/>
      <w:autoSpaceDN w:val="0"/>
      <w:spacing w:after="200" w:line="276" w:lineRule="auto"/>
    </w:pPr>
    <w:rPr>
      <w:rFonts w:ascii="Calibri" w:eastAsia="SimSun" w:hAnsi="Calibri" w:cs="Calibri"/>
      <w:kern w:val="3"/>
      <w:lang w:eastAsia="ar-SA"/>
    </w:rPr>
  </w:style>
  <w:style w:type="table" w:styleId="Mriekatabuky">
    <w:name w:val="Table Grid"/>
    <w:basedOn w:val="Normlnatabuka"/>
    <w:uiPriority w:val="39"/>
    <w:rsid w:val="001D36D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beck-online.sk/bo/document-view.seam?documentId=pj5f6mjzhe2v6mjwgixhaylsmftxeylgfu2tq&amp;refSource=text" TargetMode="External"/><Relationship Id="rId5" Type="http://schemas.openxmlformats.org/officeDocument/2006/relationships/hyperlink" Target="https://app.beck-online.sk/bo/document-view.seam?documentId=pj5f6mjzhe2v6mjwgixhaylsmftxeylgfu2tq&amp;refSource=text"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1381</Words>
  <Characters>7878</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Lukas Antoni</cp:lastModifiedBy>
  <cp:revision>6</cp:revision>
  <dcterms:created xsi:type="dcterms:W3CDTF">2025-08-21T07:50:00Z</dcterms:created>
  <dcterms:modified xsi:type="dcterms:W3CDTF">2025-08-21T11:18:00Z</dcterms:modified>
</cp:coreProperties>
</file>