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03B" w:rsidRPr="00F140E6" w:rsidP="00F140E6">
      <w:pPr>
        <w:jc w:val="center"/>
        <w:rPr>
          <w:b/>
        </w:rPr>
      </w:pPr>
      <w:r w:rsidRPr="00F140E6">
        <w:rPr>
          <w:b/>
        </w:rPr>
        <w:t>Doložka zlučiteľnosti</w:t>
      </w:r>
    </w:p>
    <w:p w:rsidR="0001603B" w:rsidRPr="00F140E6" w:rsidP="00F140E6">
      <w:pPr>
        <w:jc w:val="center"/>
        <w:rPr>
          <w:b/>
        </w:rPr>
      </w:pPr>
      <w:r w:rsidRPr="00F140E6">
        <w:rPr>
          <w:b/>
        </w:rPr>
        <w:t>návrhu zákona s právom Európskej únie</w:t>
      </w:r>
    </w:p>
    <w:p w:rsidR="0001603B" w:rsidRPr="00F140E6" w:rsidP="00F140E6">
      <w:pPr>
        <w:jc w:val="center"/>
      </w:pPr>
    </w:p>
    <w:p w:rsidR="0001603B" w:rsidRPr="00F140E6" w:rsidP="00F140E6">
      <w:pPr>
        <w:jc w:val="center"/>
      </w:pPr>
    </w:p>
    <w:p w:rsidR="0001603B" w:rsidRPr="00F140E6" w:rsidP="00712D5A">
      <w:pPr>
        <w:jc w:val="both"/>
      </w:pPr>
      <w:r w:rsidRPr="00925DEE" w:rsidR="00F140E6">
        <w:rPr>
          <w:b/>
        </w:rPr>
        <w:t xml:space="preserve">1. </w:t>
      </w:r>
      <w:r w:rsidRPr="00925DEE">
        <w:rPr>
          <w:b/>
        </w:rPr>
        <w:t>Navrhovateľ</w:t>
      </w:r>
      <w:r w:rsidR="00775580">
        <w:rPr>
          <w:b/>
        </w:rPr>
        <w:t xml:space="preserve"> návrhu</w:t>
      </w:r>
      <w:r w:rsidRPr="00925DEE">
        <w:rPr>
          <w:b/>
        </w:rPr>
        <w:t xml:space="preserve"> zákona</w:t>
      </w:r>
      <w:r w:rsidRPr="00F140E6">
        <w:t>:</w:t>
      </w:r>
      <w:r w:rsidRPr="00F140E6" w:rsidR="002A2EC9">
        <w:t xml:space="preserve"> </w:t>
      </w:r>
      <w:r w:rsidRPr="00712D5A" w:rsidR="002A2EC9">
        <w:t>poslan</w:t>
      </w:r>
      <w:r w:rsidRPr="00712D5A">
        <w:t>c</w:t>
      </w:r>
      <w:r w:rsidRPr="00712D5A" w:rsidR="00712D5A">
        <w:t>i</w:t>
      </w:r>
      <w:r w:rsidRPr="00712D5A">
        <w:t xml:space="preserve"> Národnej rady Slovenskej republiky</w:t>
      </w:r>
      <w:r w:rsidR="00712D5A">
        <w:t xml:space="preserve"> </w:t>
      </w:r>
      <w:r w:rsidRPr="00712D5A" w:rsidR="00712D5A">
        <w:t>Tibor Gašpar</w:t>
      </w:r>
      <w:r w:rsidR="00712D5A">
        <w:t>,</w:t>
      </w:r>
      <w:r w:rsidRPr="00712D5A" w:rsidR="00712D5A">
        <w:t xml:space="preserve"> Róbert Puci a Adam Lučanský</w:t>
      </w:r>
    </w:p>
    <w:p w:rsidR="0001603B" w:rsidRPr="00F140E6" w:rsidP="00712D5A">
      <w:pPr>
        <w:jc w:val="both"/>
      </w:pPr>
    </w:p>
    <w:p w:rsidR="0001603B" w:rsidRPr="00712D5A" w:rsidP="00712D5A">
      <w:pPr>
        <w:jc w:val="both"/>
        <w:rPr>
          <w:highlight w:val="yellow"/>
        </w:rPr>
      </w:pPr>
      <w:r w:rsidRPr="00925DEE" w:rsidR="00F140E6">
        <w:rPr>
          <w:b/>
        </w:rPr>
        <w:t xml:space="preserve">2. </w:t>
      </w:r>
      <w:r w:rsidRPr="00925DEE">
        <w:rPr>
          <w:b/>
        </w:rPr>
        <w:t>Názov návrhu zákona</w:t>
      </w:r>
      <w:r w:rsidRPr="00F140E6">
        <w:t>:</w:t>
      </w:r>
      <w:r w:rsidRPr="00F140E6" w:rsidR="00E65921">
        <w:t xml:space="preserve"> </w:t>
      </w:r>
      <w:r w:rsidRPr="00712D5A" w:rsidR="00E65921">
        <w:t>Z</w:t>
      </w:r>
      <w:r w:rsidRPr="00712D5A">
        <w:t>ákon, ktorým sa mení</w:t>
      </w:r>
      <w:r w:rsidRPr="00712D5A" w:rsidR="00E65921">
        <w:t xml:space="preserve"> a dopĺňa zákon </w:t>
      </w:r>
      <w:r w:rsidRPr="00712D5A" w:rsidR="00775580">
        <w:t>N</w:t>
      </w:r>
      <w:r w:rsidRPr="00712D5A" w:rsidR="00712D5A">
        <w:t>árodnej rady Sl</w:t>
      </w:r>
      <w:r w:rsidRPr="00712D5A" w:rsidR="00712D5A">
        <w:t>ovenskej republiky</w:t>
      </w:r>
      <w:r w:rsidRPr="00712D5A" w:rsidR="00775580">
        <w:t xml:space="preserve"> </w:t>
      </w:r>
      <w:r w:rsidRPr="00712D5A" w:rsidR="00E65921">
        <w:t>č. 350/1996 Z. z.</w:t>
      </w:r>
      <w:r w:rsidRPr="00712D5A" w:rsidR="00712D5A">
        <w:t xml:space="preserve"> </w:t>
      </w:r>
      <w:r w:rsidRPr="00712D5A" w:rsidR="00E65921">
        <w:t>o rokovacom poriadku</w:t>
      </w:r>
      <w:r w:rsidRPr="00712D5A">
        <w:t xml:space="preserve"> </w:t>
      </w:r>
      <w:r w:rsidRPr="00712D5A" w:rsidR="00E65921">
        <w:t>Národnej rady Slovenskej republiky</w:t>
      </w:r>
      <w:r w:rsidRPr="00712D5A">
        <w:t xml:space="preserve"> v</w:t>
      </w:r>
      <w:r w:rsidRPr="00712D5A" w:rsidR="00712D5A">
        <w:t> </w:t>
      </w:r>
      <w:r w:rsidRPr="00712D5A">
        <w:t>znení</w:t>
      </w:r>
      <w:r w:rsidRPr="00712D5A" w:rsidR="00712D5A">
        <w:t xml:space="preserve"> </w:t>
      </w:r>
      <w:r w:rsidRPr="00712D5A">
        <w:t>neskorších predpisov</w:t>
      </w:r>
    </w:p>
    <w:p w:rsidR="0001603B" w:rsidRPr="00F140E6" w:rsidP="00712D5A">
      <w:pPr>
        <w:jc w:val="both"/>
      </w:pPr>
    </w:p>
    <w:p w:rsidR="0001603B" w:rsidRPr="00F140E6" w:rsidP="00712D5A">
      <w:pPr>
        <w:jc w:val="both"/>
      </w:pPr>
      <w:r w:rsidRPr="00925DEE" w:rsidR="00F140E6">
        <w:rPr>
          <w:b/>
        </w:rPr>
        <w:t xml:space="preserve">3. </w:t>
      </w:r>
      <w:r w:rsidRPr="00925DEE" w:rsidR="00925DEE">
        <w:rPr>
          <w:b/>
        </w:rPr>
        <w:t>Predmet</w:t>
      </w:r>
      <w:r w:rsidRPr="00925DEE">
        <w:rPr>
          <w:b/>
        </w:rPr>
        <w:t xml:space="preserve"> návrhu zákona </w:t>
      </w:r>
      <w:r w:rsidRPr="00925DEE" w:rsidR="00925DEE">
        <w:rPr>
          <w:b/>
        </w:rPr>
        <w:t xml:space="preserve">v práve Európskej únie </w:t>
      </w:r>
      <w:r w:rsidRPr="00925DEE">
        <w:rPr>
          <w:b/>
        </w:rPr>
        <w:t>upraven</w:t>
      </w:r>
      <w:r w:rsidRPr="00925DEE" w:rsidR="00925DEE">
        <w:rPr>
          <w:b/>
        </w:rPr>
        <w:t>ý</w:t>
      </w:r>
      <w:r w:rsidR="00596E6A">
        <w:rPr>
          <w:b/>
        </w:rPr>
        <w:t xml:space="preserve"> -</w:t>
      </w:r>
      <w:r w:rsidRPr="00F140E6">
        <w:t xml:space="preserve"> </w:t>
      </w:r>
      <w:r w:rsidRPr="00F140E6" w:rsidR="00E65921">
        <w:t>n</w:t>
      </w:r>
      <w:r w:rsidRPr="00F140E6">
        <w:t>i</w:t>
      </w:r>
      <w:r w:rsidRPr="00F140E6" w:rsidR="00E65921">
        <w:t>e</w:t>
      </w:r>
      <w:r w:rsidRPr="00F140E6" w:rsidR="002A2EC9">
        <w:t xml:space="preserve"> </w:t>
      </w:r>
      <w:r w:rsidRPr="00F140E6">
        <w:t>je</w:t>
      </w:r>
    </w:p>
    <w:p w:rsidR="00596E6A" w:rsidP="00712D5A">
      <w:pPr>
        <w:jc w:val="both"/>
      </w:pPr>
      <w:r>
        <w:t xml:space="preserve">    a)   </w:t>
      </w:r>
      <w:r w:rsidRPr="00226447">
        <w:t>v primárnom práve</w:t>
      </w:r>
      <w:r>
        <w:t xml:space="preserve"> </w:t>
      </w:r>
    </w:p>
    <w:p w:rsidR="00596E6A" w:rsidRPr="00226447" w:rsidP="00712D5A">
      <w:pPr>
        <w:jc w:val="both"/>
      </w:pPr>
      <w:r>
        <w:t xml:space="preserve">    b)   </w:t>
      </w:r>
      <w:r w:rsidRPr="00226447">
        <w:t xml:space="preserve">v sekundárnom práve </w:t>
      </w:r>
    </w:p>
    <w:p w:rsidR="00596E6A" w:rsidRPr="0001603B" w:rsidP="00712D5A">
      <w:pPr>
        <w:jc w:val="both"/>
        <w:rPr>
          <w:b/>
        </w:rPr>
      </w:pPr>
      <w:r>
        <w:t xml:space="preserve">    c)   </w:t>
      </w:r>
      <w:r w:rsidRPr="00226447">
        <w:t>v judikatúre</w:t>
      </w:r>
      <w:r>
        <w:t xml:space="preserve"> Súdneho dvora Európskej únie</w:t>
      </w:r>
      <w:r w:rsidRPr="00226447">
        <w:t xml:space="preserve"> </w:t>
      </w:r>
    </w:p>
    <w:p w:rsidR="00596E6A" w:rsidRPr="00F12F3C" w:rsidP="00712D5A">
      <w:pPr>
        <w:tabs>
          <w:tab w:val="num" w:pos="426"/>
          <w:tab w:val="num" w:pos="900"/>
        </w:tabs>
        <w:jc w:val="both"/>
      </w:pPr>
    </w:p>
    <w:p w:rsidR="00596E6A" w:rsidRPr="00F140E6" w:rsidP="00712D5A">
      <w:pPr>
        <w:jc w:val="both"/>
      </w:pPr>
      <w:r>
        <w:t>Vzhľadom na bod 3</w:t>
      </w:r>
      <w:r w:rsidRPr="00F140E6">
        <w:t xml:space="preserve"> sa</w:t>
      </w:r>
      <w:r>
        <w:t xml:space="preserve"> body 4 a 5</w:t>
      </w:r>
      <w:r w:rsidRPr="00F140E6">
        <w:t xml:space="preserve"> nevy</w:t>
      </w:r>
      <w:r>
        <w:t>pĺňajú</w:t>
      </w:r>
      <w:r w:rsidRPr="00F140E6">
        <w:t>.</w:t>
      </w:r>
    </w:p>
    <w:p w:rsidR="00596E6A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13708E" w:rsidP="0013708E"/>
    <w:p w:rsidR="00596E6A" w:rsidP="00596E6A"/>
    <w:p w:rsidR="0013708E" w:rsidP="0013708E">
      <w:pPr>
        <w:pageBreakBefore/>
        <w:widowControl w:val="0"/>
        <w:suppressAutoHyphens/>
        <w:spacing w:line="276" w:lineRule="auto"/>
        <w:ind w:right="-427"/>
        <w:jc w:val="center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b/>
          <w:bCs/>
          <w:spacing w:val="30"/>
          <w:kern w:val="2"/>
          <w:lang w:eastAsia="ar-SA"/>
        </w:rPr>
        <w:t>DOLOŽKA</w:t>
      </w:r>
    </w:p>
    <w:p w:rsidR="0013708E" w:rsidP="0013708E">
      <w:pPr>
        <w:widowControl w:val="0"/>
        <w:suppressAutoHyphens/>
        <w:spacing w:line="276" w:lineRule="auto"/>
        <w:ind w:right="-427"/>
        <w:jc w:val="center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vybraných vplyvov</w:t>
      </w:r>
    </w:p>
    <w:p w:rsidR="0013708E" w:rsidP="0013708E">
      <w:pPr>
        <w:pBdr>
          <w:bottom w:val="single" w:sz="12" w:space="1" w:color="auto"/>
        </w:pBdr>
        <w:spacing w:line="276" w:lineRule="auto"/>
        <w:ind w:right="-427" w:firstLine="720"/>
        <w:jc w:val="both"/>
        <w:rPr>
          <w:b/>
          <w:szCs w:val="20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</w:p>
    <w:p w:rsidR="0013708E" w:rsidP="0013708E">
      <w:pPr>
        <w:pStyle w:val="ListParagraph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13708E" w:rsidP="0013708E">
      <w:pPr>
        <w:shd w:val="clear" w:color="auto" w:fill="FFFFFF"/>
        <w:jc w:val="both"/>
        <w:rPr>
          <w:bCs/>
          <w:lang w:eastAsia="sk-SK"/>
        </w:rPr>
      </w:pPr>
      <w:r>
        <w:rPr>
          <w:rFonts w:eastAsia="SimSun"/>
          <w:bCs/>
          <w:kern w:val="2"/>
          <w:lang w:eastAsia="ar-SA"/>
        </w:rPr>
        <w:t>Návrh zákona,</w:t>
      </w:r>
      <w:r>
        <w:rPr>
          <w:rFonts w:eastAsia="SimSun"/>
          <w:b/>
          <w:bCs/>
          <w:kern w:val="2"/>
          <w:lang w:eastAsia="ar-SA"/>
        </w:rPr>
        <w:t xml:space="preserve"> </w:t>
      </w:r>
      <w:r>
        <w:rPr>
          <w:rFonts w:eastAsia="SimSun"/>
          <w:bCs/>
          <w:kern w:val="2"/>
          <w:lang w:eastAsia="ar-SA"/>
        </w:rPr>
        <w:t>ktorým sa mení a dopĺňa zákon Národnej rady Slovenskej republiky č. 350/1996 Z. z. o rokovacom poriadku Národnej rady Slovenskej republiky v znení neskorších predpisov</w:t>
      </w:r>
    </w:p>
    <w:p w:rsidR="0013708E" w:rsidP="0013708E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lang w:val="cs-CZ" w:eastAsia="ar-SA"/>
        </w:rPr>
      </w:pPr>
      <w:r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Style w:val="TableNormal"/>
        <w:tblW w:w="9480" w:type="dxa"/>
        <w:tblInd w:w="-17" w:type="dxa"/>
        <w:tblLayout w:type="fixed"/>
        <w:tblLook w:val="04A0"/>
      </w:tblPr>
      <w:tblGrid>
        <w:gridCol w:w="6078"/>
        <w:gridCol w:w="1134"/>
        <w:gridCol w:w="1134"/>
        <w:gridCol w:w="1134"/>
      </w:tblGrid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sz w:val="22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Žiadne 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2. Vplyvy na podnikateľské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 xml:space="preserve">7. </w:t>
            </w:r>
            <w:r>
              <w:rPr>
                <w:rFonts w:eastAsia="SimSun"/>
                <w:kern w:val="2"/>
                <w:lang w:eastAsia="ar-SA"/>
              </w:rPr>
              <w:t>Vplyvy na manželstvo, rodičovstvo, rodinu a deti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13708E" w:rsidP="0013708E">
      <w:pPr>
        <w:widowControl w:val="0"/>
        <w:suppressAutoHyphens/>
        <w:spacing w:after="200"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 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A.3. Poznámky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A.4. Alternatívne riešenia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 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:rsidR="0013708E" w:rsidP="0013708E">
      <w:pPr>
        <w:widowControl w:val="0"/>
        <w:suppressAutoHyphens/>
        <w:spacing w:line="276" w:lineRule="auto"/>
        <w:ind w:left="567" w:right="-427" w:hanging="56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  <w:tab/>
        <w:t>Stanovisko gestorov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</w:p>
    <w:p w:rsidR="0013708E" w:rsidP="0013708E">
      <w:pPr>
        <w:widowControl w:val="0"/>
        <w:suppressAutoHyphens/>
        <w:spacing w:after="280" w:line="276" w:lineRule="auto"/>
        <w:ind w:right="-427"/>
        <w:jc w:val="both"/>
        <w:rPr>
          <w:rFonts w:eastAsia="SimSun"/>
          <w:kern w:val="2"/>
          <w:lang w:eastAsia="ar-SA"/>
        </w:rPr>
      </w:pPr>
    </w:p>
    <w:p w:rsidR="0013708E" w:rsidP="0013708E">
      <w:pPr>
        <w:pStyle w:val="ListParagraph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spacing w:line="276" w:lineRule="auto"/>
        <w:jc w:val="both"/>
        <w:rPr>
          <w:b/>
          <w:sz w:val="28"/>
          <w:szCs w:val="28"/>
        </w:rPr>
      </w:pPr>
    </w:p>
    <w:p w:rsidR="0013708E" w:rsidP="0013708E">
      <w:pPr>
        <w:spacing w:line="276" w:lineRule="auto"/>
        <w:jc w:val="both"/>
        <w:rPr>
          <w:b/>
          <w:sz w:val="28"/>
          <w:szCs w:val="28"/>
        </w:rPr>
      </w:pPr>
    </w:p>
    <w:p w:rsidR="0013708E" w:rsidP="0013708E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rPr>
          <w:rFonts w:ascii="Calibri" w:hAnsi="Calibri"/>
          <w:sz w:val="22"/>
          <w:szCs w:val="22"/>
        </w:rPr>
      </w:pPr>
    </w:p>
    <w:p w:rsidR="00596E6A" w:rsidP="00F140E6"/>
    <w:p w:rsidR="00596E6A" w:rsidP="00F140E6"/>
    <w:p w:rsidR="00F9620E">
      <w:pPr>
        <w:jc w:val="center"/>
      </w:pPr>
    </w:p>
    <w:p w:rsidR="0013708E">
      <w:pPr>
        <w:jc w:val="center"/>
      </w:pPr>
    </w:p>
    <w:p w:rsidR="0013708E">
      <w:pPr>
        <w:jc w:val="center"/>
      </w:pPr>
    </w:p>
    <w:p w:rsidR="0013708E" w:rsidRPr="00F140E6" w:rsidP="004A0CD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22742"/>
    <w:multiLevelType w:val="hybridMultilevel"/>
    <w:tmpl w:val="123C0FD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A464665"/>
    <w:multiLevelType w:val="hybridMultilevel"/>
    <w:tmpl w:val="C1C4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3B"/>
    <w:rsid w:val="0001603B"/>
    <w:rsid w:val="000B06D5"/>
    <w:rsid w:val="0013708E"/>
    <w:rsid w:val="00156164"/>
    <w:rsid w:val="00226447"/>
    <w:rsid w:val="002A2EC9"/>
    <w:rsid w:val="00330D93"/>
    <w:rsid w:val="004A0CD0"/>
    <w:rsid w:val="00562402"/>
    <w:rsid w:val="00572F70"/>
    <w:rsid w:val="00596E6A"/>
    <w:rsid w:val="0069699F"/>
    <w:rsid w:val="006F4CC5"/>
    <w:rsid w:val="00712D5A"/>
    <w:rsid w:val="00775580"/>
    <w:rsid w:val="00824A74"/>
    <w:rsid w:val="008B1B8A"/>
    <w:rsid w:val="00925DEE"/>
    <w:rsid w:val="00B27C6C"/>
    <w:rsid w:val="00DE38B3"/>
    <w:rsid w:val="00E34A51"/>
    <w:rsid w:val="00E65921"/>
    <w:rsid w:val="00F12F3C"/>
    <w:rsid w:val="00F140E6"/>
    <w:rsid w:val="00F9620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1603B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1603B"/>
    <w:pPr>
      <w:autoSpaceDE w:val="0"/>
      <w:autoSpaceDN w:val="0"/>
      <w:jc w:val="both"/>
    </w:pPr>
  </w:style>
  <w:style w:type="paragraph" w:styleId="BodyTextIndent">
    <w:name w:val="Body Text Indent"/>
    <w:basedOn w:val="Normal"/>
    <w:rsid w:val="0001603B"/>
    <w:pPr>
      <w:ind w:left="426" w:hanging="426"/>
    </w:pPr>
    <w:rPr>
      <w:szCs w:val="20"/>
    </w:rPr>
  </w:style>
  <w:style w:type="paragraph" w:styleId="Title">
    <w:name w:val="Title"/>
    <w:basedOn w:val="Normal"/>
    <w:next w:val="Normal"/>
    <w:link w:val="NzovChar"/>
    <w:qFormat/>
    <w:rsid w:val="00F140E6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zovChar">
    <w:name w:val="Názov Char"/>
    <w:link w:val="Title"/>
    <w:rsid w:val="00F140E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3708E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lavikaChar"/>
    <w:rsid w:val="00330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30D93"/>
    <w:rPr>
      <w:sz w:val="24"/>
      <w:szCs w:val="24"/>
      <w:lang w:eastAsia="en-US"/>
    </w:rPr>
  </w:style>
  <w:style w:type="paragraph" w:styleId="Footer">
    <w:name w:val="footer"/>
    <w:basedOn w:val="Normal"/>
    <w:link w:val="PtaChar"/>
    <w:rsid w:val="00330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330D9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2025-08-22T07:24:00Z</dcterms:created>
  <dcterms:modified xsi:type="dcterms:W3CDTF">2025-08-22T07:37:00Z</dcterms:modified>
</cp:coreProperties>
</file>