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tbl>
      <w:tblPr>
        <w:tblStyle w:val="TableNormal"/>
        <w:tblW w:w="15991"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
      <w:tblGrid>
        <w:gridCol w:w="540"/>
        <w:gridCol w:w="4820"/>
        <w:gridCol w:w="850"/>
        <w:gridCol w:w="851"/>
        <w:gridCol w:w="567"/>
        <w:gridCol w:w="5386"/>
        <w:gridCol w:w="567"/>
        <w:gridCol w:w="567"/>
        <w:gridCol w:w="709"/>
        <w:gridCol w:w="1134"/>
      </w:tblGrid>
      <w:tr>
        <w:tblPrEx>
          <w:tblW w:w="15991" w:type="dxa"/>
          <w:tblInd w:w="-497" w:type="dxa"/>
          <w:tblBorders>
            <w:top w:val="single" w:sz="4" w:space="0" w:color="auto"/>
            <w:left w:val="single" w:sz="4" w:space="0" w:color="auto"/>
            <w:bottom w:val="single" w:sz="4" w:space="0" w:color="auto"/>
            <w:right w:val="single" w:sz="4" w:space="0" w:color="auto"/>
          </w:tblBorders>
          <w:tblLayout w:type="fixed"/>
          <w:tblCellMar>
            <w:left w:w="43" w:type="dxa"/>
            <w:right w:w="43" w:type="dxa"/>
          </w:tblCellMar>
        </w:tblPrEx>
        <w:tc>
          <w:tcPr>
            <w:tcW w:w="15991" w:type="dxa"/>
            <w:gridSpan w:val="10"/>
            <w:tcBorders>
              <w:top w:val="single" w:sz="12" w:space="0" w:color="auto"/>
              <w:left w:val="single" w:sz="12" w:space="0" w:color="auto"/>
              <w:bottom w:val="single" w:sz="4" w:space="0" w:color="auto"/>
              <w:right w:val="single" w:sz="12" w:space="0" w:color="auto"/>
            </w:tcBorders>
            <w:textDirection w:val="lrTb"/>
            <w:vAlign w:val="top"/>
          </w:tcPr>
          <w:p w:rsidR="002314E9" w:rsidRPr="00701A93" w:rsidP="0078287E">
            <w:pPr>
              <w:pStyle w:val="Heading1"/>
              <w:bidi w:val="0"/>
              <w:spacing w:after="0" w:line="240" w:lineRule="auto"/>
              <w:rPr>
                <w:rFonts w:ascii="Arial Narrow" w:hAnsi="Arial Narrow"/>
                <w:sz w:val="22"/>
                <w:szCs w:val="22"/>
              </w:rPr>
            </w:pPr>
            <w:r w:rsidRPr="00701A93">
              <w:rPr>
                <w:rFonts w:ascii="Arial Narrow" w:hAnsi="Arial Narrow"/>
                <w:sz w:val="22"/>
                <w:szCs w:val="22"/>
              </w:rPr>
              <w:t>TABUĽKA  ZHODY</w:t>
            </w:r>
          </w:p>
          <w:p w:rsidR="002314E9" w:rsidRPr="00701A93" w:rsidP="0078287E">
            <w:pPr>
              <w:pStyle w:val="Heading1"/>
              <w:bidi w:val="0"/>
              <w:spacing w:after="0" w:line="240" w:lineRule="auto"/>
              <w:rPr>
                <w:rFonts w:ascii="Arial Narrow" w:hAnsi="Arial Narrow"/>
                <w:sz w:val="22"/>
                <w:szCs w:val="22"/>
              </w:rPr>
            </w:pPr>
            <w:r w:rsidRPr="00701A93">
              <w:rPr>
                <w:rFonts w:ascii="Arial Narrow" w:hAnsi="Arial Narrow"/>
                <w:b w:val="0"/>
                <w:sz w:val="22"/>
                <w:szCs w:val="22"/>
              </w:rPr>
              <w:t> návrhu zákona s právom Európskej únie</w:t>
            </w:r>
          </w:p>
        </w:tc>
      </w:tr>
      <w:tr>
        <w:tblPrEx>
          <w:tblW w:w="15991" w:type="dxa"/>
          <w:tblInd w:w="-497" w:type="dxa"/>
          <w:tblLayout w:type="fixed"/>
          <w:tblCellMar>
            <w:left w:w="43" w:type="dxa"/>
            <w:right w:w="43" w:type="dxa"/>
          </w:tblCellMar>
        </w:tblPrEx>
        <w:trPr>
          <w:trHeight w:val="567"/>
        </w:trPr>
        <w:tc>
          <w:tcPr>
            <w:tcW w:w="6210" w:type="dxa"/>
            <w:gridSpan w:val="3"/>
            <w:tcBorders>
              <w:top w:val="single" w:sz="4" w:space="0" w:color="auto"/>
              <w:left w:val="single" w:sz="12" w:space="0" w:color="auto"/>
              <w:bottom w:val="single" w:sz="4" w:space="0" w:color="auto"/>
              <w:right w:val="single" w:sz="12" w:space="0" w:color="auto"/>
            </w:tcBorders>
            <w:textDirection w:val="lrTb"/>
            <w:vAlign w:val="top"/>
          </w:tcPr>
          <w:p w:rsidR="002314E9" w:rsidRPr="00701A93" w:rsidP="00926E0B">
            <w:pPr>
              <w:pStyle w:val="Heading4"/>
              <w:bidi w:val="0"/>
              <w:spacing w:before="120" w:after="0" w:line="240" w:lineRule="auto"/>
              <w:jc w:val="left"/>
              <w:rPr>
                <w:rFonts w:ascii="Arial Narrow" w:hAnsi="Arial Narrow"/>
              </w:rPr>
            </w:pPr>
            <w:r w:rsidRPr="00701A93">
              <w:rPr>
                <w:rFonts w:ascii="Arial Narrow" w:hAnsi="Arial Narrow"/>
              </w:rPr>
              <w:t xml:space="preserve">Smernica </w:t>
            </w:r>
          </w:p>
          <w:p w:rsidR="002314E9" w:rsidRPr="009F35D3" w:rsidP="00926E0B">
            <w:pPr>
              <w:pStyle w:val="Heading4"/>
              <w:bidi w:val="0"/>
              <w:spacing w:before="120" w:after="0" w:line="240" w:lineRule="auto"/>
              <w:jc w:val="left"/>
              <w:rPr>
                <w:rFonts w:ascii="Arial Narrow" w:hAnsi="Arial Narrow"/>
                <w:b w:val="0"/>
                <w:bCs w:val="0"/>
              </w:rPr>
            </w:pPr>
            <w:r w:rsidRPr="009F35D3" w:rsidR="009F35D3">
              <w:rPr>
                <w:rFonts w:ascii="Arial Narrow" w:hAnsi="Arial Narrow"/>
                <w:b w:val="0"/>
                <w:bCs w:val="0"/>
              </w:rPr>
              <w:t>Smernica Európskeho parlamentu a Rady (EÚ) 2017/1132</w:t>
            </w:r>
            <w:r w:rsidR="009F35D3">
              <w:rPr>
                <w:rFonts w:ascii="Arial Narrow" w:hAnsi="Arial Narrow"/>
                <w:b w:val="0"/>
                <w:bCs w:val="0"/>
              </w:rPr>
              <w:t xml:space="preserve"> </w:t>
            </w:r>
            <w:r w:rsidRPr="009F35D3" w:rsidR="009F35D3">
              <w:rPr>
                <w:rFonts w:ascii="Arial Narrow" w:hAnsi="Arial Narrow"/>
                <w:b w:val="0"/>
                <w:bCs w:val="0"/>
              </w:rPr>
              <w:t>zo 14. júna 2017 týkajúca sa niektorých aspektov práva obchodných spoločností (kodifikované znenie) (Ú. v. EÚ L 169, 30. 6. 2017) v platnom znení</w:t>
            </w:r>
          </w:p>
        </w:tc>
        <w:tc>
          <w:tcPr>
            <w:tcW w:w="9781" w:type="dxa"/>
            <w:gridSpan w:val="7"/>
            <w:tcBorders>
              <w:top w:val="single" w:sz="4" w:space="0" w:color="auto"/>
              <w:left w:val="nil"/>
              <w:bottom w:val="single" w:sz="4" w:space="0" w:color="auto"/>
              <w:right w:val="single" w:sz="12" w:space="0" w:color="auto"/>
            </w:tcBorders>
            <w:textDirection w:val="lrTb"/>
            <w:vAlign w:val="top"/>
          </w:tcPr>
          <w:p w:rsidR="002314E9" w:rsidRPr="00701A93" w:rsidP="00342407">
            <w:pPr>
              <w:pStyle w:val="Heading4"/>
              <w:bidi w:val="0"/>
              <w:spacing w:before="120" w:after="0" w:line="240" w:lineRule="auto"/>
              <w:jc w:val="left"/>
              <w:rPr>
                <w:rFonts w:ascii="Arial Narrow" w:hAnsi="Arial Narrow"/>
              </w:rPr>
            </w:pPr>
            <w:r w:rsidRPr="00701A93">
              <w:rPr>
                <w:rFonts w:ascii="Arial Narrow" w:hAnsi="Arial Narrow"/>
              </w:rPr>
              <w:t>Právne predpisy Slovenskej republiky</w:t>
            </w:r>
          </w:p>
          <w:p w:rsidR="002314E9" w:rsidRPr="00701A93" w:rsidP="00342407">
            <w:pPr>
              <w:pStyle w:val="Heading4"/>
              <w:bidi w:val="0"/>
              <w:spacing w:before="120" w:after="0" w:line="240" w:lineRule="auto"/>
              <w:jc w:val="left"/>
              <w:rPr>
                <w:rFonts w:ascii="Arial Narrow" w:hAnsi="Arial Narrow"/>
                <w:b w:val="0"/>
                <w:bCs w:val="0"/>
              </w:rPr>
            </w:pPr>
            <w:r w:rsidR="000A2A47">
              <w:rPr>
                <w:rFonts w:ascii="Arial Narrow" w:hAnsi="Arial Narrow"/>
                <w:b w:val="0"/>
                <w:bCs w:val="0"/>
              </w:rPr>
              <w:t>Návrh zákona, ktorým sa mení a dopĺňa z</w:t>
            </w:r>
            <w:r w:rsidRPr="00701A93" w:rsidR="001F25C7">
              <w:rPr>
                <w:rFonts w:ascii="Arial Narrow" w:hAnsi="Arial Narrow"/>
                <w:b w:val="0"/>
                <w:bCs w:val="0"/>
              </w:rPr>
              <w:t>ákon Slovenskej národnej rady č. 71/1992 Zb. o súdnych poplatkoch a poplatku za výpis z registra trestov v</w:t>
            </w:r>
            <w:r w:rsidR="0023116E">
              <w:rPr>
                <w:rFonts w:ascii="Arial Narrow" w:hAnsi="Arial Narrow"/>
                <w:b w:val="0"/>
                <w:bCs w:val="0"/>
              </w:rPr>
              <w:t> </w:t>
            </w:r>
            <w:r w:rsidRPr="00701A93" w:rsidR="001F25C7">
              <w:rPr>
                <w:rFonts w:ascii="Arial Narrow" w:hAnsi="Arial Narrow"/>
                <w:b w:val="0"/>
                <w:bCs w:val="0"/>
              </w:rPr>
              <w:t>znení</w:t>
            </w:r>
            <w:r w:rsidR="0023116E">
              <w:rPr>
                <w:rFonts w:ascii="Arial Narrow" w:hAnsi="Arial Narrow"/>
                <w:b w:val="0"/>
                <w:bCs w:val="0"/>
              </w:rPr>
              <w:t xml:space="preserve"> </w:t>
            </w:r>
            <w:r w:rsidRPr="00701A93" w:rsidR="001F25C7">
              <w:rPr>
                <w:rFonts w:ascii="Arial Narrow" w:hAnsi="Arial Narrow"/>
                <w:b w:val="0"/>
                <w:bCs w:val="0"/>
              </w:rPr>
              <w:t>neskorších predpisov</w:t>
            </w:r>
            <w:r w:rsidR="000A2A47">
              <w:rPr>
                <w:rFonts w:ascii="Arial Narrow" w:hAnsi="Arial Narrow"/>
                <w:b w:val="0"/>
                <w:bCs w:val="0"/>
              </w:rPr>
              <w:t xml:space="preserve"> a ktorým sa menia a dopĺňajú niektoré zákony </w:t>
            </w:r>
          </w:p>
        </w:tc>
      </w:tr>
      <w:tr>
        <w:tblPrEx>
          <w:tblW w:w="15991"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1</w:t>
            </w:r>
          </w:p>
        </w:tc>
        <w:tc>
          <w:tcPr>
            <w:tcW w:w="4820"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2</w:t>
            </w:r>
          </w:p>
        </w:tc>
        <w:tc>
          <w:tcPr>
            <w:tcW w:w="850"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3</w:t>
            </w:r>
          </w:p>
        </w:tc>
        <w:tc>
          <w:tcPr>
            <w:tcW w:w="851" w:type="dxa"/>
            <w:tcBorders>
              <w:top w:val="single" w:sz="4" w:space="0" w:color="auto"/>
              <w:left w:val="nil"/>
              <w:bottom w:val="single" w:sz="4" w:space="0" w:color="auto"/>
              <w:right w:val="single" w:sz="4"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4</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pStyle w:val="BodyText2"/>
              <w:bidi w:val="0"/>
              <w:spacing w:after="0" w:line="240" w:lineRule="exact"/>
              <w:rPr>
                <w:rFonts w:ascii="Arial Narrow" w:hAnsi="Arial Narrow"/>
                <w:sz w:val="22"/>
                <w:szCs w:val="22"/>
              </w:rPr>
            </w:pPr>
            <w:r w:rsidRPr="00701A93">
              <w:rPr>
                <w:rFonts w:ascii="Arial Narrow" w:hAnsi="Arial Narrow"/>
                <w:sz w:val="22"/>
                <w:szCs w:val="22"/>
              </w:rPr>
              <w:t>5</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pStyle w:val="BodyText2"/>
              <w:bidi w:val="0"/>
              <w:spacing w:after="0" w:line="240" w:lineRule="exact"/>
              <w:rPr>
                <w:rFonts w:ascii="Arial Narrow" w:hAnsi="Arial Narrow"/>
                <w:sz w:val="22"/>
                <w:szCs w:val="22"/>
              </w:rPr>
            </w:pPr>
            <w:r w:rsidRPr="00701A93">
              <w:rPr>
                <w:rFonts w:ascii="Arial Narrow" w:hAnsi="Arial Narrow"/>
                <w:sz w:val="22"/>
                <w:szCs w:val="22"/>
              </w:rPr>
              <w:t>6</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7</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8</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9</w:t>
            </w:r>
          </w:p>
        </w:tc>
        <w:tc>
          <w:tcPr>
            <w:tcW w:w="1134"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Pr="00701A93">
              <w:rPr>
                <w:rFonts w:ascii="Arial Narrow" w:hAnsi="Arial Narrow"/>
                <w:sz w:val="22"/>
                <w:szCs w:val="22"/>
              </w:rPr>
              <w:t>10</w:t>
            </w:r>
          </w:p>
        </w:tc>
      </w:tr>
      <w:tr>
        <w:tblPrEx>
          <w:tblW w:w="15991"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Článok</w:t>
            </w:r>
          </w:p>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(Č, O,</w:t>
            </w:r>
          </w:p>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V, P)</w:t>
            </w:r>
          </w:p>
        </w:tc>
        <w:tc>
          <w:tcPr>
            <w:tcW w:w="4820"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Text</w:t>
            </w:r>
          </w:p>
        </w:tc>
        <w:tc>
          <w:tcPr>
            <w:tcW w:w="850"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Spôsob transp.</w:t>
            </w:r>
          </w:p>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(N, O, D, n.a.)</w:t>
            </w:r>
          </w:p>
        </w:tc>
        <w:tc>
          <w:tcPr>
            <w:tcW w:w="851" w:type="dxa"/>
            <w:tcBorders>
              <w:top w:val="single" w:sz="4" w:space="0" w:color="auto"/>
              <w:left w:val="nil"/>
              <w:bottom w:val="single" w:sz="4" w:space="0" w:color="auto"/>
              <w:right w:val="single" w:sz="4"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Číslo</w:t>
            </w:r>
          </w:p>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predpisu</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Článok (Č, §, O, V, P)</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Text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Zhoda</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Poznámky</w:t>
            </w: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rsidP="002314E9">
            <w:pPr>
              <w:pStyle w:val="Default"/>
              <w:bidi w:val="0"/>
              <w:spacing w:after="0" w:line="240" w:lineRule="auto"/>
              <w:jc w:val="center"/>
              <w:rPr>
                <w:rFonts w:ascii="Arial Narrow" w:hAnsi="Arial Narrow"/>
                <w:sz w:val="22"/>
                <w:szCs w:val="22"/>
              </w:rPr>
            </w:pPr>
            <w:r w:rsidRPr="00701A93">
              <w:rPr>
                <w:rFonts w:ascii="Arial Narrow" w:hAnsi="Arial Narrow"/>
                <w:sz w:val="22"/>
                <w:szCs w:val="22"/>
              </w:rPr>
              <w:t xml:space="preserve">Identifikácia goldplatingu </w:t>
            </w:r>
          </w:p>
          <w:p w:rsidR="002314E9" w:rsidRPr="00701A93">
            <w:pPr>
              <w:pStyle w:val="Normlny"/>
              <w:bidi w:val="0"/>
              <w:spacing w:after="0" w:line="240" w:lineRule="auto"/>
              <w:jc w:val="center"/>
              <w:rPr>
                <w:rFonts w:ascii="Arial Narrow" w:hAnsi="Arial Narrow"/>
                <w:sz w:val="22"/>
                <w:szCs w:val="22"/>
              </w:rPr>
            </w:pPr>
          </w:p>
        </w:tc>
        <w:tc>
          <w:tcPr>
            <w:tcW w:w="1134"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rsidP="002314E9">
            <w:pPr>
              <w:pStyle w:val="Default"/>
              <w:bidi w:val="0"/>
              <w:spacing w:after="0" w:line="240" w:lineRule="auto"/>
              <w:jc w:val="center"/>
              <w:rPr>
                <w:rFonts w:ascii="Arial Narrow" w:hAnsi="Arial Narrow"/>
                <w:sz w:val="22"/>
                <w:szCs w:val="22"/>
              </w:rPr>
            </w:pPr>
            <w:r w:rsidRPr="00701A93">
              <w:rPr>
                <w:rFonts w:ascii="Arial Narrow" w:hAnsi="Arial Narrow"/>
                <w:sz w:val="22"/>
                <w:szCs w:val="22"/>
              </w:rPr>
              <w:t xml:space="preserve">Identifikácia oblasti gold- platingu a vyjadrenie k </w:t>
            </w:r>
          </w:p>
          <w:p w:rsidR="002314E9" w:rsidRPr="00701A93" w:rsidP="002314E9">
            <w:pPr>
              <w:pStyle w:val="Normlny"/>
              <w:bidi w:val="0"/>
              <w:spacing w:after="0" w:line="240" w:lineRule="auto"/>
              <w:jc w:val="center"/>
              <w:rPr>
                <w:rFonts w:ascii="Arial Narrow" w:hAnsi="Arial Narrow"/>
                <w:sz w:val="22"/>
                <w:szCs w:val="22"/>
              </w:rPr>
            </w:pPr>
            <w:r w:rsidRPr="00701A93">
              <w:rPr>
                <w:rFonts w:ascii="Arial Narrow" w:hAnsi="Arial Narrow"/>
                <w:sz w:val="22"/>
                <w:szCs w:val="22"/>
              </w:rPr>
              <w:t>opodstatnenosti goldplatingu</w:t>
            </w:r>
          </w:p>
        </w:tc>
      </w:tr>
      <w:tr>
        <w:tblPrEx>
          <w:tblW w:w="15991" w:type="dxa"/>
          <w:tblInd w:w="-497" w:type="dxa"/>
          <w:tblLayout w:type="fixed"/>
          <w:tblCellMar>
            <w:left w:w="43" w:type="dxa"/>
            <w:right w:w="43" w:type="dxa"/>
          </w:tblCellMar>
        </w:tblPrEx>
        <w:trPr>
          <w:trHeight w:val="843"/>
        </w:trPr>
        <w:tc>
          <w:tcPr>
            <w:tcW w:w="540" w:type="dxa"/>
            <w:tcBorders>
              <w:top w:val="single" w:sz="4" w:space="0" w:color="auto"/>
              <w:left w:val="single" w:sz="12" w:space="0" w:color="auto"/>
              <w:bottom w:val="single" w:sz="4" w:space="0" w:color="auto"/>
              <w:right w:val="single" w:sz="4" w:space="0" w:color="auto"/>
            </w:tcBorders>
            <w:textDirection w:val="lrTb"/>
            <w:vAlign w:val="top"/>
          </w:tcPr>
          <w:p w:rsidR="002314E9" w:rsidRPr="00701A93" w:rsidP="00162F39">
            <w:pPr>
              <w:autoSpaceDE w:val="0"/>
              <w:autoSpaceDN w:val="0"/>
              <w:bidi w:val="0"/>
              <w:spacing w:before="0" w:beforeAutospacing="0" w:after="0" w:afterAutospacing="0" w:line="240" w:lineRule="auto"/>
              <w:jc w:val="center"/>
              <w:rPr>
                <w:rFonts w:ascii="Arial Narrow" w:hAnsi="Arial Narrow"/>
                <w:sz w:val="22"/>
                <w:szCs w:val="22"/>
              </w:rPr>
            </w:pPr>
            <w:r w:rsidRPr="00701A93" w:rsidR="00701A93">
              <w:rPr>
                <w:rFonts w:ascii="Arial Narrow" w:hAnsi="Arial Narrow"/>
                <w:sz w:val="22"/>
                <w:szCs w:val="22"/>
              </w:rPr>
              <w:t xml:space="preserve">Č. </w:t>
            </w:r>
            <w:r w:rsidR="002F6B61">
              <w:rPr>
                <w:rFonts w:ascii="Arial Narrow" w:hAnsi="Arial Narrow"/>
                <w:sz w:val="22"/>
                <w:szCs w:val="22"/>
              </w:rPr>
              <w:t>13e</w:t>
            </w:r>
          </w:p>
        </w:tc>
        <w:tc>
          <w:tcPr>
            <w:tcW w:w="4820" w:type="dxa"/>
            <w:tcBorders>
              <w:top w:val="single" w:sz="4" w:space="0" w:color="auto"/>
              <w:left w:val="single" w:sz="4" w:space="0" w:color="auto"/>
              <w:bottom w:val="single" w:sz="4" w:space="0" w:color="auto"/>
              <w:right w:val="single" w:sz="4" w:space="0" w:color="auto"/>
            </w:tcBorders>
            <w:textDirection w:val="lrTb"/>
            <w:vAlign w:val="top"/>
          </w:tcPr>
          <w:p w:rsidR="00701A93" w:rsidRPr="00701A93" w:rsidP="00701A93">
            <w:pPr>
              <w:pStyle w:val="Default"/>
              <w:bidi w:val="0"/>
              <w:spacing w:after="0" w:line="240" w:lineRule="auto"/>
              <w:rPr>
                <w:rFonts w:ascii="Arial Narrow" w:hAnsi="Arial Narrow"/>
                <w:sz w:val="22"/>
                <w:szCs w:val="22"/>
              </w:rPr>
            </w:pPr>
            <w:r w:rsidRPr="00701A93">
              <w:rPr>
                <w:rFonts w:ascii="Arial Narrow" w:hAnsi="Arial Narrow"/>
                <w:sz w:val="22"/>
                <w:szCs w:val="22"/>
              </w:rPr>
              <w:t>Ak si dokončenie postupu stanoveného v tejto kapitole vyžaduje platbu, členské štáty zabezpečia, aby sa uvedená platba mohla vykonať prostredníctvom široko dostupnej online platobnej služby, ktorú možno použiť na cezhraničné platby, ktorá umožní identifikáciu platiteľa a je poskytovaná finančnou inštitúciou alebo poskytovateľom platobných služieb usadenými v niektorom členskom štáte.</w:t>
            </w:r>
          </w:p>
          <w:p w:rsidR="002314E9" w:rsidRPr="00701A93" w:rsidP="00D83E5B">
            <w:pPr>
              <w:pStyle w:val="Default"/>
              <w:bidi w:val="0"/>
              <w:spacing w:after="0" w:line="240" w:lineRule="auto"/>
              <w:rPr>
                <w:rFonts w:ascii="Arial Narrow" w:hAnsi="Arial Narrow"/>
                <w:color w:val="auto"/>
                <w:sz w:val="22"/>
                <w:szCs w:val="22"/>
              </w:rPr>
            </w:pPr>
          </w:p>
        </w:tc>
        <w:tc>
          <w:tcPr>
            <w:tcW w:w="850"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00A75FE5">
              <w:rPr>
                <w:rFonts w:ascii="Arial Narrow" w:hAnsi="Arial Narrow"/>
                <w:sz w:val="22"/>
                <w:szCs w:val="22"/>
              </w:rPr>
              <w:t>N</w:t>
            </w:r>
          </w:p>
        </w:tc>
        <w:tc>
          <w:tcPr>
            <w:tcW w:w="851" w:type="dxa"/>
            <w:tcBorders>
              <w:top w:val="single" w:sz="4" w:space="0" w:color="auto"/>
              <w:left w:val="nil"/>
              <w:bottom w:val="single" w:sz="4" w:space="0" w:color="auto"/>
              <w:right w:val="single" w:sz="4" w:space="0" w:color="auto"/>
            </w:tcBorders>
            <w:textDirection w:val="lrTb"/>
            <w:vAlign w:val="top"/>
          </w:tcPr>
          <w:p w:rsidR="000A2A47">
            <w:pPr>
              <w:autoSpaceDE w:val="0"/>
              <w:autoSpaceDN w:val="0"/>
              <w:bidi w:val="0"/>
              <w:spacing w:before="0" w:beforeAutospacing="0" w:after="0" w:afterAutospacing="0" w:line="240" w:lineRule="auto"/>
              <w:jc w:val="center"/>
              <w:rPr>
                <w:rFonts w:ascii="Arial Narrow" w:hAnsi="Arial Narrow"/>
                <w:bCs/>
                <w:sz w:val="22"/>
                <w:szCs w:val="22"/>
              </w:rPr>
            </w:pPr>
            <w:r>
              <w:rPr>
                <w:rFonts w:ascii="Arial Narrow" w:hAnsi="Arial Narrow"/>
                <w:bCs/>
                <w:sz w:val="22"/>
                <w:szCs w:val="22"/>
              </w:rPr>
              <w:t>Návrh zákona</w:t>
            </w:r>
          </w:p>
          <w:p w:rsidR="000A2A47">
            <w:pPr>
              <w:autoSpaceDE w:val="0"/>
              <w:autoSpaceDN w:val="0"/>
              <w:bidi w:val="0"/>
              <w:spacing w:before="0" w:beforeAutospacing="0" w:after="0" w:afterAutospacing="0" w:line="240" w:lineRule="auto"/>
              <w:jc w:val="center"/>
              <w:rPr>
                <w:rFonts w:ascii="Arial Narrow" w:hAnsi="Arial Narrow"/>
                <w:bCs/>
                <w:sz w:val="22"/>
                <w:szCs w:val="22"/>
              </w:rPr>
            </w:pPr>
            <w:r>
              <w:rPr>
                <w:rFonts w:ascii="Arial Narrow" w:hAnsi="Arial Narrow"/>
                <w:bCs/>
                <w:sz w:val="22"/>
                <w:szCs w:val="22"/>
              </w:rPr>
              <w:t>Č: I</w:t>
            </w:r>
          </w:p>
          <w:p w:rsidR="002314E9" w:rsidRPr="0023116E">
            <w:pPr>
              <w:autoSpaceDE w:val="0"/>
              <w:autoSpaceDN w:val="0"/>
              <w:bidi w:val="0"/>
              <w:spacing w:before="0" w:beforeAutospacing="0" w:after="0" w:afterAutospacing="0" w:line="240" w:lineRule="auto"/>
              <w:jc w:val="center"/>
              <w:rPr>
                <w:rFonts w:ascii="Arial Narrow" w:hAnsi="Arial Narrow"/>
                <w:bCs/>
                <w:sz w:val="22"/>
                <w:szCs w:val="22"/>
              </w:rPr>
            </w:pPr>
            <w:r w:rsidR="000A2A47">
              <w:rPr>
                <w:rFonts w:ascii="Arial Narrow" w:hAnsi="Arial Narrow"/>
                <w:bCs/>
                <w:sz w:val="22"/>
                <w:szCs w:val="22"/>
              </w:rPr>
              <w:t>B: 1</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701A93" w:rsidRPr="00701A93" w:rsidP="00A47BED">
            <w:pPr>
              <w:pStyle w:val="Normlny"/>
              <w:bidi w:val="0"/>
              <w:spacing w:after="0" w:line="240" w:lineRule="auto"/>
              <w:rPr>
                <w:rFonts w:ascii="Arial Narrow" w:hAnsi="Arial Narrow"/>
                <w:sz w:val="22"/>
                <w:szCs w:val="22"/>
              </w:rPr>
            </w:pPr>
            <w:r w:rsidRPr="00701A93">
              <w:rPr>
                <w:rFonts w:ascii="Arial Narrow" w:hAnsi="Arial Narrow"/>
                <w:sz w:val="22"/>
                <w:szCs w:val="22"/>
              </w:rPr>
              <w:t>§ 9</w:t>
            </w:r>
          </w:p>
          <w:p w:rsidR="00701A93" w:rsidRPr="00701A93" w:rsidP="00A47BED">
            <w:pPr>
              <w:pStyle w:val="Normlny"/>
              <w:bidi w:val="0"/>
              <w:spacing w:after="0" w:line="240" w:lineRule="auto"/>
              <w:rPr>
                <w:rFonts w:ascii="Arial Narrow" w:hAnsi="Arial Narrow"/>
                <w:sz w:val="22"/>
                <w:szCs w:val="22"/>
              </w:rPr>
            </w:pPr>
            <w:r w:rsidRPr="00701A93">
              <w:rPr>
                <w:rFonts w:ascii="Arial Narrow" w:hAnsi="Arial Narrow"/>
                <w:sz w:val="22"/>
                <w:szCs w:val="22"/>
              </w:rPr>
              <w:t>O 3</w:t>
            </w: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p>
          <w:p w:rsidR="00701A93" w:rsidRPr="00701A93" w:rsidP="00701A93">
            <w:pPr>
              <w:pStyle w:val="Normlny"/>
              <w:bidi w:val="0"/>
              <w:spacing w:after="0" w:line="240" w:lineRule="auto"/>
              <w:rPr>
                <w:rFonts w:ascii="Arial Narrow" w:hAnsi="Arial Narrow"/>
                <w:sz w:val="22"/>
                <w:szCs w:val="22"/>
              </w:rPr>
            </w:pPr>
            <w:r w:rsidRPr="00701A93">
              <w:rPr>
                <w:rFonts w:ascii="Arial Narrow" w:hAnsi="Arial Narrow"/>
                <w:sz w:val="22"/>
                <w:szCs w:val="22"/>
              </w:rPr>
              <w:t>§ 9</w:t>
            </w:r>
          </w:p>
          <w:p w:rsidR="00701A93" w:rsidP="00701A93">
            <w:pPr>
              <w:pStyle w:val="Normlny"/>
              <w:bidi w:val="0"/>
              <w:spacing w:after="0" w:line="240" w:lineRule="auto"/>
              <w:rPr>
                <w:rFonts w:ascii="Arial Narrow" w:hAnsi="Arial Narrow"/>
                <w:sz w:val="22"/>
                <w:szCs w:val="22"/>
              </w:rPr>
            </w:pPr>
            <w:r w:rsidRPr="00701A93">
              <w:rPr>
                <w:rFonts w:ascii="Arial Narrow" w:hAnsi="Arial Narrow"/>
                <w:sz w:val="22"/>
                <w:szCs w:val="22"/>
              </w:rPr>
              <w:t>O</w:t>
            </w:r>
            <w:r w:rsidR="0023116E">
              <w:rPr>
                <w:rFonts w:ascii="Arial Narrow" w:hAnsi="Arial Narrow"/>
                <w:sz w:val="22"/>
                <w:szCs w:val="22"/>
              </w:rPr>
              <w:t> </w:t>
            </w:r>
            <w:r w:rsidRPr="00701A93">
              <w:rPr>
                <w:rFonts w:ascii="Arial Narrow" w:hAnsi="Arial Narrow"/>
                <w:sz w:val="22"/>
                <w:szCs w:val="22"/>
              </w:rPr>
              <w:t>4</w:t>
            </w: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P="00701A93">
            <w:pPr>
              <w:pStyle w:val="Normlny"/>
              <w:bidi w:val="0"/>
              <w:spacing w:after="0" w:line="240" w:lineRule="auto"/>
              <w:rPr>
                <w:rFonts w:ascii="Arial Narrow" w:hAnsi="Arial Narrow"/>
                <w:sz w:val="22"/>
                <w:szCs w:val="22"/>
              </w:rPr>
            </w:pPr>
          </w:p>
          <w:p w:rsidR="0023116E" w:rsidRPr="00701A93" w:rsidP="0023116E">
            <w:pPr>
              <w:pStyle w:val="Normlny"/>
              <w:bidi w:val="0"/>
              <w:spacing w:after="0" w:line="240" w:lineRule="auto"/>
              <w:rPr>
                <w:rFonts w:ascii="Arial Narrow" w:hAnsi="Arial Narrow"/>
                <w:sz w:val="22"/>
                <w:szCs w:val="22"/>
              </w:rPr>
            </w:pPr>
          </w:p>
          <w:p w:rsidR="0023116E" w:rsidRPr="00701A93" w:rsidP="0023116E">
            <w:pPr>
              <w:pStyle w:val="Normlny"/>
              <w:bidi w:val="0"/>
              <w:spacing w:after="0" w:line="240" w:lineRule="auto"/>
              <w:rPr>
                <w:rFonts w:ascii="Arial Narrow" w:hAnsi="Arial Narrow"/>
                <w:sz w:val="22"/>
                <w:szCs w:val="22"/>
              </w:rPr>
            </w:pPr>
            <w:r w:rsidRPr="00701A93">
              <w:rPr>
                <w:rFonts w:ascii="Arial Narrow" w:hAnsi="Arial Narrow"/>
                <w:sz w:val="22"/>
                <w:szCs w:val="22"/>
              </w:rPr>
              <w:t>§ 9</w:t>
            </w:r>
          </w:p>
          <w:p w:rsidR="0023116E" w:rsidRPr="00701A93" w:rsidP="0023116E">
            <w:pPr>
              <w:pStyle w:val="Normlny"/>
              <w:bidi w:val="0"/>
              <w:spacing w:after="0" w:line="240" w:lineRule="auto"/>
              <w:rPr>
                <w:rFonts w:ascii="Arial Narrow" w:hAnsi="Arial Narrow"/>
                <w:sz w:val="22"/>
                <w:szCs w:val="22"/>
              </w:rPr>
            </w:pPr>
            <w:r w:rsidRPr="00701A93">
              <w:rPr>
                <w:rFonts w:ascii="Arial Narrow" w:hAnsi="Arial Narrow"/>
                <w:sz w:val="22"/>
                <w:szCs w:val="22"/>
              </w:rPr>
              <w:t xml:space="preserve">O </w:t>
            </w:r>
            <w:r>
              <w:rPr>
                <w:rFonts w:ascii="Arial Narrow" w:hAnsi="Arial Narrow"/>
                <w:sz w:val="22"/>
                <w:szCs w:val="22"/>
              </w:rPr>
              <w:t>7</w:t>
            </w: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2314E9" w:rsidP="003D5A11">
            <w:pPr>
              <w:bidi w:val="0"/>
              <w:spacing w:before="0" w:beforeAutospacing="0" w:after="0" w:afterAutospacing="0" w:line="240" w:lineRule="auto"/>
              <w:jc w:val="both"/>
              <w:rPr>
                <w:rFonts w:ascii="Arial Narrow" w:hAnsi="Arial Narrow"/>
              </w:rPr>
            </w:pPr>
            <w:r w:rsidRPr="003D5A11" w:rsidR="003D5A11">
              <w:rPr>
                <w:rFonts w:ascii="Arial Narrow" w:hAnsi="Arial Narrow"/>
              </w:rPr>
              <w:t>Spôsoby úhrady prostredníctvom centrálneho systému evidencie poplatkov prevádzkovateľa systému sú hotovosť, platobná karta, poštový poukaz, bezhotovostný prevod z</w:t>
            </w:r>
            <w:r w:rsidR="003D5A11">
              <w:rPr>
                <w:rFonts w:ascii="Arial Narrow" w:hAnsi="Arial Narrow"/>
              </w:rPr>
              <w:t> </w:t>
            </w:r>
            <w:r w:rsidRPr="003D5A11" w:rsidR="003D5A11">
              <w:rPr>
                <w:rFonts w:ascii="Arial Narrow" w:hAnsi="Arial Narrow"/>
              </w:rPr>
              <w:t>účtu</w:t>
            </w:r>
            <w:r w:rsidR="003D5A11">
              <w:rPr>
                <w:rFonts w:ascii="Arial Narrow" w:hAnsi="Arial Narrow"/>
              </w:rPr>
              <w:t xml:space="preserve"> </w:t>
            </w:r>
            <w:r w:rsidRPr="003D5A11" w:rsidR="003D5A11">
              <w:rPr>
                <w:rFonts w:ascii="Arial Narrow" w:hAnsi="Arial Narrow"/>
              </w:rPr>
              <w:t>vedeného u poskytovateľa platobných služieb.</w:t>
            </w:r>
            <w:r w:rsidRPr="00616EAC" w:rsidR="00616EAC">
              <w:rPr>
                <w:rFonts w:ascii="Arial Narrow" w:hAnsi="Arial Narrow"/>
                <w:vertAlign w:val="superscript"/>
              </w:rPr>
              <w:t>5aac</w:t>
            </w:r>
            <w:r w:rsidR="00616EAC">
              <w:rPr>
                <w:rFonts w:ascii="Arial Narrow" w:hAnsi="Arial Narrow"/>
              </w:rPr>
              <w:t>)</w:t>
            </w:r>
            <w:r w:rsidRPr="003D5A11" w:rsidR="003D5A11">
              <w:rPr>
                <w:rFonts w:ascii="Arial Narrow" w:hAnsi="Arial Narrow"/>
              </w:rPr>
              <w:t xml:space="preserve"> Na vykonanie platby sa použije technické zariadenie prevádzkovateľa systému, platobná brána alebo platobný predpis podľa odseku 6. Poplatky sa platia na účet prevádzkovateľa systému. Platbu v hotovosti alebo platobnou kartou na súde, orgáne štátnej správy súdov alebo orgáne prokuratúry možno vykonať, ak tento orgán má na tento spôsob platby vytvorené technické podmienky. Poplatky možno platiť aj prostredníctvom jednotného kontaktného miesta,</w:t>
            </w:r>
            <w:r w:rsidRPr="003D5A11" w:rsidR="003D5A11">
              <w:rPr>
                <w:rFonts w:ascii="Arial Narrow" w:hAnsi="Arial Narrow"/>
                <w:vertAlign w:val="superscript"/>
              </w:rPr>
              <w:t>3a</w:t>
            </w:r>
            <w:r w:rsidRPr="003D5A11" w:rsidR="003D5A11">
              <w:rPr>
                <w:rFonts w:ascii="Arial Narrow" w:hAnsi="Arial Narrow"/>
              </w:rPr>
              <w:t>) alebo osvedčujúcej osoby.</w:t>
            </w:r>
            <w:r w:rsidRPr="003D5A11" w:rsidR="003D5A11">
              <w:rPr>
                <w:rFonts w:ascii="Arial Narrow" w:hAnsi="Arial Narrow"/>
                <w:vertAlign w:val="superscript"/>
              </w:rPr>
              <w:t>5ac</w:t>
            </w:r>
            <w:r w:rsidRPr="003D5A11" w:rsidR="003D5A11">
              <w:rPr>
                <w:rFonts w:ascii="Arial Narrow" w:hAnsi="Arial Narrow"/>
              </w:rPr>
              <w:t>) Ak sa vo veci spoplatneného úkonu alebo konania komunikuje elektronicky prostredníctvom ústredného portálu verejnej správy,</w:t>
            </w:r>
            <w:r w:rsidRPr="003D5A11" w:rsidR="003D5A11">
              <w:rPr>
                <w:rFonts w:ascii="Arial Narrow" w:hAnsi="Arial Narrow"/>
                <w:vertAlign w:val="superscript"/>
              </w:rPr>
              <w:t>5ae</w:t>
            </w:r>
            <w:r w:rsidRPr="003D5A11" w:rsidR="003D5A11">
              <w:rPr>
                <w:rFonts w:ascii="Arial Narrow" w:hAnsi="Arial Narrow"/>
              </w:rPr>
              <w:t>) špecializovaného portálu</w:t>
            </w:r>
            <w:r w:rsidRPr="003D5A11" w:rsidR="003D5A11">
              <w:rPr>
                <w:rFonts w:ascii="Arial Narrow" w:hAnsi="Arial Narrow"/>
                <w:vertAlign w:val="superscript"/>
              </w:rPr>
              <w:t>5af</w:t>
            </w:r>
            <w:r w:rsidRPr="003D5A11" w:rsidR="003D5A11">
              <w:rPr>
                <w:rFonts w:ascii="Arial Narrow" w:hAnsi="Arial Narrow"/>
              </w:rPr>
              <w:t>) alebo osvedčujúcej osoby, súd, orgán štátnej správy súdov a</w:t>
            </w:r>
            <w:r w:rsidR="003D5A11">
              <w:rPr>
                <w:rFonts w:ascii="Arial Narrow" w:hAnsi="Arial Narrow"/>
              </w:rPr>
              <w:t> </w:t>
            </w:r>
            <w:r w:rsidRPr="003D5A11" w:rsidR="003D5A11">
              <w:rPr>
                <w:rFonts w:ascii="Arial Narrow" w:hAnsi="Arial Narrow"/>
              </w:rPr>
              <w:t>orgán</w:t>
            </w:r>
            <w:r w:rsidR="003D5A11">
              <w:rPr>
                <w:rFonts w:ascii="Arial Narrow" w:hAnsi="Arial Narrow"/>
              </w:rPr>
              <w:t xml:space="preserve"> </w:t>
            </w:r>
            <w:r w:rsidRPr="003D5A11" w:rsidR="003D5A11">
              <w:rPr>
                <w:rFonts w:ascii="Arial Narrow" w:hAnsi="Arial Narrow"/>
              </w:rPr>
              <w:t>prokuratúry, umožní poplatníkovi zaplatiť poplatky platobnou kartou alebo bezhotovostným prevodom z účtu vedeného u poskytovateľa platobných služieb prostredníctvom centrálneho systému evidencie poplatkov prevádzkovateľa systému a na účet prevádzkovateľa systému.</w:t>
            </w:r>
          </w:p>
          <w:p w:rsidR="003D5A11" w:rsidRPr="00701A93" w:rsidP="003D5A11">
            <w:pPr>
              <w:bidi w:val="0"/>
              <w:spacing w:before="0" w:beforeAutospacing="0" w:after="0" w:afterAutospacing="0" w:line="240" w:lineRule="auto"/>
              <w:jc w:val="both"/>
              <w:rPr>
                <w:rFonts w:ascii="Arial Narrow" w:hAnsi="Arial Narrow"/>
              </w:rPr>
            </w:pPr>
          </w:p>
          <w:p w:rsidR="003D5A11" w:rsidP="003D5A11">
            <w:pPr>
              <w:bidi w:val="0"/>
              <w:spacing w:before="0" w:beforeAutospacing="0" w:after="0" w:afterAutospacing="0" w:line="240" w:lineRule="auto"/>
              <w:ind w:firstLine="1"/>
              <w:jc w:val="both"/>
              <w:rPr>
                <w:rFonts w:ascii="Arial Narrow" w:hAnsi="Arial Narrow"/>
              </w:rPr>
            </w:pPr>
            <w:r w:rsidRPr="003D5A11">
              <w:rPr>
                <w:rFonts w:ascii="Arial Narrow" w:hAnsi="Arial Narrow"/>
              </w:rPr>
              <w:t>Spôsoby úhrady prostredníctvom centrálneho systému evidencie poplatkov Štátnej pokladnice sú hotovosť, platobná karta, poštový poukaz, bezhotovostný prevod z</w:t>
            </w:r>
            <w:r>
              <w:rPr>
                <w:rFonts w:ascii="Arial Narrow" w:hAnsi="Arial Narrow"/>
              </w:rPr>
              <w:t> </w:t>
            </w:r>
            <w:r w:rsidRPr="003D5A11">
              <w:rPr>
                <w:rFonts w:ascii="Arial Narrow" w:hAnsi="Arial Narrow"/>
              </w:rPr>
              <w:t>účtu</w:t>
            </w:r>
            <w:r>
              <w:rPr>
                <w:rFonts w:ascii="Arial Narrow" w:hAnsi="Arial Narrow"/>
              </w:rPr>
              <w:t xml:space="preserve"> </w:t>
            </w:r>
            <w:r w:rsidRPr="003D5A11">
              <w:rPr>
                <w:rFonts w:ascii="Arial Narrow" w:hAnsi="Arial Narrow"/>
              </w:rPr>
              <w:t>vedeného u poskytovateľa platobných služieb. Na vykonanie platby sa použije technické zariadenie Štátnej pokladnice, platobná brána Štátnej pokladnice</w:t>
            </w:r>
            <w:r w:rsidRPr="003D5A11">
              <w:rPr>
                <w:rFonts w:ascii="Arial Narrow" w:hAnsi="Arial Narrow"/>
                <w:vertAlign w:val="superscript"/>
              </w:rPr>
              <w:t>5ab</w:t>
            </w:r>
            <w:r w:rsidRPr="003D5A11">
              <w:rPr>
                <w:rFonts w:ascii="Arial Narrow" w:hAnsi="Arial Narrow"/>
              </w:rPr>
              <w:t>) alebo platobný predpis podľa odseku 6. Poplatky sa platia na účet vedený v Štátnej pokladnici. Platbu v hotovosti alebo platobnou kartou na súde, orgáne štátnej správy súdov alebo orgáne prokuratúry možno vykonať, ak tento orgán má na tento spôsob platby vytvorené technické podmienky. Ak sa vo veci spoplatneného úkonu alebo konania komunikuje elektronicky prostredníctvom ústredného portálu verejnej správy, špecializovaného portálu alebo osvedčujúcej osoby, súd, orgán štátnej správy súdov a orgán prokuratúry umožní poplatníkovi zaplatiť poplatky platobnou kartou alebo bezhotovostným prevodom z účtu vedeného u poskytovateľa platobných služieb prostredníctvom centrálneho systému evidencie poplatkov Štátnej pokladnice a na účet vedený v</w:t>
            </w:r>
            <w:r>
              <w:rPr>
                <w:rFonts w:ascii="Arial Narrow" w:hAnsi="Arial Narrow"/>
              </w:rPr>
              <w:t> </w:t>
            </w:r>
            <w:r w:rsidRPr="003D5A11">
              <w:rPr>
                <w:rFonts w:ascii="Arial Narrow" w:hAnsi="Arial Narrow"/>
              </w:rPr>
              <w:t>Štátnej</w:t>
            </w:r>
            <w:r>
              <w:rPr>
                <w:rFonts w:ascii="Arial Narrow" w:hAnsi="Arial Narrow"/>
              </w:rPr>
              <w:t xml:space="preserve"> </w:t>
            </w:r>
            <w:r w:rsidRPr="003D5A11">
              <w:rPr>
                <w:rFonts w:ascii="Arial Narrow" w:hAnsi="Arial Narrow"/>
              </w:rPr>
              <w:t>pokladnici.</w:t>
            </w:r>
          </w:p>
          <w:p w:rsidR="003D5A11" w:rsidP="003D5A11">
            <w:pPr>
              <w:bidi w:val="0"/>
              <w:spacing w:before="0" w:beforeAutospacing="0" w:after="0" w:afterAutospacing="0" w:line="240" w:lineRule="auto"/>
              <w:ind w:firstLine="1"/>
              <w:jc w:val="both"/>
              <w:rPr>
                <w:rFonts w:ascii="Arial Narrow" w:hAnsi="Arial Narrow"/>
              </w:rPr>
            </w:pPr>
          </w:p>
          <w:p w:rsidR="0023116E" w:rsidRPr="00701A93" w:rsidP="003D5A11">
            <w:pPr>
              <w:bidi w:val="0"/>
              <w:spacing w:before="0" w:beforeAutospacing="0" w:after="0" w:afterAutospacing="0" w:line="240" w:lineRule="auto"/>
              <w:ind w:firstLine="1"/>
              <w:jc w:val="both"/>
              <w:rPr>
                <w:rFonts w:ascii="Arial Narrow" w:hAnsi="Arial Narrow"/>
              </w:rPr>
            </w:pPr>
            <w:r w:rsidRPr="003D5A11" w:rsidR="003D5A11">
              <w:rPr>
                <w:rFonts w:ascii="Arial Narrow" w:hAnsi="Arial Narrow"/>
              </w:rPr>
              <w:t>Ak nastane nepredvídané a výnimočné prerušenie prevádzky centrálneho systému evidencie poplatkov prevádzkovateľa systému alebo centrálneho systému evidencie poplatkov Štátnej pokladnice trvajúce dlhšie ako tri pracovné dni, poplatky sa platia priamo na účet vedený v</w:t>
            </w:r>
            <w:r w:rsidR="003D5A11">
              <w:rPr>
                <w:rFonts w:ascii="Arial Narrow" w:hAnsi="Arial Narrow"/>
              </w:rPr>
              <w:t> </w:t>
            </w:r>
            <w:r w:rsidRPr="003D5A11" w:rsidR="003D5A11">
              <w:rPr>
                <w:rFonts w:ascii="Arial Narrow" w:hAnsi="Arial Narrow"/>
              </w:rPr>
              <w:t>Štátnej</w:t>
            </w:r>
            <w:r w:rsidR="003D5A11">
              <w:rPr>
                <w:rFonts w:ascii="Arial Narrow" w:hAnsi="Arial Narrow"/>
              </w:rPr>
              <w:t xml:space="preserve"> </w:t>
            </w:r>
            <w:r w:rsidRPr="003D5A11" w:rsidR="003D5A11">
              <w:rPr>
                <w:rFonts w:ascii="Arial Narrow" w:hAnsi="Arial Narrow"/>
              </w:rPr>
              <w:t>pokladnici. Ministerstvo financií Slovenskej republiky (ďalej len „ministerstvo financií“) oznámi túto skutočnosť na svojom webovom sídle alebo prostredníctvom masovokomunikačných prostriedkov</w:t>
            </w:r>
            <w:r w:rsidR="003D5A11">
              <w:rPr>
                <w:rFonts w:ascii="Arial Narrow" w:hAnsi="Arial Narrow"/>
              </w:rPr>
              <w:t>.</w:t>
            </w: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r w:rsidR="008D0941">
              <w:rPr>
                <w:rFonts w:ascii="Arial Narrow" w:hAnsi="Arial Narrow"/>
                <w:sz w:val="22"/>
                <w:szCs w:val="22"/>
              </w:rPr>
              <w:t>Ú</w:t>
            </w: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Heading1"/>
              <w:bidi w:val="0"/>
              <w:spacing w:after="0" w:line="240" w:lineRule="auto"/>
              <w:rPr>
                <w:rFonts w:ascii="Arial Narrow" w:hAnsi="Arial Narrow"/>
                <w:b w:val="0"/>
                <w:bCs w:val="0"/>
                <w:sz w:val="22"/>
                <w:szCs w:val="22"/>
              </w:rPr>
            </w:pP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Heading1"/>
              <w:bidi w:val="0"/>
              <w:spacing w:after="0" w:line="240" w:lineRule="auto"/>
              <w:rPr>
                <w:rFonts w:ascii="Arial Narrow" w:hAnsi="Arial Narrow"/>
                <w:b w:val="0"/>
                <w:bCs w:val="0"/>
                <w:sz w:val="22"/>
                <w:szCs w:val="22"/>
              </w:rPr>
            </w:pPr>
            <w:r w:rsidR="00080BE1">
              <w:rPr>
                <w:rFonts w:ascii="Arial Narrow" w:hAnsi="Arial Narrow"/>
                <w:b w:val="0"/>
                <w:bCs w:val="0"/>
                <w:sz w:val="22"/>
                <w:szCs w:val="22"/>
              </w:rPr>
              <w:t>GP-N</w:t>
            </w:r>
          </w:p>
        </w:tc>
        <w:tc>
          <w:tcPr>
            <w:tcW w:w="1134"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Heading1"/>
              <w:bidi w:val="0"/>
              <w:spacing w:after="0" w:line="240" w:lineRule="auto"/>
              <w:rPr>
                <w:rFonts w:ascii="Arial Narrow" w:hAnsi="Arial Narrow"/>
                <w:b w:val="0"/>
                <w:bCs w:val="0"/>
                <w:sz w:val="22"/>
                <w:szCs w:val="22"/>
              </w:rPr>
            </w:pPr>
          </w:p>
        </w:tc>
      </w:tr>
      <w:tr>
        <w:tblPrEx>
          <w:tblW w:w="15991" w:type="dxa"/>
          <w:tblInd w:w="-497" w:type="dxa"/>
          <w:tblLayout w:type="fixed"/>
          <w:tblCellMar>
            <w:left w:w="43" w:type="dxa"/>
            <w:right w:w="43" w:type="dxa"/>
          </w:tblCellMar>
        </w:tblPrEx>
        <w:tc>
          <w:tcPr>
            <w:tcW w:w="540" w:type="dxa"/>
            <w:tcBorders>
              <w:top w:val="single" w:sz="4" w:space="0" w:color="auto"/>
              <w:left w:val="single" w:sz="12" w:space="0" w:color="auto"/>
              <w:bottom w:val="single" w:sz="4" w:space="0" w:color="auto"/>
              <w:right w:val="single" w:sz="4" w:space="0" w:color="auto"/>
            </w:tcBorders>
            <w:textDirection w:val="lrTb"/>
            <w:vAlign w:val="top"/>
          </w:tcPr>
          <w:p w:rsidR="002314E9" w:rsidRPr="00701A93" w:rsidP="00162F39">
            <w:pPr>
              <w:autoSpaceDE w:val="0"/>
              <w:autoSpaceDN w:val="0"/>
              <w:bidi w:val="0"/>
              <w:spacing w:before="0" w:beforeAutospacing="0" w:after="0" w:afterAutospacing="0" w:line="240" w:lineRule="auto"/>
              <w:jc w:val="center"/>
              <w:rPr>
                <w:rFonts w:ascii="Arial Narrow" w:hAnsi="Arial Narrow"/>
                <w:sz w:val="22"/>
                <w:szCs w:val="22"/>
              </w:rPr>
            </w:pPr>
          </w:p>
        </w:tc>
        <w:tc>
          <w:tcPr>
            <w:tcW w:w="4820" w:type="dxa"/>
            <w:tcBorders>
              <w:top w:val="single" w:sz="4" w:space="0" w:color="auto"/>
              <w:left w:val="single" w:sz="4" w:space="0" w:color="auto"/>
              <w:bottom w:val="single" w:sz="4" w:space="0" w:color="auto"/>
              <w:right w:val="single" w:sz="4" w:space="0" w:color="auto"/>
            </w:tcBorders>
            <w:textDirection w:val="lrTb"/>
            <w:vAlign w:val="top"/>
          </w:tcPr>
          <w:p w:rsidR="002314E9" w:rsidRPr="0023116E" w:rsidP="00D83E5B">
            <w:pPr>
              <w:pStyle w:val="Default"/>
              <w:bidi w:val="0"/>
              <w:spacing w:after="0" w:line="240" w:lineRule="auto"/>
              <w:rPr>
                <w:rFonts w:ascii="Arial Narrow" w:hAnsi="Arial Narrow"/>
                <w:sz w:val="22"/>
                <w:szCs w:val="22"/>
              </w:rPr>
            </w:pPr>
          </w:p>
        </w:tc>
        <w:tc>
          <w:tcPr>
            <w:tcW w:w="850"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p>
        </w:tc>
        <w:tc>
          <w:tcPr>
            <w:tcW w:w="851" w:type="dxa"/>
            <w:tcBorders>
              <w:top w:val="single" w:sz="4" w:space="0" w:color="auto"/>
              <w:left w:val="nil"/>
              <w:bottom w:val="single" w:sz="4" w:space="0" w:color="auto"/>
              <w:right w:val="single" w:sz="4" w:space="0" w:color="auto"/>
            </w:tcBorders>
            <w:textDirection w:val="lrTb"/>
            <w:vAlign w:val="top"/>
          </w:tcPr>
          <w:p w:rsidR="002314E9" w:rsidRPr="00701A93" w:rsidP="007515D8">
            <w:pPr>
              <w:autoSpaceDE w:val="0"/>
              <w:autoSpaceDN w:val="0"/>
              <w:bidi w:val="0"/>
              <w:spacing w:before="0" w:beforeAutospacing="0" w:after="0" w:afterAutospacing="0" w:line="240" w:lineRule="auto"/>
              <w:jc w:val="center"/>
              <w:rPr>
                <w:rFonts w:ascii="Arial Narrow" w:hAnsi="Arial Narrow"/>
                <w:b/>
                <w:sz w:val="22"/>
                <w:szCs w:val="22"/>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rsidP="00162F39">
            <w:pPr>
              <w:pStyle w:val="Normlny"/>
              <w:bidi w:val="0"/>
              <w:spacing w:after="0" w:line="240" w:lineRule="auto"/>
              <w:rPr>
                <w:rFonts w:ascii="Arial Narrow" w:hAnsi="Arial Narrow"/>
                <w:sz w:val="22"/>
                <w:szCs w:val="22"/>
              </w:rPr>
            </w:pPr>
          </w:p>
        </w:tc>
        <w:tc>
          <w:tcPr>
            <w:tcW w:w="5386"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rsidP="00D205AC">
            <w:pPr>
              <w:pStyle w:val="Normlny"/>
              <w:bidi w:val="0"/>
              <w:spacing w:after="0" w:line="240" w:lineRule="auto"/>
              <w:jc w:val="both"/>
              <w:rPr>
                <w:rFonts w:ascii="Arial Narrow" w:hAnsi="Arial Narrow"/>
                <w:sz w:val="22"/>
                <w:szCs w:val="22"/>
              </w:rPr>
            </w:pPr>
          </w:p>
        </w:tc>
        <w:tc>
          <w:tcPr>
            <w:tcW w:w="567" w:type="dxa"/>
            <w:tcBorders>
              <w:top w:val="single" w:sz="4" w:space="0" w:color="auto"/>
              <w:left w:val="single" w:sz="4" w:space="0" w:color="auto"/>
              <w:bottom w:val="single" w:sz="4" w:space="0" w:color="auto"/>
              <w:right w:val="single" w:sz="4" w:space="0" w:color="auto"/>
            </w:tcBorders>
            <w:textDirection w:val="lrTb"/>
            <w:vAlign w:val="top"/>
          </w:tcPr>
          <w:p w:rsidR="002314E9" w:rsidRPr="00701A93">
            <w:pPr>
              <w:autoSpaceDE w:val="0"/>
              <w:autoSpaceDN w:val="0"/>
              <w:bidi w:val="0"/>
              <w:spacing w:before="0" w:beforeAutospacing="0" w:after="0" w:afterAutospacing="0" w:line="240" w:lineRule="auto"/>
              <w:jc w:val="center"/>
              <w:rPr>
                <w:rFonts w:ascii="Arial Narrow" w:hAnsi="Arial Narrow"/>
                <w:sz w:val="22"/>
                <w:szCs w:val="22"/>
              </w:rPr>
            </w:pPr>
          </w:p>
        </w:tc>
        <w:tc>
          <w:tcPr>
            <w:tcW w:w="567"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Heading1"/>
              <w:bidi w:val="0"/>
              <w:spacing w:after="0" w:line="240" w:lineRule="auto"/>
              <w:rPr>
                <w:rFonts w:ascii="Arial Narrow" w:hAnsi="Arial Narrow"/>
                <w:b w:val="0"/>
                <w:bCs w:val="0"/>
                <w:sz w:val="22"/>
                <w:szCs w:val="22"/>
              </w:rPr>
            </w:pPr>
          </w:p>
        </w:tc>
        <w:tc>
          <w:tcPr>
            <w:tcW w:w="709"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Heading1"/>
              <w:bidi w:val="0"/>
              <w:spacing w:after="0" w:line="240" w:lineRule="auto"/>
              <w:rPr>
                <w:rFonts w:ascii="Arial Narrow" w:hAnsi="Arial Narrow"/>
                <w:b w:val="0"/>
                <w:bCs w:val="0"/>
                <w:sz w:val="22"/>
                <w:szCs w:val="22"/>
              </w:rPr>
            </w:pPr>
          </w:p>
        </w:tc>
        <w:tc>
          <w:tcPr>
            <w:tcW w:w="1134" w:type="dxa"/>
            <w:tcBorders>
              <w:top w:val="single" w:sz="4" w:space="0" w:color="auto"/>
              <w:left w:val="single" w:sz="4" w:space="0" w:color="auto"/>
              <w:bottom w:val="single" w:sz="4" w:space="0" w:color="auto"/>
              <w:right w:val="single" w:sz="12" w:space="0" w:color="auto"/>
            </w:tcBorders>
            <w:textDirection w:val="lrTb"/>
            <w:vAlign w:val="top"/>
          </w:tcPr>
          <w:p w:rsidR="002314E9" w:rsidRPr="00701A93">
            <w:pPr>
              <w:pStyle w:val="Heading1"/>
              <w:bidi w:val="0"/>
              <w:spacing w:after="0" w:line="240" w:lineRule="auto"/>
              <w:rPr>
                <w:rFonts w:ascii="Arial Narrow" w:hAnsi="Arial Narrow"/>
                <w:b w:val="0"/>
                <w:bCs w:val="0"/>
                <w:sz w:val="22"/>
                <w:szCs w:val="22"/>
              </w:rPr>
            </w:pPr>
          </w:p>
        </w:tc>
      </w:tr>
    </w:tbl>
    <w:p w:rsidR="00DA4CD9" w:rsidRPr="00701A93" w:rsidP="00DA4CD9">
      <w:pPr>
        <w:pStyle w:val="Header"/>
        <w:tabs>
          <w:tab w:val="clear" w:pos="4536"/>
          <w:tab w:val="clear" w:pos="9072"/>
        </w:tabs>
        <w:autoSpaceDE/>
        <w:autoSpaceDN/>
        <w:bidi w:val="0"/>
        <w:rPr>
          <w:rFonts w:ascii="Arial Narrow" w:hAnsi="Arial Narrow"/>
          <w:sz w:val="22"/>
          <w:szCs w:val="22"/>
        </w:rPr>
      </w:pPr>
    </w:p>
    <w:sectPr>
      <w:footerReference w:type="default" r:id="rId4"/>
      <w:pgSz w:w="16838" w:h="11906" w:orient="landscape" w:code="9"/>
      <w:pgMar w:top="851" w:right="851" w:bottom="851" w:left="851"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EE"/>
    <w:family w:val="roman"/>
    <w:pitch w:val="variable"/>
    <w:sig w:usb0="00000000" w:usb1="00000000" w:usb2="00000000" w:usb3="00000000" w:csb0="000001FF" w:csb1="00000000"/>
  </w:font>
  <w:font w:name="Courier New">
    <w:altName w:val="Courier New"/>
    <w:panose1 w:val="02070309020205020404"/>
    <w:charset w:val="EE"/>
    <w:family w:val="modern"/>
    <w:pitch w:val="fixed"/>
    <w:sig w:usb0="00000000" w:usb1="00000000" w:usb2="00000000" w:usb3="00000000" w:csb0="000001FF" w:csb1="00000000"/>
  </w:font>
  <w:font w:name="Symbol">
    <w:altName w:val="Symbol"/>
    <w:panose1 w:val="05050102010706020507"/>
    <w:charset w:val="02"/>
    <w:family w:val="roman"/>
    <w:pitch w:val="variable"/>
    <w:sig w:usb0="00000000" w:usb1="00000000" w:usb2="00000000" w:usb3="00000000" w:csb0="80000000" w:csb1="00000000"/>
  </w:font>
  <w:font w:name="Wingdings">
    <w:altName w:val="Symbol"/>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Narrow">
    <w:altName w:val="Arial Narrow"/>
    <w:panose1 w:val="00000000000000000000"/>
    <w:charset w:val="EE"/>
    <w:family w:val="swiss"/>
    <w:pitch w:val="variable"/>
    <w:sig w:usb0="00000000" w:usb1="00000000" w:usb2="00000000" w:usb3="00000000" w:csb0="0000009F" w:csb1="00000000"/>
  </w:font>
  <w:font w:name="EUAlbertina">
    <w:altName w:val="Times New Roman"/>
    <w:panose1 w:val="00000000000000000000"/>
    <w:charset w:val="00"/>
    <w:family w:val="roman"/>
    <w:pitch w:val="default"/>
    <w:sig w:usb0="00000000" w:usb1="00000000" w:usb2="00000000" w:usb3="00000000" w:csb0="00000001" w:csb1="00000000"/>
  </w:font>
  <w:font w:name="Tahoma">
    <w:altName w:val="Tahoma"/>
    <w:panose1 w:val="00000000000000000000"/>
    <w:charset w:val="EE"/>
    <w:family w:val="swiss"/>
    <w:pitch w:val="variable"/>
    <w:sig w:usb0="00000000" w:usb1="00000000" w:usb2="00000000" w:usb3="00000000" w:csb0="000101FF"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2E5D">
    <w:pPr>
      <w:pStyle w:val="Footer"/>
      <w:framePr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0D02C4">
      <w:rPr>
        <w:rStyle w:val="PageNumber"/>
        <w:rFonts w:ascii="Times New Roman" w:hAnsi="Times New Roman"/>
        <w:noProof/>
      </w:rPr>
      <w:t>1</w:t>
    </w:r>
    <w:r>
      <w:rPr>
        <w:rStyle w:val="PageNumber"/>
        <w:rFonts w:ascii="Times New Roman" w:hAnsi="Times New Roman"/>
      </w:rPr>
      <w:fldChar w:fldCharType="end"/>
    </w:r>
  </w:p>
  <w:p w:rsidR="00CB2E5D">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24F5"/>
    <w:multiLevelType w:val="hybridMultilevel"/>
    <w:tmpl w:val="FFFFFFFF"/>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
    <w:nsid w:val="05E3175C"/>
    <w:multiLevelType w:val="hybridMultilevel"/>
    <w:tmpl w:val="FFFFFFFF"/>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08961051"/>
    <w:multiLevelType w:val="hybridMultilevel"/>
    <w:tmpl w:val="FFFFFFFF"/>
    <w:lvl w:ilvl="0">
      <w:start w:val="1"/>
      <w:numFmt w:val="decimal"/>
      <w:lvlText w:val="(%1)"/>
      <w:lvlJc w:val="left"/>
      <w:pPr>
        <w:ind w:left="1070" w:hanging="360"/>
      </w:pPr>
      <w:rPr>
        <w:rFonts w:cs="Times New Roman" w:hint="default"/>
        <w:rtl w:val="0"/>
        <w:cs w:val="0"/>
      </w:rPr>
    </w:lvl>
    <w:lvl w:ilvl="1">
      <w:start w:val="1"/>
      <w:numFmt w:val="lowerLetter"/>
      <w:lvlText w:val="%2)"/>
      <w:lvlJc w:val="left"/>
      <w:pPr>
        <w:ind w:left="1660" w:hanging="360"/>
      </w:pPr>
      <w:rPr>
        <w:rFonts w:cs="Times New Roman" w:hint="default"/>
        <w:rtl w:val="0"/>
        <w:cs w:val="0"/>
      </w:rPr>
    </w:lvl>
    <w:lvl w:ilvl="2">
      <w:start w:val="1"/>
      <w:numFmt w:val="lowerRoman"/>
      <w:lvlText w:val="%3."/>
      <w:lvlJc w:val="right"/>
      <w:pPr>
        <w:ind w:left="2380" w:hanging="180"/>
      </w:pPr>
      <w:rPr>
        <w:rFonts w:cs="Times New Roman"/>
        <w:rtl w:val="0"/>
        <w:cs w:val="0"/>
      </w:rPr>
    </w:lvl>
    <w:lvl w:ilvl="3">
      <w:start w:val="1"/>
      <w:numFmt w:val="decimal"/>
      <w:lvlText w:val="%4."/>
      <w:lvlJc w:val="left"/>
      <w:pPr>
        <w:ind w:left="3100" w:hanging="360"/>
      </w:pPr>
      <w:rPr>
        <w:rFonts w:cs="Times New Roman"/>
        <w:rtl w:val="0"/>
        <w:cs w:val="0"/>
      </w:rPr>
    </w:lvl>
    <w:lvl w:ilvl="4">
      <w:start w:val="1"/>
      <w:numFmt w:val="lowerLetter"/>
      <w:lvlText w:val="%5."/>
      <w:lvlJc w:val="left"/>
      <w:pPr>
        <w:ind w:left="3820" w:hanging="360"/>
      </w:pPr>
      <w:rPr>
        <w:rFonts w:cs="Times New Roman"/>
        <w:rtl w:val="0"/>
        <w:cs w:val="0"/>
      </w:rPr>
    </w:lvl>
    <w:lvl w:ilvl="5">
      <w:start w:val="1"/>
      <w:numFmt w:val="lowerRoman"/>
      <w:lvlText w:val="%6."/>
      <w:lvlJc w:val="right"/>
      <w:pPr>
        <w:ind w:left="4540" w:hanging="180"/>
      </w:pPr>
      <w:rPr>
        <w:rFonts w:cs="Times New Roman"/>
        <w:rtl w:val="0"/>
        <w:cs w:val="0"/>
      </w:rPr>
    </w:lvl>
    <w:lvl w:ilvl="6">
      <w:start w:val="1"/>
      <w:numFmt w:val="decimal"/>
      <w:lvlText w:val="%7."/>
      <w:lvlJc w:val="left"/>
      <w:pPr>
        <w:ind w:left="5260" w:hanging="360"/>
      </w:pPr>
      <w:rPr>
        <w:rFonts w:cs="Times New Roman"/>
        <w:rtl w:val="0"/>
        <w:cs w:val="0"/>
      </w:rPr>
    </w:lvl>
    <w:lvl w:ilvl="7">
      <w:start w:val="1"/>
      <w:numFmt w:val="lowerLetter"/>
      <w:lvlText w:val="%8."/>
      <w:lvlJc w:val="left"/>
      <w:pPr>
        <w:ind w:left="5980" w:hanging="360"/>
      </w:pPr>
      <w:rPr>
        <w:rFonts w:cs="Times New Roman"/>
        <w:rtl w:val="0"/>
        <w:cs w:val="0"/>
      </w:rPr>
    </w:lvl>
    <w:lvl w:ilvl="8">
      <w:start w:val="1"/>
      <w:numFmt w:val="lowerRoman"/>
      <w:lvlText w:val="%9."/>
      <w:lvlJc w:val="right"/>
      <w:pPr>
        <w:ind w:left="6700" w:hanging="180"/>
      </w:pPr>
      <w:rPr>
        <w:rFonts w:cs="Times New Roman"/>
        <w:rtl w:val="0"/>
        <w:cs w:val="0"/>
      </w:rPr>
    </w:lvl>
  </w:abstractNum>
  <w:abstractNum w:abstractNumId="3">
    <w:nsid w:val="0E3E00AF"/>
    <w:multiLevelType w:val="hybridMultilevel"/>
    <w:tmpl w:val="FFFFFFFF"/>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0E43D89"/>
    <w:multiLevelType w:val="hybridMultilevel"/>
    <w:tmpl w:val="FFFFFFFF"/>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nsid w:val="11773E29"/>
    <w:multiLevelType w:val="singleLevel"/>
    <w:tmpl w:val="FFFFFFFF"/>
    <w:lvl w:ilvl="0">
      <w:start w:val="3"/>
      <w:numFmt w:val="decimal"/>
      <w:lvlText w:val="%1."/>
      <w:lvlJc w:val="left"/>
      <w:pPr>
        <w:tabs>
          <w:tab w:val="num" w:pos="420"/>
        </w:tabs>
        <w:ind w:left="420" w:hanging="420"/>
      </w:pPr>
      <w:rPr>
        <w:rFonts w:cs="Times New Roman"/>
        <w:rtl w:val="0"/>
        <w:cs w:val="0"/>
      </w:rPr>
    </w:lvl>
  </w:abstractNum>
  <w:abstractNum w:abstractNumId="6">
    <w:nsid w:val="1B8500A3"/>
    <w:multiLevelType w:val="hybridMultilevel"/>
    <w:tmpl w:val="FFFFFFFF"/>
    <w:lvl w:ilvl="0">
      <w:start w:val="1"/>
      <w:numFmt w:val="lowerLetter"/>
      <w:lvlText w:val="%1)"/>
      <w:lvlJc w:val="left"/>
      <w:pPr>
        <w:ind w:left="1495"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7">
    <w:nsid w:val="1B9B4CD7"/>
    <w:multiLevelType w:val="singleLevel"/>
    <w:tmpl w:val="FFFFFFFF"/>
    <w:lvl w:ilvl="0">
      <w:start w:val="1"/>
      <w:numFmt w:val="lowerLetter"/>
      <w:lvlText w:val="%1)"/>
      <w:lvlJc w:val="left"/>
      <w:pPr>
        <w:tabs>
          <w:tab w:val="num" w:pos="360"/>
        </w:tabs>
        <w:ind w:left="360" w:hanging="360"/>
      </w:pPr>
      <w:rPr>
        <w:rFonts w:cs="Times New Roman"/>
        <w:rtl w:val="0"/>
        <w:cs w:val="0"/>
      </w:rPr>
    </w:lvl>
  </w:abstractNum>
  <w:abstractNum w:abstractNumId="8">
    <w:nsid w:val="2F4F2118"/>
    <w:multiLevelType w:val="hybridMultilevel"/>
    <w:tmpl w:val="FFFFFFFF"/>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9">
    <w:nsid w:val="33E10911"/>
    <w:multiLevelType w:val="hybridMultilevel"/>
    <w:tmpl w:val="FFFFFFFF"/>
    <w:lvl w:ilvl="0">
      <w:start w:val="1"/>
      <w:numFmt w:val="decimal"/>
      <w:lvlText w:val="%1."/>
      <w:lvlJc w:val="left"/>
      <w:pPr>
        <w:ind w:left="765" w:hanging="405"/>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36E77358"/>
    <w:multiLevelType w:val="hybridMultilevel"/>
    <w:tmpl w:val="FFFFFFFF"/>
    <w:lvl w:ilvl="0">
      <w:start w:val="0"/>
      <w:numFmt w:val="bullet"/>
      <w:lvlText w:val=""/>
      <w:lvlJc w:val="left"/>
      <w:pPr>
        <w:tabs>
          <w:tab w:val="num" w:pos="720"/>
        </w:tabs>
        <w:ind w:left="720" w:hanging="360"/>
      </w:pPr>
      <w:rPr>
        <w:rFonts w:ascii="Symbol" w:eastAsia="Times New Roman"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EA20FE4"/>
    <w:multiLevelType w:val="hybridMultilevel"/>
    <w:tmpl w:val="FFFFFFFF"/>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3EB74446"/>
    <w:multiLevelType w:val="hybridMultilevel"/>
    <w:tmpl w:val="FFFFFFFF"/>
    <w:lvl w:ilvl="0">
      <w:start w:val="1"/>
      <w:numFmt w:val="decimal"/>
      <w:lvlText w:val="(%1)"/>
      <w:lvlJc w:val="left"/>
      <w:pPr>
        <w:ind w:left="1070" w:hanging="360"/>
      </w:pPr>
      <w:rPr>
        <w:rFonts w:cs="Times New Roman" w:hint="default"/>
        <w:rtl w:val="0"/>
        <w:cs w:val="0"/>
      </w:rPr>
    </w:lvl>
    <w:lvl w:ilvl="1">
      <w:start w:val="1"/>
      <w:numFmt w:val="lowerLetter"/>
      <w:lvlText w:val="%2)"/>
      <w:lvlJc w:val="left"/>
      <w:pPr>
        <w:ind w:left="1660" w:hanging="360"/>
      </w:pPr>
      <w:rPr>
        <w:rFonts w:cs="Times New Roman" w:hint="default"/>
        <w:rtl w:val="0"/>
        <w:cs w:val="0"/>
      </w:rPr>
    </w:lvl>
    <w:lvl w:ilvl="2">
      <w:start w:val="1"/>
      <w:numFmt w:val="lowerRoman"/>
      <w:lvlText w:val="%3."/>
      <w:lvlJc w:val="right"/>
      <w:pPr>
        <w:ind w:left="2380" w:hanging="180"/>
      </w:pPr>
      <w:rPr>
        <w:rFonts w:cs="Times New Roman"/>
        <w:rtl w:val="0"/>
        <w:cs w:val="0"/>
      </w:rPr>
    </w:lvl>
    <w:lvl w:ilvl="3">
      <w:start w:val="1"/>
      <w:numFmt w:val="decimal"/>
      <w:lvlText w:val="%4."/>
      <w:lvlJc w:val="left"/>
      <w:pPr>
        <w:ind w:left="3100" w:hanging="360"/>
      </w:pPr>
      <w:rPr>
        <w:rFonts w:cs="Times New Roman"/>
        <w:rtl w:val="0"/>
        <w:cs w:val="0"/>
      </w:rPr>
    </w:lvl>
    <w:lvl w:ilvl="4">
      <w:start w:val="1"/>
      <w:numFmt w:val="lowerLetter"/>
      <w:lvlText w:val="%5."/>
      <w:lvlJc w:val="left"/>
      <w:pPr>
        <w:ind w:left="3820" w:hanging="360"/>
      </w:pPr>
      <w:rPr>
        <w:rFonts w:cs="Times New Roman"/>
        <w:rtl w:val="0"/>
        <w:cs w:val="0"/>
      </w:rPr>
    </w:lvl>
    <w:lvl w:ilvl="5">
      <w:start w:val="1"/>
      <w:numFmt w:val="lowerRoman"/>
      <w:lvlText w:val="%6."/>
      <w:lvlJc w:val="right"/>
      <w:pPr>
        <w:ind w:left="4540" w:hanging="180"/>
      </w:pPr>
      <w:rPr>
        <w:rFonts w:cs="Times New Roman"/>
        <w:rtl w:val="0"/>
        <w:cs w:val="0"/>
      </w:rPr>
    </w:lvl>
    <w:lvl w:ilvl="6">
      <w:start w:val="1"/>
      <w:numFmt w:val="decimal"/>
      <w:lvlText w:val="%7."/>
      <w:lvlJc w:val="left"/>
      <w:pPr>
        <w:ind w:left="5260" w:hanging="360"/>
      </w:pPr>
      <w:rPr>
        <w:rFonts w:cs="Times New Roman"/>
        <w:rtl w:val="0"/>
        <w:cs w:val="0"/>
      </w:rPr>
    </w:lvl>
    <w:lvl w:ilvl="7">
      <w:start w:val="1"/>
      <w:numFmt w:val="lowerLetter"/>
      <w:lvlText w:val="%8."/>
      <w:lvlJc w:val="left"/>
      <w:pPr>
        <w:ind w:left="5980" w:hanging="360"/>
      </w:pPr>
      <w:rPr>
        <w:rFonts w:cs="Times New Roman"/>
        <w:rtl w:val="0"/>
        <w:cs w:val="0"/>
      </w:rPr>
    </w:lvl>
    <w:lvl w:ilvl="8">
      <w:start w:val="1"/>
      <w:numFmt w:val="lowerRoman"/>
      <w:lvlText w:val="%9."/>
      <w:lvlJc w:val="right"/>
      <w:pPr>
        <w:ind w:left="6700" w:hanging="180"/>
      </w:pPr>
      <w:rPr>
        <w:rFonts w:cs="Times New Roman"/>
        <w:rtl w:val="0"/>
        <w:cs w:val="0"/>
      </w:rPr>
    </w:lvl>
  </w:abstractNum>
  <w:abstractNum w:abstractNumId="13">
    <w:nsid w:val="44AD64CE"/>
    <w:multiLevelType w:val="singleLevel"/>
    <w:tmpl w:val="FFFFFFFF"/>
    <w:lvl w:ilvl="0">
      <w:start w:val="2"/>
      <w:numFmt w:val="decimal"/>
      <w:lvlText w:val="%1."/>
      <w:lvlJc w:val="left"/>
      <w:pPr>
        <w:tabs>
          <w:tab w:val="num" w:pos="317"/>
        </w:tabs>
        <w:ind w:left="317" w:hanging="360"/>
      </w:pPr>
      <w:rPr>
        <w:rFonts w:cs="Times New Roman"/>
        <w:rtl w:val="0"/>
        <w:cs w:val="0"/>
      </w:rPr>
    </w:lvl>
  </w:abstractNum>
  <w:abstractNum w:abstractNumId="14">
    <w:nsid w:val="487A4548"/>
    <w:multiLevelType w:val="multilevel"/>
    <w:tmpl w:val="FFFFFFFF"/>
    <w:lvl w:ilvl="0">
      <w:start w:val="1"/>
      <w:numFmt w:val="lowerLetter"/>
      <w:lvlText w:val="%1)"/>
      <w:lvlJc w:val="left"/>
      <w:pPr>
        <w:tabs>
          <w:tab w:val="num" w:pos="360"/>
        </w:tabs>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4B4E3C4D"/>
    <w:multiLevelType w:val="hybridMultilevel"/>
    <w:tmpl w:val="FFFFFFFF"/>
    <w:lvl w:ilvl="0">
      <w:start w:val="1"/>
      <w:numFmt w:val="decimal"/>
      <w:lvlText w:val="(%1)"/>
      <w:lvlJc w:val="left"/>
      <w:pPr>
        <w:ind w:left="207" w:hanging="207"/>
      </w:pPr>
      <w:rPr>
        <w:rFonts w:cs="Times New Roman" w:hint="default"/>
        <w:b w:val="0"/>
        <w:strike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4D80696D"/>
    <w:multiLevelType w:val="hybridMultilevel"/>
    <w:tmpl w:val="FFFFFFFF"/>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nsid w:val="52490191"/>
    <w:multiLevelType w:val="hybridMultilevel"/>
    <w:tmpl w:val="FFFFFFFF"/>
    <w:lvl w:ilvl="0">
      <w:start w:val="1"/>
      <w:numFmt w:val="decimal"/>
      <w:lvlText w:val="%1."/>
      <w:lvlJc w:val="left"/>
      <w:pPr>
        <w:ind w:left="1800" w:hanging="360"/>
      </w:pPr>
      <w:rPr>
        <w:rFonts w:cs="Times New Roman" w:hint="default"/>
        <w:rtl w:val="0"/>
        <w:cs w:val="0"/>
      </w:rPr>
    </w:lvl>
    <w:lvl w:ilvl="1">
      <w:start w:val="1"/>
      <w:numFmt w:val="lowerLetter"/>
      <w:lvlText w:val="%2."/>
      <w:lvlJc w:val="left"/>
      <w:pPr>
        <w:ind w:left="2520" w:hanging="360"/>
      </w:pPr>
      <w:rPr>
        <w:rFonts w:cs="Times New Roman"/>
        <w:rtl w:val="0"/>
        <w:cs w:val="0"/>
      </w:rPr>
    </w:lvl>
    <w:lvl w:ilvl="2">
      <w:start w:val="1"/>
      <w:numFmt w:val="lowerRoman"/>
      <w:lvlText w:val="%3."/>
      <w:lvlJc w:val="right"/>
      <w:pPr>
        <w:ind w:left="3240" w:hanging="180"/>
      </w:pPr>
      <w:rPr>
        <w:rFonts w:cs="Times New Roman"/>
        <w:rtl w:val="0"/>
        <w:cs w:val="0"/>
      </w:rPr>
    </w:lvl>
    <w:lvl w:ilvl="3">
      <w:start w:val="1"/>
      <w:numFmt w:val="decimal"/>
      <w:lvlText w:val="%4."/>
      <w:lvlJc w:val="left"/>
      <w:pPr>
        <w:ind w:left="3960" w:hanging="360"/>
      </w:pPr>
      <w:rPr>
        <w:rFonts w:cs="Times New Roman"/>
        <w:rtl w:val="0"/>
        <w:cs w:val="0"/>
      </w:rPr>
    </w:lvl>
    <w:lvl w:ilvl="4">
      <w:start w:val="1"/>
      <w:numFmt w:val="lowerLetter"/>
      <w:lvlText w:val="%5."/>
      <w:lvlJc w:val="left"/>
      <w:pPr>
        <w:ind w:left="4680" w:hanging="360"/>
      </w:pPr>
      <w:rPr>
        <w:rFonts w:cs="Times New Roman"/>
        <w:rtl w:val="0"/>
        <w:cs w:val="0"/>
      </w:rPr>
    </w:lvl>
    <w:lvl w:ilvl="5">
      <w:start w:val="1"/>
      <w:numFmt w:val="lowerRoman"/>
      <w:lvlText w:val="%6."/>
      <w:lvlJc w:val="right"/>
      <w:pPr>
        <w:ind w:left="5400" w:hanging="180"/>
      </w:pPr>
      <w:rPr>
        <w:rFonts w:cs="Times New Roman"/>
        <w:rtl w:val="0"/>
        <w:cs w:val="0"/>
      </w:rPr>
    </w:lvl>
    <w:lvl w:ilvl="6">
      <w:start w:val="1"/>
      <w:numFmt w:val="decimal"/>
      <w:lvlText w:val="%7."/>
      <w:lvlJc w:val="left"/>
      <w:pPr>
        <w:ind w:left="6120" w:hanging="360"/>
      </w:pPr>
      <w:rPr>
        <w:rFonts w:cs="Times New Roman"/>
        <w:rtl w:val="0"/>
        <w:cs w:val="0"/>
      </w:rPr>
    </w:lvl>
    <w:lvl w:ilvl="7">
      <w:start w:val="1"/>
      <w:numFmt w:val="lowerLetter"/>
      <w:lvlText w:val="%8."/>
      <w:lvlJc w:val="left"/>
      <w:pPr>
        <w:ind w:left="6840" w:hanging="360"/>
      </w:pPr>
      <w:rPr>
        <w:rFonts w:cs="Times New Roman"/>
        <w:rtl w:val="0"/>
        <w:cs w:val="0"/>
      </w:rPr>
    </w:lvl>
    <w:lvl w:ilvl="8">
      <w:start w:val="1"/>
      <w:numFmt w:val="lowerRoman"/>
      <w:lvlText w:val="%9."/>
      <w:lvlJc w:val="right"/>
      <w:pPr>
        <w:ind w:left="7560" w:hanging="180"/>
      </w:pPr>
      <w:rPr>
        <w:rFonts w:cs="Times New Roman"/>
        <w:rtl w:val="0"/>
        <w:cs w:val="0"/>
      </w:rPr>
    </w:lvl>
  </w:abstractNum>
  <w:abstractNum w:abstractNumId="18">
    <w:nsid w:val="56CA4D96"/>
    <w:multiLevelType w:val="hybridMultilevel"/>
    <w:tmpl w:val="FFFFFFFF"/>
    <w:lvl w:ilvl="0">
      <w:start w:val="1"/>
      <w:numFmt w:val="lowerLetter"/>
      <w:lvlText w:val="%1)"/>
      <w:lvlJc w:val="left"/>
      <w:pPr>
        <w:ind w:left="1440" w:hanging="360"/>
      </w:pPr>
      <w:rPr>
        <w:rFonts w:cs="Times New Roman" w:hint="default"/>
        <w:rtl w:val="0"/>
        <w:cs w:val="0"/>
      </w:rPr>
    </w:lvl>
    <w:lvl w:ilvl="1">
      <w:start w:val="1"/>
      <w:numFmt w:val="lowerLetter"/>
      <w:lvlText w:val="%2."/>
      <w:lvlJc w:val="left"/>
      <w:pPr>
        <w:ind w:left="2160" w:hanging="360"/>
      </w:pPr>
      <w:rPr>
        <w:rFonts w:cs="Times New Roman"/>
        <w:rtl w:val="0"/>
        <w:cs w:val="0"/>
      </w:rPr>
    </w:lvl>
    <w:lvl w:ilvl="2">
      <w:start w:val="1"/>
      <w:numFmt w:val="lowerRoman"/>
      <w:lvlText w:val="%3."/>
      <w:lvlJc w:val="right"/>
      <w:pPr>
        <w:ind w:left="2880" w:hanging="180"/>
      </w:pPr>
      <w:rPr>
        <w:rFonts w:cs="Times New Roman"/>
        <w:rtl w:val="0"/>
        <w:cs w:val="0"/>
      </w:rPr>
    </w:lvl>
    <w:lvl w:ilvl="3">
      <w:start w:val="1"/>
      <w:numFmt w:val="decimal"/>
      <w:lvlText w:val="%4."/>
      <w:lvlJc w:val="left"/>
      <w:pPr>
        <w:ind w:left="3600" w:hanging="360"/>
      </w:pPr>
      <w:rPr>
        <w:rFonts w:cs="Times New Roman"/>
        <w:rtl w:val="0"/>
        <w:cs w:val="0"/>
      </w:rPr>
    </w:lvl>
    <w:lvl w:ilvl="4">
      <w:start w:val="1"/>
      <w:numFmt w:val="lowerLetter"/>
      <w:lvlText w:val="%5."/>
      <w:lvlJc w:val="left"/>
      <w:pPr>
        <w:ind w:left="4320" w:hanging="360"/>
      </w:pPr>
      <w:rPr>
        <w:rFonts w:cs="Times New Roman"/>
        <w:rtl w:val="0"/>
        <w:cs w:val="0"/>
      </w:rPr>
    </w:lvl>
    <w:lvl w:ilvl="5">
      <w:start w:val="1"/>
      <w:numFmt w:val="lowerRoman"/>
      <w:lvlText w:val="%6."/>
      <w:lvlJc w:val="right"/>
      <w:pPr>
        <w:ind w:left="5040" w:hanging="180"/>
      </w:pPr>
      <w:rPr>
        <w:rFonts w:cs="Times New Roman"/>
        <w:rtl w:val="0"/>
        <w:cs w:val="0"/>
      </w:rPr>
    </w:lvl>
    <w:lvl w:ilvl="6">
      <w:start w:val="1"/>
      <w:numFmt w:val="decimal"/>
      <w:lvlText w:val="%7."/>
      <w:lvlJc w:val="left"/>
      <w:pPr>
        <w:ind w:left="5760" w:hanging="360"/>
      </w:pPr>
      <w:rPr>
        <w:rFonts w:cs="Times New Roman"/>
        <w:rtl w:val="0"/>
        <w:cs w:val="0"/>
      </w:rPr>
    </w:lvl>
    <w:lvl w:ilvl="7">
      <w:start w:val="1"/>
      <w:numFmt w:val="lowerLetter"/>
      <w:lvlText w:val="%8."/>
      <w:lvlJc w:val="left"/>
      <w:pPr>
        <w:ind w:left="6480" w:hanging="360"/>
      </w:pPr>
      <w:rPr>
        <w:rFonts w:cs="Times New Roman"/>
        <w:rtl w:val="0"/>
        <w:cs w:val="0"/>
      </w:rPr>
    </w:lvl>
    <w:lvl w:ilvl="8">
      <w:start w:val="1"/>
      <w:numFmt w:val="lowerRoman"/>
      <w:lvlText w:val="%9."/>
      <w:lvlJc w:val="right"/>
      <w:pPr>
        <w:ind w:left="7200" w:hanging="180"/>
      </w:pPr>
      <w:rPr>
        <w:rFonts w:cs="Times New Roman"/>
        <w:rtl w:val="0"/>
        <w:cs w:val="0"/>
      </w:rPr>
    </w:lvl>
  </w:abstractNum>
  <w:abstractNum w:abstractNumId="19">
    <w:nsid w:val="59A85ABE"/>
    <w:multiLevelType w:val="hybridMultilevel"/>
    <w:tmpl w:val="FFFFFFFF"/>
    <w:lvl w:ilvl="0">
      <w:start w:val="1"/>
      <w:numFmt w:val="bullet"/>
      <w:lvlText w:val=""/>
      <w:lvlJc w:val="left"/>
      <w:pPr>
        <w:tabs>
          <w:tab w:val="num" w:pos="417"/>
        </w:tabs>
        <w:ind w:left="227"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711639AD"/>
    <w:multiLevelType w:val="hybridMultilevel"/>
    <w:tmpl w:val="FFFFFFFF"/>
    <w:lvl w:ilvl="0">
      <w:start w:val="1"/>
      <w:numFmt w:val="decimal"/>
      <w:lvlText w:val="(%1)"/>
      <w:lvlJc w:val="left"/>
      <w:pPr>
        <w:ind w:left="1070" w:hanging="360"/>
      </w:pPr>
      <w:rPr>
        <w:rFonts w:cs="Times New Roman" w:hint="default"/>
        <w:rtl w:val="0"/>
        <w:cs w:val="0"/>
      </w:rPr>
    </w:lvl>
    <w:lvl w:ilvl="1">
      <w:start w:val="1"/>
      <w:numFmt w:val="lowerLetter"/>
      <w:lvlText w:val="%2)"/>
      <w:lvlJc w:val="left"/>
      <w:pPr>
        <w:ind w:left="1660" w:hanging="360"/>
      </w:pPr>
      <w:rPr>
        <w:rFonts w:cs="Times New Roman" w:hint="default"/>
        <w:rtl w:val="0"/>
        <w:cs w:val="0"/>
      </w:rPr>
    </w:lvl>
    <w:lvl w:ilvl="2">
      <w:start w:val="1"/>
      <w:numFmt w:val="lowerRoman"/>
      <w:lvlText w:val="%3."/>
      <w:lvlJc w:val="right"/>
      <w:pPr>
        <w:ind w:left="2380" w:hanging="180"/>
      </w:pPr>
      <w:rPr>
        <w:rFonts w:cs="Times New Roman"/>
        <w:rtl w:val="0"/>
        <w:cs w:val="0"/>
      </w:rPr>
    </w:lvl>
    <w:lvl w:ilvl="3">
      <w:start w:val="1"/>
      <w:numFmt w:val="decimal"/>
      <w:lvlText w:val="%4."/>
      <w:lvlJc w:val="left"/>
      <w:pPr>
        <w:ind w:left="3100" w:hanging="360"/>
      </w:pPr>
      <w:rPr>
        <w:rFonts w:cs="Times New Roman"/>
        <w:rtl w:val="0"/>
        <w:cs w:val="0"/>
      </w:rPr>
    </w:lvl>
    <w:lvl w:ilvl="4">
      <w:start w:val="1"/>
      <w:numFmt w:val="lowerLetter"/>
      <w:lvlText w:val="%5."/>
      <w:lvlJc w:val="left"/>
      <w:pPr>
        <w:ind w:left="3820" w:hanging="360"/>
      </w:pPr>
      <w:rPr>
        <w:rFonts w:cs="Times New Roman"/>
        <w:rtl w:val="0"/>
        <w:cs w:val="0"/>
      </w:rPr>
    </w:lvl>
    <w:lvl w:ilvl="5">
      <w:start w:val="1"/>
      <w:numFmt w:val="lowerRoman"/>
      <w:lvlText w:val="%6."/>
      <w:lvlJc w:val="right"/>
      <w:pPr>
        <w:ind w:left="4540" w:hanging="180"/>
      </w:pPr>
      <w:rPr>
        <w:rFonts w:cs="Times New Roman"/>
        <w:rtl w:val="0"/>
        <w:cs w:val="0"/>
      </w:rPr>
    </w:lvl>
    <w:lvl w:ilvl="6">
      <w:start w:val="1"/>
      <w:numFmt w:val="decimal"/>
      <w:lvlText w:val="%7."/>
      <w:lvlJc w:val="left"/>
      <w:pPr>
        <w:ind w:left="5260" w:hanging="360"/>
      </w:pPr>
      <w:rPr>
        <w:rFonts w:cs="Times New Roman"/>
        <w:rtl w:val="0"/>
        <w:cs w:val="0"/>
      </w:rPr>
    </w:lvl>
    <w:lvl w:ilvl="7">
      <w:start w:val="1"/>
      <w:numFmt w:val="lowerLetter"/>
      <w:lvlText w:val="%8."/>
      <w:lvlJc w:val="left"/>
      <w:pPr>
        <w:ind w:left="5980" w:hanging="360"/>
      </w:pPr>
      <w:rPr>
        <w:rFonts w:cs="Times New Roman"/>
        <w:rtl w:val="0"/>
        <w:cs w:val="0"/>
      </w:rPr>
    </w:lvl>
    <w:lvl w:ilvl="8">
      <w:start w:val="1"/>
      <w:numFmt w:val="lowerRoman"/>
      <w:lvlText w:val="%9."/>
      <w:lvlJc w:val="right"/>
      <w:pPr>
        <w:ind w:left="6700" w:hanging="180"/>
      </w:pPr>
      <w:rPr>
        <w:rFonts w:cs="Times New Roman"/>
        <w:rtl w:val="0"/>
        <w:cs w:val="0"/>
      </w:rPr>
    </w:lvl>
  </w:abstractNum>
  <w:num w:numId="1">
    <w:abstractNumId w:val="5"/>
  </w:num>
  <w:num w:numId="2">
    <w:abstractNumId w:val="5"/>
    <w:lvlOverride w:ilvl="0">
      <w:startOverride w:val="3"/>
    </w:lvlOverride>
  </w:num>
  <w:num w:numId="3">
    <w:abstractNumId w:val="13"/>
  </w:num>
  <w:num w:numId="4">
    <w:abstractNumId w:val="13"/>
    <w:lvlOverride w:ilvl="0">
      <w:startOverride w:val="2"/>
    </w:lvlOverride>
  </w:num>
  <w:num w:numId="5">
    <w:abstractNumId w:val="7"/>
  </w:num>
  <w:num w:numId="6">
    <w:abstractNumId w:val="7"/>
    <w:lvlOverride w:ilvl="0">
      <w:startOverride w:val="1"/>
    </w:lvlOverride>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
  </w:num>
  <w:num w:numId="11">
    <w:abstractNumId w:val="19"/>
  </w:num>
  <w:num w:numId="12">
    <w:abstractNumId w:val="4"/>
  </w:num>
  <w:num w:numId="13">
    <w:abstractNumId w:val="16"/>
  </w:num>
  <w:num w:numId="14">
    <w:abstractNumId w:val="3"/>
  </w:num>
  <w:num w:numId="15">
    <w:abstractNumId w:val="15"/>
  </w:num>
  <w:num w:numId="16">
    <w:abstractNumId w:val="11"/>
  </w:num>
  <w:num w:numId="17">
    <w:abstractNumId w:val="9"/>
  </w:num>
  <w:num w:numId="18">
    <w:abstractNumId w:val="2"/>
  </w:num>
  <w:num w:numId="19">
    <w:abstractNumId w:val="6"/>
  </w:num>
  <w:num w:numId="20">
    <w:abstractNumId w:val="0"/>
  </w:num>
  <w:num w:numId="21">
    <w:abstractNumId w:val="18"/>
  </w:num>
  <w:num w:numId="22">
    <w:abstractNumId w:val="17"/>
  </w:num>
  <w:num w:numId="23">
    <w:abstractNumId w:val="8"/>
  </w:num>
  <w:num w:numId="24">
    <w:abstractNumId w:val="20"/>
  </w:num>
  <w:num w:numId="2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08"/>
  <w:hyphenationZone w:val="425"/>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A9063F"/>
    <w:rsid w:val="00004001"/>
    <w:rsid w:val="00004EE1"/>
    <w:rsid w:val="00080BE1"/>
    <w:rsid w:val="00093769"/>
    <w:rsid w:val="000A2A47"/>
    <w:rsid w:val="000C2454"/>
    <w:rsid w:val="000C2E53"/>
    <w:rsid w:val="000D02C4"/>
    <w:rsid w:val="000E689A"/>
    <w:rsid w:val="000F052D"/>
    <w:rsid w:val="00127033"/>
    <w:rsid w:val="00153B33"/>
    <w:rsid w:val="00162F39"/>
    <w:rsid w:val="00175C69"/>
    <w:rsid w:val="0017797B"/>
    <w:rsid w:val="00190168"/>
    <w:rsid w:val="001A5550"/>
    <w:rsid w:val="001B19A5"/>
    <w:rsid w:val="001B460A"/>
    <w:rsid w:val="001F25C7"/>
    <w:rsid w:val="001F70DE"/>
    <w:rsid w:val="00212E60"/>
    <w:rsid w:val="002153F7"/>
    <w:rsid w:val="00217BF4"/>
    <w:rsid w:val="0023116E"/>
    <w:rsid w:val="002314E9"/>
    <w:rsid w:val="00252D2A"/>
    <w:rsid w:val="00270E65"/>
    <w:rsid w:val="002E1D16"/>
    <w:rsid w:val="002F4DEC"/>
    <w:rsid w:val="002F6B61"/>
    <w:rsid w:val="00315ED6"/>
    <w:rsid w:val="00342407"/>
    <w:rsid w:val="00344B44"/>
    <w:rsid w:val="00346101"/>
    <w:rsid w:val="00391DC5"/>
    <w:rsid w:val="003B2F31"/>
    <w:rsid w:val="003B37B8"/>
    <w:rsid w:val="003D5A11"/>
    <w:rsid w:val="003E7B78"/>
    <w:rsid w:val="004219E0"/>
    <w:rsid w:val="00424270"/>
    <w:rsid w:val="00426C8E"/>
    <w:rsid w:val="00440A2A"/>
    <w:rsid w:val="004577EC"/>
    <w:rsid w:val="00494CFC"/>
    <w:rsid w:val="004C4430"/>
    <w:rsid w:val="004E78A4"/>
    <w:rsid w:val="004F6566"/>
    <w:rsid w:val="00510804"/>
    <w:rsid w:val="005170A9"/>
    <w:rsid w:val="00563187"/>
    <w:rsid w:val="005947B8"/>
    <w:rsid w:val="005E0477"/>
    <w:rsid w:val="005E147F"/>
    <w:rsid w:val="00601F13"/>
    <w:rsid w:val="00616EAC"/>
    <w:rsid w:val="0064397E"/>
    <w:rsid w:val="00656B18"/>
    <w:rsid w:val="00683A6B"/>
    <w:rsid w:val="006B6290"/>
    <w:rsid w:val="006D1602"/>
    <w:rsid w:val="006E689D"/>
    <w:rsid w:val="00701A93"/>
    <w:rsid w:val="007515D8"/>
    <w:rsid w:val="0078287E"/>
    <w:rsid w:val="00847A5D"/>
    <w:rsid w:val="00851837"/>
    <w:rsid w:val="00861E2E"/>
    <w:rsid w:val="008A0B4B"/>
    <w:rsid w:val="008A5161"/>
    <w:rsid w:val="008C54C3"/>
    <w:rsid w:val="008D0941"/>
    <w:rsid w:val="0091636B"/>
    <w:rsid w:val="00926E0B"/>
    <w:rsid w:val="00953E16"/>
    <w:rsid w:val="009612CE"/>
    <w:rsid w:val="009719C2"/>
    <w:rsid w:val="009826E3"/>
    <w:rsid w:val="00984D3F"/>
    <w:rsid w:val="009C5E2D"/>
    <w:rsid w:val="009D15B7"/>
    <w:rsid w:val="009D767F"/>
    <w:rsid w:val="009F35D3"/>
    <w:rsid w:val="009F7212"/>
    <w:rsid w:val="00A02F9A"/>
    <w:rsid w:val="00A47BED"/>
    <w:rsid w:val="00A62E01"/>
    <w:rsid w:val="00A65D5A"/>
    <w:rsid w:val="00A75FE5"/>
    <w:rsid w:val="00A9063F"/>
    <w:rsid w:val="00A91B17"/>
    <w:rsid w:val="00AA55DA"/>
    <w:rsid w:val="00AB7D27"/>
    <w:rsid w:val="00AF7ABF"/>
    <w:rsid w:val="00B12C72"/>
    <w:rsid w:val="00B32EB6"/>
    <w:rsid w:val="00B64B09"/>
    <w:rsid w:val="00C139A5"/>
    <w:rsid w:val="00C21CEF"/>
    <w:rsid w:val="00C34EF5"/>
    <w:rsid w:val="00C46781"/>
    <w:rsid w:val="00C8496F"/>
    <w:rsid w:val="00CA73C1"/>
    <w:rsid w:val="00CB2E5D"/>
    <w:rsid w:val="00D05D6E"/>
    <w:rsid w:val="00D205AC"/>
    <w:rsid w:val="00D22A7B"/>
    <w:rsid w:val="00D33B5F"/>
    <w:rsid w:val="00D3404B"/>
    <w:rsid w:val="00D83E5B"/>
    <w:rsid w:val="00DA0F6C"/>
    <w:rsid w:val="00DA4CD9"/>
    <w:rsid w:val="00DC0F95"/>
    <w:rsid w:val="00DE0F85"/>
    <w:rsid w:val="00E030B3"/>
    <w:rsid w:val="00E72570"/>
    <w:rsid w:val="00E80CE0"/>
    <w:rsid w:val="00ED5087"/>
    <w:rsid w:val="00EE7DD6"/>
    <w:rsid w:val="00F047A8"/>
    <w:rsid w:val="00F07A0A"/>
    <w:rsid w:val="00F3336C"/>
    <w:rsid w:val="00F4080C"/>
    <w:rsid w:val="00F535EB"/>
    <w:rsid w:val="00F70F60"/>
    <w:rsid w:val="00FB5103"/>
    <w:rsid w:val="00FD6B7C"/>
    <w:rsid w:val="00FF417B"/>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semiHidden="1"/>
    <w:lsdException w:name="header" w:semiHidden="1"/>
    <w:lsdException w:name="footer" w:semiHidden="1"/>
    <w:lsdException w:name="caption" w:semiHidden="1" w:uiPriority="35" w:unhideWhenUsed="1" w:qFormat="1"/>
    <w:lsdException w:name="footnote reference" w:semiHidden="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lsdException w:name="Body Text 3" w:semiHidden="1"/>
    <w:lsdException w:name="Body Text Indent 2" w:semiHidden="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12E60"/>
    <w:pPr>
      <w:framePr w:wrap="auto"/>
      <w:widowControl/>
      <w:autoSpaceDE/>
      <w:autoSpaceDN/>
      <w:adjustRightInd/>
      <w:spacing w:before="100" w:beforeAutospacing="1" w:after="100" w:afterAutospacing="1"/>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9"/>
    <w:qFormat/>
    <w:pPr>
      <w:keepNext/>
      <w:autoSpaceDE w:val="0"/>
      <w:autoSpaceDN w:val="0"/>
      <w:spacing w:before="0" w:beforeAutospacing="0" w:after="0" w:afterAutospacing="0"/>
      <w:jc w:val="center"/>
      <w:outlineLvl w:val="0"/>
    </w:pPr>
    <w:rPr>
      <w:b/>
      <w:bCs/>
    </w:rPr>
  </w:style>
  <w:style w:type="paragraph" w:styleId="Heading2">
    <w:name w:val="heading 2"/>
    <w:basedOn w:val="Normal"/>
    <w:next w:val="Normal"/>
    <w:link w:val="Nadpis2Char"/>
    <w:uiPriority w:val="99"/>
    <w:qFormat/>
    <w:pPr>
      <w:keepNext/>
      <w:autoSpaceDE w:val="0"/>
      <w:autoSpaceDN w:val="0"/>
      <w:spacing w:before="120" w:beforeAutospacing="0" w:after="0" w:afterAutospacing="0"/>
      <w:jc w:val="center"/>
      <w:outlineLvl w:val="1"/>
    </w:pPr>
    <w:rPr>
      <w:b/>
      <w:bCs/>
      <w:sz w:val="20"/>
      <w:szCs w:val="20"/>
    </w:rPr>
  </w:style>
  <w:style w:type="paragraph" w:styleId="Heading4">
    <w:name w:val="heading 4"/>
    <w:basedOn w:val="Normal"/>
    <w:next w:val="Normal"/>
    <w:link w:val="Nadpis4Char"/>
    <w:uiPriority w:val="99"/>
    <w:qFormat/>
    <w:pPr>
      <w:keepNext/>
      <w:autoSpaceDE w:val="0"/>
      <w:autoSpaceDN w:val="0"/>
      <w:spacing w:before="0" w:beforeAutospacing="0" w:after="0" w:afterAutospacing="0"/>
      <w:jc w:val="center"/>
      <w:outlineLvl w:val="3"/>
    </w:pPr>
    <w:rPr>
      <w:b/>
      <w:bCs/>
      <w:sz w:val="22"/>
      <w:szCs w:val="22"/>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Theme="majorHAnsi" w:eastAsiaTheme="majorEastAsia" w:hAnsiTheme="majorHAnsi" w:cs="Times New Roman"/>
      <w:b/>
      <w:bCs/>
      <w:kern w:val="32"/>
      <w:sz w:val="32"/>
      <w:szCs w:val="32"/>
      <w:rtl w:val="0"/>
      <w:cs w:val="0"/>
    </w:rPr>
  </w:style>
  <w:style w:type="character" w:customStyle="1" w:styleId="Nadpis2Char">
    <w:name w:val="Nadpis 2 Char"/>
    <w:basedOn w:val="DefaultParagraphFont"/>
    <w:link w:val="Heading2"/>
    <w:uiPriority w:val="9"/>
    <w:semiHidden/>
    <w:locked/>
    <w:rPr>
      <w:rFonts w:asciiTheme="majorHAnsi" w:eastAsiaTheme="majorEastAsia" w:hAnsiTheme="majorHAnsi" w:cs="Times New Roman"/>
      <w:b/>
      <w:bCs/>
      <w:i/>
      <w:iCs/>
      <w:sz w:val="28"/>
      <w:szCs w:val="28"/>
      <w:rtl w:val="0"/>
      <w:cs w:val="0"/>
    </w:rPr>
  </w:style>
  <w:style w:type="character" w:customStyle="1" w:styleId="Nadpis4Char">
    <w:name w:val="Nadpis 4 Char"/>
    <w:basedOn w:val="DefaultParagraphFont"/>
    <w:link w:val="Heading4"/>
    <w:uiPriority w:val="9"/>
    <w:semiHidden/>
    <w:locked/>
    <w:rPr>
      <w:rFonts w:asciiTheme="minorHAnsi" w:eastAsiaTheme="minorEastAsia" w:hAnsiTheme="minorHAnsi" w:cs="Times New Roman"/>
      <w:b/>
      <w:bCs/>
      <w:sz w:val="28"/>
      <w:szCs w:val="28"/>
      <w:rtl w:val="0"/>
      <w:cs w:val="0"/>
    </w:rPr>
  </w:style>
  <w:style w:type="paragraph" w:styleId="BodyText3">
    <w:name w:val="Body Text 3"/>
    <w:basedOn w:val="Normal"/>
    <w:link w:val="Zkladntext3Char"/>
    <w:uiPriority w:val="99"/>
    <w:pPr>
      <w:autoSpaceDE w:val="0"/>
      <w:autoSpaceDN w:val="0"/>
      <w:spacing w:before="0" w:beforeAutospacing="0" w:after="0" w:afterAutospacing="0" w:line="240" w:lineRule="atLeast"/>
      <w:jc w:val="both"/>
    </w:pPr>
  </w:style>
  <w:style w:type="character" w:customStyle="1" w:styleId="Zkladntext3Char">
    <w:name w:val="Základný text 3 Char"/>
    <w:basedOn w:val="DefaultParagraphFont"/>
    <w:link w:val="BodyText3"/>
    <w:uiPriority w:val="99"/>
    <w:semiHidden/>
    <w:locked/>
    <w:rPr>
      <w:rFonts w:cs="Times New Roman"/>
      <w:sz w:val="16"/>
      <w:szCs w:val="16"/>
      <w:rtl w:val="0"/>
      <w:cs w:val="0"/>
    </w:rPr>
  </w:style>
  <w:style w:type="paragraph" w:styleId="Header">
    <w:name w:val="header"/>
    <w:basedOn w:val="Normal"/>
    <w:link w:val="HlavikaChar"/>
    <w:uiPriority w:val="99"/>
    <w:pPr>
      <w:tabs>
        <w:tab w:val="center" w:pos="4536"/>
        <w:tab w:val="right" w:pos="9072"/>
      </w:tabs>
      <w:autoSpaceDE w:val="0"/>
      <w:autoSpaceDN w:val="0"/>
      <w:spacing w:before="0" w:beforeAutospacing="0" w:after="0" w:afterAutospacing="0"/>
      <w:jc w:val="left"/>
    </w:pPr>
  </w:style>
  <w:style w:type="character" w:customStyle="1" w:styleId="HlavikaChar">
    <w:name w:val="Hlavička Char"/>
    <w:basedOn w:val="DefaultParagraphFont"/>
    <w:link w:val="Header"/>
    <w:uiPriority w:val="99"/>
    <w:semiHidden/>
    <w:locked/>
    <w:rPr>
      <w:rFonts w:cs="Times New Roman"/>
      <w:sz w:val="24"/>
      <w:szCs w:val="24"/>
      <w:rtl w:val="0"/>
      <w:cs w:val="0"/>
    </w:rPr>
  </w:style>
  <w:style w:type="paragraph" w:styleId="BodyText2">
    <w:name w:val="Body Text 2"/>
    <w:basedOn w:val="Normal"/>
    <w:link w:val="Zkladntext2Char"/>
    <w:uiPriority w:val="99"/>
    <w:pPr>
      <w:autoSpaceDE w:val="0"/>
      <w:autoSpaceDN w:val="0"/>
      <w:spacing w:before="0" w:beforeAutospacing="0" w:after="0" w:afterAutospacing="0"/>
      <w:jc w:val="center"/>
    </w:pPr>
    <w:rPr>
      <w:sz w:val="20"/>
      <w:szCs w:val="20"/>
    </w:rPr>
  </w:style>
  <w:style w:type="character" w:customStyle="1" w:styleId="Zkladntext2Char">
    <w:name w:val="Základný text 2 Char"/>
    <w:basedOn w:val="DefaultParagraphFont"/>
    <w:link w:val="BodyText2"/>
    <w:uiPriority w:val="99"/>
    <w:semiHidden/>
    <w:locked/>
    <w:rPr>
      <w:rFonts w:cs="Times New Roman"/>
      <w:sz w:val="24"/>
      <w:szCs w:val="24"/>
      <w:rtl w:val="0"/>
      <w:cs w:val="0"/>
    </w:rPr>
  </w:style>
  <w:style w:type="paragraph" w:customStyle="1" w:styleId="Normlny">
    <w:name w:val="_Normálny"/>
    <w:basedOn w:val="Normal"/>
    <w:uiPriority w:val="99"/>
    <w:pPr>
      <w:autoSpaceDE w:val="0"/>
      <w:autoSpaceDN w:val="0"/>
      <w:spacing w:before="0" w:beforeAutospacing="0" w:after="0" w:afterAutospacing="0"/>
      <w:jc w:val="left"/>
    </w:pPr>
    <w:rPr>
      <w:sz w:val="20"/>
      <w:szCs w:val="20"/>
      <w:lang w:eastAsia="en-US"/>
    </w:rPr>
  </w:style>
  <w:style w:type="paragraph" w:styleId="FootnoteText">
    <w:name w:val="footnote text"/>
    <w:basedOn w:val="Normal"/>
    <w:link w:val="TextpoznmkypodiarouChar"/>
    <w:uiPriority w:val="99"/>
    <w:semiHidden/>
    <w:pPr>
      <w:autoSpaceDE w:val="0"/>
      <w:autoSpaceDN w:val="0"/>
      <w:spacing w:before="0" w:beforeAutospacing="0" w:after="0" w:afterAutospacing="0"/>
      <w:jc w:val="left"/>
    </w:pPr>
    <w:rPr>
      <w:sz w:val="20"/>
      <w:szCs w:val="20"/>
    </w:rPr>
  </w:style>
  <w:style w:type="character" w:customStyle="1" w:styleId="TextpoznmkypodiarouChar">
    <w:name w:val="Text poznámky pod čiarou Char"/>
    <w:basedOn w:val="DefaultParagraphFont"/>
    <w:link w:val="FootnoteText"/>
    <w:uiPriority w:val="99"/>
    <w:semiHidden/>
    <w:locked/>
    <w:rPr>
      <w:rFonts w:cs="Times New Roman"/>
      <w:sz w:val="20"/>
      <w:szCs w:val="20"/>
      <w:rtl w:val="0"/>
      <w:cs w:val="0"/>
    </w:rPr>
  </w:style>
  <w:style w:type="paragraph" w:customStyle="1" w:styleId="PARA">
    <w:name w:val="PARA"/>
    <w:basedOn w:val="Normal"/>
    <w:next w:val="Normal"/>
    <w:uiPriority w:val="99"/>
    <w:pPr>
      <w:keepNext/>
      <w:keepLines/>
      <w:tabs>
        <w:tab w:val="left" w:pos="680"/>
      </w:tabs>
      <w:autoSpaceDE w:val="0"/>
      <w:autoSpaceDN w:val="0"/>
      <w:spacing w:before="240" w:beforeAutospacing="0" w:after="120" w:afterAutospacing="0"/>
      <w:jc w:val="center"/>
    </w:pPr>
    <w:rPr>
      <w:lang w:val="en-US"/>
    </w:rPr>
  </w:style>
  <w:style w:type="paragraph" w:customStyle="1" w:styleId="abc">
    <w:name w:val="abc"/>
    <w:basedOn w:val="Normal"/>
    <w:uiPriority w:val="99"/>
    <w:pPr>
      <w:widowControl w:val="0"/>
      <w:tabs>
        <w:tab w:val="left" w:pos="360"/>
        <w:tab w:val="left" w:pos="680"/>
      </w:tabs>
      <w:autoSpaceDE w:val="0"/>
      <w:autoSpaceDN w:val="0"/>
      <w:spacing w:before="0" w:beforeAutospacing="0" w:after="0" w:afterAutospacing="0"/>
      <w:jc w:val="both"/>
    </w:pPr>
    <w:rPr>
      <w:sz w:val="20"/>
      <w:szCs w:val="20"/>
      <w:lang w:eastAsia="en-US"/>
    </w:rPr>
  </w:style>
  <w:style w:type="character" w:styleId="FootnoteReference">
    <w:name w:val="footnote reference"/>
    <w:basedOn w:val="DefaultParagraphFont"/>
    <w:uiPriority w:val="99"/>
    <w:semiHidden/>
    <w:rPr>
      <w:rFonts w:cs="Times New Roman"/>
      <w:vertAlign w:val="superscript"/>
      <w:rtl w:val="0"/>
      <w:cs w:val="0"/>
    </w:rPr>
  </w:style>
  <w:style w:type="paragraph" w:styleId="Footer">
    <w:name w:val="footer"/>
    <w:basedOn w:val="Normal"/>
    <w:link w:val="PtaChar"/>
    <w:uiPriority w:val="99"/>
    <w:pPr>
      <w:tabs>
        <w:tab w:val="center" w:pos="4536"/>
        <w:tab w:val="right" w:pos="9072"/>
      </w:tabs>
      <w:spacing w:before="0" w:beforeAutospacing="0" w:after="0" w:afterAutospacing="0"/>
      <w:jc w:val="left"/>
    </w:pPr>
  </w:style>
  <w:style w:type="character" w:customStyle="1" w:styleId="PtaChar">
    <w:name w:val="Päta Char"/>
    <w:basedOn w:val="DefaultParagraphFont"/>
    <w:link w:val="Footer"/>
    <w:uiPriority w:val="99"/>
    <w:semiHidden/>
    <w:locked/>
    <w:rPr>
      <w:rFonts w:cs="Times New Roman"/>
      <w:sz w:val="24"/>
      <w:szCs w:val="24"/>
      <w:rtl w:val="0"/>
      <w:cs w:val="0"/>
    </w:rPr>
  </w:style>
  <w:style w:type="character" w:styleId="PageNumber">
    <w:name w:val="page number"/>
    <w:basedOn w:val="DefaultParagraphFont"/>
    <w:uiPriority w:val="99"/>
    <w:rPr>
      <w:rFonts w:cs="Times New Roman"/>
      <w:rtl w:val="0"/>
      <w:cs w:val="0"/>
    </w:rPr>
  </w:style>
  <w:style w:type="paragraph" w:styleId="BodyTextIndent2">
    <w:name w:val="Body Text Indent 2"/>
    <w:basedOn w:val="Normal"/>
    <w:link w:val="Zarkazkladnhotextu2Char"/>
    <w:uiPriority w:val="99"/>
    <w:pPr>
      <w:spacing w:before="0" w:beforeAutospacing="0" w:after="0" w:afterAutospacing="0"/>
      <w:ind w:left="290" w:hanging="290"/>
      <w:jc w:val="left"/>
    </w:pPr>
    <w:rPr>
      <w:sz w:val="20"/>
      <w:szCs w:val="20"/>
    </w:rPr>
  </w:style>
  <w:style w:type="character" w:customStyle="1" w:styleId="Zarkazkladnhotextu2Char">
    <w:name w:val="Zarážka základného textu 2 Char"/>
    <w:basedOn w:val="DefaultParagraphFont"/>
    <w:link w:val="BodyTextIndent2"/>
    <w:uiPriority w:val="99"/>
    <w:semiHidden/>
    <w:locked/>
    <w:rPr>
      <w:rFonts w:cs="Times New Roman"/>
      <w:sz w:val="24"/>
      <w:szCs w:val="24"/>
      <w:rtl w:val="0"/>
      <w:cs w:val="0"/>
    </w:rPr>
  </w:style>
  <w:style w:type="paragraph" w:customStyle="1" w:styleId="Default">
    <w:name w:val="Default"/>
    <w:rsid w:val="00CB2E5D"/>
    <w:pPr>
      <w:framePr w:wrap="auto"/>
      <w:widowControl/>
      <w:autoSpaceDE w:val="0"/>
      <w:autoSpaceDN w:val="0"/>
      <w:adjustRightInd w:val="0"/>
      <w:ind w:left="0" w:right="0"/>
      <w:jc w:val="left"/>
      <w:textAlignment w:val="auto"/>
    </w:pPr>
    <w:rPr>
      <w:rFonts w:ascii="EUAlbertina" w:hAnsi="EUAlbertina" w:cs="EUAlbertina"/>
      <w:color w:val="000000"/>
      <w:sz w:val="24"/>
      <w:szCs w:val="24"/>
      <w:rtl w:val="0"/>
      <w:cs w:val="0"/>
      <w:lang w:val="sk-SK" w:eastAsia="sk-SK" w:bidi="ar-SA"/>
    </w:rPr>
  </w:style>
  <w:style w:type="paragraph" w:customStyle="1" w:styleId="CM4">
    <w:name w:val="CM4"/>
    <w:basedOn w:val="Default"/>
    <w:next w:val="Default"/>
    <w:uiPriority w:val="99"/>
    <w:rsid w:val="00CB2E5D"/>
    <w:pPr>
      <w:jc w:val="left"/>
    </w:pPr>
    <w:rPr>
      <w:rFonts w:cs="Times New Roman"/>
      <w:color w:val="auto"/>
    </w:rPr>
  </w:style>
  <w:style w:type="paragraph" w:customStyle="1" w:styleId="Zkladntext">
    <w:name w:val="Základní text"/>
    <w:aliases w:val="Základný text Char Char"/>
    <w:rsid w:val="00EE7DD6"/>
    <w:pPr>
      <w:framePr w:wrap="auto"/>
      <w:widowControl w:val="0"/>
      <w:autoSpaceDE w:val="0"/>
      <w:autoSpaceDN w:val="0"/>
      <w:adjustRightInd/>
      <w:ind w:left="0" w:right="0"/>
      <w:jc w:val="left"/>
      <w:textAlignment w:val="auto"/>
    </w:pPr>
    <w:rPr>
      <w:rFonts w:cs="Times New Roman"/>
      <w:color w:val="000000"/>
      <w:sz w:val="24"/>
      <w:szCs w:val="24"/>
      <w:rtl w:val="0"/>
      <w:cs w:val="0"/>
      <w:lang w:val="sk-SK" w:eastAsia="sk-SK" w:bidi="ar-SA"/>
    </w:rPr>
  </w:style>
  <w:style w:type="paragraph" w:customStyle="1" w:styleId="CharChar">
    <w:name w:val="Char Char"/>
    <w:basedOn w:val="Normal"/>
    <w:uiPriority w:val="99"/>
    <w:rsid w:val="0078287E"/>
    <w:pPr>
      <w:spacing w:before="0" w:beforeAutospacing="0" w:after="160" w:afterAutospacing="0" w:line="240" w:lineRule="exact"/>
      <w:jc w:val="left"/>
    </w:pPr>
    <w:rPr>
      <w:rFonts w:ascii="Tahoma" w:hAnsi="Tahoma" w:cs="Tahoma"/>
      <w:sz w:val="20"/>
      <w:szCs w:val="20"/>
      <w:lang w:val="en-US" w:eastAsia="en-US"/>
    </w:rPr>
  </w:style>
  <w:style w:type="paragraph" w:customStyle="1" w:styleId="CM1">
    <w:name w:val="CM1"/>
    <w:basedOn w:val="Default"/>
    <w:next w:val="Default"/>
    <w:uiPriority w:val="99"/>
    <w:rsid w:val="002E1D16"/>
    <w:pPr>
      <w:jc w:val="left"/>
    </w:pPr>
    <w:rPr>
      <w:rFonts w:cs="Times New Roman"/>
      <w:color w:val="auto"/>
    </w:rPr>
  </w:style>
  <w:style w:type="paragraph" w:customStyle="1" w:styleId="CM3">
    <w:name w:val="CM3"/>
    <w:basedOn w:val="Default"/>
    <w:next w:val="Default"/>
    <w:uiPriority w:val="99"/>
    <w:rsid w:val="002E1D16"/>
    <w:pPr>
      <w:jc w:val="left"/>
    </w:pPr>
    <w:rPr>
      <w:rFonts w:cs="Times New Roman"/>
      <w:color w:val="auto"/>
    </w:rPr>
  </w:style>
  <w:style w:type="paragraph" w:styleId="ListParagraph">
    <w:name w:val="List Paragraph"/>
    <w:basedOn w:val="Normal"/>
    <w:uiPriority w:val="34"/>
    <w:qFormat/>
    <w:rsid w:val="00E030B3"/>
    <w:pPr>
      <w:spacing w:before="0" w:beforeAutospacing="0" w:after="0" w:afterAutospacing="0"/>
      <w:ind w:left="720"/>
      <w:contextualSpacing/>
      <w:jc w:val="left"/>
    </w:pPr>
  </w:style>
  <w:style w:type="character" w:styleId="Strong">
    <w:name w:val="Strong"/>
    <w:basedOn w:val="DefaultParagraphFont"/>
    <w:uiPriority w:val="22"/>
    <w:qFormat/>
    <w:rsid w:val="00D83E5B"/>
    <w:rPr>
      <w:rFonts w:cs="Times New Roman"/>
      <w:b/>
      <w:rtl w:val="0"/>
      <w:cs w:val="0"/>
    </w:rPr>
  </w:style>
  <w:style w:type="paragraph" w:customStyle="1" w:styleId="normal2">
    <w:name w:val="normal2"/>
    <w:basedOn w:val="Normal"/>
    <w:rsid w:val="00D83E5B"/>
    <w:pPr>
      <w:spacing w:before="120" w:beforeAutospacing="0" w:after="0" w:afterAutospacing="0" w:line="312" w:lineRule="atLeast"/>
      <w:jc w:val="both"/>
    </w:pPr>
  </w:style>
  <w:style w:type="character" w:customStyle="1" w:styleId="italic">
    <w:name w:val="italic"/>
    <w:rsid w:val="00926E0B"/>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TotalTime>
  <Pages>2</Pages>
  <Words>599</Words>
  <Characters>3416</Characters>
  <Application>Microsoft Office Word</Application>
  <DocSecurity>0</DocSecurity>
  <Lines>0</Lines>
  <Paragraphs>0</Paragraphs>
  <ScaleCrop>false</ScaleCrop>
  <Company>ÚV SR</Company>
  <LinksUpToDate>false</LinksUpToDate>
  <CharactersWithSpaces>4007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TABUĽKA  ZHODY</dc:title>
  <dc:creator>bodorova</dc:creator>
  <cp:lastModifiedBy>Ocovska Miluse</cp:lastModifiedBy>
  <cp:revision>3</cp:revision>
  <cp:lastPrinted>2025-06-24T12:46:00Z</cp:lastPrinted>
  <dcterms:created xsi:type="dcterms:W3CDTF">2025-08-15T14:41:00Z</dcterms:created>
  <dcterms:modified xsi:type="dcterms:W3CDTF">2025-08-20T09:50:00Z</dcterms:modified>
</cp:coreProperties>
</file>