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690" w:rsidRDefault="00156690" w:rsidP="00146C23">
      <w:pPr>
        <w:widowControl/>
        <w:jc w:val="center"/>
        <w:rPr>
          <w:rFonts w:cs="Times New Roman"/>
          <w:b/>
          <w:caps/>
          <w:spacing w:val="30"/>
        </w:rPr>
      </w:pPr>
    </w:p>
    <w:p w:rsidR="00146C23" w:rsidRPr="00FA3DB0" w:rsidRDefault="00146C23" w:rsidP="00146C23">
      <w:pPr>
        <w:widowControl/>
        <w:jc w:val="center"/>
        <w:rPr>
          <w:rFonts w:cs="Times New Roman"/>
          <w:b/>
          <w:caps/>
          <w:spacing w:val="30"/>
        </w:rPr>
      </w:pPr>
      <w:r w:rsidRPr="00FA3DB0">
        <w:rPr>
          <w:rFonts w:cs="Times New Roman"/>
          <w:b/>
          <w:caps/>
          <w:spacing w:val="30"/>
        </w:rPr>
        <w:t>Dôvodová správa</w:t>
      </w:r>
    </w:p>
    <w:p w:rsidR="00146C23" w:rsidRPr="00FA3DB0" w:rsidRDefault="00146C23" w:rsidP="00146C23">
      <w:pPr>
        <w:widowControl/>
        <w:jc w:val="both"/>
        <w:rPr>
          <w:rFonts w:cs="Times New Roman"/>
        </w:rPr>
      </w:pPr>
    </w:p>
    <w:p w:rsidR="00146C23" w:rsidRPr="00FA3DB0" w:rsidRDefault="00146C23" w:rsidP="00146C23">
      <w:pPr>
        <w:widowControl/>
        <w:jc w:val="both"/>
        <w:rPr>
          <w:rFonts w:cs="Times New Roman"/>
        </w:rPr>
      </w:pPr>
    </w:p>
    <w:p w:rsidR="00146C23" w:rsidRPr="00FA3DB0" w:rsidRDefault="00146C23" w:rsidP="00146C23">
      <w:pPr>
        <w:widowControl/>
        <w:jc w:val="both"/>
        <w:rPr>
          <w:rFonts w:cs="Times New Roman"/>
          <w:b/>
        </w:rPr>
      </w:pPr>
      <w:r w:rsidRPr="00FA3DB0">
        <w:rPr>
          <w:rFonts w:cs="Times New Roman"/>
          <w:b/>
        </w:rPr>
        <w:t>A. Všeobecná časť</w:t>
      </w:r>
    </w:p>
    <w:p w:rsidR="00146C23" w:rsidRPr="00FA3DB0" w:rsidRDefault="00146C23" w:rsidP="00146C23">
      <w:pPr>
        <w:widowControl/>
        <w:jc w:val="both"/>
        <w:rPr>
          <w:rFonts w:cs="Times New Roman"/>
          <w:b/>
        </w:rPr>
      </w:pPr>
    </w:p>
    <w:p w:rsidR="00146C23" w:rsidRPr="00EE659B" w:rsidRDefault="00146C23" w:rsidP="00146C23">
      <w:pPr>
        <w:pStyle w:val="PMsoNormal"/>
        <w:spacing w:before="120" w:after="120"/>
        <w:ind w:firstLine="720"/>
        <w:jc w:val="both"/>
        <w:rPr>
          <w:rStyle w:val="Zstupntext"/>
          <w:color w:val="auto"/>
        </w:rPr>
      </w:pPr>
      <w:r w:rsidRPr="00EE659B">
        <w:t xml:space="preserve">Úrad pre normalizáciu, metrológiu a skúšobníctvo Slovenskej republiky (ďalej len „úrad“) ako ostatný ústredný orgán štátnej správy pre oblasť technickej normalizácie, metrológie, kvality,  posudzovania zhody, vzájomného uznávania tovaru, odstraňovania prekážok voľného pohybu tovaru a akreditácie orgánov posudzovania zhody </w:t>
      </w:r>
      <w:r w:rsidRPr="00EE659B">
        <w:rPr>
          <w:rStyle w:val="Zstupntext"/>
          <w:color w:val="auto"/>
        </w:rPr>
        <w:t xml:space="preserve">na základe úlohy č. B.1 uznesenia vlády Slovenskej republiky č. 11 z 15. januára 2025 k návrhu Plánu legislatívnych úloh vlády Slovenskej republiky na rok 2025, úlohy č. B.24 uznesenia vlády Slovenskej republiky č. 196 zo 7. apríla 2025 k návrhu na určenie gestorských ústredných orgánov štátnej správy a niektorých orgánov verejnej moci za prebratie a aplikáciu smerníc, úlohy č. B.1 uznesenia vlády Slovenskej republiky č. </w:t>
      </w:r>
      <w:r w:rsidRPr="00EE659B">
        <w:rPr>
          <w:rStyle w:val="placeholdertext0"/>
        </w:rPr>
        <w:t xml:space="preserve">25 </w:t>
      </w:r>
      <w:r w:rsidRPr="00EE659B">
        <w:rPr>
          <w:rStyle w:val="Zstupntext"/>
          <w:color w:val="auto"/>
        </w:rPr>
        <w:t>z 18. januára 2024</w:t>
      </w:r>
      <w:r w:rsidRPr="00EE659B">
        <w:t xml:space="preserve"> prijať opatrenia na vnútroštátnej úrovni k nariadeniam Európskej únie a rozhodnutiam Európskej únie podľa gescie určenej v prílohe I a II predloženého materiálu, </w:t>
      </w:r>
      <w:r w:rsidRPr="00EE659B">
        <w:rPr>
          <w:rStyle w:val="Zstupntext"/>
          <w:color w:val="auto"/>
        </w:rPr>
        <w:t xml:space="preserve">úlohy č. B.1 uznesenia vlády Slovenskej republiky č. 427 z 10. júla 2024 </w:t>
      </w:r>
      <w:r w:rsidRPr="00EE659B">
        <w:t xml:space="preserve"> prijať opatrenia na vnútroštátnej úrovni k nariadeniam Európskej únie a rozhodnutiam Európskej únie podľa gescie určenej v prílohe I a II predloženého materiálu,</w:t>
      </w:r>
      <w:r w:rsidRPr="00EE659B">
        <w:rPr>
          <w:rStyle w:val="Zstupntext"/>
          <w:color w:val="auto"/>
        </w:rPr>
        <w:t xml:space="preserve"> úlohy č. B.1 uznesenia vlády Slovenskej republiky č. 29 z 22. januára 2025 </w:t>
      </w:r>
      <w:r w:rsidRPr="00EE659B">
        <w:t xml:space="preserve">prijať opatrenia na vnútroštátnej úrovni k nariadeniam Európskej únie a rozhodnutiam Európskej únie podľa gescie určenej v prílohe I a II predloženého materiálu a </w:t>
      </w:r>
      <w:r w:rsidRPr="00EE659B">
        <w:rPr>
          <w:rStyle w:val="Zstupntext"/>
          <w:color w:val="auto"/>
        </w:rPr>
        <w:t>úlohy č. B.1 uznesenia vlády Slovenskej republiky č. 346 z 2. júla 2025</w:t>
      </w:r>
      <w:r w:rsidRPr="00EE659B">
        <w:t xml:space="preserve"> prijať opatrenia na vnútroštátnej úrovni k nariadeniam Európskej únie a rozhodnutiam Európskej únie podľa gescie určenej v prílohe I a II predloženého materiálu</w:t>
      </w:r>
      <w:r w:rsidRPr="00EE659B">
        <w:rPr>
          <w:rStyle w:val="Zstupntext"/>
          <w:color w:val="auto"/>
        </w:rPr>
        <w:t xml:space="preserve"> a potreby zapracovania požiadaviek aplikačnej praxe,</w:t>
      </w:r>
      <w:r w:rsidRPr="00EE659B">
        <w:t xml:space="preserve"> </w:t>
      </w:r>
      <w:r w:rsidRPr="00EE659B">
        <w:rPr>
          <w:rStyle w:val="Zstupntext"/>
          <w:color w:val="auto"/>
        </w:rPr>
        <w:t xml:space="preserve">pripravil </w:t>
      </w:r>
    </w:p>
    <w:p w:rsidR="00146C23" w:rsidRPr="00EE659B" w:rsidRDefault="00146C23" w:rsidP="00146C23">
      <w:pPr>
        <w:pStyle w:val="PMsoNormal"/>
        <w:spacing w:before="120" w:after="120"/>
        <w:ind w:firstLine="720"/>
        <w:jc w:val="both"/>
      </w:pPr>
      <w:r w:rsidRPr="00EE659B">
        <w:rPr>
          <w:rStyle w:val="Zstupntext"/>
          <w:i/>
          <w:color w:val="auto"/>
        </w:rPr>
        <w:t xml:space="preserve">návrh zákona, ktorým sa </w:t>
      </w:r>
      <w:r w:rsidRPr="00EE659B">
        <w:rPr>
          <w:i/>
        </w:rPr>
        <w:t>mení a dopĺňa zákon č. 56/2018 Z. z. o posudzovaní zhody výrobku, sprístupňovaní určeného výrobku na trhu a o zmene a doplnení niektorých zákonov v znení neskorších predpisov</w:t>
      </w:r>
      <w:r w:rsidRPr="00EE659B">
        <w:t xml:space="preserve"> </w:t>
      </w:r>
      <w:r w:rsidRPr="00EE659B">
        <w:rPr>
          <w:i/>
        </w:rPr>
        <w:t>a ktorým sa menia a dopĺňajú niektoré zákony</w:t>
      </w:r>
      <w:r w:rsidRPr="00EE659B">
        <w:t xml:space="preserve"> (ďalej len „návrh zákona“). </w:t>
      </w:r>
    </w:p>
    <w:p w:rsidR="00146C23" w:rsidRPr="00146C23" w:rsidRDefault="00146C23" w:rsidP="00146C23">
      <w:pPr>
        <w:pStyle w:val="PMsoNormal"/>
        <w:spacing w:before="120" w:after="120"/>
        <w:ind w:firstLine="720"/>
        <w:jc w:val="both"/>
      </w:pPr>
      <w:r w:rsidRPr="00146C23">
        <w:rPr>
          <w:rStyle w:val="Zstupntext"/>
          <w:color w:val="auto"/>
        </w:rPr>
        <w:t>Zákon</w:t>
      </w:r>
      <w:r w:rsidRPr="00146C23">
        <w:t xml:space="preserve"> č. 56/2018 Z. z. o posudzovaní zhody výrobku, sprístupňovaní určeného výrobku na trhu a o zmene a doplnení niektorých zákonov v znení neskorších predpisov (ďalej len „zákon č. 56/2018 Z. z.“) je rámcovým zákonom pre sprístupňovanie určených výrobkov na trhu, obsahom ktorého sú základné princípy Nového legislatívneho rámca Európskej únie v podmienkach Slovenskej republiky a prostredníctvom ktorého dochádza k zosúladeniu všetkých spoločných požiadaviek, zavedeniu terminológie pre oblasť posudzovania zhody, autorizácie a notifikácie, pravidiel pre sprístupňovanie určených výrobkov na trhu a postupu orgánov dohľadu pri dohľade nad určenými výrobkami. Vo svojich ustanoveniach má implementované horizontálne ustanovenia európskej legislatívy, ktoré sa týkajú posudzovania zhody, a to postupy posudzovania zhody, označenie CE, EÚ vyhlásenie o zhode, povinnosti hospodárskych subjektov, notifikujúci orgán pre technické predpisy z oblasti posudzovania zhody, ktorým je úrad, autorizácia, požiadavky na notifikované osoby (orgány posudzovania zhody), trhový dohľad nad určenými výrobkami. Na tento rámcový zákon nadväzujú špecifické predpisy pre konkrétne výrobkové skupiny alebo oblasti, pre ktoré sa zaužíval pojem technické predpisy z oblasti posudzovania zhody. </w:t>
      </w:r>
    </w:p>
    <w:p w:rsidR="00146C23" w:rsidRPr="00146C23" w:rsidRDefault="00146C23" w:rsidP="00146C23">
      <w:pPr>
        <w:pStyle w:val="Odsekzoznamu"/>
        <w:spacing w:before="120" w:after="120" w:line="240" w:lineRule="auto"/>
        <w:ind w:left="0" w:firstLine="709"/>
        <w:contextualSpacing w:val="0"/>
        <w:jc w:val="both"/>
        <w:rPr>
          <w:rFonts w:ascii="Times New Roman" w:hAnsi="Times New Roman"/>
          <w:sz w:val="24"/>
          <w:szCs w:val="24"/>
        </w:rPr>
      </w:pPr>
      <w:r w:rsidRPr="00146C23">
        <w:rPr>
          <w:rStyle w:val="placeholdertext0"/>
          <w:rFonts w:ascii="Times New Roman" w:hAnsi="Times New Roman"/>
          <w:sz w:val="24"/>
          <w:szCs w:val="24"/>
        </w:rPr>
        <w:t xml:space="preserve">Predloženým návrhom zákona sa do právneho poriadku Slovenskej republiky čiastočne transponuje </w:t>
      </w:r>
      <w:r w:rsidRPr="00146C23">
        <w:rPr>
          <w:rFonts w:ascii="Times New Roman" w:hAnsi="Times New Roman"/>
          <w:bCs/>
          <w:sz w:val="24"/>
          <w:szCs w:val="24"/>
          <w:shd w:val="clear" w:color="auto" w:fill="FFFFFF"/>
        </w:rPr>
        <w:t>smernica Európskeho parlamentu a Rady (EÚ) 2023/2413 z 18. októbra 2023, ktorou sa mení smernica (EÚ) 2018/2001, nariadenie (EÚ) 2018/1999 a smernica 98/70/ES, pokiaľ ide o podporu energie z obnoviteľných zdrojov, a ktorou sa zrušuje smernica Rady (EÚ) 2015/652 (</w:t>
      </w:r>
      <w:r w:rsidRPr="00146C23">
        <w:rPr>
          <w:rFonts w:ascii="Times New Roman" w:hAnsi="Times New Roman"/>
          <w:iCs/>
          <w:sz w:val="24"/>
          <w:szCs w:val="24"/>
          <w:shd w:val="clear" w:color="auto" w:fill="FFFFFF"/>
          <w:lang w:val="ru-RU" w:eastAsia="sk-SK"/>
        </w:rPr>
        <w:t>Ú. v. EÚ L, 2023/2413, 31.10.2023</w:t>
      </w:r>
      <w:r w:rsidRPr="00146C23">
        <w:rPr>
          <w:rFonts w:ascii="Times New Roman" w:hAnsi="Times New Roman"/>
          <w:iCs/>
          <w:sz w:val="24"/>
          <w:szCs w:val="24"/>
          <w:shd w:val="clear" w:color="auto" w:fill="FFFFFF"/>
          <w:lang w:eastAsia="sk-SK"/>
        </w:rPr>
        <w:t xml:space="preserve">) </w:t>
      </w:r>
      <w:r w:rsidRPr="00146C23">
        <w:rPr>
          <w:rStyle w:val="placeholdertext0"/>
          <w:rFonts w:ascii="Times New Roman" w:hAnsi="Times New Roman"/>
          <w:sz w:val="24"/>
          <w:szCs w:val="24"/>
        </w:rPr>
        <w:t xml:space="preserve">v časti </w:t>
      </w:r>
      <w:r w:rsidRPr="00146C23">
        <w:rPr>
          <w:rStyle w:val="Zstupntext"/>
          <w:color w:val="auto"/>
          <w:sz w:val="24"/>
          <w:szCs w:val="24"/>
        </w:rPr>
        <w:t xml:space="preserve">povinnosti výrobcov batérií do </w:t>
      </w:r>
      <w:r w:rsidRPr="00146C23">
        <w:rPr>
          <w:rStyle w:val="Zstupntext"/>
          <w:color w:val="auto"/>
          <w:sz w:val="24"/>
          <w:szCs w:val="24"/>
        </w:rPr>
        <w:lastRenderedPageBreak/>
        <w:t>domácností a priemyselných batérií poskytnúť prístup v reálnom čase k základným informáciám o batériách ako sú informácie o stave batérie, stave nabitia, kapacite a stanovenom výkone za nediskriminačných podmienok v súlade s príslušnými pravidlami na ochranu údajov a bezodplatne majiteľom alebo používateľom batérií a subjektom konajúcim v ich mene, ako sú správcovia energetických systémov budov, poskytovatelia služieb mobility a iní účastníci na trhu s elektrinou</w:t>
      </w:r>
      <w:r w:rsidRPr="00146C23">
        <w:rPr>
          <w:rStyle w:val="placeholdertext0"/>
          <w:rFonts w:ascii="Times New Roman" w:hAnsi="Times New Roman"/>
          <w:sz w:val="24"/>
          <w:szCs w:val="24"/>
        </w:rPr>
        <w:t xml:space="preserve"> </w:t>
      </w:r>
      <w:r w:rsidRPr="00146C23">
        <w:rPr>
          <w:rFonts w:ascii="Times New Roman" w:hAnsi="Times New Roman"/>
          <w:iCs/>
          <w:sz w:val="24"/>
          <w:szCs w:val="24"/>
          <w:shd w:val="clear" w:color="auto" w:fill="FFFFFF"/>
          <w:lang w:eastAsia="sk-SK"/>
        </w:rPr>
        <w:t>a čiastočná transpozícia a</w:t>
      </w:r>
      <w:r w:rsidRPr="00146C23">
        <w:rPr>
          <w:rStyle w:val="placeholdertext0"/>
          <w:rFonts w:ascii="Times New Roman" w:hAnsi="Times New Roman"/>
          <w:sz w:val="24"/>
          <w:szCs w:val="24"/>
        </w:rPr>
        <w:t xml:space="preserve"> čiastočne transponuje </w:t>
      </w:r>
      <w:r w:rsidRPr="00146C23">
        <w:rPr>
          <w:rFonts w:ascii="Times New Roman" w:hAnsi="Times New Roman"/>
          <w:bCs/>
          <w:sz w:val="24"/>
          <w:szCs w:val="24"/>
          <w:shd w:val="clear" w:color="auto" w:fill="FFFFFF"/>
        </w:rPr>
        <w:t>smernica</w:t>
      </w:r>
      <w:r w:rsidRPr="00146C23">
        <w:rPr>
          <w:rFonts w:ascii="Times New Roman" w:hAnsi="Times New Roman"/>
          <w:sz w:val="24"/>
          <w:szCs w:val="24"/>
        </w:rPr>
        <w:t xml:space="preserve"> Európskeho parlamentu a Rady (EÚ) 2024/2839 z 23. októbra, </w:t>
      </w:r>
      <w:r w:rsidRPr="00146C23">
        <w:rPr>
          <w:rFonts w:ascii="Times New Roman" w:hAnsi="Times New Roman"/>
          <w:bCs/>
          <w:sz w:val="24"/>
          <w:szCs w:val="24"/>
          <w:shd w:val="clear" w:color="auto" w:fill="FFFFFF"/>
        </w:rPr>
        <w:t>ktorou sa menia smernice 1999/2/ES, 2000/14/ES, 2011/24/EÚ a 2014/53/EÚ, pokiaľ ide o určité požiadavky na podávanie správ v oblasti potravín a prídavných látok do potravín, hluku vo voľnom priestranstve, práv pacientov a rádiových zariadení</w:t>
      </w:r>
      <w:r w:rsidRPr="00146C23">
        <w:rPr>
          <w:rStyle w:val="placeholdertext0"/>
          <w:rFonts w:ascii="Times New Roman" w:hAnsi="Times New Roman"/>
          <w:sz w:val="24"/>
          <w:szCs w:val="24"/>
        </w:rPr>
        <w:t xml:space="preserve"> (</w:t>
      </w:r>
      <w:r w:rsidRPr="00146C23">
        <w:rPr>
          <w:rStyle w:val="Zvraznenie"/>
          <w:rFonts w:ascii="Times New Roman" w:hAnsi="Times New Roman"/>
          <w:i w:val="0"/>
          <w:iCs/>
          <w:sz w:val="24"/>
          <w:szCs w:val="24"/>
          <w:shd w:val="clear" w:color="auto" w:fill="FFFFFF"/>
        </w:rPr>
        <w:t>Ú. v. EÚ L, 2024/2839, 7.11.2024</w:t>
      </w:r>
      <w:r w:rsidRPr="00146C23">
        <w:rPr>
          <w:rStyle w:val="placeholdertext0"/>
          <w:rFonts w:ascii="Times New Roman" w:hAnsi="Times New Roman"/>
          <w:sz w:val="24"/>
          <w:szCs w:val="24"/>
        </w:rPr>
        <w:t xml:space="preserve">) </w:t>
      </w:r>
      <w:r w:rsidRPr="00146C23">
        <w:rPr>
          <w:rFonts w:ascii="Times New Roman" w:hAnsi="Times New Roman"/>
          <w:sz w:val="24"/>
          <w:szCs w:val="24"/>
        </w:rPr>
        <w:t>v časti požiadaviek na podávanie správ v oblasti rádiových zariadení,</w:t>
      </w:r>
      <w:r w:rsidRPr="00146C23">
        <w:rPr>
          <w:rStyle w:val="placeholdertext0"/>
          <w:rFonts w:ascii="Times New Roman" w:hAnsi="Times New Roman"/>
          <w:sz w:val="24"/>
          <w:szCs w:val="24"/>
        </w:rPr>
        <w:t xml:space="preserve"> a to úpravou zákona č. </w:t>
      </w:r>
      <w:r w:rsidRPr="00146C23">
        <w:rPr>
          <w:rFonts w:ascii="Times New Roman" w:hAnsi="Times New Roman"/>
          <w:sz w:val="24"/>
          <w:szCs w:val="24"/>
        </w:rPr>
        <w:t>56/2018 Z. z. Návrhom zákona sa tiež:</w:t>
      </w:r>
    </w:p>
    <w:p w:rsidR="00146C23" w:rsidRPr="00146C23" w:rsidRDefault="00146C23" w:rsidP="00146C23">
      <w:pPr>
        <w:pStyle w:val="Odsekzoznamu"/>
        <w:numPr>
          <w:ilvl w:val="0"/>
          <w:numId w:val="1"/>
        </w:numPr>
        <w:spacing w:before="120" w:after="120" w:line="240" w:lineRule="auto"/>
        <w:ind w:left="284" w:hanging="284"/>
        <w:contextualSpacing w:val="0"/>
        <w:jc w:val="both"/>
        <w:rPr>
          <w:rFonts w:ascii="Times New Roman" w:hAnsi="Times New Roman"/>
          <w:sz w:val="24"/>
          <w:szCs w:val="24"/>
          <w:lang w:eastAsia="sk-SK"/>
        </w:rPr>
      </w:pPr>
      <w:r w:rsidRPr="00146C23">
        <w:rPr>
          <w:rFonts w:ascii="Times New Roman" w:hAnsi="Times New Roman"/>
          <w:sz w:val="24"/>
          <w:szCs w:val="24"/>
          <w:lang w:eastAsia="sk-SK"/>
        </w:rPr>
        <w:t xml:space="preserve">implementuje </w:t>
      </w:r>
      <w:r w:rsidRPr="00146C23">
        <w:rPr>
          <w:rFonts w:ascii="Times New Roman" w:hAnsi="Times New Roman"/>
          <w:sz w:val="24"/>
          <w:szCs w:val="24"/>
        </w:rPr>
        <w:t>n</w:t>
      </w:r>
      <w:r w:rsidRPr="00146C23">
        <w:rPr>
          <w:rFonts w:ascii="Times New Roman" w:hAnsi="Times New Roman"/>
          <w:bCs/>
          <w:sz w:val="24"/>
          <w:szCs w:val="24"/>
          <w:shd w:val="clear" w:color="auto" w:fill="FFFFFF"/>
        </w:rPr>
        <w:t>ariadenie Európskeho parlamentu a Rady (EÚ) 2023/1230 zo 14. júna 2023 o strojových zariadeniach a o zrušení smernice Európskeho parlamentu a Rady 2006/42/ES a smernice Rady 73/361/EHS (</w:t>
      </w:r>
      <w:r w:rsidRPr="00146C23">
        <w:rPr>
          <w:rStyle w:val="Zvraznenie"/>
          <w:rFonts w:ascii="Times New Roman" w:hAnsi="Times New Roman"/>
          <w:i w:val="0"/>
          <w:iCs/>
          <w:sz w:val="24"/>
          <w:szCs w:val="24"/>
          <w:shd w:val="clear" w:color="auto" w:fill="FFFFFF"/>
        </w:rPr>
        <w:t>Ú. v. EÚ L 165, 29.6.2023) v platnom znení</w:t>
      </w:r>
      <w:r w:rsidRPr="00146C23">
        <w:rPr>
          <w:rFonts w:ascii="Times New Roman" w:hAnsi="Times New Roman"/>
          <w:bCs/>
          <w:sz w:val="24"/>
          <w:szCs w:val="24"/>
          <w:shd w:val="clear" w:color="auto" w:fill="FFFFFF"/>
        </w:rPr>
        <w:t xml:space="preserve"> </w:t>
      </w:r>
      <w:r w:rsidRPr="00146C23">
        <w:rPr>
          <w:rFonts w:ascii="Times New Roman" w:hAnsi="Times New Roman"/>
          <w:sz w:val="24"/>
          <w:szCs w:val="24"/>
          <w:lang w:eastAsia="sk-SK"/>
        </w:rPr>
        <w:t>(ďalej len „nariadenie (EÚ) 2023/1230 v platnom znení“), ustanovujú sa orgány dohľadu nad  určenými výrobkami pre nariadenie (EÚ) 2023/1230 v platnom znení, úrad je notifikujúcim orgánom pre nariadenie (EÚ) 2023/1230 v platnom znení,</w:t>
      </w:r>
    </w:p>
    <w:p w:rsidR="00146C23" w:rsidRPr="00146C23" w:rsidRDefault="00146C23" w:rsidP="00146C23">
      <w:pPr>
        <w:pStyle w:val="Odsekzoznamu"/>
        <w:numPr>
          <w:ilvl w:val="0"/>
          <w:numId w:val="1"/>
        </w:numPr>
        <w:spacing w:before="120" w:after="120" w:line="240" w:lineRule="auto"/>
        <w:ind w:left="284" w:hanging="284"/>
        <w:contextualSpacing w:val="0"/>
        <w:jc w:val="both"/>
        <w:rPr>
          <w:rFonts w:ascii="Times New Roman" w:hAnsi="Times New Roman"/>
          <w:sz w:val="24"/>
          <w:szCs w:val="24"/>
          <w:lang w:eastAsia="sk-SK"/>
        </w:rPr>
      </w:pPr>
      <w:r w:rsidRPr="00146C23">
        <w:rPr>
          <w:rFonts w:ascii="Times New Roman" w:hAnsi="Times New Roman"/>
          <w:sz w:val="24"/>
          <w:szCs w:val="24"/>
          <w:lang w:eastAsia="sk-SK"/>
        </w:rPr>
        <w:t xml:space="preserve">čiastočne sa implementuje nariadenie </w:t>
      </w:r>
      <w:r w:rsidRPr="00146C23">
        <w:rPr>
          <w:rFonts w:ascii="Times New Roman" w:hAnsi="Times New Roman"/>
          <w:sz w:val="24"/>
          <w:szCs w:val="24"/>
        </w:rPr>
        <w:t>Európskeho parlamentu a Rady (EÚ) 2023/1542 z 12. júna 2023 o batériách a odpadových batériách, ktorým sa mení smernica 2008/98/ES a nariadenie (EÚ) 2019/1020 a zrušuje smernica 2006/66/ES (</w:t>
      </w:r>
      <w:r w:rsidRPr="00146C23">
        <w:rPr>
          <w:rStyle w:val="Zvraznenie"/>
          <w:rFonts w:ascii="Times New Roman" w:hAnsi="Times New Roman"/>
          <w:i w:val="0"/>
          <w:iCs/>
          <w:sz w:val="24"/>
          <w:szCs w:val="24"/>
          <w:shd w:val="clear" w:color="auto" w:fill="FFFFFF"/>
        </w:rPr>
        <w:t>Ú. v. EÚ L 191, 28.7.2023) v platnom znení (ďalej len „nariadenie (EÚ) 2023/1542 v platnom znení“)</w:t>
      </w:r>
      <w:r w:rsidRPr="00146C23">
        <w:rPr>
          <w:rFonts w:ascii="Times New Roman" w:hAnsi="Times New Roman"/>
          <w:sz w:val="24"/>
          <w:szCs w:val="24"/>
          <w:lang w:eastAsia="sk-SK"/>
        </w:rPr>
        <w:t>, ustanovujú sa orgány dohľadu nad  určenými výrobkami pre nariadenie (EÚ) 2023/1542 v platnom znení, úrad je notifikujúcim orgánom pre nariadenie (EÚ) 2023/1542 v platnom znení,</w:t>
      </w:r>
    </w:p>
    <w:p w:rsidR="00146C23" w:rsidRPr="00146C23" w:rsidRDefault="00146C23" w:rsidP="00146C23">
      <w:pPr>
        <w:pStyle w:val="Odsekzoznamu"/>
        <w:numPr>
          <w:ilvl w:val="0"/>
          <w:numId w:val="1"/>
        </w:numPr>
        <w:spacing w:before="120" w:after="120" w:line="240" w:lineRule="auto"/>
        <w:ind w:left="284" w:hanging="284"/>
        <w:contextualSpacing w:val="0"/>
        <w:jc w:val="both"/>
        <w:rPr>
          <w:rFonts w:ascii="Times New Roman" w:hAnsi="Times New Roman"/>
          <w:sz w:val="24"/>
          <w:szCs w:val="24"/>
          <w:lang w:eastAsia="sk-SK"/>
        </w:rPr>
      </w:pPr>
      <w:r w:rsidRPr="00146C23">
        <w:rPr>
          <w:rFonts w:ascii="Times New Roman" w:hAnsi="Times New Roman"/>
          <w:sz w:val="24"/>
          <w:szCs w:val="24"/>
          <w:lang w:eastAsia="sk-SK"/>
        </w:rPr>
        <w:t xml:space="preserve">implementuje </w:t>
      </w:r>
      <w:r w:rsidRPr="00146C23">
        <w:rPr>
          <w:rFonts w:ascii="Times New Roman" w:hAnsi="Times New Roman"/>
          <w:sz w:val="24"/>
          <w:szCs w:val="24"/>
        </w:rPr>
        <w:t>delegované nariadenie Komisie (EÚ) 2024/370 z 23. januára 2024, ktorým sa dopĺňa smernica Európskeho parlamentu a Rady (EÚ) 2020/2184 stanovením postupov posudzovania zhody pre výrobky, ktoré prichádzajú do kontaktu s vodou určenou na ľudskú spotrebu a pravidiel určovania orgánov posudzovania zhody zapojených do týchto postupov (</w:t>
      </w:r>
      <w:r w:rsidRPr="00146C23">
        <w:rPr>
          <w:rStyle w:val="Zvraznenie"/>
          <w:rFonts w:ascii="Times New Roman" w:hAnsi="Times New Roman"/>
          <w:i w:val="0"/>
          <w:iCs/>
          <w:sz w:val="24"/>
          <w:szCs w:val="24"/>
          <w:shd w:val="clear" w:color="auto" w:fill="FFFFFF"/>
        </w:rPr>
        <w:t>Ú. v. EÚ L, 2024/370, 23.4.2024)</w:t>
      </w:r>
      <w:r w:rsidRPr="00146C23">
        <w:rPr>
          <w:rFonts w:ascii="Times New Roman" w:hAnsi="Times New Roman"/>
          <w:sz w:val="24"/>
          <w:szCs w:val="24"/>
          <w:lang w:eastAsia="sk-SK"/>
        </w:rPr>
        <w:t xml:space="preserve"> (ďalej len „delegované nariadenie (EÚ) 2024/370“) a </w:t>
      </w:r>
      <w:r w:rsidRPr="00146C23">
        <w:rPr>
          <w:rFonts w:ascii="Times New Roman" w:hAnsi="Times New Roman"/>
          <w:bCs/>
          <w:sz w:val="24"/>
          <w:szCs w:val="24"/>
          <w:shd w:val="clear" w:color="auto" w:fill="FFFFFF"/>
        </w:rPr>
        <w:t>delegované nariadenie Komisie (EÚ) 2024/371 z 23. januára 2024, ktorým sa dopĺňa smernica Európskeho parlamentu a Rady (EÚ) 2020/2184 stanovením harmonizovaných špecifikácií označovania výrobkov prichádzajúcich do kontaktu s vodou určenou na ľudskú spotrebu</w:t>
      </w:r>
      <w:r w:rsidRPr="00146C23">
        <w:rPr>
          <w:rFonts w:ascii="Times New Roman" w:hAnsi="Times New Roman"/>
          <w:sz w:val="24"/>
          <w:szCs w:val="24"/>
        </w:rPr>
        <w:t xml:space="preserve"> (</w:t>
      </w:r>
      <w:r w:rsidRPr="00146C23">
        <w:rPr>
          <w:rFonts w:ascii="Times New Roman" w:hAnsi="Times New Roman"/>
          <w:iCs/>
          <w:sz w:val="24"/>
          <w:szCs w:val="24"/>
          <w:shd w:val="clear" w:color="auto" w:fill="FFFFFF"/>
          <w:lang w:eastAsia="sk-SK"/>
        </w:rPr>
        <w:t>Ú. v. EÚ L, 2024/371, 23.4.2024</w:t>
      </w:r>
      <w:r w:rsidRPr="00146C23">
        <w:rPr>
          <w:rStyle w:val="Zvraznenie"/>
          <w:rFonts w:ascii="Times New Roman" w:hAnsi="Times New Roman"/>
          <w:i w:val="0"/>
          <w:iCs/>
          <w:sz w:val="24"/>
          <w:szCs w:val="24"/>
          <w:shd w:val="clear" w:color="auto" w:fill="FFFFFF"/>
        </w:rPr>
        <w:t>)</w:t>
      </w:r>
      <w:r w:rsidRPr="00146C23">
        <w:rPr>
          <w:rFonts w:ascii="Times New Roman" w:hAnsi="Times New Roman"/>
          <w:sz w:val="24"/>
          <w:szCs w:val="24"/>
          <w:lang w:eastAsia="sk-SK"/>
        </w:rPr>
        <w:t xml:space="preserve"> (ďalej len „delegované nariadenie (EÚ) 2024/371“), ustanovujú sa orgány dohľadu nad  určenými výrobkami pre delegované nariadenie (EÚ) 2024/370 a delegované nariadenie (EÚ) 2024/371, úrad je notifikujúcim orgánom pre delegované nariadenie (EÚ) 2024/370,</w:t>
      </w:r>
    </w:p>
    <w:p w:rsidR="00146C23" w:rsidRPr="00146C23" w:rsidRDefault="00146C23" w:rsidP="00146C23">
      <w:pPr>
        <w:pStyle w:val="Odsekzoznamu"/>
        <w:numPr>
          <w:ilvl w:val="0"/>
          <w:numId w:val="1"/>
        </w:numPr>
        <w:spacing w:before="120" w:after="120" w:line="240" w:lineRule="auto"/>
        <w:ind w:left="284" w:hanging="284"/>
        <w:contextualSpacing w:val="0"/>
        <w:jc w:val="both"/>
        <w:rPr>
          <w:rFonts w:ascii="Times New Roman" w:hAnsi="Times New Roman"/>
          <w:sz w:val="24"/>
          <w:szCs w:val="24"/>
          <w:lang w:eastAsia="sk-SK"/>
        </w:rPr>
      </w:pPr>
      <w:r w:rsidRPr="00146C23">
        <w:rPr>
          <w:rFonts w:ascii="Times New Roman" w:hAnsi="Times New Roman"/>
          <w:sz w:val="24"/>
          <w:szCs w:val="24"/>
          <w:lang w:eastAsia="sk-SK"/>
        </w:rPr>
        <w:t>čiastočne sa implementuje nariadenie E</w:t>
      </w:r>
      <w:r w:rsidRPr="00146C23">
        <w:rPr>
          <w:rFonts w:ascii="Times New Roman" w:hAnsi="Times New Roman"/>
          <w:bCs/>
          <w:sz w:val="24"/>
          <w:szCs w:val="24"/>
          <w:shd w:val="clear" w:color="auto" w:fill="FFFFFF"/>
        </w:rPr>
        <w:t>urópskeho parlamentu a Rady (EÚ) 2024/1252 z 11. apríla 2024, ktorým sa stanovuje rámec na zaistenie bezpečných a udržateľných dodávok kritických surovín a ktorým sa menia nariadenia (EÚ) č. 168/2013, (EÚ) 2018/858, (EÚ) 2018/1724 a (EÚ) 2019/1020 (</w:t>
      </w:r>
      <w:r w:rsidRPr="00146C23">
        <w:rPr>
          <w:rStyle w:val="Zvraznenie"/>
          <w:rFonts w:ascii="Times New Roman" w:hAnsi="Times New Roman"/>
          <w:i w:val="0"/>
          <w:iCs/>
          <w:sz w:val="24"/>
          <w:szCs w:val="24"/>
          <w:shd w:val="clear" w:color="auto" w:fill="FFFFFF"/>
        </w:rPr>
        <w:t>Ú. v. EÚ L, 2024/1252, 3.5.2024) v platnom znení</w:t>
      </w:r>
      <w:r w:rsidRPr="00146C23">
        <w:rPr>
          <w:rFonts w:ascii="Times New Roman" w:hAnsi="Times New Roman"/>
          <w:sz w:val="24"/>
          <w:szCs w:val="24"/>
          <w:lang w:eastAsia="sk-SK"/>
        </w:rPr>
        <w:t xml:space="preserve"> (ďalej len „nariadenie (EÚ) 2024/1252 v platnom znení“), a to v časti týkajúcej sa permanentných magnetov,</w:t>
      </w:r>
    </w:p>
    <w:p w:rsidR="00146C23" w:rsidRPr="00146C23" w:rsidRDefault="00146C23" w:rsidP="00146C23">
      <w:pPr>
        <w:pStyle w:val="Odsekzoznamu"/>
        <w:numPr>
          <w:ilvl w:val="0"/>
          <w:numId w:val="1"/>
        </w:numPr>
        <w:spacing w:before="120" w:after="120" w:line="240" w:lineRule="auto"/>
        <w:ind w:left="284" w:hanging="284"/>
        <w:contextualSpacing w:val="0"/>
        <w:jc w:val="both"/>
        <w:rPr>
          <w:rFonts w:ascii="Times New Roman" w:hAnsi="Times New Roman"/>
          <w:sz w:val="24"/>
          <w:szCs w:val="24"/>
          <w:lang w:eastAsia="sk-SK"/>
        </w:rPr>
      </w:pPr>
      <w:r w:rsidRPr="00146C23">
        <w:rPr>
          <w:rFonts w:ascii="Times New Roman" w:hAnsi="Times New Roman"/>
          <w:sz w:val="24"/>
          <w:szCs w:val="24"/>
          <w:lang w:eastAsia="sk-SK"/>
        </w:rPr>
        <w:t xml:space="preserve">čiastočne sa implementuje nariadenie </w:t>
      </w:r>
      <w:r w:rsidRPr="00146C23">
        <w:rPr>
          <w:rFonts w:ascii="Times New Roman" w:hAnsi="Times New Roman"/>
          <w:bCs/>
          <w:sz w:val="24"/>
          <w:szCs w:val="24"/>
          <w:shd w:val="clear" w:color="auto" w:fill="FFFFFF"/>
        </w:rPr>
        <w:t>Európskeho parlamentu a Rady (EÚ) 2024/1689 z 13. júna 2024, ktorým sa stanovujú harmonizované pravidlá v oblasti umelej inteligencie a ktorým sa menia nariadenia (ES) č. 300/2008, (EÚ) č. 167/2013, (EÚ) č. 168/2013, (EÚ) 2018/858, (EÚ) 2018/1139 a (EÚ) 2019/2144 a smernice 2014/90/EÚ, (EÚ) 2016/797 a (EÚ) 2020/1828 (akt o umelej inteligencii) (</w:t>
      </w:r>
      <w:r w:rsidRPr="00146C23">
        <w:rPr>
          <w:rStyle w:val="Zvraznenie"/>
          <w:rFonts w:ascii="Times New Roman" w:hAnsi="Times New Roman"/>
          <w:i w:val="0"/>
          <w:iCs/>
          <w:sz w:val="24"/>
          <w:szCs w:val="24"/>
          <w:shd w:val="clear" w:color="auto" w:fill="FFFFFF"/>
        </w:rPr>
        <w:t>Ú. v. EÚ L, 2024/1689, 12.7.2024) (ďalej len „nariadenie (EÚ) 2024/1689“)</w:t>
      </w:r>
      <w:r w:rsidRPr="00146C23">
        <w:rPr>
          <w:rFonts w:ascii="Times New Roman" w:hAnsi="Times New Roman"/>
          <w:sz w:val="24"/>
          <w:szCs w:val="24"/>
          <w:lang w:eastAsia="sk-SK"/>
        </w:rPr>
        <w:t>, úrad je notifikujúcim orgánom pre nariadenie (EÚ) 2024/1689,</w:t>
      </w:r>
    </w:p>
    <w:p w:rsidR="00146C23" w:rsidRPr="00146C23" w:rsidRDefault="00146C23" w:rsidP="00146C23">
      <w:pPr>
        <w:pStyle w:val="Odsekzoznamu"/>
        <w:numPr>
          <w:ilvl w:val="0"/>
          <w:numId w:val="1"/>
        </w:numPr>
        <w:spacing w:before="120" w:after="120" w:line="240" w:lineRule="auto"/>
        <w:ind w:left="284" w:hanging="284"/>
        <w:contextualSpacing w:val="0"/>
        <w:jc w:val="both"/>
        <w:rPr>
          <w:rFonts w:ascii="Times New Roman" w:hAnsi="Times New Roman"/>
          <w:sz w:val="24"/>
          <w:szCs w:val="24"/>
          <w:lang w:eastAsia="sk-SK"/>
        </w:rPr>
      </w:pPr>
      <w:r w:rsidRPr="00146C23">
        <w:rPr>
          <w:rFonts w:ascii="Times New Roman" w:hAnsi="Times New Roman"/>
          <w:sz w:val="24"/>
          <w:szCs w:val="24"/>
          <w:lang w:eastAsia="sk-SK"/>
        </w:rPr>
        <w:lastRenderedPageBreak/>
        <w:t xml:space="preserve">čiastočne sa implementuje </w:t>
      </w:r>
      <w:r w:rsidRPr="00146C23">
        <w:rPr>
          <w:rFonts w:ascii="Times New Roman" w:hAnsi="Times New Roman"/>
          <w:bCs/>
          <w:sz w:val="24"/>
          <w:szCs w:val="24"/>
          <w:shd w:val="clear" w:color="auto" w:fill="FFFFFF"/>
        </w:rPr>
        <w:t>n</w:t>
      </w:r>
      <w:r w:rsidRPr="00146C23">
        <w:rPr>
          <w:rFonts w:ascii="Times New Roman" w:hAnsi="Times New Roman"/>
          <w:sz w:val="24"/>
          <w:szCs w:val="24"/>
        </w:rPr>
        <w:t xml:space="preserve">ariadenie Európskeho parlamentu a Rady (EÚ) 2024/1781 z 13. júna 2024, ktorým sa zriaďuje rámec na stanovenie požiadaviek na </w:t>
      </w:r>
      <w:proofErr w:type="spellStart"/>
      <w:r w:rsidRPr="00146C23">
        <w:rPr>
          <w:rFonts w:ascii="Times New Roman" w:hAnsi="Times New Roman"/>
          <w:sz w:val="24"/>
          <w:szCs w:val="24"/>
        </w:rPr>
        <w:t>ekodizajn</w:t>
      </w:r>
      <w:proofErr w:type="spellEnd"/>
      <w:r w:rsidRPr="00146C23">
        <w:rPr>
          <w:rFonts w:ascii="Times New Roman" w:hAnsi="Times New Roman"/>
          <w:sz w:val="24"/>
          <w:szCs w:val="24"/>
        </w:rPr>
        <w:t xml:space="preserve"> udržateľných výrobkov, mení smernica (EÚ) 2020/1828 a nariadenie (EÚ) 2023/1542 a zrušuje smernica 2009/125/ES (</w:t>
      </w:r>
      <w:r w:rsidRPr="00146C23">
        <w:rPr>
          <w:rStyle w:val="Zvraznenie"/>
          <w:rFonts w:ascii="Times New Roman" w:hAnsi="Times New Roman"/>
          <w:i w:val="0"/>
          <w:iCs/>
          <w:sz w:val="24"/>
          <w:szCs w:val="24"/>
          <w:shd w:val="clear" w:color="auto" w:fill="FFFFFF"/>
        </w:rPr>
        <w:t>Ú. v. EÚ L, 2024/1781, 28.6.2024)</w:t>
      </w:r>
      <w:r w:rsidRPr="00146C23">
        <w:rPr>
          <w:rFonts w:ascii="Times New Roman" w:hAnsi="Times New Roman"/>
          <w:sz w:val="24"/>
          <w:szCs w:val="24"/>
        </w:rPr>
        <w:t xml:space="preserve"> </w:t>
      </w:r>
      <w:r w:rsidRPr="00146C23">
        <w:rPr>
          <w:rFonts w:ascii="Times New Roman" w:hAnsi="Times New Roman"/>
          <w:sz w:val="24"/>
          <w:szCs w:val="24"/>
          <w:lang w:eastAsia="sk-SK"/>
        </w:rPr>
        <w:t xml:space="preserve"> (ďalej len „nariadenie (EÚ) 2024/1781“),  ustanovuje sa orgán dohľadu nad určenými výrobkami pre nariadenie (EÚ) 2024/1781, úrad je notifikujúcim orgánom pre nariadenie (EÚ) 2024/1781,</w:t>
      </w:r>
    </w:p>
    <w:p w:rsidR="00146C23" w:rsidRPr="00146C23" w:rsidRDefault="00146C23" w:rsidP="00146C23">
      <w:pPr>
        <w:pStyle w:val="Odsekzoznamu"/>
        <w:numPr>
          <w:ilvl w:val="0"/>
          <w:numId w:val="1"/>
        </w:numPr>
        <w:spacing w:before="120" w:after="120" w:line="240" w:lineRule="auto"/>
        <w:ind w:left="284" w:hanging="284"/>
        <w:contextualSpacing w:val="0"/>
        <w:jc w:val="both"/>
        <w:rPr>
          <w:rFonts w:ascii="Times New Roman" w:hAnsi="Times New Roman"/>
          <w:iCs/>
          <w:sz w:val="24"/>
          <w:szCs w:val="24"/>
          <w:shd w:val="clear" w:color="auto" w:fill="FFFFFF"/>
          <w:lang w:eastAsia="sk-SK"/>
        </w:rPr>
      </w:pPr>
      <w:r w:rsidRPr="00146C23">
        <w:rPr>
          <w:rFonts w:ascii="Times New Roman" w:hAnsi="Times New Roman"/>
          <w:sz w:val="24"/>
          <w:szCs w:val="24"/>
        </w:rPr>
        <w:t>rozširujú sa informačné povinnosti úradu v zmysle vykonávacieho rozhodnutia Komisie (EÚ) 2023/1096 z 2. júna 2023, ktorým sa stanovujú pravidlá uplatňovania smernice Európskeho parlamentu a Rady 2013/29/EÚ, pokiaľ ide o zber a aktualizáciu údajov o nehodách spojených s používaním pyrotechnických výrobkov (</w:t>
      </w:r>
      <w:r w:rsidRPr="00146C23">
        <w:rPr>
          <w:rStyle w:val="Zvraznenie"/>
          <w:rFonts w:ascii="Times New Roman" w:hAnsi="Times New Roman"/>
          <w:i w:val="0"/>
          <w:iCs/>
          <w:sz w:val="24"/>
          <w:szCs w:val="24"/>
          <w:shd w:val="clear" w:color="auto" w:fill="FFFFFF"/>
        </w:rPr>
        <w:t>Ú. v. EÚ L 146, 6.6.2023) a</w:t>
      </w:r>
      <w:r w:rsidRPr="00146C23">
        <w:rPr>
          <w:rFonts w:ascii="Times New Roman" w:hAnsi="Times New Roman"/>
          <w:sz w:val="24"/>
          <w:szCs w:val="24"/>
        </w:rPr>
        <w:t xml:space="preserve"> vykonávacieho nariadenia Komisie (EÚ) 2024/1922 z 12. júla 2024, ktorým sa stanovuje vzor na zber údajov a informácií uvedených v článku 6 ods. 5 písm. a) až d) nariadenia Európskeho parlamentu a Rady (EÚ) 2023/1230 členskými štátmi (</w:t>
      </w:r>
      <w:r w:rsidRPr="00146C23">
        <w:rPr>
          <w:rFonts w:ascii="Times New Roman" w:hAnsi="Times New Roman"/>
          <w:iCs/>
          <w:sz w:val="24"/>
          <w:szCs w:val="24"/>
          <w:shd w:val="clear" w:color="auto" w:fill="FFFFFF"/>
          <w:lang w:eastAsia="sk-SK"/>
        </w:rPr>
        <w:t>Ú. v. EÚ L, 2024/1922, 15.7.2024),</w:t>
      </w:r>
    </w:p>
    <w:p w:rsidR="00146C23" w:rsidRPr="00146C23" w:rsidRDefault="00146C23" w:rsidP="00146C23">
      <w:pPr>
        <w:pStyle w:val="Odsekzoznamu"/>
        <w:numPr>
          <w:ilvl w:val="0"/>
          <w:numId w:val="1"/>
        </w:numPr>
        <w:spacing w:before="120" w:after="120" w:line="240" w:lineRule="auto"/>
        <w:ind w:left="284" w:hanging="284"/>
        <w:contextualSpacing w:val="0"/>
        <w:jc w:val="both"/>
        <w:rPr>
          <w:rStyle w:val="Zvraznenie"/>
          <w:rFonts w:ascii="Times New Roman" w:hAnsi="Times New Roman"/>
          <w:i w:val="0"/>
          <w:iCs/>
          <w:sz w:val="24"/>
          <w:szCs w:val="24"/>
          <w:shd w:val="clear" w:color="auto" w:fill="FFFFFF"/>
          <w:lang w:eastAsia="sk-SK"/>
        </w:rPr>
      </w:pPr>
      <w:r w:rsidRPr="00146C23">
        <w:rPr>
          <w:rFonts w:ascii="Times New Roman" w:hAnsi="Times New Roman"/>
          <w:sz w:val="24"/>
          <w:szCs w:val="24"/>
        </w:rPr>
        <w:t>implementuje sa nariadenie Európskeho parlamentu a Rady (EÚ) 2024/2516 z 18. septembra, ktorým sa mení nariadenie (EÚ) 2019/1009, pokiaľ ide o digitálne označovanie EÚ produktov na hnojenie (</w:t>
      </w:r>
      <w:r w:rsidRPr="00146C23">
        <w:rPr>
          <w:rStyle w:val="Zvraznenie"/>
          <w:rFonts w:ascii="Times New Roman" w:hAnsi="Times New Roman"/>
          <w:i w:val="0"/>
          <w:iCs/>
          <w:sz w:val="24"/>
          <w:szCs w:val="24"/>
          <w:shd w:val="clear" w:color="auto" w:fill="FFFFFF"/>
        </w:rPr>
        <w:t>Ú. v. EÚ L, 2024/2516, 30.9.2024) a</w:t>
      </w:r>
    </w:p>
    <w:p w:rsidR="00146C23" w:rsidRPr="00146C23" w:rsidRDefault="00146C23" w:rsidP="00146C23">
      <w:pPr>
        <w:pStyle w:val="Odsekzoznamu"/>
        <w:numPr>
          <w:ilvl w:val="0"/>
          <w:numId w:val="1"/>
        </w:numPr>
        <w:spacing w:before="120" w:after="120" w:line="240" w:lineRule="auto"/>
        <w:ind w:left="284" w:hanging="284"/>
        <w:contextualSpacing w:val="0"/>
        <w:jc w:val="both"/>
        <w:rPr>
          <w:rFonts w:ascii="Times New Roman" w:hAnsi="Times New Roman"/>
          <w:sz w:val="24"/>
          <w:szCs w:val="24"/>
          <w:lang w:eastAsia="sk-SK"/>
        </w:rPr>
      </w:pPr>
      <w:r w:rsidRPr="00146C23">
        <w:rPr>
          <w:rFonts w:ascii="Times New Roman" w:hAnsi="Times New Roman"/>
          <w:sz w:val="24"/>
          <w:szCs w:val="24"/>
        </w:rPr>
        <w:t xml:space="preserve">čiastočne sa implementuje </w:t>
      </w:r>
      <w:r w:rsidRPr="00146C23">
        <w:rPr>
          <w:rFonts w:ascii="Times New Roman" w:hAnsi="Times New Roman"/>
          <w:bCs/>
          <w:sz w:val="24"/>
          <w:szCs w:val="24"/>
          <w:shd w:val="clear" w:color="auto" w:fill="FFFFFF"/>
        </w:rPr>
        <w:t>nariadenie Európskeho parlamentu a Rady (EÚ) 2024/2847 z 23. októbra 2024 o horizontálnych požiadavkách kybernetickej bezpečnosti pre produkty s digitálnymi prvkami a o zmene nariadení (EÚ) č. 168/2013 a (EÚ) 2019/1020 a smernice (EÚ) 2020/1828 (akt o kybernetickej odolnosti)</w:t>
      </w:r>
      <w:r w:rsidRPr="00146C23">
        <w:rPr>
          <w:rFonts w:ascii="Times New Roman" w:hAnsi="Times New Roman"/>
          <w:b/>
          <w:bCs/>
          <w:sz w:val="24"/>
          <w:szCs w:val="24"/>
          <w:shd w:val="clear" w:color="auto" w:fill="FFFFFF"/>
        </w:rPr>
        <w:t xml:space="preserve"> </w:t>
      </w:r>
      <w:r w:rsidRPr="00146C23">
        <w:rPr>
          <w:rFonts w:ascii="Times New Roman" w:hAnsi="Times New Roman"/>
          <w:bCs/>
          <w:sz w:val="24"/>
          <w:szCs w:val="24"/>
          <w:shd w:val="clear" w:color="auto" w:fill="FFFFFF"/>
        </w:rPr>
        <w:t>(</w:t>
      </w:r>
      <w:r w:rsidRPr="00146C23">
        <w:rPr>
          <w:rFonts w:ascii="Times New Roman" w:hAnsi="Times New Roman"/>
          <w:iCs/>
          <w:sz w:val="24"/>
          <w:szCs w:val="24"/>
          <w:shd w:val="clear" w:color="auto" w:fill="FFFFFF"/>
          <w:lang w:eastAsia="sk-SK"/>
        </w:rPr>
        <w:t xml:space="preserve">Ú. v. EÚ L, 2024/2847, 20.11.2024) v platnom znení </w:t>
      </w:r>
      <w:r w:rsidRPr="00146C23">
        <w:rPr>
          <w:rStyle w:val="Zvraznenie"/>
          <w:rFonts w:ascii="Times New Roman" w:hAnsi="Times New Roman"/>
          <w:i w:val="0"/>
          <w:iCs/>
          <w:sz w:val="24"/>
          <w:szCs w:val="24"/>
          <w:shd w:val="clear" w:color="auto" w:fill="FFFFFF"/>
        </w:rPr>
        <w:t>(ďalej len „nariadenie (EÚ) 2024/2847 v platnom znení“)</w:t>
      </w:r>
      <w:r w:rsidRPr="00146C23">
        <w:rPr>
          <w:rFonts w:ascii="Times New Roman" w:hAnsi="Times New Roman"/>
          <w:sz w:val="24"/>
          <w:szCs w:val="24"/>
          <w:lang w:eastAsia="sk-SK"/>
        </w:rPr>
        <w:t>, ustanovuje sa orgán dohľadu nad určenými výrobkami pre nariadenie (EÚ) 2024/2847 v platnom znení, úrad je notifikujúcim orgánom pre nariadenie (EÚ) 2024/2847 v platnom znení.</w:t>
      </w:r>
    </w:p>
    <w:p w:rsidR="00146C23" w:rsidRPr="00146C23" w:rsidRDefault="00146C23" w:rsidP="00146C23">
      <w:pPr>
        <w:pStyle w:val="Odsekzoznamu"/>
        <w:spacing w:before="120" w:after="120" w:line="240" w:lineRule="auto"/>
        <w:ind w:left="0" w:firstLine="709"/>
        <w:contextualSpacing w:val="0"/>
        <w:jc w:val="both"/>
        <w:rPr>
          <w:rFonts w:ascii="Times New Roman" w:hAnsi="Times New Roman"/>
          <w:sz w:val="24"/>
          <w:szCs w:val="24"/>
        </w:rPr>
      </w:pPr>
      <w:r w:rsidRPr="00146C23">
        <w:rPr>
          <w:rFonts w:ascii="Times New Roman" w:hAnsi="Times New Roman"/>
          <w:sz w:val="24"/>
          <w:szCs w:val="24"/>
          <w:lang w:eastAsia="sk-SK"/>
        </w:rPr>
        <w:t xml:space="preserve">Návrhom zákona sa </w:t>
      </w:r>
      <w:r w:rsidRPr="00146C23">
        <w:rPr>
          <w:rFonts w:ascii="Times New Roman" w:hAnsi="Times New Roman"/>
          <w:sz w:val="24"/>
          <w:szCs w:val="24"/>
        </w:rPr>
        <w:t>terminologicky spresňujú niektoré doterajšie ustanovenia, zároveň sa reaguje aj na ďalšie potreby aplikačnej praxe</w:t>
      </w:r>
      <w:r w:rsidRPr="00146C23" w:rsidDel="005C69CD">
        <w:rPr>
          <w:rFonts w:ascii="Times New Roman" w:hAnsi="Times New Roman"/>
          <w:sz w:val="24"/>
          <w:szCs w:val="24"/>
          <w:lang w:eastAsia="sk-SK"/>
        </w:rPr>
        <w:t xml:space="preserve"> </w:t>
      </w:r>
      <w:r w:rsidRPr="00146C23">
        <w:rPr>
          <w:rFonts w:ascii="Times New Roman" w:hAnsi="Times New Roman"/>
          <w:sz w:val="24"/>
          <w:szCs w:val="24"/>
        </w:rPr>
        <w:t xml:space="preserve"> </w:t>
      </w:r>
      <w:r w:rsidRPr="00146C23">
        <w:rPr>
          <w:rFonts w:ascii="Times New Roman" w:hAnsi="Times New Roman"/>
          <w:sz w:val="24"/>
          <w:szCs w:val="24"/>
          <w:lang w:eastAsia="sk-SK"/>
        </w:rPr>
        <w:t>a  upravujú sa:</w:t>
      </w:r>
    </w:p>
    <w:p w:rsidR="00146C23" w:rsidRPr="00146C23" w:rsidRDefault="00146C23" w:rsidP="00146C23">
      <w:pPr>
        <w:pStyle w:val="Odsekzoznamu"/>
        <w:numPr>
          <w:ilvl w:val="0"/>
          <w:numId w:val="6"/>
        </w:numPr>
        <w:spacing w:before="120" w:after="120" w:line="240" w:lineRule="auto"/>
        <w:ind w:left="284" w:hanging="284"/>
        <w:contextualSpacing w:val="0"/>
        <w:rPr>
          <w:rFonts w:ascii="Times New Roman" w:hAnsi="Times New Roman"/>
          <w:sz w:val="24"/>
          <w:szCs w:val="24"/>
        </w:rPr>
      </w:pPr>
      <w:r w:rsidRPr="00146C23">
        <w:rPr>
          <w:rFonts w:ascii="Times New Roman" w:hAnsi="Times New Roman"/>
          <w:sz w:val="24"/>
          <w:szCs w:val="24"/>
        </w:rPr>
        <w:t>Zákon Národnej rady Slovenskej republiky č. 145/1995 Z. z. o správnych poplatkoch v znení neskorších predpisov. Predkladateľ zavádza nový správny poplatok pre prvostupňové overenie výstupných dokumentov posudzovania zhody, ktoré doteraz vykonával bezodplatne.</w:t>
      </w:r>
    </w:p>
    <w:p w:rsidR="00146C23" w:rsidRPr="00146C23" w:rsidRDefault="00146C23" w:rsidP="00146C23">
      <w:pPr>
        <w:pStyle w:val="Odsekzoznamu"/>
        <w:numPr>
          <w:ilvl w:val="0"/>
          <w:numId w:val="6"/>
        </w:numPr>
        <w:spacing w:before="120" w:after="120" w:line="240" w:lineRule="auto"/>
        <w:ind w:left="284" w:hanging="284"/>
        <w:contextualSpacing w:val="0"/>
        <w:rPr>
          <w:rFonts w:ascii="Times New Roman" w:hAnsi="Times New Roman"/>
          <w:sz w:val="24"/>
          <w:szCs w:val="24"/>
        </w:rPr>
      </w:pPr>
      <w:r w:rsidRPr="00146C23">
        <w:rPr>
          <w:rFonts w:ascii="Times New Roman" w:hAnsi="Times New Roman"/>
          <w:sz w:val="24"/>
          <w:szCs w:val="24"/>
        </w:rPr>
        <w:t>Zákon č. 435/2000 Z. z. o námornej plavbe v znení neskorších predpisov úpravou poznámky pod čiarou z dôvodu jeho zosúladenia so zákonom č. 56/2018 Z. z.</w:t>
      </w:r>
    </w:p>
    <w:p w:rsidR="00146C23" w:rsidRPr="00146C23" w:rsidRDefault="00146C23" w:rsidP="00146C23">
      <w:pPr>
        <w:pStyle w:val="Odsekzoznamu"/>
        <w:numPr>
          <w:ilvl w:val="0"/>
          <w:numId w:val="4"/>
        </w:numPr>
        <w:spacing w:before="120" w:after="120" w:line="240" w:lineRule="auto"/>
        <w:ind w:left="284" w:hanging="284"/>
        <w:contextualSpacing w:val="0"/>
        <w:jc w:val="both"/>
        <w:rPr>
          <w:rFonts w:ascii="Times New Roman" w:hAnsi="Times New Roman"/>
          <w:sz w:val="24"/>
          <w:szCs w:val="24"/>
        </w:rPr>
      </w:pPr>
      <w:r w:rsidRPr="00146C23">
        <w:rPr>
          <w:rFonts w:ascii="Times New Roman" w:hAnsi="Times New Roman"/>
          <w:sz w:val="24"/>
          <w:szCs w:val="24"/>
        </w:rPr>
        <w:t>Zákon č. 128/2002 Z. z. o štátnej kontrole vnútorného trhu vo veciach ochrany spotrebiteľa a o zmene a doplnení niektorých zákonov v znení neskorších predpisov z dôvodu jeho zosúladenia s návrhom zákona.</w:t>
      </w:r>
    </w:p>
    <w:p w:rsidR="00146C23" w:rsidRPr="00146C23" w:rsidRDefault="00146C23" w:rsidP="00146C23">
      <w:pPr>
        <w:widowControl/>
        <w:numPr>
          <w:ilvl w:val="1"/>
          <w:numId w:val="2"/>
        </w:numPr>
        <w:spacing w:before="120" w:after="120"/>
        <w:ind w:left="284" w:hanging="284"/>
        <w:jc w:val="both"/>
        <w:rPr>
          <w:rFonts w:cs="Times New Roman"/>
        </w:rPr>
      </w:pPr>
      <w:r w:rsidRPr="00146C23">
        <w:t>Zákon  č. 125/2006 Z. z. o inšpekcii práce a o zmene a doplnení zákona č. 85/2005 Z. z. o nelegálnej práci a nelegálnom zamestnávaní a o zmene a doplnení niektorých zákonov v znení neskorších predpisov. Upravuje sa časť výkonu dohľadu nad určenými výrobkami tak, aby bola zosúladená so zákonom č. 56/2018 Z. z , ktorým je zabezpečená čiastočná implementácia nariadenia Európskeho parlamentu a Rady (EÚ) 2019/1020 z 20. júna 2019 o dohľade nad trhom a súlade výrobkov a o zmene smernice 2004/42/ES a nariadení (ES) č. 765/2008 a (EÚ) č. 305/2011 v časti dohľadu nad trhom nad určenými výrobkami.</w:t>
      </w:r>
    </w:p>
    <w:p w:rsidR="00146C23" w:rsidRPr="00146C23" w:rsidRDefault="00146C23" w:rsidP="00146C23">
      <w:pPr>
        <w:widowControl/>
        <w:numPr>
          <w:ilvl w:val="1"/>
          <w:numId w:val="2"/>
        </w:numPr>
        <w:spacing w:before="120" w:after="120"/>
        <w:ind w:left="284" w:hanging="284"/>
        <w:jc w:val="both"/>
        <w:rPr>
          <w:rFonts w:cs="Times New Roman"/>
        </w:rPr>
      </w:pPr>
      <w:r w:rsidRPr="00146C23">
        <w:t xml:space="preserve">Zákon č. 355/2007 Z. z. o ochrane, podpore a rozvoji verejného zdravia a o zmene a doplnení niektorých zákonov v znení neskorších predpisov </w:t>
      </w:r>
      <w:r w:rsidRPr="00146C23">
        <w:rPr>
          <w:rFonts w:cs="Times New Roman"/>
        </w:rPr>
        <w:t xml:space="preserve">najmä z dôvodu implementácie delegovaného nariadenia </w:t>
      </w:r>
      <w:r w:rsidRPr="00146C23">
        <w:rPr>
          <w:rStyle w:val="Zvraznenie"/>
          <w:i w:val="0"/>
          <w:iCs/>
          <w:shd w:val="clear" w:color="auto" w:fill="FFFFFF"/>
        </w:rPr>
        <w:t xml:space="preserve">(EÚ) </w:t>
      </w:r>
      <w:r w:rsidRPr="00146C23">
        <w:rPr>
          <w:rFonts w:cs="Times New Roman"/>
        </w:rPr>
        <w:t xml:space="preserve">2024/370 a delegovaného nariadenia </w:t>
      </w:r>
      <w:r w:rsidRPr="00146C23">
        <w:rPr>
          <w:rStyle w:val="Zvraznenie"/>
          <w:i w:val="0"/>
          <w:iCs/>
          <w:shd w:val="clear" w:color="auto" w:fill="FFFFFF"/>
        </w:rPr>
        <w:t xml:space="preserve">(EÚ) </w:t>
      </w:r>
      <w:r w:rsidRPr="00146C23">
        <w:rPr>
          <w:rFonts w:cs="Times New Roman"/>
        </w:rPr>
        <w:t xml:space="preserve">2024/371,  na základe ktorej sa </w:t>
      </w:r>
      <w:r w:rsidRPr="00146C23">
        <w:rPr>
          <w:rFonts w:cs="Times New Roman"/>
          <w:lang w:eastAsia="cs-CZ"/>
        </w:rPr>
        <w:t xml:space="preserve">ustanovuje orgán dohľadu nad určeným výrobkom </w:t>
      </w:r>
      <w:r w:rsidRPr="00146C23">
        <w:t xml:space="preserve">a v súvislosti s tým sa </w:t>
      </w:r>
      <w:r w:rsidRPr="00146C23">
        <w:rPr>
          <w:lang w:eastAsia="cs-CZ"/>
        </w:rPr>
        <w:t>ustanovuje orgán dohľadu nad určeným výrobkom</w:t>
      </w:r>
      <w:r w:rsidRPr="00146C23">
        <w:t>.</w:t>
      </w:r>
    </w:p>
    <w:p w:rsidR="00146C23" w:rsidRPr="00146C23" w:rsidRDefault="00146C23" w:rsidP="00146C23">
      <w:pPr>
        <w:pStyle w:val="Odsekzoznamu"/>
        <w:numPr>
          <w:ilvl w:val="0"/>
          <w:numId w:val="5"/>
        </w:numPr>
        <w:spacing w:before="120" w:after="120" w:line="240" w:lineRule="auto"/>
        <w:ind w:left="284" w:hanging="284"/>
        <w:contextualSpacing w:val="0"/>
        <w:jc w:val="both"/>
        <w:rPr>
          <w:rFonts w:ascii="Times New Roman" w:hAnsi="Times New Roman"/>
          <w:sz w:val="24"/>
          <w:szCs w:val="24"/>
          <w:lang w:eastAsia="cs-CZ"/>
        </w:rPr>
      </w:pPr>
      <w:r w:rsidRPr="00146C23">
        <w:rPr>
          <w:rFonts w:ascii="Times New Roman" w:hAnsi="Times New Roman"/>
          <w:sz w:val="24"/>
          <w:szCs w:val="24"/>
        </w:rPr>
        <w:lastRenderedPageBreak/>
        <w:t xml:space="preserve">Zákon </w:t>
      </w:r>
      <w:r w:rsidRPr="00146C23">
        <w:rPr>
          <w:rFonts w:ascii="Times New Roman" w:hAnsi="Times New Roman"/>
          <w:sz w:val="24"/>
          <w:szCs w:val="24"/>
          <w:lang w:eastAsia="cs-CZ"/>
        </w:rPr>
        <w:t>č. 346/2013 Z. z. o obmedzení používania určitých nebezpečných látok v elektrických zariadeniach a elektronických zariadeniach a ktorým sa mení zákon č. 223/2001 Z. z. o odpadoch a o zmene a doplnení niektorých zákonov v znení neskorších predpisov, kde sa precizuje že ide o technický predpis z oblasti posudzovania zhody a aktualizujú sa poznámky pod čiarou.</w:t>
      </w:r>
    </w:p>
    <w:p w:rsidR="00146C23" w:rsidRPr="00146C23" w:rsidRDefault="00146C23" w:rsidP="00146C23">
      <w:pPr>
        <w:pStyle w:val="Odsekzoznamu"/>
        <w:numPr>
          <w:ilvl w:val="0"/>
          <w:numId w:val="5"/>
        </w:numPr>
        <w:spacing w:before="120" w:after="120" w:line="240" w:lineRule="auto"/>
        <w:ind w:left="284" w:hanging="284"/>
        <w:contextualSpacing w:val="0"/>
        <w:jc w:val="both"/>
        <w:rPr>
          <w:rFonts w:ascii="Times New Roman" w:hAnsi="Times New Roman"/>
          <w:sz w:val="24"/>
          <w:szCs w:val="24"/>
          <w:lang w:eastAsia="cs-CZ"/>
        </w:rPr>
      </w:pPr>
      <w:r w:rsidRPr="00146C23">
        <w:rPr>
          <w:rFonts w:ascii="Times New Roman" w:hAnsi="Times New Roman"/>
          <w:sz w:val="24"/>
          <w:szCs w:val="24"/>
        </w:rPr>
        <w:t>Zákon</w:t>
      </w:r>
      <w:r w:rsidRPr="00146C23">
        <w:rPr>
          <w:rFonts w:ascii="Times New Roman" w:hAnsi="Times New Roman"/>
          <w:sz w:val="24"/>
          <w:szCs w:val="24"/>
          <w:lang w:eastAsia="cs-CZ"/>
        </w:rPr>
        <w:t xml:space="preserve"> č. 69/2018 Z. z. o kybernetickej bezpečnosti a o zmene a doplnení niektorých zákonov v znení neskorších predpisov v súvislosti s čiastočnou implementáciou nariadenia (EÚ) 2024/2847 v platnom znení, ustanovuje sa orgán dohľadu nad trhom podľa čl. 52 ods. 2 nariadenia (EÚ) 2024/2847 v platnom znení pre produkt s digitálnymi prvkami v nadväznosti na jeho doplnenie do § 26 písm. j) návrhu zákona ako orgánu dohľadu nad určeným výrobkom podľa čl. 2 ods. 1 nariadenia (EÚ) 2024/2847 v platnom znení, ktorým je produkt s digitálnymi prvkami.</w:t>
      </w:r>
    </w:p>
    <w:p w:rsidR="00146C23" w:rsidRPr="00146C23" w:rsidRDefault="00146C23" w:rsidP="00146C23">
      <w:pPr>
        <w:pStyle w:val="Odsekzoznamu"/>
        <w:numPr>
          <w:ilvl w:val="0"/>
          <w:numId w:val="3"/>
        </w:numPr>
        <w:spacing w:before="120" w:after="120" w:line="240" w:lineRule="auto"/>
        <w:ind w:left="284" w:hanging="284"/>
        <w:jc w:val="both"/>
        <w:rPr>
          <w:rFonts w:ascii="Times New Roman" w:hAnsi="Times New Roman"/>
          <w:sz w:val="24"/>
          <w:szCs w:val="24"/>
        </w:rPr>
      </w:pPr>
      <w:r w:rsidRPr="00146C23">
        <w:rPr>
          <w:rFonts w:ascii="Times New Roman" w:hAnsi="Times New Roman"/>
          <w:sz w:val="24"/>
          <w:szCs w:val="24"/>
          <w:lang w:eastAsia="cs-CZ"/>
        </w:rPr>
        <w:t>Zákon č. 351/2022 Z. z. o prístupnosti výrobkov a služieb pre osoby so zdravotným postihnutím a o zmene a doplnení niektorých zákonov, úpravou poznámky pod čiarou z dôvodu jej zosúladenia so zákonom č. 56/2018 Z. z.</w:t>
      </w:r>
    </w:p>
    <w:p w:rsidR="00146C23" w:rsidRPr="00146C23" w:rsidRDefault="00146C23" w:rsidP="00146C23">
      <w:pPr>
        <w:spacing w:before="120" w:after="120"/>
        <w:ind w:firstLine="709"/>
        <w:jc w:val="both"/>
        <w:rPr>
          <w:rFonts w:cs="Times New Roman"/>
          <w:bCs/>
        </w:rPr>
      </w:pPr>
      <w:r w:rsidRPr="00146C23">
        <w:rPr>
          <w:rFonts w:cs="Times New Roman"/>
          <w:bCs/>
        </w:rPr>
        <w:t>Návrh zákona má pozitívne a negatívne vplyvy na rozpočet verejnej správy a negatívny vplyv na limit verejných výdavkov</w:t>
      </w:r>
      <w:r w:rsidRPr="00146C23">
        <w:rPr>
          <w:rFonts w:cs="Times New Roman"/>
        </w:rPr>
        <w:t>, pričom negatívny vplyv bude kompenzovaný zvýšenými príjmami rozpočtovej organizácie Slovenskej obchodnej inšpekcie ako je to uvedené v príslušnej analýze vplyvov.</w:t>
      </w:r>
      <w:r w:rsidRPr="00146C23">
        <w:rPr>
          <w:rFonts w:cs="Times New Roman"/>
          <w:bCs/>
        </w:rPr>
        <w:t xml:space="preserve">  Má pozitívne aj negatívne vplyvy na podnikateľské prostredie a nemá vplyvy na informatizáciu spoločnosti, vplyvy na manželstvo, rodičovstvo a rodinu, vplyvy na služby verejnej správy pre občana, vplyvy na životné prostredie a sociálne vplyvy.</w:t>
      </w:r>
    </w:p>
    <w:p w:rsidR="00146C23" w:rsidRPr="00146C23" w:rsidRDefault="00146C23" w:rsidP="00146C23">
      <w:pPr>
        <w:spacing w:before="120" w:after="120"/>
        <w:ind w:firstLine="709"/>
        <w:jc w:val="both"/>
        <w:rPr>
          <w:rFonts w:cs="Times New Roman"/>
        </w:rPr>
      </w:pPr>
      <w:r w:rsidRPr="00146C23">
        <w:rPr>
          <w:rFonts w:cs="Times New Roman"/>
        </w:rPr>
        <w:t>Návrh zákona je v súlade s Ústavou Slovenskej republiky, s ústavnými zákonmi, nálezmi ústavného súdu, inými zákonmi a ostatnými všeobecne záväznými právnymi predpismi Slovenskej republiky, s právom Európskej únie a s medzinárodnými zmluvami, ktorými je Slovenská republika viazaná.</w:t>
      </w:r>
    </w:p>
    <w:p w:rsidR="00146C23" w:rsidRPr="00146C23" w:rsidRDefault="00146C23" w:rsidP="00146C23">
      <w:pPr>
        <w:pStyle w:val="Bezriadkovania"/>
        <w:spacing w:before="120" w:after="120" w:line="240" w:lineRule="auto"/>
        <w:ind w:firstLine="709"/>
        <w:jc w:val="both"/>
        <w:rPr>
          <w:rFonts w:ascii="Times New Roman" w:hAnsi="Times New Roman"/>
          <w:sz w:val="24"/>
          <w:szCs w:val="24"/>
        </w:rPr>
      </w:pPr>
      <w:r w:rsidRPr="00146C23">
        <w:rPr>
          <w:rFonts w:ascii="Times New Roman" w:hAnsi="Times New Roman"/>
          <w:sz w:val="24"/>
          <w:szCs w:val="24"/>
        </w:rPr>
        <w:t xml:space="preserve">Predložený návrh nemá byť predmetom </w:t>
      </w:r>
      <w:proofErr w:type="spellStart"/>
      <w:r w:rsidRPr="00146C23">
        <w:rPr>
          <w:rFonts w:ascii="Times New Roman" w:hAnsi="Times New Roman"/>
          <w:sz w:val="24"/>
          <w:szCs w:val="24"/>
        </w:rPr>
        <w:t>vnútrokomunitárneho</w:t>
      </w:r>
      <w:proofErr w:type="spellEnd"/>
      <w:r w:rsidRPr="00146C23">
        <w:rPr>
          <w:rFonts w:ascii="Times New Roman" w:hAnsi="Times New Roman"/>
          <w:sz w:val="24"/>
          <w:szCs w:val="24"/>
        </w:rPr>
        <w:t xml:space="preserve"> pripomienkového konania.</w:t>
      </w:r>
    </w:p>
    <w:p w:rsidR="00146C23" w:rsidRPr="00146C23" w:rsidRDefault="00146C23" w:rsidP="00146C23">
      <w:pPr>
        <w:pStyle w:val="Odsekzoznamu"/>
        <w:spacing w:before="120" w:after="120" w:line="240" w:lineRule="auto"/>
        <w:ind w:left="0" w:firstLine="709"/>
        <w:contextualSpacing w:val="0"/>
        <w:jc w:val="both"/>
        <w:rPr>
          <w:rStyle w:val="Zstupntext"/>
          <w:strike/>
          <w:color w:val="auto"/>
          <w:sz w:val="24"/>
          <w:szCs w:val="24"/>
          <w:lang w:eastAsia="sk-SK"/>
        </w:rPr>
      </w:pPr>
      <w:r w:rsidRPr="00146C23">
        <w:rPr>
          <w:rFonts w:ascii="Times New Roman" w:hAnsi="Times New Roman"/>
          <w:sz w:val="24"/>
          <w:szCs w:val="24"/>
        </w:rPr>
        <w:t xml:space="preserve">Vzhľadom na predpokladanú dĺžku legislatívneho procesu a potrebnú </w:t>
      </w:r>
      <w:proofErr w:type="spellStart"/>
      <w:r w:rsidRPr="00146C23">
        <w:rPr>
          <w:rFonts w:ascii="Times New Roman" w:hAnsi="Times New Roman"/>
          <w:sz w:val="24"/>
          <w:szCs w:val="24"/>
        </w:rPr>
        <w:t>legisvakanciu</w:t>
      </w:r>
      <w:proofErr w:type="spellEnd"/>
      <w:r w:rsidRPr="00146C23">
        <w:rPr>
          <w:rFonts w:ascii="Times New Roman" w:hAnsi="Times New Roman"/>
          <w:sz w:val="24"/>
          <w:szCs w:val="24"/>
        </w:rPr>
        <w:t xml:space="preserve"> sa navrhuje, aby zákon nadobudol účinnosť 1. januára 2026. </w:t>
      </w:r>
    </w:p>
    <w:p w:rsidR="00146C23" w:rsidRPr="003A02AC" w:rsidRDefault="00146C23" w:rsidP="00146C23">
      <w:pPr>
        <w:spacing w:before="120" w:after="120"/>
        <w:ind w:firstLine="709"/>
        <w:jc w:val="both"/>
        <w:rPr>
          <w:rFonts w:cs="Times New Roman"/>
        </w:rPr>
      </w:pPr>
    </w:p>
    <w:p w:rsidR="00146C23" w:rsidRPr="003A02AC" w:rsidRDefault="00146C23" w:rsidP="00146C23">
      <w:pPr>
        <w:spacing w:before="120" w:after="120"/>
        <w:ind w:firstLine="720"/>
        <w:jc w:val="both"/>
        <w:rPr>
          <w:rFonts w:cs="Times New Roman"/>
          <w:bCs/>
        </w:rPr>
      </w:pPr>
    </w:p>
    <w:p w:rsidR="00146C23" w:rsidRPr="00146C23" w:rsidRDefault="00146C23">
      <w:pPr>
        <w:widowControl/>
        <w:adjustRightInd/>
        <w:rPr>
          <w:rFonts w:cs="Times New Roman"/>
        </w:rPr>
      </w:pPr>
      <w:r w:rsidRPr="00146C23">
        <w:rPr>
          <w:rFonts w:cs="Times New Roman"/>
        </w:rPr>
        <w:br w:type="page"/>
      </w:r>
    </w:p>
    <w:p w:rsidR="00146C23" w:rsidRPr="00146C23" w:rsidRDefault="00146C23" w:rsidP="00146C23">
      <w:pPr>
        <w:widowControl/>
        <w:adjustRightInd/>
        <w:jc w:val="center"/>
        <w:rPr>
          <w:rFonts w:cs="Times New Roman"/>
          <w:b/>
          <w:sz w:val="28"/>
          <w:szCs w:val="28"/>
        </w:rPr>
      </w:pPr>
      <w:r w:rsidRPr="00146C23">
        <w:rPr>
          <w:rFonts w:cs="Times New Roman"/>
          <w:b/>
          <w:sz w:val="28"/>
          <w:szCs w:val="28"/>
        </w:rPr>
        <w:lastRenderedPageBreak/>
        <w:t>Doložka vybraných vplyvov</w:t>
      </w:r>
    </w:p>
    <w:p w:rsidR="00146C23" w:rsidRPr="00146C23" w:rsidRDefault="00146C23" w:rsidP="00146C23">
      <w:pPr>
        <w:widowControl/>
        <w:adjustRightInd/>
        <w:spacing w:after="200" w:line="276" w:lineRule="auto"/>
        <w:contextualSpacing/>
        <w:rPr>
          <w:rFonts w:ascii="Calibri" w:eastAsia="Calibri" w:hAnsi="Calibri" w:cs="Times New Roman"/>
          <w:b/>
          <w:sz w:val="22"/>
          <w:szCs w:val="22"/>
          <w:lang w:eastAsia="en-US"/>
        </w:rPr>
      </w:pPr>
    </w:p>
    <w:tbl>
      <w:tblPr>
        <w:tblStyle w:val="Mriekatabuky1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146C23" w:rsidRPr="00146C23" w:rsidTr="00146C23">
        <w:tc>
          <w:tcPr>
            <w:tcW w:w="9180" w:type="dxa"/>
            <w:gridSpan w:val="11"/>
            <w:tcBorders>
              <w:bottom w:val="single" w:sz="4" w:space="0" w:color="FFFFFF"/>
            </w:tcBorders>
            <w:shd w:val="clear" w:color="auto" w:fill="E2E2E2"/>
          </w:tcPr>
          <w:p w:rsidR="00146C23" w:rsidRPr="00146C23" w:rsidRDefault="00146C23" w:rsidP="00146C23">
            <w:pPr>
              <w:widowControl/>
              <w:numPr>
                <w:ilvl w:val="0"/>
                <w:numId w:val="7"/>
              </w:numPr>
              <w:adjustRightInd/>
              <w:ind w:left="426"/>
              <w:contextualSpacing/>
              <w:rPr>
                <w:rFonts w:eastAsia="Calibri" w:cs="Times New Roman"/>
                <w:b/>
                <w:sz w:val="22"/>
                <w:szCs w:val="22"/>
                <w:lang w:eastAsia="en-US"/>
              </w:rPr>
            </w:pPr>
            <w:r w:rsidRPr="00146C23">
              <w:rPr>
                <w:rFonts w:eastAsia="Calibri" w:cs="Times New Roman"/>
                <w:b/>
                <w:sz w:val="22"/>
                <w:szCs w:val="22"/>
                <w:lang w:eastAsia="en-US"/>
              </w:rPr>
              <w:t>Základné údaje</w:t>
            </w:r>
          </w:p>
        </w:tc>
      </w:tr>
      <w:tr w:rsidR="00146C23" w:rsidRPr="00146C23" w:rsidTr="00146C23">
        <w:tc>
          <w:tcPr>
            <w:tcW w:w="9180" w:type="dxa"/>
            <w:gridSpan w:val="11"/>
            <w:tcBorders>
              <w:bottom w:val="single" w:sz="4" w:space="0" w:color="FFFFFF"/>
            </w:tcBorders>
            <w:shd w:val="clear" w:color="auto" w:fill="E2E2E2"/>
          </w:tcPr>
          <w:p w:rsidR="00146C23" w:rsidRPr="00146C23" w:rsidRDefault="00146C23" w:rsidP="00146C23">
            <w:pPr>
              <w:widowControl/>
              <w:adjustRightInd/>
              <w:spacing w:after="200" w:line="276" w:lineRule="auto"/>
              <w:ind w:left="142"/>
              <w:contextualSpacing/>
              <w:rPr>
                <w:rFonts w:eastAsia="Calibri" w:cs="Times New Roman"/>
                <w:b/>
                <w:sz w:val="22"/>
                <w:szCs w:val="22"/>
                <w:lang w:eastAsia="en-US"/>
              </w:rPr>
            </w:pPr>
            <w:r w:rsidRPr="00146C23">
              <w:rPr>
                <w:rFonts w:eastAsia="Calibri" w:cs="Times New Roman"/>
                <w:b/>
                <w:sz w:val="22"/>
                <w:szCs w:val="22"/>
                <w:lang w:eastAsia="en-US"/>
              </w:rPr>
              <w:t>Názov materiálu</w:t>
            </w:r>
          </w:p>
        </w:tc>
      </w:tr>
      <w:tr w:rsidR="00146C23" w:rsidRPr="00146C23" w:rsidTr="00146C23">
        <w:tc>
          <w:tcPr>
            <w:tcW w:w="9180" w:type="dxa"/>
            <w:gridSpan w:val="11"/>
            <w:tcBorders>
              <w:top w:val="single" w:sz="4" w:space="0" w:color="FFFFFF"/>
              <w:bottom w:val="single" w:sz="4" w:space="0" w:color="auto"/>
            </w:tcBorders>
          </w:tcPr>
          <w:p w:rsidR="00146C23" w:rsidRPr="00146C23" w:rsidRDefault="00146C23" w:rsidP="00146C23">
            <w:pPr>
              <w:widowControl/>
              <w:adjustRightInd/>
              <w:jc w:val="both"/>
              <w:rPr>
                <w:rFonts w:cs="Times New Roman"/>
                <w:sz w:val="20"/>
                <w:szCs w:val="20"/>
              </w:rPr>
            </w:pPr>
            <w:r w:rsidRPr="00146C23">
              <w:rPr>
                <w:rFonts w:eastAsia="Calibri" w:cs="Times New Roman"/>
                <w:b/>
                <w:sz w:val="20"/>
                <w:szCs w:val="20"/>
                <w:lang w:eastAsia="en-US"/>
              </w:rPr>
              <w:t>Návrh zákona, ktorým sa mení a dopĺňa zákon č. 56/2018 Z. z. o posudzovaní zhody výrobku, sprístupňovaní určeného výrobku na trhu a o zmene a doplnení niektorých zákonov v znení neskorších predpisov</w:t>
            </w:r>
            <w:r w:rsidRPr="00146C23">
              <w:rPr>
                <w:rFonts w:eastAsia="Calibri" w:cs="Times New Roman"/>
                <w:sz w:val="20"/>
                <w:szCs w:val="20"/>
                <w:lang w:eastAsia="en-US"/>
              </w:rPr>
              <w:t xml:space="preserve"> (ďalej len „návrh zákona“)</w:t>
            </w:r>
            <w:r w:rsidRPr="00146C23">
              <w:rPr>
                <w:rFonts w:cs="Times New Roman"/>
                <w:sz w:val="20"/>
                <w:szCs w:val="20"/>
              </w:rPr>
              <w:t xml:space="preserve">. </w:t>
            </w:r>
          </w:p>
        </w:tc>
      </w:tr>
      <w:tr w:rsidR="00146C23" w:rsidRPr="00146C23" w:rsidTr="00146C23">
        <w:tc>
          <w:tcPr>
            <w:tcW w:w="9180" w:type="dxa"/>
            <w:gridSpan w:val="11"/>
            <w:tcBorders>
              <w:top w:val="single" w:sz="4" w:space="0" w:color="auto"/>
              <w:left w:val="single" w:sz="4" w:space="0" w:color="auto"/>
              <w:bottom w:val="single" w:sz="4" w:space="0" w:color="FFFFFF"/>
            </w:tcBorders>
            <w:shd w:val="clear" w:color="auto" w:fill="E2E2E2"/>
          </w:tcPr>
          <w:p w:rsidR="00146C23" w:rsidRPr="00146C23" w:rsidRDefault="00146C23" w:rsidP="00146C23">
            <w:pPr>
              <w:widowControl/>
              <w:adjustRightInd/>
              <w:spacing w:after="200" w:line="276" w:lineRule="auto"/>
              <w:ind w:left="142"/>
              <w:contextualSpacing/>
              <w:rPr>
                <w:rFonts w:eastAsia="Calibri" w:cs="Times New Roman"/>
                <w:b/>
                <w:sz w:val="22"/>
                <w:szCs w:val="22"/>
                <w:lang w:eastAsia="en-US"/>
              </w:rPr>
            </w:pPr>
            <w:r w:rsidRPr="00146C23">
              <w:rPr>
                <w:rFonts w:eastAsia="Calibri" w:cs="Times New Roman"/>
                <w:b/>
                <w:sz w:val="22"/>
                <w:szCs w:val="22"/>
                <w:lang w:eastAsia="en-US"/>
              </w:rPr>
              <w:t>Predkladateľ (a spolupredkladateľ)</w:t>
            </w:r>
          </w:p>
        </w:tc>
      </w:tr>
      <w:tr w:rsidR="00146C23" w:rsidRPr="00146C23" w:rsidTr="00146C23">
        <w:tc>
          <w:tcPr>
            <w:tcW w:w="9180" w:type="dxa"/>
            <w:gridSpan w:val="11"/>
            <w:tcBorders>
              <w:top w:val="single" w:sz="4" w:space="0" w:color="FFFFFF"/>
              <w:left w:val="single" w:sz="4" w:space="0" w:color="auto"/>
              <w:bottom w:val="single" w:sz="4" w:space="0" w:color="auto"/>
            </w:tcBorders>
            <w:shd w:val="clear" w:color="auto" w:fill="FFFFFF"/>
          </w:tcPr>
          <w:p w:rsidR="00146C23" w:rsidRPr="00146C23" w:rsidRDefault="00146C23" w:rsidP="00146C23">
            <w:pPr>
              <w:widowControl/>
              <w:adjustRightInd/>
              <w:rPr>
                <w:rFonts w:cs="Times New Roman"/>
                <w:sz w:val="20"/>
                <w:szCs w:val="20"/>
              </w:rPr>
            </w:pPr>
            <w:r w:rsidRPr="00146C23">
              <w:rPr>
                <w:rFonts w:cs="Times New Roman"/>
                <w:sz w:val="20"/>
                <w:szCs w:val="20"/>
              </w:rPr>
              <w:t>Úrad pre normalizáciu, metrológiu a skúšobníctvo Slovenskej republiky (ďalej len „úrad“)</w:t>
            </w:r>
          </w:p>
          <w:p w:rsidR="00146C23" w:rsidRPr="00146C23" w:rsidRDefault="00146C23" w:rsidP="00146C23">
            <w:pPr>
              <w:widowControl/>
              <w:adjustRightInd/>
              <w:rPr>
                <w:rFonts w:cs="Times New Roman"/>
                <w:sz w:val="20"/>
                <w:szCs w:val="20"/>
              </w:rPr>
            </w:pPr>
          </w:p>
        </w:tc>
      </w:tr>
      <w:tr w:rsidR="00146C23" w:rsidRPr="00146C23" w:rsidTr="00146C23">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146C23" w:rsidRPr="00146C23" w:rsidRDefault="00146C23" w:rsidP="00146C23">
            <w:pPr>
              <w:widowControl/>
              <w:adjustRightInd/>
              <w:spacing w:after="200" w:line="276" w:lineRule="auto"/>
              <w:ind w:left="142"/>
              <w:contextualSpacing/>
              <w:rPr>
                <w:rFonts w:eastAsia="Calibri" w:cs="Times New Roman"/>
                <w:b/>
                <w:sz w:val="22"/>
                <w:szCs w:val="22"/>
                <w:lang w:eastAsia="en-US"/>
              </w:rPr>
            </w:pPr>
            <w:r w:rsidRPr="00146C23">
              <w:rPr>
                <w:rFonts w:eastAsia="Calibri" w:cs="Times New Roman"/>
                <w:b/>
                <w:sz w:val="22"/>
                <w:szCs w:val="22"/>
                <w:lang w:eastAsia="en-US"/>
              </w:rPr>
              <w:t>Charakter predkladaného materiálu</w:t>
            </w:r>
          </w:p>
        </w:tc>
        <w:sdt>
          <w:sdtPr>
            <w:rPr>
              <w:rFonts w:cs="Times New Roman"/>
              <w:sz w:val="20"/>
              <w:szCs w:val="20"/>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46C23" w:rsidRPr="00146C23" w:rsidRDefault="00146C23" w:rsidP="00146C23">
                <w:pPr>
                  <w:widowControl/>
                  <w:adjustRightInd/>
                  <w:jc w:val="center"/>
                  <w:rPr>
                    <w:rFonts w:cs="Times New Roman"/>
                    <w:sz w:val="20"/>
                    <w:szCs w:val="20"/>
                  </w:rPr>
                </w:pPr>
                <w:r w:rsidRPr="00146C23">
                  <w:rPr>
                    <w:rFonts w:ascii="Segoe UI Symbol" w:eastAsia="MS Gothic" w:hAnsi="Segoe UI Symbol" w:cs="Segoe UI Symbol"/>
                    <w:sz w:val="20"/>
                    <w:szCs w:val="20"/>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146C23" w:rsidRPr="00146C23" w:rsidRDefault="00146C23" w:rsidP="00146C23">
            <w:pPr>
              <w:widowControl/>
              <w:adjustRightInd/>
              <w:rPr>
                <w:rFonts w:cs="Times New Roman"/>
                <w:sz w:val="20"/>
                <w:szCs w:val="20"/>
              </w:rPr>
            </w:pPr>
            <w:r w:rsidRPr="00146C23">
              <w:rPr>
                <w:rFonts w:cs="Times New Roman"/>
                <w:sz w:val="20"/>
                <w:szCs w:val="20"/>
              </w:rPr>
              <w:t>Materiál nelegislatívnej povahy</w:t>
            </w:r>
          </w:p>
        </w:tc>
      </w:tr>
      <w:tr w:rsidR="00146C23" w:rsidRPr="00146C23" w:rsidTr="00146C23">
        <w:tc>
          <w:tcPr>
            <w:tcW w:w="4212" w:type="dxa"/>
            <w:gridSpan w:val="2"/>
            <w:vMerge/>
            <w:tcBorders>
              <w:top w:val="nil"/>
              <w:left w:val="single" w:sz="4" w:space="0" w:color="auto"/>
              <w:bottom w:val="single" w:sz="4" w:space="0" w:color="FFFFFF"/>
            </w:tcBorders>
            <w:shd w:val="clear" w:color="auto" w:fill="E2E2E2"/>
          </w:tcPr>
          <w:p w:rsidR="00146C23" w:rsidRPr="00146C23" w:rsidRDefault="00146C23" w:rsidP="00146C23">
            <w:pPr>
              <w:widowControl/>
              <w:adjustRightInd/>
              <w:rPr>
                <w:rFonts w:cs="Times New Roman"/>
                <w:sz w:val="20"/>
                <w:szCs w:val="20"/>
              </w:rPr>
            </w:pPr>
          </w:p>
        </w:tc>
        <w:sdt>
          <w:sdtPr>
            <w:rPr>
              <w:rFonts w:cs="Times New Roman"/>
              <w:sz w:val="20"/>
              <w:szCs w:val="20"/>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46C23" w:rsidRPr="00146C23" w:rsidRDefault="00146C23" w:rsidP="00146C23">
                <w:pPr>
                  <w:widowControl/>
                  <w:adjustRightInd/>
                  <w:jc w:val="center"/>
                  <w:rPr>
                    <w:rFonts w:cs="Times New Roman"/>
                    <w:sz w:val="20"/>
                    <w:szCs w:val="20"/>
                  </w:rPr>
                </w:pPr>
                <w:r w:rsidRPr="00146C23">
                  <w:rPr>
                    <w:rFonts w:ascii="Segoe UI Symbol" w:eastAsia="MS Gothic" w:hAnsi="Segoe UI Symbol" w:cs="Segoe UI Symbol"/>
                    <w:sz w:val="20"/>
                    <w:szCs w:val="20"/>
                  </w:rPr>
                  <w:t>☒</w:t>
                </w:r>
              </w:p>
            </w:tc>
          </w:sdtContent>
        </w:sdt>
        <w:tc>
          <w:tcPr>
            <w:tcW w:w="4263" w:type="dxa"/>
            <w:gridSpan w:val="7"/>
            <w:tcBorders>
              <w:top w:val="single" w:sz="4" w:space="0" w:color="auto"/>
              <w:left w:val="nil"/>
              <w:bottom w:val="single" w:sz="4" w:space="0" w:color="auto"/>
            </w:tcBorders>
            <w:shd w:val="clear" w:color="auto" w:fill="FFFFFF"/>
          </w:tcPr>
          <w:p w:rsidR="00146C23" w:rsidRPr="00146C23" w:rsidRDefault="00146C23" w:rsidP="00146C23">
            <w:pPr>
              <w:widowControl/>
              <w:adjustRightInd/>
              <w:ind w:left="175" w:hanging="175"/>
              <w:rPr>
                <w:rFonts w:cs="Times New Roman"/>
                <w:sz w:val="20"/>
                <w:szCs w:val="20"/>
              </w:rPr>
            </w:pPr>
            <w:r w:rsidRPr="00146C23">
              <w:rPr>
                <w:rFonts w:cs="Times New Roman"/>
                <w:sz w:val="20"/>
                <w:szCs w:val="20"/>
              </w:rPr>
              <w:t>Materiál legislatívnej povahy</w:t>
            </w:r>
          </w:p>
        </w:tc>
      </w:tr>
      <w:tr w:rsidR="00146C23" w:rsidRPr="00146C23" w:rsidTr="00146C23">
        <w:tc>
          <w:tcPr>
            <w:tcW w:w="4212" w:type="dxa"/>
            <w:gridSpan w:val="2"/>
            <w:vMerge/>
            <w:tcBorders>
              <w:top w:val="nil"/>
              <w:left w:val="single" w:sz="4" w:space="0" w:color="auto"/>
              <w:bottom w:val="single" w:sz="4" w:space="0" w:color="auto"/>
            </w:tcBorders>
            <w:shd w:val="clear" w:color="auto" w:fill="E2E2E2"/>
          </w:tcPr>
          <w:p w:rsidR="00146C23" w:rsidRPr="00146C23" w:rsidRDefault="00146C23" w:rsidP="00146C23">
            <w:pPr>
              <w:widowControl/>
              <w:adjustRightInd/>
              <w:rPr>
                <w:rFonts w:cs="Times New Roman"/>
                <w:sz w:val="20"/>
                <w:szCs w:val="20"/>
              </w:rPr>
            </w:pPr>
          </w:p>
        </w:tc>
        <w:sdt>
          <w:sdtPr>
            <w:rPr>
              <w:rFonts w:cs="Times New Roman"/>
              <w:sz w:val="20"/>
              <w:szCs w:val="20"/>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46C23" w:rsidRPr="00146C23" w:rsidRDefault="00146C23" w:rsidP="00146C23">
                <w:pPr>
                  <w:widowControl/>
                  <w:adjustRightInd/>
                  <w:jc w:val="center"/>
                  <w:rPr>
                    <w:rFonts w:cs="Times New Roman"/>
                    <w:sz w:val="20"/>
                    <w:szCs w:val="20"/>
                  </w:rPr>
                </w:pPr>
                <w:r w:rsidRPr="00146C23">
                  <w:rPr>
                    <w:rFonts w:ascii="Segoe UI Symbol" w:eastAsia="MS Gothic" w:hAnsi="Segoe UI Symbol" w:cs="Segoe UI Symbol"/>
                    <w:sz w:val="20"/>
                    <w:szCs w:val="20"/>
                  </w:rPr>
                  <w:t>☒</w:t>
                </w:r>
              </w:p>
            </w:tc>
          </w:sdtContent>
        </w:sdt>
        <w:tc>
          <w:tcPr>
            <w:tcW w:w="4263" w:type="dxa"/>
            <w:gridSpan w:val="7"/>
            <w:tcBorders>
              <w:top w:val="single" w:sz="4" w:space="0" w:color="auto"/>
              <w:left w:val="nil"/>
              <w:bottom w:val="single" w:sz="4" w:space="0" w:color="auto"/>
            </w:tcBorders>
            <w:shd w:val="clear" w:color="auto" w:fill="FFFFFF"/>
          </w:tcPr>
          <w:p w:rsidR="00146C23" w:rsidRPr="00146C23" w:rsidRDefault="00146C23" w:rsidP="00146C23">
            <w:pPr>
              <w:widowControl/>
              <w:adjustRightInd/>
              <w:rPr>
                <w:rFonts w:cs="Times New Roman"/>
                <w:sz w:val="20"/>
                <w:szCs w:val="20"/>
              </w:rPr>
            </w:pPr>
            <w:r w:rsidRPr="00146C23">
              <w:rPr>
                <w:rFonts w:cs="Times New Roman"/>
                <w:sz w:val="20"/>
                <w:szCs w:val="20"/>
              </w:rPr>
              <w:t>Transpozícia/ implementácia práva EÚ</w:t>
            </w:r>
          </w:p>
        </w:tc>
      </w:tr>
      <w:tr w:rsidR="00146C23" w:rsidRPr="00146C23" w:rsidTr="00146C23">
        <w:tc>
          <w:tcPr>
            <w:tcW w:w="9180" w:type="dxa"/>
            <w:gridSpan w:val="11"/>
            <w:tcBorders>
              <w:top w:val="single" w:sz="4" w:space="0" w:color="auto"/>
              <w:left w:val="single" w:sz="4" w:space="0" w:color="auto"/>
              <w:bottom w:val="single" w:sz="4" w:space="0" w:color="FFFFFF"/>
            </w:tcBorders>
            <w:shd w:val="clear" w:color="auto" w:fill="FFFFFF"/>
          </w:tcPr>
          <w:p w:rsidR="00146C23" w:rsidRPr="00146C23" w:rsidRDefault="00146C23" w:rsidP="00146C23">
            <w:pPr>
              <w:widowControl/>
              <w:adjustRightInd/>
              <w:rPr>
                <w:rFonts w:cs="Times New Roman"/>
                <w:i/>
                <w:sz w:val="20"/>
                <w:szCs w:val="20"/>
              </w:rPr>
            </w:pPr>
            <w:r w:rsidRPr="00146C23">
              <w:rPr>
                <w:rFonts w:cs="Times New Roman"/>
                <w:i/>
                <w:sz w:val="20"/>
                <w:szCs w:val="20"/>
              </w:rPr>
              <w:t>V prípade transpozície/implementácie uveďte zoznam transponovaných/implementovaných predpisov:</w:t>
            </w:r>
          </w:p>
          <w:p w:rsidR="00146C23" w:rsidRPr="00146C23" w:rsidRDefault="00146C23" w:rsidP="00146C23">
            <w:pPr>
              <w:widowControl/>
              <w:numPr>
                <w:ilvl w:val="0"/>
                <w:numId w:val="8"/>
              </w:numPr>
              <w:adjustRightInd/>
              <w:spacing w:before="120"/>
              <w:ind w:left="164" w:hanging="142"/>
              <w:jc w:val="both"/>
              <w:rPr>
                <w:rFonts w:eastAsia="Calibri" w:cs="Times New Roman"/>
                <w:sz w:val="20"/>
                <w:szCs w:val="20"/>
                <w:lang w:eastAsia="en-US"/>
              </w:rPr>
            </w:pPr>
            <w:r w:rsidRPr="00146C23">
              <w:rPr>
                <w:rFonts w:eastAsia="Calibri" w:cs="Times New Roman"/>
                <w:sz w:val="20"/>
                <w:szCs w:val="20"/>
                <w:lang w:eastAsia="en-US"/>
              </w:rPr>
              <w:t>Smernica Európskeho parlamentu a Rady (EÚ) 2023/2413 z 18. októbra 2023, ktorou sa mení smernica (EÚ) 2018/2001, nariadenie (EÚ) 2018/1999 a smernica 98/70/ES, pokiaľ ide o podporu energie z obnoviteľných zdrojov, a ktorou sa zrušuje smernica Rady (EÚ) 2015/652 (</w:t>
            </w:r>
            <w:r w:rsidRPr="00146C23">
              <w:rPr>
                <w:rFonts w:eastAsia="Calibri" w:cs="Times New Roman"/>
                <w:i/>
                <w:sz w:val="20"/>
                <w:szCs w:val="20"/>
                <w:lang w:eastAsia="en-US"/>
              </w:rPr>
              <w:t>Ú. v. EÚ L, 2023/2413, 31.10.2023</w:t>
            </w:r>
            <w:r w:rsidRPr="00146C23">
              <w:rPr>
                <w:rFonts w:eastAsia="Calibri" w:cs="Times New Roman"/>
                <w:sz w:val="20"/>
                <w:szCs w:val="20"/>
                <w:lang w:eastAsia="en-US"/>
              </w:rPr>
              <w:t>) (ďalej len „smernica EÚ č. 2023/2413“).</w:t>
            </w:r>
          </w:p>
          <w:p w:rsidR="00146C23" w:rsidRPr="00146C23" w:rsidRDefault="00146C23" w:rsidP="00146C23">
            <w:pPr>
              <w:widowControl/>
              <w:numPr>
                <w:ilvl w:val="0"/>
                <w:numId w:val="8"/>
              </w:numPr>
              <w:adjustRightInd/>
              <w:spacing w:before="120"/>
              <w:ind w:left="164" w:hanging="142"/>
              <w:jc w:val="both"/>
              <w:rPr>
                <w:rFonts w:cs="Times New Roman"/>
                <w:sz w:val="20"/>
                <w:szCs w:val="20"/>
              </w:rPr>
            </w:pPr>
            <w:r w:rsidRPr="00146C23">
              <w:rPr>
                <w:rFonts w:eastAsia="Calibri" w:cs="Times New Roman"/>
                <w:sz w:val="20"/>
                <w:szCs w:val="20"/>
                <w:lang w:eastAsia="en-US"/>
              </w:rPr>
              <w:t>Smernica Európskeho parlamentu a Rady (EÚ) 2024/2839 z 23. októbra, ktorou sa menia smernice 1999/2/ES, 2000/14/ES, 2011/24/EÚ a 2014/53/EÚ, pokiaľ ide o určité požiadavky na podávanie správ v oblasti</w:t>
            </w:r>
            <w:r w:rsidRPr="00146C23">
              <w:rPr>
                <w:rFonts w:eastAsia="Calibri" w:cs="Times New Roman"/>
                <w:bCs/>
                <w:sz w:val="20"/>
                <w:szCs w:val="20"/>
                <w:shd w:val="clear" w:color="auto" w:fill="FFFFFF"/>
                <w:lang w:eastAsia="en-US"/>
              </w:rPr>
              <w:t xml:space="preserve"> potravín a prídavných látok do potravín, hluku vo voľnom priestranstve, práv pacientov a rádiových zariadení</w:t>
            </w:r>
            <w:r w:rsidRPr="00146C23">
              <w:rPr>
                <w:rFonts w:eastAsia="Calibri" w:cs="Times New Roman"/>
                <w:sz w:val="20"/>
                <w:szCs w:val="20"/>
                <w:lang w:eastAsia="en-US"/>
              </w:rPr>
              <w:t xml:space="preserve"> (</w:t>
            </w:r>
            <w:r w:rsidRPr="00146C23">
              <w:rPr>
                <w:rFonts w:eastAsia="Calibri" w:cs="Times New Roman"/>
                <w:i/>
                <w:iCs/>
                <w:sz w:val="20"/>
                <w:szCs w:val="20"/>
                <w:shd w:val="clear" w:color="auto" w:fill="FFFFFF"/>
                <w:lang w:eastAsia="en-US"/>
              </w:rPr>
              <w:t>Ú. v. EÚ L, 2024/2839, 7.11.2024</w:t>
            </w:r>
            <w:r w:rsidRPr="00146C23">
              <w:rPr>
                <w:rFonts w:eastAsia="Calibri" w:cs="Times New Roman"/>
                <w:sz w:val="20"/>
                <w:szCs w:val="20"/>
                <w:lang w:eastAsia="en-US"/>
              </w:rPr>
              <w:t>) (ďalej len „smernica EÚ č. 2024/2839“).</w:t>
            </w:r>
          </w:p>
          <w:p w:rsidR="00146C23" w:rsidRPr="00146C23" w:rsidRDefault="00146C23" w:rsidP="00146C23">
            <w:pPr>
              <w:widowControl/>
              <w:adjustRightInd/>
              <w:spacing w:before="120"/>
              <w:jc w:val="both"/>
              <w:rPr>
                <w:rFonts w:cs="Times New Roman"/>
                <w:b/>
                <w:sz w:val="20"/>
                <w:szCs w:val="20"/>
              </w:rPr>
            </w:pPr>
            <w:r>
              <w:rPr>
                <w:rFonts w:eastAsia="Calibri" w:cs="Times New Roman"/>
                <w:sz w:val="20"/>
                <w:szCs w:val="20"/>
                <w:lang w:eastAsia="en-US"/>
              </w:rPr>
              <w:t xml:space="preserve"> </w:t>
            </w:r>
            <w:r w:rsidRPr="00146C23">
              <w:rPr>
                <w:rFonts w:eastAsia="Calibri" w:cs="Times New Roman"/>
                <w:sz w:val="20"/>
                <w:szCs w:val="20"/>
                <w:lang w:eastAsia="en-US"/>
              </w:rPr>
              <w:t>(smernica (EÚ) č. 2023/2413, smernica (EÚ) č. 2024/2839 ďalej aj len ako „smernice“).</w:t>
            </w:r>
          </w:p>
          <w:p w:rsidR="00146C23" w:rsidRPr="00146C23" w:rsidRDefault="00146C23" w:rsidP="00146C23">
            <w:pPr>
              <w:widowControl/>
              <w:numPr>
                <w:ilvl w:val="0"/>
                <w:numId w:val="8"/>
              </w:numPr>
              <w:adjustRightInd/>
              <w:spacing w:before="120"/>
              <w:ind w:left="164" w:hanging="142"/>
              <w:jc w:val="both"/>
              <w:rPr>
                <w:rFonts w:eastAsia="Calibri" w:cs="Times New Roman"/>
                <w:sz w:val="20"/>
                <w:szCs w:val="20"/>
                <w:lang w:eastAsia="en-US"/>
              </w:rPr>
            </w:pPr>
            <w:r w:rsidRPr="00146C23">
              <w:rPr>
                <w:rFonts w:eastAsia="Calibri" w:cs="Times New Roman"/>
                <w:sz w:val="20"/>
                <w:szCs w:val="20"/>
                <w:lang w:eastAsia="en-US"/>
              </w:rPr>
              <w:t>Nariadenie Európskeho parlamentu a Rady (EÚ) 2023/1542 z 12. júna 2023 o batériách a odpadových batériách, ktorým sa mení smernica 2008/98/ES a nariadenie (EÚ) 2019/1020 a zrušuje smernica 2006/66/ES (</w:t>
            </w:r>
            <w:r w:rsidRPr="00146C23">
              <w:rPr>
                <w:rFonts w:eastAsia="Calibri" w:cs="Times New Roman"/>
                <w:i/>
                <w:iCs/>
                <w:sz w:val="20"/>
                <w:szCs w:val="20"/>
                <w:shd w:val="clear" w:color="auto" w:fill="FFFFFF"/>
                <w:lang w:eastAsia="en-US"/>
              </w:rPr>
              <w:t xml:space="preserve">Ú. v. EÚ L 191, 28.7.2023) </w:t>
            </w:r>
            <w:r w:rsidRPr="00146C23">
              <w:rPr>
                <w:rFonts w:eastAsia="Calibri" w:cs="Times New Roman"/>
                <w:iCs/>
                <w:sz w:val="20"/>
                <w:szCs w:val="20"/>
                <w:shd w:val="clear" w:color="auto" w:fill="FFFFFF"/>
                <w:lang w:eastAsia="en-US"/>
              </w:rPr>
              <w:t>v platnom znení (ďalej len „nariadenie (EÚ) 2023/1542 v platnom znení“)</w:t>
            </w:r>
            <w:r w:rsidRPr="00146C23">
              <w:rPr>
                <w:rFonts w:eastAsia="Calibri" w:cs="Times New Roman"/>
                <w:sz w:val="20"/>
                <w:szCs w:val="20"/>
                <w:lang w:eastAsia="en-US"/>
              </w:rPr>
              <w:t xml:space="preserve">. </w:t>
            </w:r>
          </w:p>
          <w:p w:rsidR="00146C23" w:rsidRPr="00146C23" w:rsidRDefault="00146C23" w:rsidP="00146C23">
            <w:pPr>
              <w:widowControl/>
              <w:numPr>
                <w:ilvl w:val="0"/>
                <w:numId w:val="8"/>
              </w:numPr>
              <w:adjustRightInd/>
              <w:spacing w:before="120"/>
              <w:ind w:left="164" w:hanging="142"/>
              <w:jc w:val="both"/>
              <w:rPr>
                <w:rFonts w:eastAsia="Calibri" w:cs="Times New Roman"/>
                <w:sz w:val="20"/>
                <w:szCs w:val="20"/>
                <w:lang w:eastAsia="en-US"/>
              </w:rPr>
            </w:pPr>
            <w:r w:rsidRPr="00146C23">
              <w:rPr>
                <w:rFonts w:eastAsia="Calibri" w:cs="Times New Roman"/>
                <w:bCs/>
                <w:sz w:val="20"/>
                <w:szCs w:val="20"/>
                <w:shd w:val="clear" w:color="auto" w:fill="FFFFFF"/>
                <w:lang w:eastAsia="en-US"/>
              </w:rPr>
              <w:t>Nariadenie Európskeho parlamentu a Rady (EÚ) 2023/1230 zo 14. júna 2023 o strojových zariadeniach a o zrušení smernice Európskeho parlamentu a Rady 2006/42/ES a smernice Rady 73/361/EHS (</w:t>
            </w:r>
            <w:r w:rsidRPr="00146C23">
              <w:rPr>
                <w:rFonts w:eastAsia="Calibri" w:cs="Times New Roman"/>
                <w:i/>
                <w:iCs/>
                <w:sz w:val="20"/>
                <w:szCs w:val="20"/>
                <w:shd w:val="clear" w:color="auto" w:fill="FFFFFF"/>
                <w:lang w:eastAsia="en-US"/>
              </w:rPr>
              <w:t>Ú. v. EÚ L 165, 29.6.2023)</w:t>
            </w:r>
            <w:r w:rsidRPr="00146C23">
              <w:rPr>
                <w:rFonts w:eastAsia="Calibri" w:cs="Times New Roman"/>
                <w:bCs/>
                <w:sz w:val="20"/>
                <w:szCs w:val="20"/>
                <w:shd w:val="clear" w:color="auto" w:fill="FFFFFF"/>
                <w:lang w:eastAsia="en-US"/>
              </w:rPr>
              <w:t xml:space="preserve"> v platnom znení </w:t>
            </w:r>
            <w:r w:rsidRPr="00146C23">
              <w:rPr>
                <w:rFonts w:eastAsia="Calibri" w:cs="Times New Roman"/>
                <w:iCs/>
                <w:sz w:val="20"/>
                <w:szCs w:val="20"/>
                <w:shd w:val="clear" w:color="auto" w:fill="FFFFFF"/>
                <w:lang w:eastAsia="en-US"/>
              </w:rPr>
              <w:t>(ďalej len „nariadenie (EÚ) 2023/1230 v platnom znení“)</w:t>
            </w:r>
            <w:r w:rsidRPr="00146C23">
              <w:rPr>
                <w:rFonts w:eastAsia="Calibri" w:cs="Times New Roman"/>
                <w:sz w:val="20"/>
                <w:szCs w:val="20"/>
                <w:lang w:eastAsia="en-US"/>
              </w:rPr>
              <w:t xml:space="preserve">. </w:t>
            </w:r>
            <w:r w:rsidRPr="00146C23">
              <w:rPr>
                <w:rFonts w:eastAsia="Calibri" w:cs="Times New Roman"/>
                <w:bCs/>
                <w:sz w:val="20"/>
                <w:szCs w:val="20"/>
                <w:shd w:val="clear" w:color="auto" w:fill="FFFFFF"/>
                <w:lang w:eastAsia="en-US"/>
              </w:rPr>
              <w:t xml:space="preserve"> </w:t>
            </w:r>
          </w:p>
          <w:p w:rsidR="00146C23" w:rsidRPr="00146C23" w:rsidRDefault="00146C23" w:rsidP="00146C23">
            <w:pPr>
              <w:widowControl/>
              <w:numPr>
                <w:ilvl w:val="0"/>
                <w:numId w:val="8"/>
              </w:numPr>
              <w:adjustRightInd/>
              <w:spacing w:before="120"/>
              <w:ind w:left="164" w:hanging="142"/>
              <w:jc w:val="both"/>
              <w:rPr>
                <w:rFonts w:eastAsia="Calibri" w:cs="Times New Roman"/>
                <w:sz w:val="20"/>
                <w:szCs w:val="20"/>
                <w:lang w:eastAsia="en-US"/>
              </w:rPr>
            </w:pPr>
            <w:r w:rsidRPr="00146C23">
              <w:rPr>
                <w:rFonts w:eastAsia="Calibri" w:cs="Times New Roman"/>
                <w:bCs/>
                <w:sz w:val="20"/>
                <w:szCs w:val="20"/>
                <w:shd w:val="clear" w:color="auto" w:fill="FFFFFF"/>
                <w:lang w:eastAsia="en-US"/>
              </w:rPr>
              <w:t>Nariadenie Európskeho parlamentu a Rady (EÚ) 2024/1252 z 11. apríla 2024, ktorým sa stanovuje rámec na zaistenie bezpečných a udržateľných dodávok kritických surovín a ktorým sa menia nariadenia (EÚ) č. 168/2013, (EÚ) 2018/858, (EÚ) 2018/1724 a (EÚ) 2019/1020 (</w:t>
            </w:r>
            <w:r w:rsidRPr="00146C23">
              <w:rPr>
                <w:rFonts w:eastAsia="Calibri" w:cs="Times New Roman"/>
                <w:i/>
                <w:iCs/>
                <w:sz w:val="20"/>
                <w:szCs w:val="20"/>
                <w:shd w:val="clear" w:color="auto" w:fill="FFFFFF"/>
                <w:lang w:eastAsia="en-US"/>
              </w:rPr>
              <w:t xml:space="preserve">Ú. v. EÚ L, 2024/1252, 3.5.2024) </w:t>
            </w:r>
            <w:r w:rsidRPr="00146C23">
              <w:rPr>
                <w:rFonts w:eastAsia="Calibri" w:cs="Times New Roman"/>
                <w:iCs/>
                <w:sz w:val="20"/>
                <w:szCs w:val="20"/>
                <w:shd w:val="clear" w:color="auto" w:fill="FFFFFF"/>
                <w:lang w:eastAsia="en-US"/>
              </w:rPr>
              <w:t>v platnom znení</w:t>
            </w:r>
            <w:r w:rsidRPr="00146C23">
              <w:rPr>
                <w:rFonts w:eastAsia="Calibri" w:cs="Times New Roman"/>
                <w:bCs/>
                <w:sz w:val="20"/>
                <w:szCs w:val="20"/>
                <w:shd w:val="clear" w:color="auto" w:fill="FFFFFF"/>
                <w:lang w:eastAsia="en-US"/>
              </w:rPr>
              <w:t xml:space="preserve"> </w:t>
            </w:r>
            <w:r w:rsidRPr="00146C23">
              <w:rPr>
                <w:rFonts w:eastAsia="Calibri" w:cs="Times New Roman"/>
                <w:iCs/>
                <w:sz w:val="20"/>
                <w:szCs w:val="20"/>
                <w:shd w:val="clear" w:color="auto" w:fill="FFFFFF"/>
                <w:lang w:eastAsia="en-US"/>
              </w:rPr>
              <w:t>(ďalej len „nariadenie (EÚ) 2024/1252 v platnom znení“)</w:t>
            </w:r>
            <w:r w:rsidRPr="00146C23">
              <w:rPr>
                <w:rFonts w:eastAsia="Calibri" w:cs="Times New Roman"/>
                <w:sz w:val="20"/>
                <w:szCs w:val="20"/>
                <w:lang w:eastAsia="en-US"/>
              </w:rPr>
              <w:t>.</w:t>
            </w:r>
          </w:p>
          <w:p w:rsidR="00146C23" w:rsidRPr="00146C23" w:rsidRDefault="00146C23" w:rsidP="00146C23">
            <w:pPr>
              <w:widowControl/>
              <w:numPr>
                <w:ilvl w:val="0"/>
                <w:numId w:val="8"/>
              </w:numPr>
              <w:adjustRightInd/>
              <w:spacing w:before="120"/>
              <w:ind w:left="164" w:hanging="142"/>
              <w:jc w:val="both"/>
              <w:rPr>
                <w:rFonts w:eastAsia="Calibri" w:cs="Times New Roman"/>
                <w:sz w:val="20"/>
                <w:szCs w:val="20"/>
                <w:lang w:eastAsia="en-US"/>
              </w:rPr>
            </w:pPr>
            <w:r w:rsidRPr="00146C23">
              <w:rPr>
                <w:rFonts w:eastAsia="Calibri" w:cs="Times New Roman"/>
                <w:bCs/>
                <w:sz w:val="20"/>
                <w:szCs w:val="20"/>
                <w:shd w:val="clear" w:color="auto" w:fill="FFFFFF"/>
                <w:lang w:eastAsia="en-US"/>
              </w:rPr>
              <w:t>Nariadenie Európskeho parlamentu a Rady (EÚ) 2024/1689 z 13. júna 2024, ktorým sa stanovujú harmonizované pravidlá v oblasti umelej inteligencie a ktorým sa menia nariadenia (ES) č. 300/2008, (EÚ) č. 167/2013, (EÚ) č. 168/2013, (EÚ) 2018/858, (EÚ) 2018/1139 a (EÚ) 2019/2144 a smernice 2014/90/EÚ, (EÚ) 2016/797 a (EÚ) 2020/1828 (akt o umelej inteligencii) (</w:t>
            </w:r>
            <w:r w:rsidRPr="00146C23">
              <w:rPr>
                <w:rFonts w:eastAsia="Calibri" w:cs="Times New Roman"/>
                <w:i/>
                <w:iCs/>
                <w:sz w:val="20"/>
                <w:szCs w:val="20"/>
                <w:shd w:val="clear" w:color="auto" w:fill="FFFFFF"/>
                <w:lang w:eastAsia="en-US"/>
              </w:rPr>
              <w:t>Ú. v. EÚ L, 2024/1689, 12.7.2024)</w:t>
            </w:r>
            <w:r w:rsidRPr="00146C23">
              <w:rPr>
                <w:rFonts w:eastAsia="Calibri" w:cs="Times New Roman"/>
                <w:bCs/>
                <w:sz w:val="20"/>
                <w:szCs w:val="20"/>
                <w:shd w:val="clear" w:color="auto" w:fill="FFFFFF"/>
                <w:lang w:eastAsia="en-US"/>
              </w:rPr>
              <w:t xml:space="preserve"> </w:t>
            </w:r>
            <w:r w:rsidRPr="00146C23">
              <w:rPr>
                <w:rFonts w:eastAsia="Calibri" w:cs="Times New Roman"/>
                <w:iCs/>
                <w:sz w:val="20"/>
                <w:szCs w:val="20"/>
                <w:shd w:val="clear" w:color="auto" w:fill="FFFFFF"/>
                <w:lang w:eastAsia="en-US"/>
              </w:rPr>
              <w:t>(ďalej len „nariadenie (EÚ) 2024/1689“)</w:t>
            </w:r>
            <w:r w:rsidRPr="00146C23">
              <w:rPr>
                <w:rFonts w:eastAsia="Calibri" w:cs="Times New Roman"/>
                <w:sz w:val="20"/>
                <w:szCs w:val="20"/>
                <w:lang w:eastAsia="en-US"/>
              </w:rPr>
              <w:t>.</w:t>
            </w:r>
          </w:p>
          <w:p w:rsidR="00146C23" w:rsidRPr="00146C23" w:rsidRDefault="00146C23" w:rsidP="00146C23">
            <w:pPr>
              <w:widowControl/>
              <w:numPr>
                <w:ilvl w:val="0"/>
                <w:numId w:val="8"/>
              </w:numPr>
              <w:adjustRightInd/>
              <w:spacing w:before="120"/>
              <w:ind w:left="164" w:hanging="142"/>
              <w:jc w:val="both"/>
              <w:rPr>
                <w:rFonts w:eastAsia="Calibri" w:cs="Times New Roman"/>
                <w:sz w:val="20"/>
                <w:szCs w:val="20"/>
                <w:lang w:eastAsia="en-US"/>
              </w:rPr>
            </w:pPr>
            <w:r w:rsidRPr="00146C23">
              <w:rPr>
                <w:rFonts w:eastAsia="Calibri" w:cs="Times New Roman"/>
                <w:sz w:val="20"/>
                <w:szCs w:val="20"/>
                <w:lang w:eastAsia="en-US"/>
              </w:rPr>
              <w:t xml:space="preserve">Nariadenie Európskeho parlamentu a Rady (EÚ) 2024/1781 z 13. júna 2024, ktorým sa zriaďuje rámec na stanovenie požiadaviek na </w:t>
            </w:r>
            <w:proofErr w:type="spellStart"/>
            <w:r w:rsidRPr="00146C23">
              <w:rPr>
                <w:rFonts w:eastAsia="Calibri" w:cs="Times New Roman"/>
                <w:sz w:val="20"/>
                <w:szCs w:val="20"/>
                <w:lang w:eastAsia="en-US"/>
              </w:rPr>
              <w:t>ekodizajn</w:t>
            </w:r>
            <w:proofErr w:type="spellEnd"/>
            <w:r w:rsidRPr="00146C23">
              <w:rPr>
                <w:rFonts w:eastAsia="Calibri" w:cs="Times New Roman"/>
                <w:sz w:val="20"/>
                <w:szCs w:val="20"/>
                <w:lang w:eastAsia="en-US"/>
              </w:rPr>
              <w:t xml:space="preserve"> udržateľných výrobkov, mení smernica (EÚ) 2020/1828 a nariadenie (EÚ) 2023/1542 a zrušuje smernica 2009/125/ES (</w:t>
            </w:r>
            <w:r w:rsidRPr="00146C23">
              <w:rPr>
                <w:rFonts w:eastAsia="Calibri" w:cs="Times New Roman"/>
                <w:i/>
                <w:iCs/>
                <w:sz w:val="20"/>
                <w:szCs w:val="20"/>
                <w:shd w:val="clear" w:color="auto" w:fill="FFFFFF"/>
                <w:lang w:eastAsia="en-US"/>
              </w:rPr>
              <w:t>Ú. v. EÚ L, 2024/1781, 28.6.2024)</w:t>
            </w:r>
            <w:r w:rsidRPr="00146C23">
              <w:rPr>
                <w:rFonts w:eastAsia="Calibri" w:cs="Times New Roman"/>
                <w:sz w:val="20"/>
                <w:szCs w:val="20"/>
                <w:lang w:eastAsia="en-US"/>
              </w:rPr>
              <w:t xml:space="preserve"> </w:t>
            </w:r>
            <w:r w:rsidRPr="00146C23">
              <w:rPr>
                <w:rFonts w:eastAsia="Calibri" w:cs="Times New Roman"/>
                <w:iCs/>
                <w:sz w:val="20"/>
                <w:szCs w:val="20"/>
                <w:shd w:val="clear" w:color="auto" w:fill="FFFFFF"/>
                <w:lang w:eastAsia="en-US"/>
              </w:rPr>
              <w:t>(ďalej len „nariadenie (EÚ) 2024/1781“)</w:t>
            </w:r>
            <w:r w:rsidRPr="00146C23">
              <w:rPr>
                <w:rFonts w:eastAsia="Calibri" w:cs="Times New Roman"/>
                <w:sz w:val="20"/>
                <w:szCs w:val="20"/>
                <w:lang w:eastAsia="en-US"/>
              </w:rPr>
              <w:t xml:space="preserve">.  </w:t>
            </w:r>
          </w:p>
          <w:p w:rsidR="00146C23" w:rsidRPr="00146C23" w:rsidRDefault="00146C23" w:rsidP="00146C23">
            <w:pPr>
              <w:widowControl/>
              <w:numPr>
                <w:ilvl w:val="0"/>
                <w:numId w:val="8"/>
              </w:numPr>
              <w:adjustRightInd/>
              <w:spacing w:before="120"/>
              <w:ind w:left="164" w:hanging="142"/>
              <w:jc w:val="both"/>
              <w:rPr>
                <w:rFonts w:eastAsia="Calibri" w:cs="Times New Roman"/>
                <w:sz w:val="20"/>
                <w:szCs w:val="20"/>
                <w:lang w:eastAsia="en-US"/>
              </w:rPr>
            </w:pPr>
            <w:r w:rsidRPr="00146C23">
              <w:rPr>
                <w:rFonts w:eastAsia="Calibri" w:cs="Times New Roman"/>
                <w:sz w:val="20"/>
                <w:szCs w:val="20"/>
                <w:lang w:eastAsia="en-US"/>
              </w:rPr>
              <w:t>Nariadenie Európskeho parlamentu a Rady (EÚ) 2024/2516 z 18. septembra, ktorým sa mení nariadenie (EÚ) 2019/1009, pokiaľ ide o digitálne označovanie EÚ produktov na hnojenie (</w:t>
            </w:r>
            <w:r w:rsidRPr="00146C23">
              <w:rPr>
                <w:rFonts w:eastAsia="Calibri" w:cs="Times New Roman"/>
                <w:i/>
                <w:iCs/>
                <w:sz w:val="20"/>
                <w:szCs w:val="20"/>
                <w:shd w:val="clear" w:color="auto" w:fill="FFFFFF"/>
                <w:lang w:eastAsia="en-US"/>
              </w:rPr>
              <w:t>Ú. v. EÚ L, 2024/2516, 30.9.2024)</w:t>
            </w:r>
            <w:r w:rsidRPr="00146C23">
              <w:rPr>
                <w:rFonts w:eastAsia="Calibri" w:cs="Times New Roman"/>
                <w:sz w:val="20"/>
                <w:szCs w:val="20"/>
                <w:lang w:eastAsia="en-US"/>
              </w:rPr>
              <w:t xml:space="preserve"> </w:t>
            </w:r>
            <w:r w:rsidRPr="00146C23">
              <w:rPr>
                <w:rFonts w:eastAsia="Calibri" w:cs="Times New Roman"/>
                <w:iCs/>
                <w:sz w:val="20"/>
                <w:szCs w:val="20"/>
                <w:shd w:val="clear" w:color="auto" w:fill="FFFFFF"/>
                <w:lang w:eastAsia="en-US"/>
              </w:rPr>
              <w:t>(ďalej len „nariadenie (EÚ) 2024/2516“)</w:t>
            </w:r>
            <w:r w:rsidRPr="00146C23">
              <w:rPr>
                <w:rFonts w:eastAsia="Calibri" w:cs="Times New Roman"/>
                <w:sz w:val="20"/>
                <w:szCs w:val="20"/>
                <w:lang w:eastAsia="en-US"/>
              </w:rPr>
              <w:t xml:space="preserve">.  </w:t>
            </w:r>
          </w:p>
          <w:p w:rsidR="00146C23" w:rsidRPr="00146C23" w:rsidRDefault="00146C23" w:rsidP="00146C23">
            <w:pPr>
              <w:widowControl/>
              <w:numPr>
                <w:ilvl w:val="0"/>
                <w:numId w:val="8"/>
              </w:numPr>
              <w:adjustRightInd/>
              <w:spacing w:before="120"/>
              <w:ind w:left="164" w:hanging="142"/>
              <w:jc w:val="both"/>
              <w:rPr>
                <w:rFonts w:eastAsia="Calibri" w:cs="Times New Roman"/>
                <w:i/>
                <w:iCs/>
                <w:sz w:val="20"/>
                <w:szCs w:val="20"/>
                <w:shd w:val="clear" w:color="auto" w:fill="FFFFFF"/>
                <w:lang w:eastAsia="en-US"/>
              </w:rPr>
            </w:pPr>
            <w:r w:rsidRPr="00146C23">
              <w:rPr>
                <w:rFonts w:eastAsia="Calibri" w:cs="Times New Roman"/>
                <w:bCs/>
                <w:sz w:val="20"/>
                <w:szCs w:val="20"/>
                <w:shd w:val="clear" w:color="auto" w:fill="FFFFFF"/>
                <w:lang w:eastAsia="en-US"/>
              </w:rPr>
              <w:t>Nariadenie Európskeho parlamentu a Rady (EÚ) 2024/2847 z 23. októbra 2024 o horizontálnych požiadavkách kybernetickej bezpečnosti pre produkty s digitálnymi prvkami a o zmene nariadení (EÚ) č. 168/2013 a (EÚ) 2019/1020 a smernice (EÚ) 2020/1828 (akt o kybernetickej odolnosti</w:t>
            </w:r>
            <w:r w:rsidRPr="00146C23">
              <w:rPr>
                <w:rFonts w:eastAsia="Calibri" w:cs="Times New Roman"/>
                <w:bCs/>
                <w:i/>
                <w:sz w:val="20"/>
                <w:szCs w:val="20"/>
                <w:shd w:val="clear" w:color="auto" w:fill="FFFFFF"/>
                <w:lang w:eastAsia="en-US"/>
              </w:rPr>
              <w:t>)</w:t>
            </w:r>
            <w:r w:rsidRPr="00146C23">
              <w:rPr>
                <w:rFonts w:eastAsia="Calibri" w:cs="Times New Roman"/>
                <w:sz w:val="20"/>
                <w:szCs w:val="20"/>
                <w:shd w:val="clear" w:color="auto" w:fill="FFFFFF"/>
                <w:lang w:eastAsia="en-US"/>
              </w:rPr>
              <w:t xml:space="preserve">  (</w:t>
            </w:r>
            <w:r w:rsidRPr="00146C23">
              <w:rPr>
                <w:rFonts w:eastAsia="Calibri" w:cs="Times New Roman"/>
                <w:iCs/>
                <w:sz w:val="20"/>
                <w:szCs w:val="20"/>
                <w:shd w:val="clear" w:color="auto" w:fill="FFFFFF"/>
              </w:rPr>
              <w:t xml:space="preserve">Ú. v. EÚ L, 2024/2847, 20.11.2024) v platnom znení </w:t>
            </w:r>
            <w:r w:rsidRPr="00146C23">
              <w:rPr>
                <w:rFonts w:eastAsia="Calibri" w:cs="Times New Roman"/>
                <w:iCs/>
                <w:sz w:val="20"/>
                <w:szCs w:val="20"/>
                <w:shd w:val="clear" w:color="auto" w:fill="FFFFFF"/>
                <w:lang w:eastAsia="en-US"/>
              </w:rPr>
              <w:t>(ďalej len „nariadenie (EÚ) 2024/2847 v platnom znení“)</w:t>
            </w:r>
            <w:r w:rsidRPr="00146C23">
              <w:rPr>
                <w:rFonts w:eastAsia="Calibri" w:cs="Times New Roman"/>
                <w:sz w:val="20"/>
                <w:szCs w:val="20"/>
                <w:lang w:eastAsia="en-US"/>
              </w:rPr>
              <w:t>.</w:t>
            </w:r>
          </w:p>
          <w:p w:rsidR="00146C23" w:rsidRPr="00146C23" w:rsidRDefault="00146C23" w:rsidP="00146C23">
            <w:pPr>
              <w:widowControl/>
              <w:numPr>
                <w:ilvl w:val="0"/>
                <w:numId w:val="8"/>
              </w:numPr>
              <w:adjustRightInd/>
              <w:spacing w:before="120"/>
              <w:ind w:left="164" w:hanging="142"/>
              <w:jc w:val="both"/>
              <w:rPr>
                <w:rFonts w:eastAsia="Calibri" w:cs="Times New Roman"/>
                <w:sz w:val="20"/>
                <w:szCs w:val="20"/>
                <w:lang w:eastAsia="en-US"/>
              </w:rPr>
            </w:pPr>
            <w:r w:rsidRPr="00146C23">
              <w:rPr>
                <w:rFonts w:eastAsia="Calibri" w:cs="Times New Roman"/>
                <w:sz w:val="20"/>
                <w:szCs w:val="20"/>
                <w:lang w:eastAsia="en-US"/>
              </w:rPr>
              <w:t>Delegované nariadenie Komisie (EÚ) 2024/370 z 23. januára 2024, ktorým sa dopĺňa smernica Európskeho parlamentu a Rady (EÚ) 2020/2184 stanovením postupov posudzovania zhody pre výrobky, ktoré prichádzajú do kontaktu s vodou určenou na ľudskú spotrebu a pravidiel určovania orgánov posudzovania zhody zapojených do týchto postupov (</w:t>
            </w:r>
            <w:r w:rsidRPr="00146C23">
              <w:rPr>
                <w:rFonts w:eastAsia="Calibri" w:cs="Times New Roman"/>
                <w:i/>
                <w:iCs/>
                <w:sz w:val="20"/>
                <w:szCs w:val="20"/>
                <w:shd w:val="clear" w:color="auto" w:fill="FFFFFF"/>
                <w:lang w:eastAsia="en-US"/>
              </w:rPr>
              <w:t>Ú. v. EÚ L, 2024/370, 23.4.2024)</w:t>
            </w:r>
            <w:r w:rsidRPr="00146C23">
              <w:rPr>
                <w:rFonts w:eastAsia="Calibri" w:cs="Times New Roman"/>
                <w:sz w:val="20"/>
                <w:szCs w:val="20"/>
                <w:lang w:eastAsia="en-US"/>
              </w:rPr>
              <w:t xml:space="preserve"> </w:t>
            </w:r>
            <w:r w:rsidRPr="00146C23">
              <w:rPr>
                <w:rFonts w:eastAsia="Calibri" w:cs="Times New Roman"/>
                <w:iCs/>
                <w:sz w:val="20"/>
                <w:szCs w:val="20"/>
                <w:shd w:val="clear" w:color="auto" w:fill="FFFFFF"/>
                <w:lang w:eastAsia="en-US"/>
              </w:rPr>
              <w:t>(ďalej len „delegované nariadenie (EÚ) 2024/370“)</w:t>
            </w:r>
            <w:r w:rsidRPr="00146C23">
              <w:rPr>
                <w:rFonts w:eastAsia="Calibri" w:cs="Times New Roman"/>
                <w:sz w:val="20"/>
                <w:szCs w:val="20"/>
                <w:lang w:eastAsia="en-US"/>
              </w:rPr>
              <w:t>.</w:t>
            </w:r>
          </w:p>
          <w:p w:rsidR="00146C23" w:rsidRPr="00146C23" w:rsidRDefault="00146C23" w:rsidP="00146C23">
            <w:pPr>
              <w:widowControl/>
              <w:numPr>
                <w:ilvl w:val="0"/>
                <w:numId w:val="8"/>
              </w:numPr>
              <w:adjustRightInd/>
              <w:spacing w:before="120"/>
              <w:ind w:left="164" w:hanging="142"/>
              <w:jc w:val="both"/>
              <w:rPr>
                <w:rFonts w:eastAsia="Calibri" w:cs="Times New Roman"/>
                <w:sz w:val="20"/>
                <w:szCs w:val="20"/>
                <w:lang w:eastAsia="en-US"/>
              </w:rPr>
            </w:pPr>
            <w:r w:rsidRPr="00146C23">
              <w:rPr>
                <w:rFonts w:eastAsia="Calibri" w:cs="Times New Roman"/>
                <w:sz w:val="20"/>
                <w:szCs w:val="20"/>
                <w:lang w:eastAsia="en-US"/>
              </w:rPr>
              <w:lastRenderedPageBreak/>
              <w:t>D</w:t>
            </w:r>
            <w:r w:rsidRPr="00146C23">
              <w:rPr>
                <w:rFonts w:eastAsia="Calibri" w:cs="Times New Roman"/>
                <w:bCs/>
                <w:sz w:val="20"/>
                <w:szCs w:val="20"/>
                <w:shd w:val="clear" w:color="auto" w:fill="FFFFFF"/>
                <w:lang w:eastAsia="en-US"/>
              </w:rPr>
              <w:t>elegované nariadenie Komisie (EÚ) 2024/371 z 23. januára 2024, ktorým sa dopĺňa smernica Európskeho parlamentu a Rady (EÚ) 2020/2184 stanovením harmonizovaných špecifikácií označovania výrobkov prichádzajúcich do kontaktu s vodou určenou na ľudskú spotrebu</w:t>
            </w:r>
            <w:r w:rsidRPr="00146C23">
              <w:rPr>
                <w:rFonts w:eastAsia="Calibri" w:cs="Times New Roman"/>
                <w:sz w:val="20"/>
                <w:szCs w:val="20"/>
                <w:lang w:eastAsia="en-US"/>
              </w:rPr>
              <w:t xml:space="preserve"> (</w:t>
            </w:r>
            <w:r w:rsidRPr="00146C23">
              <w:rPr>
                <w:rFonts w:eastAsia="Calibri" w:cs="Times New Roman"/>
                <w:i/>
                <w:iCs/>
                <w:sz w:val="20"/>
                <w:szCs w:val="20"/>
                <w:shd w:val="clear" w:color="auto" w:fill="FFFFFF"/>
              </w:rPr>
              <w:t>Ú. v. EÚ L, 2024/371, 23.4.2024</w:t>
            </w:r>
            <w:r w:rsidRPr="00146C23">
              <w:rPr>
                <w:rFonts w:eastAsia="Calibri" w:cs="Times New Roman"/>
                <w:i/>
                <w:iCs/>
                <w:sz w:val="20"/>
                <w:szCs w:val="20"/>
                <w:shd w:val="clear" w:color="auto" w:fill="FFFFFF"/>
                <w:lang w:eastAsia="en-US"/>
              </w:rPr>
              <w:t>)</w:t>
            </w:r>
            <w:r w:rsidRPr="00146C23">
              <w:rPr>
                <w:rFonts w:eastAsia="Calibri" w:cs="Times New Roman"/>
                <w:sz w:val="20"/>
                <w:szCs w:val="20"/>
                <w:lang w:eastAsia="en-US"/>
              </w:rPr>
              <w:t xml:space="preserve"> </w:t>
            </w:r>
            <w:r w:rsidRPr="00146C23">
              <w:rPr>
                <w:rFonts w:eastAsia="Calibri" w:cs="Times New Roman"/>
                <w:iCs/>
                <w:sz w:val="20"/>
                <w:szCs w:val="20"/>
                <w:shd w:val="clear" w:color="auto" w:fill="FFFFFF"/>
                <w:lang w:eastAsia="en-US"/>
              </w:rPr>
              <w:t>(ďalej len „delegované nariadenie (EÚ) 2024/371“)</w:t>
            </w:r>
            <w:r w:rsidRPr="00146C23">
              <w:rPr>
                <w:rFonts w:eastAsia="Calibri" w:cs="Times New Roman"/>
                <w:sz w:val="20"/>
                <w:szCs w:val="20"/>
                <w:lang w:eastAsia="en-US"/>
              </w:rPr>
              <w:t xml:space="preserve">.  </w:t>
            </w:r>
          </w:p>
          <w:p w:rsidR="00146C23" w:rsidRPr="00146C23" w:rsidRDefault="00146C23" w:rsidP="00146C23">
            <w:pPr>
              <w:widowControl/>
              <w:numPr>
                <w:ilvl w:val="0"/>
                <w:numId w:val="8"/>
              </w:numPr>
              <w:adjustRightInd/>
              <w:spacing w:before="120"/>
              <w:ind w:left="164" w:hanging="142"/>
              <w:jc w:val="both"/>
              <w:rPr>
                <w:rFonts w:cs="Times New Roman"/>
                <w:b/>
                <w:sz w:val="20"/>
                <w:szCs w:val="20"/>
              </w:rPr>
            </w:pPr>
            <w:r w:rsidRPr="00146C23">
              <w:rPr>
                <w:rFonts w:eastAsia="Calibri" w:cs="Times New Roman"/>
                <w:sz w:val="20"/>
                <w:szCs w:val="20"/>
                <w:lang w:eastAsia="en-US"/>
              </w:rPr>
              <w:t>Vykonávacie rozhodnutie Komisie (EÚ) 2023/1096 z 2. júna 2023, ktorým sa stanovujú pravidlá uplatňovania smernice Európskeho parlamentu a Rady 2013/29/EÚ, pokiaľ ide o zber a aktualizáciu údajov o nehodách spojených s používaním pyrotechnických výrobkov  (</w:t>
            </w:r>
            <w:r w:rsidRPr="00146C23">
              <w:rPr>
                <w:rFonts w:eastAsia="Calibri" w:cs="Times New Roman"/>
                <w:i/>
                <w:iCs/>
                <w:sz w:val="20"/>
                <w:szCs w:val="20"/>
                <w:shd w:val="clear" w:color="auto" w:fill="FFFFFF"/>
                <w:lang w:eastAsia="en-US"/>
              </w:rPr>
              <w:t>Ú. v. EÚ L 146, 6.6.2023)</w:t>
            </w:r>
            <w:r w:rsidRPr="00146C23">
              <w:rPr>
                <w:rFonts w:eastAsia="Calibri" w:cs="Times New Roman"/>
                <w:sz w:val="20"/>
                <w:szCs w:val="20"/>
                <w:lang w:eastAsia="en-US"/>
              </w:rPr>
              <w:t xml:space="preserve"> (ďalej len „vykonávacie rozhodnutie (EÚ) 2023/1096“).</w:t>
            </w:r>
          </w:p>
          <w:p w:rsidR="00146C23" w:rsidRPr="00146C23" w:rsidRDefault="00146C23" w:rsidP="00146C23">
            <w:pPr>
              <w:widowControl/>
              <w:numPr>
                <w:ilvl w:val="0"/>
                <w:numId w:val="8"/>
              </w:numPr>
              <w:adjustRightInd/>
              <w:spacing w:before="120"/>
              <w:ind w:left="164" w:hanging="142"/>
              <w:jc w:val="both"/>
              <w:rPr>
                <w:rFonts w:cs="Times New Roman"/>
                <w:b/>
                <w:sz w:val="20"/>
                <w:szCs w:val="20"/>
              </w:rPr>
            </w:pPr>
            <w:r w:rsidRPr="00146C23">
              <w:rPr>
                <w:rFonts w:eastAsia="Calibri" w:cs="Times New Roman"/>
                <w:sz w:val="20"/>
                <w:szCs w:val="20"/>
                <w:lang w:eastAsia="en-US"/>
              </w:rPr>
              <w:t>Vykonávacie nariadenie Komisie (EÚ) 2024/1922 z 12. júla 2024, ktorým sa stanovuje vzor na zber údajov a informácií uvedených v článku 6 ods. 5 písm. a) až d) nariadenia Európskeho parlamentu a Rady (EÚ) 2023/1230 členskými štátmi (</w:t>
            </w:r>
            <w:r w:rsidRPr="00146C23">
              <w:rPr>
                <w:rFonts w:eastAsia="Calibri" w:cs="Times New Roman"/>
                <w:iCs/>
                <w:sz w:val="20"/>
                <w:szCs w:val="20"/>
                <w:shd w:val="clear" w:color="auto" w:fill="FFFFFF"/>
              </w:rPr>
              <w:t>Ú. v. EÚ L, 2024/1922, 15.7.2024) (ďalej len „vykonávacie nariadenie (EÚ) 2024/1922“).</w:t>
            </w:r>
            <w:r w:rsidRPr="00146C23">
              <w:rPr>
                <w:rFonts w:eastAsia="Calibri" w:cs="Times New Roman"/>
                <w:sz w:val="20"/>
                <w:szCs w:val="20"/>
                <w:lang w:eastAsia="en-US"/>
              </w:rPr>
              <w:t xml:space="preserve">  </w:t>
            </w:r>
          </w:p>
          <w:p w:rsidR="00146C23" w:rsidRPr="00146C23" w:rsidRDefault="00146C23" w:rsidP="00146C23">
            <w:pPr>
              <w:widowControl/>
              <w:adjustRightInd/>
              <w:spacing w:before="120"/>
              <w:jc w:val="both"/>
              <w:rPr>
                <w:rFonts w:cs="Times New Roman"/>
                <w:b/>
                <w:sz w:val="20"/>
                <w:szCs w:val="20"/>
              </w:rPr>
            </w:pPr>
            <w:r w:rsidRPr="00146C23">
              <w:rPr>
                <w:rFonts w:eastAsia="Calibri" w:cs="Times New Roman"/>
                <w:sz w:val="20"/>
                <w:szCs w:val="20"/>
                <w:lang w:eastAsia="en-US"/>
              </w:rPr>
              <w:t>(</w:t>
            </w:r>
            <w:r w:rsidRPr="00146C23">
              <w:rPr>
                <w:rFonts w:eastAsia="Calibri" w:cs="Times New Roman"/>
                <w:iCs/>
                <w:sz w:val="20"/>
                <w:szCs w:val="20"/>
                <w:shd w:val="clear" w:color="auto" w:fill="FFFFFF"/>
                <w:lang w:eastAsia="en-US"/>
              </w:rPr>
              <w:t xml:space="preserve">nariadenie (EÚ) 2023/1542 v platnom znení, nariadenie (EÚ) 2023/1230 v platnom znení, nariadenie (EÚ) 2024/1252 v platnom znení, nariadenie (EÚ) 2024/1689, nariadenie (EÚ) 2024/1781, nariadenie (EÚ) 2024/2516, nariadenie (EÚ) 2024/2847 v platnom znení, delegované nariadenie Komisie (EÚ) 2024/370, delegované nariadenie Komisie (EÚ) 2024/371, </w:t>
            </w:r>
            <w:r w:rsidRPr="00146C23">
              <w:rPr>
                <w:rFonts w:eastAsia="Calibri" w:cs="Times New Roman"/>
                <w:sz w:val="20"/>
                <w:szCs w:val="20"/>
                <w:lang w:eastAsia="en-US"/>
              </w:rPr>
              <w:t xml:space="preserve">vykonávacie rozhodnutie Komisie (EÚ) 2023/1096 a </w:t>
            </w:r>
            <w:r w:rsidRPr="00146C23">
              <w:rPr>
                <w:rFonts w:eastAsia="Calibri" w:cs="Times New Roman"/>
                <w:iCs/>
                <w:sz w:val="20"/>
                <w:szCs w:val="20"/>
                <w:shd w:val="clear" w:color="auto" w:fill="FFFFFF"/>
              </w:rPr>
              <w:t>vykonávacie nariadenie Komisie (EÚ) 2024/1922</w:t>
            </w:r>
            <w:r w:rsidRPr="00146C23">
              <w:rPr>
                <w:rFonts w:eastAsia="Calibri" w:cs="Times New Roman"/>
                <w:iCs/>
                <w:sz w:val="20"/>
                <w:szCs w:val="20"/>
                <w:shd w:val="clear" w:color="auto" w:fill="FFFFFF"/>
                <w:lang w:eastAsia="en-US"/>
              </w:rPr>
              <w:t xml:space="preserve"> </w:t>
            </w:r>
            <w:r w:rsidRPr="00146C23">
              <w:rPr>
                <w:rFonts w:eastAsia="Calibri" w:cs="Times New Roman"/>
                <w:sz w:val="20"/>
                <w:szCs w:val="20"/>
                <w:lang w:eastAsia="en-US"/>
              </w:rPr>
              <w:t>ďalej aj len ako „nariadenia“).</w:t>
            </w:r>
          </w:p>
          <w:p w:rsidR="00146C23" w:rsidRPr="00146C23" w:rsidRDefault="00146C23" w:rsidP="00146C23">
            <w:pPr>
              <w:widowControl/>
              <w:adjustRightInd/>
              <w:rPr>
                <w:rFonts w:cs="Times New Roman"/>
                <w:sz w:val="20"/>
                <w:szCs w:val="20"/>
              </w:rPr>
            </w:pPr>
          </w:p>
        </w:tc>
      </w:tr>
      <w:tr w:rsidR="00146C23" w:rsidRPr="00146C23" w:rsidTr="00146C23">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146C23" w:rsidRPr="00146C23" w:rsidRDefault="00146C23" w:rsidP="00146C23">
            <w:pPr>
              <w:widowControl/>
              <w:adjustRightInd/>
              <w:spacing w:after="200" w:line="276" w:lineRule="auto"/>
              <w:ind w:left="142"/>
              <w:contextualSpacing/>
              <w:rPr>
                <w:rFonts w:eastAsia="Calibri" w:cs="Times New Roman"/>
                <w:b/>
                <w:sz w:val="22"/>
                <w:szCs w:val="22"/>
                <w:lang w:eastAsia="en-US"/>
              </w:rPr>
            </w:pPr>
            <w:r w:rsidRPr="00146C23">
              <w:rPr>
                <w:rFonts w:eastAsia="Calibri" w:cs="Times New Roman"/>
                <w:b/>
                <w:sz w:val="22"/>
                <w:szCs w:val="22"/>
                <w:lang w:eastAsia="en-US"/>
              </w:rPr>
              <w:lastRenderedPageBreak/>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146C23" w:rsidRPr="00146C23" w:rsidRDefault="00146C23" w:rsidP="00146C23">
            <w:pPr>
              <w:widowControl/>
              <w:adjustRightInd/>
              <w:rPr>
                <w:rFonts w:cs="Times New Roman"/>
                <w:i/>
                <w:sz w:val="20"/>
                <w:szCs w:val="20"/>
              </w:rPr>
            </w:pPr>
            <w:r w:rsidRPr="00146C23">
              <w:rPr>
                <w:rFonts w:cs="Times New Roman"/>
                <w:i/>
                <w:sz w:val="20"/>
                <w:szCs w:val="20"/>
              </w:rPr>
              <w:t>Apríl 2025</w:t>
            </w:r>
          </w:p>
        </w:tc>
      </w:tr>
      <w:tr w:rsidR="00146C23" w:rsidRPr="00146C23" w:rsidTr="00146C23">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46C23" w:rsidRPr="00146C23" w:rsidRDefault="00146C23" w:rsidP="00146C23">
            <w:pPr>
              <w:widowControl/>
              <w:adjustRightInd/>
              <w:spacing w:after="200" w:line="276" w:lineRule="auto"/>
              <w:ind w:left="142"/>
              <w:contextualSpacing/>
              <w:rPr>
                <w:rFonts w:eastAsia="Calibri" w:cs="Times New Roman"/>
                <w:b/>
                <w:sz w:val="22"/>
                <w:szCs w:val="22"/>
                <w:lang w:eastAsia="en-US"/>
              </w:rPr>
            </w:pPr>
            <w:r w:rsidRPr="00146C23">
              <w:rPr>
                <w:rFonts w:eastAsia="Calibri" w:cs="Times New Roman"/>
                <w:b/>
                <w:sz w:val="22"/>
                <w:szCs w:val="22"/>
                <w:lang w:eastAsia="en-US"/>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146C23" w:rsidRPr="00146C23" w:rsidRDefault="00146C23" w:rsidP="00146C23">
            <w:pPr>
              <w:widowControl/>
              <w:adjustRightInd/>
              <w:rPr>
                <w:rFonts w:cs="Times New Roman"/>
                <w:i/>
                <w:sz w:val="20"/>
                <w:szCs w:val="20"/>
              </w:rPr>
            </w:pPr>
            <w:r w:rsidRPr="00146C23">
              <w:rPr>
                <w:rFonts w:cs="Times New Roman"/>
                <w:i/>
                <w:sz w:val="20"/>
                <w:szCs w:val="20"/>
              </w:rPr>
              <w:t>Apríl 2025</w:t>
            </w:r>
          </w:p>
        </w:tc>
      </w:tr>
      <w:tr w:rsidR="00146C23" w:rsidRPr="00146C23" w:rsidTr="00146C23">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46C23" w:rsidRPr="00146C23" w:rsidRDefault="00146C23" w:rsidP="00146C23">
            <w:pPr>
              <w:widowControl/>
              <w:adjustRightInd/>
              <w:spacing w:line="276" w:lineRule="auto"/>
              <w:ind w:left="142"/>
              <w:contextualSpacing/>
              <w:rPr>
                <w:rFonts w:ascii="Calibri" w:eastAsia="Calibri" w:hAnsi="Calibri" w:cs="Times New Roman"/>
                <w:b/>
                <w:sz w:val="22"/>
                <w:szCs w:val="22"/>
                <w:lang w:eastAsia="en-US"/>
              </w:rPr>
            </w:pPr>
            <w:r w:rsidRPr="00146C23">
              <w:rPr>
                <w:rFonts w:eastAsia="Calibri" w:cs="Times New Roman"/>
                <w:b/>
                <w:sz w:val="22"/>
                <w:szCs w:val="22"/>
                <w:lang w:eastAsia="en-US"/>
              </w:rPr>
              <w:t>Predpokladaný termín začiatku a ukončenia ZP**</w:t>
            </w:r>
            <w:r w:rsidRPr="00146C23">
              <w:rPr>
                <w:rFonts w:ascii="Calibri" w:eastAsia="Calibri" w:hAnsi="Calibri" w:cs="Times New Roman"/>
                <w:b/>
                <w:sz w:val="22"/>
                <w:szCs w:val="22"/>
                <w:lang w:eastAsia="en-US"/>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146C23" w:rsidRPr="00146C23" w:rsidRDefault="00146C23" w:rsidP="00146C23">
            <w:pPr>
              <w:widowControl/>
              <w:adjustRightInd/>
              <w:rPr>
                <w:rFonts w:cs="Times New Roman"/>
                <w:i/>
                <w:sz w:val="20"/>
                <w:szCs w:val="20"/>
              </w:rPr>
            </w:pPr>
            <w:r w:rsidRPr="00146C23">
              <w:rPr>
                <w:rFonts w:cs="Times New Roman"/>
                <w:i/>
                <w:sz w:val="20"/>
                <w:szCs w:val="20"/>
              </w:rPr>
              <w:t>-</w:t>
            </w:r>
          </w:p>
        </w:tc>
      </w:tr>
      <w:tr w:rsidR="00146C23" w:rsidRPr="00146C23" w:rsidTr="00146C23">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46C23" w:rsidRPr="00146C23" w:rsidRDefault="00146C23" w:rsidP="00146C23">
            <w:pPr>
              <w:widowControl/>
              <w:adjustRightInd/>
              <w:spacing w:after="200" w:line="276" w:lineRule="auto"/>
              <w:ind w:left="142"/>
              <w:contextualSpacing/>
              <w:jc w:val="both"/>
              <w:rPr>
                <w:rFonts w:eastAsia="Calibri" w:cs="Times New Roman"/>
                <w:b/>
                <w:sz w:val="22"/>
                <w:szCs w:val="22"/>
                <w:lang w:eastAsia="en-US"/>
              </w:rPr>
            </w:pPr>
            <w:r w:rsidRPr="00146C23">
              <w:rPr>
                <w:rFonts w:eastAsia="Calibri" w:cs="Times New Roman"/>
                <w:b/>
                <w:sz w:val="22"/>
                <w:szCs w:val="22"/>
                <w:lang w:eastAsia="en-US"/>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146C23" w:rsidRPr="00146C23" w:rsidRDefault="00146C23" w:rsidP="00146C23">
            <w:pPr>
              <w:widowControl/>
              <w:adjustRightInd/>
              <w:rPr>
                <w:rFonts w:cs="Times New Roman"/>
                <w:i/>
                <w:sz w:val="20"/>
                <w:szCs w:val="20"/>
              </w:rPr>
            </w:pPr>
            <w:r w:rsidRPr="00146C23">
              <w:rPr>
                <w:rFonts w:cs="Times New Roman"/>
                <w:i/>
                <w:sz w:val="20"/>
                <w:szCs w:val="20"/>
              </w:rPr>
              <w:t>August 2025</w:t>
            </w:r>
          </w:p>
        </w:tc>
      </w:tr>
      <w:tr w:rsidR="00146C23" w:rsidRPr="00146C23" w:rsidTr="00146C23">
        <w:tc>
          <w:tcPr>
            <w:tcW w:w="9180" w:type="dxa"/>
            <w:gridSpan w:val="11"/>
            <w:tcBorders>
              <w:top w:val="single" w:sz="4" w:space="0" w:color="auto"/>
              <w:left w:val="nil"/>
              <w:bottom w:val="single" w:sz="4" w:space="0" w:color="auto"/>
              <w:right w:val="nil"/>
            </w:tcBorders>
            <w:shd w:val="clear" w:color="auto" w:fill="FFFFFF"/>
          </w:tcPr>
          <w:p w:rsidR="00146C23" w:rsidRPr="00146C23" w:rsidRDefault="00146C23" w:rsidP="00146C23">
            <w:pPr>
              <w:widowControl/>
              <w:adjustRightInd/>
              <w:rPr>
                <w:rFonts w:cs="Times New Roman"/>
                <w:sz w:val="20"/>
                <w:szCs w:val="20"/>
              </w:rPr>
            </w:pPr>
          </w:p>
        </w:tc>
      </w:tr>
      <w:tr w:rsidR="00146C23" w:rsidRPr="00146C23" w:rsidTr="00146C23">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46C23" w:rsidRPr="00146C23" w:rsidRDefault="00146C23" w:rsidP="00146C23">
            <w:pPr>
              <w:widowControl/>
              <w:numPr>
                <w:ilvl w:val="0"/>
                <w:numId w:val="7"/>
              </w:numPr>
              <w:adjustRightInd/>
              <w:ind w:left="426"/>
              <w:contextualSpacing/>
              <w:rPr>
                <w:rFonts w:eastAsia="Calibri" w:cs="Times New Roman"/>
                <w:b/>
                <w:sz w:val="22"/>
                <w:szCs w:val="22"/>
                <w:lang w:eastAsia="en-US"/>
              </w:rPr>
            </w:pPr>
            <w:r w:rsidRPr="00146C23">
              <w:rPr>
                <w:rFonts w:eastAsia="Calibri" w:cs="Times New Roman"/>
                <w:b/>
                <w:sz w:val="22"/>
                <w:szCs w:val="22"/>
                <w:lang w:eastAsia="en-US"/>
              </w:rPr>
              <w:t>Definovanie problému</w:t>
            </w:r>
          </w:p>
        </w:tc>
      </w:tr>
      <w:tr w:rsidR="00146C23" w:rsidRPr="00146C23" w:rsidTr="00146C23">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146C23" w:rsidRPr="00146C23" w:rsidRDefault="00146C23" w:rsidP="00146C23">
            <w:pPr>
              <w:widowControl/>
              <w:adjustRightInd/>
              <w:jc w:val="both"/>
              <w:rPr>
                <w:rFonts w:cs="Times New Roman"/>
                <w:i/>
                <w:sz w:val="20"/>
                <w:szCs w:val="20"/>
              </w:rPr>
            </w:pPr>
            <w:r w:rsidRPr="00146C23">
              <w:rPr>
                <w:rFonts w:cs="Times New Roman"/>
                <w:i/>
                <w:sz w:val="20"/>
                <w:szCs w:val="20"/>
              </w:rPr>
              <w:t>Uveďte základné problémy, ktoré sú dôvodom vypracovania predkladaného  materiálu (dôvody majú presne poukázať na problém, ktorý existuje a je nutné ho predloženým materiálom riešiť).</w:t>
            </w:r>
          </w:p>
          <w:p w:rsidR="00146C23" w:rsidRPr="00146C23" w:rsidRDefault="00146C23" w:rsidP="00146C23">
            <w:pPr>
              <w:keepNext/>
              <w:keepLines/>
              <w:widowControl/>
              <w:adjustRightInd/>
              <w:spacing w:before="120" w:after="120"/>
              <w:jc w:val="both"/>
              <w:rPr>
                <w:rFonts w:eastAsia="Calibri" w:cs="Times New Roman"/>
                <w:sz w:val="20"/>
                <w:szCs w:val="20"/>
                <w:lang w:eastAsia="en-US"/>
              </w:rPr>
            </w:pPr>
            <w:r w:rsidRPr="00146C23">
              <w:rPr>
                <w:rFonts w:eastAsia="Calibri" w:cs="Times New Roman"/>
                <w:sz w:val="20"/>
                <w:szCs w:val="20"/>
                <w:lang w:eastAsia="en-US"/>
              </w:rPr>
              <w:t>Zákon č. 56/2018 Z. z. o posudzovaní zhody výrobku, sprístupňovaní určeného výrobku na trhu a o zmene a doplnení niektorých zákonov v znení neskorších predpisov (ďalej len „zákon č. 56/2018 Z. z.“) je rámcovým zákonom pre sprístupňovanie určených výrobkov na trhu, obsahom ktorého sú základné princípy Nového legislatívneho rámca Európskej únie v podmienkach Slovenskej republiky a prostredníctvom ktorého dochádza k zosúladeniu všetkých spoločných požiadaviek, zavedeniu terminológie pre oblasť posudzovania zhody, autorizácie a notifikácie, pravidiel pre sprístupňovanie určených výrobkov na trhu a postupu orgánov dohľadu pri dohľade nad určenými výrobkami. Vo svojich ustanoveniach má implementované horizontálne ustanovenia európskej legislatívy, ktoré sa týkajú posudzovania zhody, a to postupy posudzovania zhody, označenie CE, EÚ vyhlásenie o zhode, povinnosti hospodárskych subjektov, notifikujúci orgán pre technické predpisy z oblasti posudzovania zhody, ktorým je úrad, autorizáciu, požiadavky na notifikované osoby (orgány posudzovania zhody), trhový dohľad nad určenými výrobkami. Na tento rámcový zákon nadväzujú špecifické predpisy pre konkrétne výrobkové skupiny alebo oblasti, pre ktoré sa zaužíval pojem technické predpisy z oblasti posudzovania zhody. Technickým predpisom z oblasti posudzovania zhody je aj právne záväzný akt Európskej únie, ktorým sa ustanovujú základné požiadavky.</w:t>
            </w:r>
          </w:p>
          <w:p w:rsidR="00146C23" w:rsidRPr="00146C23" w:rsidRDefault="00146C23" w:rsidP="00146C23">
            <w:pPr>
              <w:widowControl/>
              <w:adjustRightInd/>
              <w:spacing w:before="120" w:after="120"/>
              <w:jc w:val="both"/>
              <w:rPr>
                <w:rFonts w:cs="Times New Roman"/>
                <w:sz w:val="20"/>
                <w:szCs w:val="20"/>
              </w:rPr>
            </w:pPr>
            <w:r w:rsidRPr="00146C23">
              <w:rPr>
                <w:rFonts w:cs="Times New Roman"/>
                <w:sz w:val="20"/>
                <w:szCs w:val="20"/>
              </w:rPr>
              <w:t>Dôvodom vypracovania návrhu zákona je:</w:t>
            </w:r>
          </w:p>
          <w:p w:rsidR="00146C23" w:rsidRPr="00146C23" w:rsidRDefault="00146C23" w:rsidP="00146C23">
            <w:pPr>
              <w:widowControl/>
              <w:adjustRightInd/>
              <w:spacing w:before="120" w:after="120"/>
              <w:ind w:left="176" w:hanging="176"/>
              <w:jc w:val="both"/>
              <w:rPr>
                <w:rFonts w:cs="Times New Roman"/>
                <w:sz w:val="20"/>
                <w:szCs w:val="20"/>
              </w:rPr>
            </w:pPr>
            <w:r w:rsidRPr="00146C23">
              <w:rPr>
                <w:rFonts w:cs="Times New Roman"/>
                <w:sz w:val="20"/>
                <w:szCs w:val="20"/>
              </w:rPr>
              <w:t xml:space="preserve">- </w:t>
            </w:r>
            <w:r w:rsidRPr="00146C23">
              <w:rPr>
                <w:rFonts w:eastAsia="Calibri" w:cs="Times New Roman"/>
                <w:sz w:val="20"/>
                <w:szCs w:val="20"/>
                <w:lang w:eastAsia="en-US"/>
              </w:rPr>
              <w:t>zo smernice</w:t>
            </w:r>
            <w:r w:rsidRPr="00146C23">
              <w:rPr>
                <w:rFonts w:eastAsia="Calibri" w:cs="Times New Roman"/>
                <w:bCs/>
                <w:sz w:val="20"/>
                <w:szCs w:val="20"/>
                <w:shd w:val="clear" w:color="auto" w:fill="FFFFFF"/>
                <w:lang w:eastAsia="en-US"/>
              </w:rPr>
              <w:t xml:space="preserve"> (EÚ) 2023/2413 z</w:t>
            </w:r>
            <w:r w:rsidRPr="00146C23">
              <w:rPr>
                <w:rFonts w:eastAsia="Calibri" w:cs="Times New Roman"/>
                <w:sz w:val="20"/>
                <w:szCs w:val="20"/>
                <w:lang w:eastAsia="en-US"/>
              </w:rPr>
              <w:t xml:space="preserve"> čl. 1 odsek 11, ktorým sa vkladá článok 20a, z čl. 20a odsek 3 transpozícia prvého odstavca, ktorým sa ustanovuje povinnosť výrobcov batérií do domácností a priemyselných batérií poskytnúť prístup v reálnom čase k základným informáciám o batériách ako sú informácie o stave batérie, stave nabitia, kapacite a stanovenom výkone za nediskriminačných podmienok v súlade s príslušnými pravidlami na ochranu údajov a bezodplatne majiteľom alebo používateľom batérií a subjektom konajúcim v ich mene, ako sú správcovia energetických systémov budov, poskytovatelia služieb mobility a iní účastníci na trhu s elektrinou, ktorú majú plniť okrem </w:t>
            </w:r>
            <w:r w:rsidRPr="00146C23">
              <w:rPr>
                <w:rFonts w:eastAsia="Calibri" w:cs="Times New Roman"/>
                <w:sz w:val="20"/>
                <w:szCs w:val="20"/>
                <w:shd w:val="clear" w:color="auto" w:fill="FFFFFF"/>
                <w:lang w:eastAsia="en-US"/>
              </w:rPr>
              <w:t>povinností výrobcu podľa nariadenia (EÚ) 2023/1542 v platnom znení</w:t>
            </w:r>
            <w:r w:rsidRPr="00146C23">
              <w:rPr>
                <w:rFonts w:eastAsia="Calibri" w:cs="Times New Roman"/>
                <w:sz w:val="20"/>
                <w:szCs w:val="20"/>
                <w:lang w:eastAsia="en-US"/>
              </w:rPr>
              <w:t>;</w:t>
            </w:r>
          </w:p>
          <w:p w:rsidR="00146C23" w:rsidRPr="00146C23" w:rsidRDefault="00146C23" w:rsidP="00146C23">
            <w:pPr>
              <w:widowControl/>
              <w:adjustRightInd/>
              <w:spacing w:before="120" w:after="120"/>
              <w:ind w:left="176" w:hanging="176"/>
              <w:jc w:val="both"/>
              <w:rPr>
                <w:rFonts w:eastAsia="Calibri" w:cs="Times New Roman"/>
                <w:bCs/>
                <w:sz w:val="20"/>
                <w:szCs w:val="20"/>
                <w:shd w:val="clear" w:color="auto" w:fill="FFFFFF"/>
                <w:lang w:eastAsia="en-US"/>
              </w:rPr>
            </w:pPr>
            <w:r w:rsidRPr="00146C23">
              <w:rPr>
                <w:rFonts w:cs="Times New Roman"/>
                <w:sz w:val="20"/>
                <w:szCs w:val="20"/>
              </w:rPr>
              <w:t xml:space="preserve">- transpozícia </w:t>
            </w:r>
            <w:r w:rsidRPr="00146C23">
              <w:rPr>
                <w:rFonts w:eastAsia="Calibri" w:cs="Times New Roman"/>
                <w:bCs/>
                <w:sz w:val="20"/>
                <w:szCs w:val="20"/>
                <w:lang w:eastAsia="en-US"/>
              </w:rPr>
              <w:t>čl. 4 ods. 1</w:t>
            </w:r>
            <w:r w:rsidRPr="00146C23">
              <w:rPr>
                <w:rFonts w:eastAsia="Calibri" w:cs="Times New Roman"/>
                <w:sz w:val="20"/>
                <w:szCs w:val="20"/>
                <w:lang w:eastAsia="en-US"/>
              </w:rPr>
              <w:t xml:space="preserve"> s</w:t>
            </w:r>
            <w:r w:rsidRPr="00146C23">
              <w:rPr>
                <w:rFonts w:eastAsia="Calibri" w:cs="Times New Roman"/>
                <w:bCs/>
                <w:sz w:val="20"/>
                <w:szCs w:val="20"/>
                <w:lang w:eastAsia="en-US"/>
              </w:rPr>
              <w:t xml:space="preserve">mernice </w:t>
            </w:r>
            <w:r w:rsidRPr="00146C23">
              <w:rPr>
                <w:rFonts w:eastAsia="Calibri" w:cs="Times New Roman"/>
                <w:bCs/>
                <w:sz w:val="20"/>
                <w:szCs w:val="20"/>
                <w:shd w:val="clear" w:color="auto" w:fill="FFFFFF"/>
                <w:lang w:eastAsia="en-US"/>
              </w:rPr>
              <w:t>(EÚ) 2024/2839, ktorým sa mení lehota na podávanie správ v oblasti rádiových zariadení EK na obdobie raz za 5 rokov;</w:t>
            </w:r>
          </w:p>
          <w:p w:rsidR="00146C23" w:rsidRPr="00146C23" w:rsidRDefault="00146C23" w:rsidP="00146C23">
            <w:pPr>
              <w:widowControl/>
              <w:adjustRightInd/>
              <w:spacing w:before="120" w:after="120"/>
              <w:ind w:left="176" w:hanging="176"/>
              <w:jc w:val="both"/>
              <w:rPr>
                <w:rFonts w:cs="Times New Roman"/>
                <w:sz w:val="20"/>
                <w:szCs w:val="20"/>
              </w:rPr>
            </w:pPr>
            <w:r w:rsidRPr="00146C23">
              <w:rPr>
                <w:rFonts w:cs="Times New Roman"/>
                <w:sz w:val="20"/>
                <w:szCs w:val="20"/>
              </w:rPr>
              <w:t>- čiastočná implementácia nariadenia (EÚ) 2023/1542 v platnom znení, nariadenia (EÚ) 2024/1689, nariadenia (EÚ) 2024/1252 v platnom znení, nariadenia (EÚ) 2024/1781</w:t>
            </w:r>
            <w:r w:rsidRPr="00146C23">
              <w:rPr>
                <w:rFonts w:eastAsia="Calibri" w:cs="Times New Roman"/>
                <w:bCs/>
                <w:sz w:val="20"/>
                <w:szCs w:val="20"/>
                <w:shd w:val="clear" w:color="auto" w:fill="FFFFFF"/>
                <w:lang w:eastAsia="en-US"/>
              </w:rPr>
              <w:t xml:space="preserve"> a nariadenia (EÚ) 2024/2847 v platnom znení</w:t>
            </w:r>
            <w:r w:rsidRPr="00146C23">
              <w:rPr>
                <w:rFonts w:cs="Times New Roman"/>
                <w:sz w:val="20"/>
                <w:szCs w:val="20"/>
              </w:rPr>
              <w:t xml:space="preserve"> a implementácia delegovaného nariadenia Komisie (EÚ) 2024/370, delegovaného nariadenia Komisie (EÚ) 2024/371, </w:t>
            </w:r>
            <w:r w:rsidRPr="00146C23">
              <w:rPr>
                <w:rFonts w:eastAsia="Calibri" w:cs="Times New Roman"/>
                <w:iCs/>
                <w:sz w:val="20"/>
                <w:szCs w:val="20"/>
                <w:shd w:val="clear" w:color="auto" w:fill="FFFFFF"/>
                <w:lang w:eastAsia="en-US"/>
              </w:rPr>
              <w:t xml:space="preserve">nariadenia (EÚ) 2024/2516, </w:t>
            </w:r>
            <w:r w:rsidRPr="00146C23">
              <w:rPr>
                <w:rFonts w:cs="Times New Roman"/>
                <w:sz w:val="20"/>
                <w:szCs w:val="20"/>
              </w:rPr>
              <w:t xml:space="preserve">a nariadenia (EÚ) 2023/1230 v platnom znení do právneho poriadku Slovenskej republiky. V súvislosti s touto implementáciou sa upravujú nevyhnutné ustanovenia v zákone č. 56/2018 Z. z., ustanovujú sa orgány dohľadu nad určenými výrobkami pre nariadenie (EÚ) 2023/1542 v platnom znení, delegované nariadenie Komisie (EÚ) 2024/370, delegované nariadenie Komisie (EÚ) 2024/371, nariadenie (EÚ) 2023/1230 v platnom znení, nariadenie (EÚ) 2024/1781, nariadenie </w:t>
            </w:r>
            <w:r w:rsidRPr="00146C23">
              <w:rPr>
                <w:rFonts w:eastAsia="Calibri" w:cs="Times New Roman"/>
                <w:iCs/>
                <w:sz w:val="20"/>
                <w:szCs w:val="20"/>
                <w:shd w:val="clear" w:color="auto" w:fill="FFFFFF"/>
                <w:lang w:eastAsia="en-US"/>
              </w:rPr>
              <w:t>(EÚ) 2024/2847 v platnom znení</w:t>
            </w:r>
            <w:r w:rsidRPr="00146C23">
              <w:rPr>
                <w:rFonts w:cs="Times New Roman"/>
                <w:sz w:val="20"/>
                <w:szCs w:val="20"/>
              </w:rPr>
              <w:t xml:space="preserve"> a ustanovuje sa, že úrad je notifikujúcim orgánom pre nariadenie (EÚ) 2023/1542 v platnom znení, pre nariadenie (EÚ) 2024/1689, pre delegované nariadenie Komisie (EÚ) 2024/370, pre nariadenie (EÚ) 2023/1230 v platnom znení, pre nariadenie (EÚ) 2024/1781 a pre nariadenie (EÚ) 2024/2847 v platnom znení;</w:t>
            </w:r>
          </w:p>
          <w:p w:rsidR="00146C23" w:rsidRPr="00146C23" w:rsidRDefault="00146C23" w:rsidP="00146C23">
            <w:pPr>
              <w:widowControl/>
              <w:adjustRightInd/>
              <w:spacing w:before="240" w:after="240"/>
              <w:ind w:left="176" w:hanging="142"/>
              <w:jc w:val="both"/>
              <w:rPr>
                <w:rFonts w:cs="Times New Roman"/>
                <w:sz w:val="20"/>
                <w:szCs w:val="20"/>
              </w:rPr>
            </w:pPr>
            <w:r w:rsidRPr="00146C23">
              <w:rPr>
                <w:rFonts w:cs="Times New Roman"/>
                <w:sz w:val="20"/>
                <w:szCs w:val="20"/>
              </w:rPr>
              <w:t xml:space="preserve">- </w:t>
            </w:r>
            <w:r w:rsidRPr="00146C23">
              <w:rPr>
                <w:rFonts w:eastAsia="Calibri" w:cs="Times New Roman"/>
                <w:sz w:val="20"/>
                <w:szCs w:val="20"/>
                <w:lang w:eastAsia="en-US"/>
              </w:rPr>
              <w:t>doplnenie nových povinností pre úrad podávať správy Európskej komisii v súvislosti s vykonávacím rozhodnutím Komisie (EÚ) 2023/1096. Od 01.01.2024 Slovenskej republike vznikla povinnosť zbierať za každý kalendárny rok údaje o nehodách, ku ktorým došlo na jej území a ktoré boli spojené s používaním pyrotechnických výrobkov kategórie F1 až F4 a o údajoch a informáciách uvedených v čl. 6 ods. 5 písm. a) až d) nariadenia EÚ 2023/1230 v platnom znení, pričom vykonávacím nariadením Komisie (EÚ) 2024/1922 bol stanovený vzor, ktorý sa má používať na zber údajov; údaje sa poskytnú do 20.07.2025 a potom každých 5 rokov;</w:t>
            </w:r>
            <w:r w:rsidRPr="00146C23">
              <w:rPr>
                <w:rFonts w:cs="Times New Roman"/>
                <w:sz w:val="20"/>
                <w:szCs w:val="20"/>
              </w:rPr>
              <w:t xml:space="preserve"> </w:t>
            </w:r>
          </w:p>
          <w:p w:rsidR="00146C23" w:rsidRPr="00146C23" w:rsidRDefault="00146C23" w:rsidP="00146C23">
            <w:pPr>
              <w:widowControl/>
              <w:numPr>
                <w:ilvl w:val="0"/>
                <w:numId w:val="11"/>
              </w:numPr>
              <w:adjustRightInd/>
              <w:spacing w:before="240" w:after="240"/>
              <w:ind w:left="176" w:hanging="176"/>
              <w:contextualSpacing/>
              <w:jc w:val="both"/>
              <w:rPr>
                <w:rFonts w:eastAsia="Calibri" w:cs="Times New Roman"/>
                <w:sz w:val="20"/>
                <w:szCs w:val="20"/>
                <w:lang w:eastAsia="en-US"/>
              </w:rPr>
            </w:pPr>
            <w:r w:rsidRPr="00146C23">
              <w:rPr>
                <w:rFonts w:eastAsia="Calibri" w:cs="Times New Roman"/>
                <w:sz w:val="20"/>
                <w:szCs w:val="20"/>
              </w:rPr>
              <w:t xml:space="preserve">úprava ustanovení zákona č. 56/2018 Z. z. tak, aby odrážali aktuálny stav a zmeny ktoré vyplynuli z aplikačnej praxe, najmä v časti týkajúcej sa orgánov dohľadu nad určenými výrobkami a výkonu dohľadu nad určenými výrobkami a </w:t>
            </w:r>
            <w:r w:rsidRPr="00146C23">
              <w:rPr>
                <w:rFonts w:eastAsia="Calibri" w:cs="Times New Roman"/>
                <w:color w:val="000000"/>
                <w:sz w:val="20"/>
                <w:szCs w:val="20"/>
                <w:lang w:eastAsia="en-US"/>
              </w:rPr>
              <w:t>terminologicky sa spresňujú niektoré doterajšie ustanovenia;</w:t>
            </w:r>
          </w:p>
          <w:p w:rsidR="00146C23" w:rsidRPr="00146C23" w:rsidRDefault="00146C23" w:rsidP="00146C23">
            <w:pPr>
              <w:widowControl/>
              <w:adjustRightInd/>
              <w:spacing w:before="120" w:after="120"/>
              <w:jc w:val="both"/>
              <w:rPr>
                <w:rFonts w:eastAsia="Calibri" w:cs="Times New Roman"/>
                <w:sz w:val="20"/>
                <w:szCs w:val="20"/>
              </w:rPr>
            </w:pPr>
            <w:r w:rsidRPr="00146C23">
              <w:rPr>
                <w:rFonts w:eastAsia="Calibri" w:cs="Times New Roman"/>
                <w:bCs/>
                <w:sz w:val="20"/>
                <w:szCs w:val="20"/>
                <w:shd w:val="clear" w:color="auto" w:fill="FFFFFF"/>
                <w:lang w:eastAsia="en-US"/>
              </w:rPr>
              <w:t xml:space="preserve">-  </w:t>
            </w:r>
            <w:r w:rsidRPr="00146C23">
              <w:rPr>
                <w:rFonts w:cs="Times New Roman"/>
                <w:sz w:val="20"/>
                <w:szCs w:val="20"/>
              </w:rPr>
              <w:t xml:space="preserve">úprava nevyhnutných ustanovení v súvisiacich právnych predpisoch; </w:t>
            </w:r>
            <w:r w:rsidRPr="00146C23">
              <w:rPr>
                <w:rFonts w:eastAsia="Calibri" w:cs="Times New Roman"/>
                <w:sz w:val="20"/>
                <w:szCs w:val="20"/>
              </w:rPr>
              <w:t>návrh zákona mení:</w:t>
            </w:r>
          </w:p>
          <w:p w:rsidR="00146C23" w:rsidRPr="00146C23" w:rsidRDefault="00146C23" w:rsidP="00146C23">
            <w:pPr>
              <w:widowControl/>
              <w:numPr>
                <w:ilvl w:val="0"/>
                <w:numId w:val="10"/>
              </w:numPr>
              <w:adjustRightInd/>
              <w:spacing w:before="120" w:after="120"/>
              <w:ind w:left="459" w:hanging="283"/>
              <w:contextualSpacing/>
              <w:jc w:val="both"/>
              <w:rPr>
                <w:rFonts w:eastAsia="Calibri" w:cs="Times New Roman"/>
                <w:sz w:val="20"/>
                <w:szCs w:val="20"/>
                <w:lang w:eastAsia="en-US"/>
              </w:rPr>
            </w:pPr>
            <w:r w:rsidRPr="00146C23">
              <w:rPr>
                <w:rFonts w:eastAsia="Calibri" w:cs="Times New Roman"/>
                <w:sz w:val="20"/>
                <w:szCs w:val="20"/>
              </w:rPr>
              <w:t>z</w:t>
            </w:r>
            <w:r w:rsidRPr="00146C23">
              <w:rPr>
                <w:rFonts w:eastAsia="Calibri" w:cs="Times New Roman"/>
                <w:sz w:val="20"/>
                <w:szCs w:val="20"/>
                <w:lang w:eastAsia="en-US"/>
              </w:rPr>
              <w:t xml:space="preserve">ákon Národnej rady Slovenskej republiky č. 145/1995 Z. z. o správnych poplatkoch v znení neskorších predpisov, </w:t>
            </w:r>
            <w:r w:rsidRPr="00146C23">
              <w:rPr>
                <w:rFonts w:cs="Times New Roman"/>
                <w:sz w:val="20"/>
                <w:szCs w:val="20"/>
              </w:rPr>
              <w:t xml:space="preserve"> </w:t>
            </w:r>
            <w:r w:rsidRPr="00146C23">
              <w:rPr>
                <w:rFonts w:eastAsia="Calibri" w:cs="Times New Roman"/>
                <w:sz w:val="20"/>
                <w:szCs w:val="20"/>
                <w:lang w:eastAsia="en-US"/>
              </w:rPr>
              <w:t>zavedenie nového správneho poplatku pre prvostupňové overenie výstupných dokumentov posudzovania zhody, ktoré doteraz úrad vykonával bezodplatne.</w:t>
            </w:r>
            <w:r w:rsidRPr="00146C23">
              <w:rPr>
                <w:rFonts w:eastAsia="Calibri" w:cs="Times New Roman"/>
                <w:sz w:val="20"/>
                <w:szCs w:val="20"/>
              </w:rPr>
              <w:t xml:space="preserve"> </w:t>
            </w:r>
          </w:p>
          <w:p w:rsidR="00146C23" w:rsidRPr="00146C23" w:rsidRDefault="00146C23" w:rsidP="00146C23">
            <w:pPr>
              <w:widowControl/>
              <w:numPr>
                <w:ilvl w:val="0"/>
                <w:numId w:val="10"/>
              </w:numPr>
              <w:adjustRightInd/>
              <w:spacing w:before="120" w:after="120"/>
              <w:ind w:left="459" w:hanging="283"/>
              <w:contextualSpacing/>
              <w:jc w:val="both"/>
              <w:rPr>
                <w:rFonts w:eastAsia="Calibri" w:cs="Times New Roman"/>
                <w:sz w:val="20"/>
                <w:szCs w:val="20"/>
                <w:lang w:eastAsia="en-US"/>
              </w:rPr>
            </w:pPr>
            <w:r w:rsidRPr="00146C23">
              <w:rPr>
                <w:rFonts w:eastAsia="Calibri" w:cs="Times New Roman"/>
                <w:sz w:val="20"/>
                <w:szCs w:val="20"/>
                <w:lang w:eastAsia="en-US"/>
              </w:rPr>
              <w:t xml:space="preserve">zákon č. 125/2006 Z. z. o inšpekcii práce a o zmene a doplnení zákona č. 85/2005 Z. z. o nelegálnej práci a nelegálnom zamestnávaní a o zmene a doplnení niektorých zákonov v znení neskorších predpisov, ktorým sa upravuje časť výkonu dohľadu nad určenými výrobkami, </w:t>
            </w:r>
          </w:p>
          <w:p w:rsidR="00146C23" w:rsidRPr="00146C23" w:rsidRDefault="00146C23" w:rsidP="00146C23">
            <w:pPr>
              <w:widowControl/>
              <w:numPr>
                <w:ilvl w:val="0"/>
                <w:numId w:val="10"/>
              </w:numPr>
              <w:adjustRightInd/>
              <w:spacing w:before="120" w:after="120"/>
              <w:ind w:left="459" w:hanging="283"/>
              <w:contextualSpacing/>
              <w:jc w:val="both"/>
              <w:rPr>
                <w:rFonts w:eastAsia="Calibri" w:cs="Times New Roman"/>
                <w:sz w:val="20"/>
                <w:szCs w:val="20"/>
                <w:lang w:eastAsia="en-US"/>
              </w:rPr>
            </w:pPr>
            <w:r w:rsidRPr="00146C23">
              <w:rPr>
                <w:rFonts w:eastAsia="Calibri" w:cs="Times New Roman"/>
                <w:sz w:val="20"/>
                <w:szCs w:val="20"/>
                <w:lang w:eastAsia="en-US"/>
              </w:rPr>
              <w:t xml:space="preserve"> zákon č. 355/2007 Z. z. o ochrane, podpore a rozvoji verejného zdravia a o zmene a doplnení niektorých zákonov v znení neskorších predpisov najmä z dôvodu implementácie delegovaného nariadenia Komisie 2024/370 a delegovaného nariadenia Komisie 2024/371, na základe ktorej sa </w:t>
            </w:r>
            <w:r w:rsidRPr="00146C23">
              <w:rPr>
                <w:rFonts w:eastAsia="Calibri" w:cs="Times New Roman"/>
                <w:sz w:val="20"/>
                <w:szCs w:val="20"/>
                <w:lang w:eastAsia="cs-CZ"/>
              </w:rPr>
              <w:t>ustanovuje orgán dohľadu nad určeným výrobkom,</w:t>
            </w:r>
          </w:p>
          <w:p w:rsidR="00146C23" w:rsidRPr="00146C23" w:rsidRDefault="00146C23" w:rsidP="00146C23">
            <w:pPr>
              <w:widowControl/>
              <w:numPr>
                <w:ilvl w:val="0"/>
                <w:numId w:val="10"/>
              </w:numPr>
              <w:adjustRightInd/>
              <w:spacing w:before="120" w:after="120"/>
              <w:ind w:left="459" w:hanging="283"/>
              <w:contextualSpacing/>
              <w:jc w:val="both"/>
              <w:rPr>
                <w:rFonts w:eastAsia="Calibri" w:cs="Times New Roman"/>
                <w:sz w:val="20"/>
                <w:szCs w:val="20"/>
                <w:lang w:eastAsia="en-US"/>
              </w:rPr>
            </w:pPr>
            <w:r w:rsidRPr="00146C23">
              <w:rPr>
                <w:rFonts w:eastAsia="Calibri" w:cs="Times New Roman"/>
                <w:sz w:val="20"/>
                <w:szCs w:val="20"/>
                <w:lang w:eastAsia="en-US"/>
              </w:rPr>
              <w:t xml:space="preserve">zákon </w:t>
            </w:r>
            <w:r w:rsidRPr="00146C23">
              <w:rPr>
                <w:rFonts w:eastAsia="Calibri" w:cs="Times New Roman"/>
                <w:sz w:val="20"/>
                <w:szCs w:val="20"/>
                <w:lang w:eastAsia="cs-CZ"/>
              </w:rPr>
              <w:t xml:space="preserve">č. 346/2013 Z. z. o obmedzení používania určitých nebezpečných látok v elektrických zariadeniach a elektronických zariadeniach a ktorým sa mení zákon č. 223/2001 Z. z. o odpadoch a o zmene a doplnení niektorých zákonov v znení neskorších predpisov </w:t>
            </w:r>
            <w:r w:rsidRPr="00146C23">
              <w:rPr>
                <w:rFonts w:eastAsia="Calibri" w:cs="Times New Roman"/>
                <w:sz w:val="20"/>
                <w:szCs w:val="20"/>
                <w:lang w:eastAsia="en-US"/>
              </w:rPr>
              <w:t>sa dopĺňa, aby bolo jednoznačne zrejmé, že ide o technický predpis z oblasti posudzovania zhody a aktualizujú sa poznámky pod čiarou;</w:t>
            </w:r>
          </w:p>
          <w:p w:rsidR="00146C23" w:rsidRPr="00146C23" w:rsidRDefault="00146C23" w:rsidP="00146C23">
            <w:pPr>
              <w:widowControl/>
              <w:numPr>
                <w:ilvl w:val="0"/>
                <w:numId w:val="10"/>
              </w:numPr>
              <w:adjustRightInd/>
              <w:spacing w:before="120" w:after="120"/>
              <w:ind w:left="459" w:hanging="283"/>
              <w:contextualSpacing/>
              <w:jc w:val="both"/>
              <w:rPr>
                <w:rFonts w:eastAsia="Calibri" w:cs="Times New Roman"/>
                <w:sz w:val="20"/>
                <w:szCs w:val="20"/>
                <w:lang w:eastAsia="en-US"/>
              </w:rPr>
            </w:pPr>
            <w:r w:rsidRPr="00146C23">
              <w:rPr>
                <w:rFonts w:eastAsia="Calibri" w:cs="Times New Roman"/>
                <w:sz w:val="20"/>
                <w:szCs w:val="20"/>
                <w:lang w:eastAsia="cs-CZ"/>
              </w:rPr>
              <w:t>zákon č. 69/2018 Z. z. o kybernetickej bezpečnosti a o zmene a doplnení niektorých zákonov v znení neskorších predpisov v súvislosti s čiastočnou implementáciou nariadenia (EÚ) 2024/2847 v platnom znení, ustanovuje sa orgán dohľadu nad trhom podľa čl. 52 ods. 2 nariadenia (EÚ) 2024/2847 v platnom znení pre produkt s digitálnymi prvkami v nadväznosti na jeho doplnenie do § 26 písm. j) návrhu zákona ako orgánu dohľadu nad určeným výrobkom podľa čl. 2 ods. 1 nariadenia (EÚ) 2024/2847 v platnom znení, ktorým je produkt s digitálnymi prvkami;</w:t>
            </w:r>
          </w:p>
          <w:p w:rsidR="00146C23" w:rsidRPr="00146C23" w:rsidRDefault="00146C23" w:rsidP="00146C23">
            <w:pPr>
              <w:widowControl/>
              <w:numPr>
                <w:ilvl w:val="0"/>
                <w:numId w:val="10"/>
              </w:numPr>
              <w:adjustRightInd/>
              <w:spacing w:before="120" w:after="120"/>
              <w:ind w:left="459" w:hanging="283"/>
              <w:contextualSpacing/>
              <w:jc w:val="both"/>
              <w:rPr>
                <w:rFonts w:eastAsia="Calibri" w:cs="Times New Roman"/>
                <w:sz w:val="20"/>
                <w:szCs w:val="20"/>
                <w:lang w:eastAsia="en-US"/>
              </w:rPr>
            </w:pPr>
            <w:r w:rsidRPr="00146C23">
              <w:rPr>
                <w:rFonts w:eastAsia="Calibri" w:cs="Times New Roman"/>
                <w:sz w:val="20"/>
                <w:szCs w:val="20"/>
                <w:lang w:eastAsia="cs-CZ"/>
              </w:rPr>
              <w:t xml:space="preserve"> </w:t>
            </w:r>
            <w:r w:rsidRPr="00146C23">
              <w:rPr>
                <w:rFonts w:eastAsia="Calibri" w:cs="Times New Roman"/>
                <w:sz w:val="20"/>
                <w:szCs w:val="20"/>
                <w:lang w:eastAsia="en-US"/>
              </w:rPr>
              <w:t xml:space="preserve">zákon č. 128/2002 Z. z. o štátnej kontrole vnútorného trhu vo veciach ochrany spotrebiteľa a o zmene a doplnení niektorých zákonov v znení neskorších predpisov, </w:t>
            </w:r>
            <w:r w:rsidRPr="00146C23">
              <w:rPr>
                <w:rFonts w:eastAsia="Calibri" w:cs="Times New Roman"/>
                <w:sz w:val="20"/>
                <w:szCs w:val="20"/>
                <w:lang w:eastAsia="cs-CZ"/>
              </w:rPr>
              <w:t>zákon č. 351/2022 Z. z. o prístupnosti výrobkov a služieb pre osoby so zdravotným postihnutím a o zmene a doplnení niektorých zákonov a zákon č. 435/2000 Z. z. o námornej plavbe v znení neskorších predpisov úpravou poznámky pod čiarou.</w:t>
            </w:r>
          </w:p>
          <w:p w:rsidR="00146C23" w:rsidRPr="00146C23" w:rsidRDefault="00146C23" w:rsidP="00146C23">
            <w:pPr>
              <w:widowControl/>
              <w:adjustRightInd/>
              <w:ind w:left="720"/>
              <w:contextualSpacing/>
              <w:rPr>
                <w:rFonts w:ascii="Calibri" w:hAnsi="Calibri" w:cs="Times New Roman"/>
                <w:sz w:val="22"/>
                <w:szCs w:val="22"/>
              </w:rPr>
            </w:pPr>
          </w:p>
        </w:tc>
      </w:tr>
      <w:tr w:rsidR="00146C23" w:rsidRPr="00146C23" w:rsidTr="00146C23">
        <w:tc>
          <w:tcPr>
            <w:tcW w:w="9180" w:type="dxa"/>
            <w:gridSpan w:val="11"/>
            <w:tcBorders>
              <w:top w:val="single" w:sz="4" w:space="0" w:color="auto"/>
              <w:left w:val="single" w:sz="4" w:space="0" w:color="auto"/>
              <w:bottom w:val="nil"/>
              <w:right w:val="single" w:sz="4" w:space="0" w:color="auto"/>
            </w:tcBorders>
            <w:shd w:val="clear" w:color="auto" w:fill="E2E2E2"/>
          </w:tcPr>
          <w:p w:rsidR="00146C23" w:rsidRPr="00146C23" w:rsidRDefault="00146C23" w:rsidP="00146C23">
            <w:pPr>
              <w:widowControl/>
              <w:numPr>
                <w:ilvl w:val="0"/>
                <w:numId w:val="7"/>
              </w:numPr>
              <w:adjustRightInd/>
              <w:ind w:left="426"/>
              <w:contextualSpacing/>
              <w:rPr>
                <w:rFonts w:eastAsia="Calibri" w:cs="Times New Roman"/>
                <w:b/>
                <w:sz w:val="22"/>
                <w:szCs w:val="22"/>
                <w:lang w:eastAsia="en-US"/>
              </w:rPr>
            </w:pPr>
            <w:r w:rsidRPr="00146C23">
              <w:rPr>
                <w:rFonts w:eastAsia="Calibri" w:cs="Times New Roman"/>
                <w:b/>
                <w:sz w:val="22"/>
                <w:szCs w:val="22"/>
                <w:lang w:eastAsia="en-US"/>
              </w:rPr>
              <w:t>Ciele a výsledný stav</w:t>
            </w:r>
          </w:p>
        </w:tc>
      </w:tr>
      <w:tr w:rsidR="00146C23" w:rsidRPr="00146C23" w:rsidTr="00146C23">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146C23" w:rsidRPr="00146C23" w:rsidRDefault="00146C23" w:rsidP="00146C23">
            <w:pPr>
              <w:spacing w:after="100" w:afterAutospacing="1"/>
              <w:jc w:val="both"/>
              <w:rPr>
                <w:rFonts w:cs="Times New Roman"/>
                <w:color w:val="808080"/>
                <w:sz w:val="20"/>
                <w:szCs w:val="20"/>
              </w:rPr>
            </w:pPr>
            <w:r w:rsidRPr="00146C23">
              <w:rPr>
                <w:rFonts w:eastAsia="Calibri" w:cs="Times New Roman"/>
                <w:sz w:val="20"/>
                <w:szCs w:val="20"/>
              </w:rPr>
              <w:t>Zo smernice</w:t>
            </w:r>
            <w:r w:rsidRPr="00146C23">
              <w:rPr>
                <w:rFonts w:cs="Times New Roman"/>
                <w:bCs/>
                <w:sz w:val="20"/>
                <w:szCs w:val="20"/>
                <w:shd w:val="clear" w:color="auto" w:fill="FFFFFF"/>
              </w:rPr>
              <w:t xml:space="preserve"> (EÚ) 2023/2413 z</w:t>
            </w:r>
            <w:r w:rsidRPr="00146C23">
              <w:rPr>
                <w:rFonts w:eastAsia="Calibri" w:cs="Times New Roman"/>
                <w:sz w:val="20"/>
                <w:szCs w:val="20"/>
              </w:rPr>
              <w:t xml:space="preserve"> čl. 1 odsek 11, ktorým sa vkladá článok 20a, z čl. 20a odsek 3 transpozíciou prvého odstavca, </w:t>
            </w:r>
            <w:r w:rsidRPr="00146C23">
              <w:rPr>
                <w:rFonts w:cs="Times New Roman"/>
                <w:sz w:val="20"/>
                <w:szCs w:val="20"/>
              </w:rPr>
              <w:t xml:space="preserve">transponovaním čl. 4 ods. 1 smernice (EÚ) 2024/2839 a implementáciou nariadení sa zabezpečí súlad vnútroštátneho právneho poriadku Slovenskej republiky s právom Európskej únie. Zároveň sa plní úloha č. B.1 z uznesenia vlády Slovenskej republiky č. 11 z 15. januára 2025 k návrhu Plánu legislatívnych úloh vlády Slovenskej republiky na rok 2025, </w:t>
            </w:r>
            <w:r w:rsidRPr="00146C23">
              <w:rPr>
                <w:rFonts w:eastAsia="Calibri" w:cs="Times New Roman"/>
                <w:sz w:val="20"/>
                <w:szCs w:val="20"/>
              </w:rPr>
              <w:t xml:space="preserve">úloha č. B.24 z uznesenia vlády Slovenskej republiky č. 196 zo 7. apríla 2025 k návrhu na určenie gestorských ústredných orgánov štátnej správy a niektorých orgánov verejnej moci za prebratie a aplikáciu smerníc, úloha č. B.1 z uznesenia vlády Slovenskej republiky č. </w:t>
            </w:r>
            <w:r w:rsidRPr="00146C23">
              <w:rPr>
                <w:rFonts w:cs="Times New Roman"/>
                <w:sz w:val="20"/>
                <w:szCs w:val="20"/>
              </w:rPr>
              <w:t xml:space="preserve">25 </w:t>
            </w:r>
            <w:r w:rsidRPr="00146C23">
              <w:rPr>
                <w:rFonts w:eastAsia="Calibri" w:cs="Times New Roman"/>
                <w:sz w:val="20"/>
                <w:szCs w:val="20"/>
              </w:rPr>
              <w:t>z 18. januára 2024</w:t>
            </w:r>
            <w:r w:rsidRPr="00146C23">
              <w:rPr>
                <w:rFonts w:cs="Times New Roman"/>
                <w:sz w:val="20"/>
                <w:szCs w:val="20"/>
              </w:rPr>
              <w:t xml:space="preserve"> prijať opatrenia na vnútroštátnej úrovni k nariadeniam Európskej únie a rozhodnutiam Európskej únie podľa gescie určenej v prílohe I a II predloženého materiálu, </w:t>
            </w:r>
            <w:r w:rsidRPr="00146C23">
              <w:rPr>
                <w:rFonts w:eastAsia="Calibri" w:cs="Times New Roman"/>
                <w:sz w:val="20"/>
                <w:szCs w:val="20"/>
              </w:rPr>
              <w:t xml:space="preserve">úloha č. B.1 uznesenia vlády Slovenskej republiky č. 427 z 10. júla 2024 </w:t>
            </w:r>
            <w:r w:rsidRPr="00146C23">
              <w:rPr>
                <w:rFonts w:cs="Times New Roman"/>
                <w:sz w:val="20"/>
                <w:szCs w:val="20"/>
              </w:rPr>
              <w:t xml:space="preserve"> prijať opatrenia na vnútroštátnej úrovni k nariadeniam Európskej únie a rozhodnutiam Európskej únie podľa gescie určenej v prílohe I a II predloženého materiálu,</w:t>
            </w:r>
            <w:r w:rsidRPr="00146C23">
              <w:rPr>
                <w:rFonts w:eastAsia="Calibri" w:cs="Times New Roman"/>
                <w:sz w:val="20"/>
                <w:szCs w:val="20"/>
              </w:rPr>
              <w:t xml:space="preserve"> úloha č. B.1 z uznesenia vlády Slovenskej republiky č. 29 z 22. januára 2025</w:t>
            </w:r>
            <w:r w:rsidRPr="00146C23">
              <w:rPr>
                <w:rFonts w:cs="Times New Roman"/>
                <w:sz w:val="20"/>
                <w:szCs w:val="20"/>
              </w:rPr>
              <w:t xml:space="preserve"> prijať opatrenia na vnútroštátnej úrovni k nariadeniam Európskej únie a rozhodnutiam Európskej únie podľa gescie určenej v prílohe I a II predloženého materiálu</w:t>
            </w:r>
            <w:r w:rsidRPr="00146C23">
              <w:rPr>
                <w:rFonts w:eastAsia="Calibri" w:cs="Times New Roman"/>
                <w:sz w:val="20"/>
                <w:szCs w:val="20"/>
              </w:rPr>
              <w:t xml:space="preserve"> a potreby zapracovania požiadaviek aplikačnej praxe, úloha č. B.1 uznesenia vlády Slovenskej republiky </w:t>
            </w:r>
            <w:r w:rsidRPr="00146C23">
              <w:rPr>
                <w:rFonts w:cs="Times New Roman"/>
                <w:sz w:val="20"/>
                <w:szCs w:val="20"/>
              </w:rPr>
              <w:t xml:space="preserve">č. 346 z 2. júla 2025 prijať opatrenia na vnútroštátnej úrovni k nariadeniam Európskej únie a rozhodnutiam Európskej únie podľa gescie určenej v prílohe I a II predloženého materiálu. Úpravou nevyhnutných ustanovení v súvisiacich právnych predpisoch sa zabezpečí ich súlad  so zákonom č. 56/2018 Z. z. </w:t>
            </w:r>
          </w:p>
        </w:tc>
      </w:tr>
      <w:tr w:rsidR="00146C23" w:rsidRPr="00146C23" w:rsidTr="00146C23">
        <w:tc>
          <w:tcPr>
            <w:tcW w:w="9180" w:type="dxa"/>
            <w:gridSpan w:val="11"/>
            <w:tcBorders>
              <w:top w:val="single" w:sz="4" w:space="0" w:color="auto"/>
              <w:left w:val="single" w:sz="4" w:space="0" w:color="auto"/>
              <w:bottom w:val="nil"/>
              <w:right w:val="single" w:sz="4" w:space="0" w:color="auto"/>
            </w:tcBorders>
            <w:shd w:val="clear" w:color="auto" w:fill="E2E2E2"/>
          </w:tcPr>
          <w:p w:rsidR="00146C23" w:rsidRPr="00146C23" w:rsidRDefault="00146C23" w:rsidP="00146C23">
            <w:pPr>
              <w:widowControl/>
              <w:numPr>
                <w:ilvl w:val="0"/>
                <w:numId w:val="7"/>
              </w:numPr>
              <w:adjustRightInd/>
              <w:ind w:left="426"/>
              <w:contextualSpacing/>
              <w:rPr>
                <w:rFonts w:eastAsia="Calibri" w:cs="Times New Roman"/>
                <w:b/>
                <w:sz w:val="22"/>
                <w:szCs w:val="22"/>
                <w:lang w:eastAsia="en-US"/>
              </w:rPr>
            </w:pPr>
            <w:r w:rsidRPr="00146C23">
              <w:rPr>
                <w:rFonts w:eastAsia="Calibri" w:cs="Times New Roman"/>
                <w:b/>
                <w:sz w:val="22"/>
                <w:szCs w:val="22"/>
                <w:lang w:eastAsia="en-US"/>
              </w:rPr>
              <w:t>Dotknuté subjekty</w:t>
            </w:r>
          </w:p>
        </w:tc>
      </w:tr>
      <w:tr w:rsidR="00146C23" w:rsidRPr="00146C23" w:rsidTr="00146C23">
        <w:tc>
          <w:tcPr>
            <w:tcW w:w="9180" w:type="dxa"/>
            <w:gridSpan w:val="11"/>
            <w:tcBorders>
              <w:top w:val="nil"/>
              <w:left w:val="single" w:sz="4" w:space="0" w:color="auto"/>
              <w:bottom w:val="single" w:sz="4" w:space="0" w:color="auto"/>
              <w:right w:val="single" w:sz="4" w:space="0" w:color="auto"/>
            </w:tcBorders>
            <w:shd w:val="clear" w:color="auto" w:fill="FFFFFF"/>
          </w:tcPr>
          <w:p w:rsidR="00146C23" w:rsidRPr="00146C23" w:rsidRDefault="00146C23" w:rsidP="00146C23">
            <w:pPr>
              <w:widowControl/>
              <w:adjustRightInd/>
              <w:rPr>
                <w:rFonts w:cs="Times New Roman"/>
                <w:i/>
                <w:sz w:val="20"/>
                <w:szCs w:val="20"/>
              </w:rPr>
            </w:pPr>
            <w:r w:rsidRPr="00146C23">
              <w:rPr>
                <w:rFonts w:cs="Times New Roman"/>
                <w:i/>
                <w:sz w:val="20"/>
                <w:szCs w:val="20"/>
              </w:rPr>
              <w:t xml:space="preserve">Uveďte subjekty, ktorých sa zmeny predkladaného materiálu dotknú priamo aj nepriamo: </w:t>
            </w:r>
          </w:p>
          <w:p w:rsidR="00146C23" w:rsidRPr="00146C23" w:rsidRDefault="00146C23" w:rsidP="00146C23">
            <w:pPr>
              <w:widowControl/>
              <w:numPr>
                <w:ilvl w:val="0"/>
                <w:numId w:val="9"/>
              </w:numPr>
              <w:adjustRightInd/>
              <w:ind w:left="318" w:hanging="284"/>
              <w:contextualSpacing/>
              <w:rPr>
                <w:rFonts w:cs="Times New Roman"/>
                <w:sz w:val="20"/>
                <w:szCs w:val="20"/>
              </w:rPr>
            </w:pPr>
            <w:r w:rsidRPr="00146C23">
              <w:rPr>
                <w:rFonts w:cs="Times New Roman"/>
                <w:sz w:val="20"/>
                <w:szCs w:val="20"/>
              </w:rPr>
              <w:t>autorizované/notifikované osoby,</w:t>
            </w:r>
          </w:p>
          <w:p w:rsidR="00146C23" w:rsidRPr="00146C23" w:rsidRDefault="00146C23" w:rsidP="00146C23">
            <w:pPr>
              <w:widowControl/>
              <w:numPr>
                <w:ilvl w:val="0"/>
                <w:numId w:val="9"/>
              </w:numPr>
              <w:adjustRightInd/>
              <w:ind w:left="318" w:hanging="284"/>
              <w:contextualSpacing/>
              <w:rPr>
                <w:rFonts w:cs="Times New Roman"/>
                <w:sz w:val="20"/>
                <w:szCs w:val="20"/>
              </w:rPr>
            </w:pPr>
            <w:r w:rsidRPr="00146C23">
              <w:rPr>
                <w:rFonts w:cs="Times New Roman"/>
                <w:sz w:val="20"/>
                <w:szCs w:val="20"/>
              </w:rPr>
              <w:t>hospodárske subjekty (výrobcovia, splnomocnení zástupcovia výrobcov, dovozcovia, distribútori, poskytovatelia logistických služieb),</w:t>
            </w:r>
          </w:p>
          <w:p w:rsidR="00146C23" w:rsidRPr="00146C23" w:rsidRDefault="00146C23" w:rsidP="00146C23">
            <w:pPr>
              <w:widowControl/>
              <w:numPr>
                <w:ilvl w:val="0"/>
                <w:numId w:val="9"/>
              </w:numPr>
              <w:adjustRightInd/>
              <w:ind w:left="318" w:hanging="284"/>
              <w:contextualSpacing/>
              <w:rPr>
                <w:rFonts w:cs="Times New Roman"/>
                <w:sz w:val="20"/>
                <w:szCs w:val="20"/>
              </w:rPr>
            </w:pPr>
            <w:r w:rsidRPr="00146C23">
              <w:rPr>
                <w:rFonts w:cs="Times New Roman"/>
                <w:sz w:val="20"/>
                <w:szCs w:val="20"/>
              </w:rPr>
              <w:t>ďalšie hospodárske subjekty,</w:t>
            </w:r>
          </w:p>
          <w:p w:rsidR="00146C23" w:rsidRPr="00146C23" w:rsidRDefault="00146C23" w:rsidP="00146C23">
            <w:pPr>
              <w:widowControl/>
              <w:numPr>
                <w:ilvl w:val="0"/>
                <w:numId w:val="9"/>
              </w:numPr>
              <w:adjustRightInd/>
              <w:ind w:left="318" w:hanging="284"/>
              <w:contextualSpacing/>
              <w:rPr>
                <w:rFonts w:cs="Times New Roman"/>
                <w:sz w:val="20"/>
                <w:szCs w:val="20"/>
              </w:rPr>
            </w:pPr>
            <w:r w:rsidRPr="00146C23">
              <w:rPr>
                <w:rFonts w:cs="Times New Roman"/>
                <w:sz w:val="20"/>
                <w:szCs w:val="20"/>
              </w:rPr>
              <w:t>orgány dohľadu nad určenými výrobkami,</w:t>
            </w:r>
          </w:p>
          <w:p w:rsidR="00146C23" w:rsidRPr="00146C23" w:rsidRDefault="00146C23" w:rsidP="00146C23">
            <w:pPr>
              <w:widowControl/>
              <w:numPr>
                <w:ilvl w:val="0"/>
                <w:numId w:val="9"/>
              </w:numPr>
              <w:adjustRightInd/>
              <w:ind w:left="318" w:hanging="284"/>
              <w:contextualSpacing/>
              <w:rPr>
                <w:rFonts w:cs="Times New Roman"/>
                <w:sz w:val="20"/>
                <w:szCs w:val="20"/>
              </w:rPr>
            </w:pPr>
            <w:r w:rsidRPr="00146C23">
              <w:rPr>
                <w:rFonts w:cs="Times New Roman"/>
                <w:sz w:val="20"/>
                <w:szCs w:val="20"/>
              </w:rPr>
              <w:t>ústredné orgány štátnej správy,</w:t>
            </w:r>
          </w:p>
          <w:p w:rsidR="00146C23" w:rsidRPr="00146C23" w:rsidRDefault="00146C23" w:rsidP="00146C23">
            <w:pPr>
              <w:widowControl/>
              <w:numPr>
                <w:ilvl w:val="0"/>
                <w:numId w:val="9"/>
              </w:numPr>
              <w:adjustRightInd/>
              <w:ind w:left="318" w:hanging="284"/>
              <w:contextualSpacing/>
              <w:rPr>
                <w:rFonts w:cs="Times New Roman"/>
                <w:sz w:val="20"/>
                <w:szCs w:val="20"/>
              </w:rPr>
            </w:pPr>
            <w:r w:rsidRPr="00146C23">
              <w:rPr>
                <w:rFonts w:cs="Times New Roman"/>
                <w:sz w:val="20"/>
                <w:szCs w:val="20"/>
              </w:rPr>
              <w:t>orgány verejnej moci.</w:t>
            </w:r>
          </w:p>
        </w:tc>
      </w:tr>
      <w:tr w:rsidR="00146C23" w:rsidRPr="00146C23" w:rsidTr="00146C23">
        <w:tc>
          <w:tcPr>
            <w:tcW w:w="9180" w:type="dxa"/>
            <w:gridSpan w:val="11"/>
            <w:tcBorders>
              <w:top w:val="single" w:sz="4" w:space="0" w:color="auto"/>
              <w:left w:val="single" w:sz="4" w:space="0" w:color="auto"/>
              <w:bottom w:val="nil"/>
              <w:right w:val="single" w:sz="4" w:space="0" w:color="auto"/>
            </w:tcBorders>
            <w:shd w:val="clear" w:color="auto" w:fill="E2E2E2"/>
          </w:tcPr>
          <w:p w:rsidR="00146C23" w:rsidRPr="00146C23" w:rsidRDefault="00146C23" w:rsidP="00146C23">
            <w:pPr>
              <w:widowControl/>
              <w:numPr>
                <w:ilvl w:val="0"/>
                <w:numId w:val="7"/>
              </w:numPr>
              <w:adjustRightInd/>
              <w:ind w:left="426"/>
              <w:contextualSpacing/>
              <w:rPr>
                <w:rFonts w:eastAsia="Calibri" w:cs="Times New Roman"/>
                <w:b/>
                <w:sz w:val="22"/>
                <w:szCs w:val="22"/>
                <w:lang w:eastAsia="en-US"/>
              </w:rPr>
            </w:pPr>
            <w:r w:rsidRPr="00146C23">
              <w:rPr>
                <w:rFonts w:eastAsia="Calibri" w:cs="Times New Roman"/>
                <w:b/>
                <w:sz w:val="22"/>
                <w:szCs w:val="22"/>
                <w:lang w:eastAsia="en-US"/>
              </w:rPr>
              <w:t>Alternatívne riešenia</w:t>
            </w:r>
          </w:p>
        </w:tc>
      </w:tr>
      <w:tr w:rsidR="00146C23" w:rsidRPr="00146C23" w:rsidTr="00146C23">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146C23" w:rsidRPr="00146C23" w:rsidRDefault="00146C23" w:rsidP="00146C23">
            <w:pPr>
              <w:widowControl/>
              <w:adjustRightInd/>
              <w:jc w:val="both"/>
              <w:rPr>
                <w:rFonts w:cs="Times New Roman"/>
                <w:sz w:val="20"/>
                <w:szCs w:val="20"/>
              </w:rPr>
            </w:pPr>
            <w:r w:rsidRPr="00146C23">
              <w:rPr>
                <w:rFonts w:cs="Times New Roman"/>
                <w:sz w:val="20"/>
                <w:szCs w:val="20"/>
              </w:rPr>
              <w:t>Nariadenia sa automaticky stávajú záväznými vo všetkých členských štátoch Únie odo dňa ich uplatňovania, avšak vzhľadom na rozsah jednotlivých ustanovení nariadení je potrebná aj úprava vnútroštátnych právnych predpisov. Úrad ako gestor nariadení návrhom zákona upravuje nevyhnutné ustanovenia v zákone č. 56/2018 Z. z. v znení neskorších predpisov a v súvisiacich právnych predpisoch vyplývajúcich z nariadení, ktorými Slovenskej republike vznikajú povinnosti.</w:t>
            </w:r>
          </w:p>
          <w:p w:rsidR="00146C23" w:rsidRPr="00146C23" w:rsidRDefault="00146C23" w:rsidP="00146C23">
            <w:pPr>
              <w:widowControl/>
              <w:adjustRightInd/>
              <w:jc w:val="both"/>
              <w:rPr>
                <w:rFonts w:cs="Times New Roman"/>
                <w:sz w:val="20"/>
                <w:szCs w:val="20"/>
              </w:rPr>
            </w:pPr>
          </w:p>
          <w:p w:rsidR="00146C23" w:rsidRPr="00146C23" w:rsidRDefault="00146C23" w:rsidP="00146C23">
            <w:pPr>
              <w:widowControl/>
              <w:adjustRightInd/>
              <w:jc w:val="both"/>
              <w:rPr>
                <w:rFonts w:cs="Times New Roman"/>
                <w:sz w:val="20"/>
                <w:szCs w:val="20"/>
              </w:rPr>
            </w:pPr>
            <w:r w:rsidRPr="00146C23">
              <w:rPr>
                <w:rFonts w:cs="Times New Roman"/>
                <w:sz w:val="20"/>
                <w:szCs w:val="20"/>
              </w:rPr>
              <w:t>V prípade nesplnenia povinnosti transpozície</w:t>
            </w:r>
            <w:r w:rsidRPr="00146C23">
              <w:rPr>
                <w:rFonts w:eastAsia="Calibri" w:cs="Times New Roman"/>
                <w:sz w:val="20"/>
                <w:szCs w:val="20"/>
                <w:lang w:eastAsia="en-US"/>
              </w:rPr>
              <w:t xml:space="preserve"> </w:t>
            </w:r>
            <w:r w:rsidRPr="00146C23">
              <w:rPr>
                <w:rFonts w:eastAsia="Calibri" w:cs="Times New Roman"/>
                <w:bCs/>
                <w:sz w:val="20"/>
                <w:szCs w:val="20"/>
                <w:lang w:eastAsia="en-US"/>
              </w:rPr>
              <w:t>čl. 4 ods. 1</w:t>
            </w:r>
            <w:r w:rsidRPr="00146C23">
              <w:rPr>
                <w:rFonts w:eastAsia="Calibri" w:cs="Times New Roman"/>
                <w:b/>
                <w:bCs/>
                <w:sz w:val="20"/>
                <w:szCs w:val="20"/>
                <w:lang w:eastAsia="en-US"/>
              </w:rPr>
              <w:t xml:space="preserve"> s</w:t>
            </w:r>
            <w:r w:rsidRPr="00146C23">
              <w:rPr>
                <w:rFonts w:eastAsia="Calibri" w:cs="Times New Roman"/>
                <w:bCs/>
                <w:sz w:val="20"/>
                <w:szCs w:val="20"/>
                <w:lang w:eastAsia="en-US"/>
              </w:rPr>
              <w:t xml:space="preserve">mernice </w:t>
            </w:r>
            <w:r w:rsidRPr="00146C23">
              <w:rPr>
                <w:rFonts w:eastAsia="Calibri" w:cs="Times New Roman"/>
                <w:bCs/>
                <w:sz w:val="20"/>
                <w:szCs w:val="20"/>
                <w:shd w:val="clear" w:color="auto" w:fill="FFFFFF"/>
                <w:lang w:eastAsia="en-US"/>
              </w:rPr>
              <w:t>(EÚ) 2024/2839</w:t>
            </w:r>
            <w:r w:rsidRPr="00146C23">
              <w:rPr>
                <w:rFonts w:cs="Times New Roman"/>
                <w:sz w:val="20"/>
                <w:szCs w:val="20"/>
              </w:rPr>
              <w:t xml:space="preserve"> Európska komisia začne voči Slovenskej republike konanie o porušení zmlúv EÚ v súlade s článkom 258 Zmluvy o fungovaní Európskej únie (</w:t>
            </w:r>
            <w:proofErr w:type="spellStart"/>
            <w:r w:rsidRPr="00146C23">
              <w:rPr>
                <w:rFonts w:cs="Times New Roman"/>
                <w:sz w:val="20"/>
                <w:szCs w:val="20"/>
              </w:rPr>
              <w:t>infringement</w:t>
            </w:r>
            <w:proofErr w:type="spellEnd"/>
            <w:r w:rsidRPr="00146C23">
              <w:rPr>
                <w:rFonts w:cs="Times New Roman"/>
                <w:sz w:val="20"/>
                <w:szCs w:val="20"/>
              </w:rPr>
              <w:t xml:space="preserve"> </w:t>
            </w:r>
            <w:proofErr w:type="spellStart"/>
            <w:r w:rsidRPr="00146C23">
              <w:rPr>
                <w:rFonts w:cs="Times New Roman"/>
                <w:sz w:val="20"/>
                <w:szCs w:val="20"/>
              </w:rPr>
              <w:t>proceedings</w:t>
            </w:r>
            <w:proofErr w:type="spellEnd"/>
            <w:r w:rsidRPr="00146C23">
              <w:rPr>
                <w:rFonts w:cs="Times New Roman"/>
                <w:sz w:val="20"/>
                <w:szCs w:val="20"/>
              </w:rPr>
              <w:t>).</w:t>
            </w:r>
          </w:p>
          <w:p w:rsidR="00146C23" w:rsidRPr="00146C23" w:rsidRDefault="00146C23" w:rsidP="00146C23">
            <w:pPr>
              <w:widowControl/>
              <w:adjustRightInd/>
              <w:jc w:val="both"/>
              <w:rPr>
                <w:rFonts w:cs="Times New Roman"/>
                <w:sz w:val="20"/>
                <w:szCs w:val="20"/>
              </w:rPr>
            </w:pPr>
          </w:p>
          <w:p w:rsidR="00146C23" w:rsidRPr="00146C23" w:rsidRDefault="00146C23" w:rsidP="00146C23">
            <w:pPr>
              <w:widowControl/>
              <w:adjustRightInd/>
              <w:jc w:val="both"/>
              <w:rPr>
                <w:rFonts w:cs="Times New Roman"/>
                <w:sz w:val="20"/>
                <w:szCs w:val="20"/>
              </w:rPr>
            </w:pPr>
            <w:r w:rsidRPr="00146C23">
              <w:rPr>
                <w:rFonts w:eastAsia="Calibri" w:cs="Times New Roman"/>
                <w:sz w:val="20"/>
                <w:szCs w:val="20"/>
                <w:lang w:eastAsia="en-US"/>
              </w:rPr>
              <w:t>Európska komisia vedie konanie o porušení zmlúv č. INFR(2025)0252 v štádiu formálneho oznámenia z 23. júla 2025 z dôvodu neoznámenia transpozičných opatrení smernice (EÚ) 2023/2413.</w:t>
            </w:r>
          </w:p>
          <w:p w:rsidR="00146C23" w:rsidRPr="00146C23" w:rsidRDefault="00146C23" w:rsidP="00146C23">
            <w:pPr>
              <w:widowControl/>
              <w:adjustRightInd/>
              <w:jc w:val="both"/>
              <w:rPr>
                <w:rFonts w:cs="Times New Roman"/>
                <w:sz w:val="20"/>
                <w:szCs w:val="20"/>
              </w:rPr>
            </w:pPr>
          </w:p>
          <w:p w:rsidR="00146C23" w:rsidRPr="00146C23" w:rsidRDefault="00146C23" w:rsidP="00146C23">
            <w:pPr>
              <w:widowControl/>
              <w:adjustRightInd/>
              <w:jc w:val="both"/>
              <w:rPr>
                <w:rFonts w:cs="Times New Roman"/>
                <w:sz w:val="20"/>
                <w:szCs w:val="20"/>
              </w:rPr>
            </w:pPr>
            <w:r w:rsidRPr="00146C23">
              <w:rPr>
                <w:rFonts w:cs="Times New Roman"/>
                <w:sz w:val="20"/>
                <w:szCs w:val="20"/>
              </w:rPr>
              <w:t xml:space="preserve">Z vyššie uvedených dôvodov neboli zvažované alternatívne riešenia a nulový variant nie je možné realizovať. </w:t>
            </w:r>
          </w:p>
        </w:tc>
      </w:tr>
      <w:tr w:rsidR="00146C23" w:rsidRPr="00146C23" w:rsidTr="00146C23">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46C23" w:rsidRPr="00146C23" w:rsidRDefault="00146C23" w:rsidP="00146C23">
            <w:pPr>
              <w:widowControl/>
              <w:numPr>
                <w:ilvl w:val="0"/>
                <w:numId w:val="7"/>
              </w:numPr>
              <w:adjustRightInd/>
              <w:ind w:left="426"/>
              <w:contextualSpacing/>
              <w:rPr>
                <w:rFonts w:eastAsia="Calibri" w:cs="Times New Roman"/>
                <w:b/>
                <w:sz w:val="22"/>
                <w:szCs w:val="22"/>
                <w:lang w:eastAsia="en-US"/>
              </w:rPr>
            </w:pPr>
            <w:r w:rsidRPr="00146C23">
              <w:rPr>
                <w:rFonts w:eastAsia="Calibri" w:cs="Times New Roman"/>
                <w:b/>
                <w:sz w:val="22"/>
                <w:szCs w:val="22"/>
                <w:lang w:eastAsia="en-US"/>
              </w:rPr>
              <w:t>Vykonávacie predpisy</w:t>
            </w:r>
          </w:p>
        </w:tc>
      </w:tr>
      <w:tr w:rsidR="00146C23" w:rsidRPr="00146C23" w:rsidTr="00146C23">
        <w:tc>
          <w:tcPr>
            <w:tcW w:w="6203" w:type="dxa"/>
            <w:gridSpan w:val="7"/>
            <w:tcBorders>
              <w:top w:val="single" w:sz="4" w:space="0" w:color="FFFFFF"/>
              <w:left w:val="single" w:sz="4" w:space="0" w:color="auto"/>
              <w:bottom w:val="nil"/>
              <w:right w:val="nil"/>
            </w:tcBorders>
            <w:shd w:val="clear" w:color="auto" w:fill="FFFFFF"/>
          </w:tcPr>
          <w:p w:rsidR="00146C23" w:rsidRPr="00146C23" w:rsidRDefault="00146C23" w:rsidP="00146C23">
            <w:pPr>
              <w:widowControl/>
              <w:adjustRightInd/>
              <w:rPr>
                <w:rFonts w:cs="Times New Roman"/>
                <w:i/>
                <w:sz w:val="20"/>
                <w:szCs w:val="20"/>
              </w:rPr>
            </w:pPr>
            <w:r w:rsidRPr="00146C23">
              <w:rPr>
                <w:rFonts w:cs="Times New Roman"/>
                <w:i/>
                <w:sz w:val="20"/>
                <w:szCs w:val="20"/>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146C23" w:rsidRPr="00146C23" w:rsidRDefault="00D22762" w:rsidP="00146C23">
            <w:pPr>
              <w:widowControl/>
              <w:adjustRightInd/>
              <w:jc w:val="center"/>
              <w:rPr>
                <w:rFonts w:cs="Times New Roman"/>
                <w:b/>
                <w:sz w:val="20"/>
                <w:szCs w:val="20"/>
              </w:rPr>
            </w:pPr>
            <w:sdt>
              <w:sdtPr>
                <w:rPr>
                  <w:rFonts w:cs="Times New Roman"/>
                  <w:b/>
                  <w:sz w:val="20"/>
                  <w:szCs w:val="20"/>
                </w:rPr>
                <w:id w:val="1929613764"/>
                <w14:checkbox>
                  <w14:checked w14:val="0"/>
                  <w14:checkedState w14:val="2612" w14:font="MS Gothic"/>
                  <w14:uncheckedState w14:val="2610" w14:font="MS Gothic"/>
                </w14:checkbox>
              </w:sdtPr>
              <w:sdtEndPr/>
              <w:sdtContent>
                <w:r w:rsidR="00146C23" w:rsidRPr="00146C23">
                  <w:rPr>
                    <w:rFonts w:ascii="Segoe UI Symbol" w:eastAsia="MS Gothic" w:hAnsi="Segoe UI Symbol" w:cs="Segoe UI Symbol"/>
                    <w:b/>
                    <w:sz w:val="20"/>
                    <w:szCs w:val="20"/>
                  </w:rPr>
                  <w:t>☐</w:t>
                </w:r>
              </w:sdtContent>
            </w:sdt>
            <w:r w:rsidR="00146C23" w:rsidRPr="00146C23">
              <w:rPr>
                <w:rFonts w:cs="Times New Roman"/>
                <w:b/>
                <w:sz w:val="20"/>
                <w:szCs w:val="20"/>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146C23" w:rsidRPr="00146C23" w:rsidRDefault="00D22762" w:rsidP="00146C23">
            <w:pPr>
              <w:widowControl/>
              <w:adjustRightInd/>
              <w:jc w:val="center"/>
              <w:rPr>
                <w:rFonts w:cs="Times New Roman"/>
                <w:b/>
                <w:sz w:val="20"/>
                <w:szCs w:val="20"/>
              </w:rPr>
            </w:pPr>
            <w:sdt>
              <w:sdtPr>
                <w:rPr>
                  <w:rFonts w:cs="Times New Roman"/>
                  <w:b/>
                  <w:sz w:val="20"/>
                  <w:szCs w:val="20"/>
                </w:rPr>
                <w:id w:val="-1594626508"/>
                <w14:checkbox>
                  <w14:checked w14:val="1"/>
                  <w14:checkedState w14:val="2612" w14:font="MS Gothic"/>
                  <w14:uncheckedState w14:val="2610" w14:font="MS Gothic"/>
                </w14:checkbox>
              </w:sdtPr>
              <w:sdtEndPr/>
              <w:sdtContent>
                <w:r w:rsidR="00146C23" w:rsidRPr="00146C23">
                  <w:rPr>
                    <w:rFonts w:ascii="Segoe UI Symbol" w:eastAsia="MS Gothic" w:hAnsi="Segoe UI Symbol" w:cs="Segoe UI Symbol"/>
                    <w:b/>
                    <w:sz w:val="20"/>
                    <w:szCs w:val="20"/>
                  </w:rPr>
                  <w:t>☒</w:t>
                </w:r>
              </w:sdtContent>
            </w:sdt>
            <w:r w:rsidR="00146C23" w:rsidRPr="00146C23">
              <w:rPr>
                <w:rFonts w:cs="Times New Roman"/>
                <w:b/>
                <w:sz w:val="20"/>
                <w:szCs w:val="20"/>
              </w:rPr>
              <w:t xml:space="preserve">  Nie</w:t>
            </w:r>
          </w:p>
        </w:tc>
      </w:tr>
      <w:tr w:rsidR="00146C23" w:rsidRPr="00146C23" w:rsidTr="00146C23">
        <w:tc>
          <w:tcPr>
            <w:tcW w:w="9180" w:type="dxa"/>
            <w:gridSpan w:val="11"/>
            <w:tcBorders>
              <w:top w:val="nil"/>
              <w:left w:val="single" w:sz="4" w:space="0" w:color="auto"/>
              <w:bottom w:val="single" w:sz="4" w:space="0" w:color="auto"/>
              <w:right w:val="single" w:sz="4" w:space="0" w:color="auto"/>
            </w:tcBorders>
            <w:shd w:val="clear" w:color="auto" w:fill="FFFFFF"/>
          </w:tcPr>
          <w:p w:rsidR="00146C23" w:rsidRPr="00146C23" w:rsidRDefault="00146C23" w:rsidP="00146C23">
            <w:pPr>
              <w:widowControl/>
              <w:adjustRightInd/>
              <w:rPr>
                <w:rFonts w:cs="Times New Roman"/>
                <w:i/>
                <w:sz w:val="20"/>
                <w:szCs w:val="20"/>
              </w:rPr>
            </w:pPr>
            <w:r w:rsidRPr="00146C23">
              <w:rPr>
                <w:rFonts w:cs="Times New Roman"/>
                <w:i/>
                <w:sz w:val="20"/>
                <w:szCs w:val="20"/>
              </w:rPr>
              <w:t>Ak áno, uveďte ktoré oblasti budú nimi upravené, resp. ktorých vykonávacích predpisov sa zmena dotkne:</w:t>
            </w:r>
          </w:p>
          <w:p w:rsidR="00146C23" w:rsidRPr="00146C23" w:rsidRDefault="00146C23" w:rsidP="00146C23">
            <w:pPr>
              <w:widowControl/>
              <w:adjustRightInd/>
              <w:rPr>
                <w:rFonts w:cs="Times New Roman"/>
                <w:sz w:val="20"/>
                <w:szCs w:val="20"/>
              </w:rPr>
            </w:pPr>
          </w:p>
        </w:tc>
      </w:tr>
      <w:tr w:rsidR="00146C23" w:rsidRPr="00146C23" w:rsidTr="00146C23">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46C23" w:rsidRPr="00146C23" w:rsidRDefault="00146C23" w:rsidP="00146C23">
            <w:pPr>
              <w:widowControl/>
              <w:numPr>
                <w:ilvl w:val="0"/>
                <w:numId w:val="7"/>
              </w:numPr>
              <w:adjustRightInd/>
              <w:ind w:left="426"/>
              <w:contextualSpacing/>
              <w:rPr>
                <w:rFonts w:eastAsia="Calibri" w:cs="Times New Roman"/>
                <w:b/>
                <w:sz w:val="22"/>
                <w:szCs w:val="22"/>
                <w:lang w:eastAsia="en-US"/>
              </w:rPr>
            </w:pPr>
            <w:r w:rsidRPr="00146C23">
              <w:rPr>
                <w:rFonts w:eastAsia="Calibri" w:cs="Times New Roman"/>
                <w:b/>
                <w:sz w:val="22"/>
                <w:szCs w:val="22"/>
                <w:lang w:eastAsia="en-US"/>
              </w:rPr>
              <w:t xml:space="preserve">Transpozícia/implementácia práva EÚ </w:t>
            </w:r>
          </w:p>
        </w:tc>
      </w:tr>
      <w:tr w:rsidR="00146C23" w:rsidRPr="00146C23" w:rsidTr="00146C23">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146C23" w:rsidRPr="00146C23" w:rsidTr="00146C23">
              <w:trPr>
                <w:trHeight w:val="90"/>
              </w:trPr>
              <w:tc>
                <w:tcPr>
                  <w:tcW w:w="8643" w:type="dxa"/>
                </w:tcPr>
                <w:p w:rsidR="00146C23" w:rsidRPr="00146C23" w:rsidRDefault="00146C23" w:rsidP="00146C23">
                  <w:pPr>
                    <w:widowControl/>
                    <w:autoSpaceDE w:val="0"/>
                    <w:autoSpaceDN w:val="0"/>
                    <w:rPr>
                      <w:rFonts w:eastAsia="Calibri" w:cs="Times New Roman"/>
                      <w:sz w:val="20"/>
                      <w:szCs w:val="20"/>
                      <w:lang w:eastAsia="en-US"/>
                    </w:rPr>
                  </w:pPr>
                  <w:r w:rsidRPr="00146C23">
                    <w:rPr>
                      <w:rFonts w:eastAsia="Calibri" w:cs="Times New Roman"/>
                      <w:i/>
                      <w:iCs/>
                      <w:sz w:val="20"/>
                      <w:szCs w:val="20"/>
                      <w:lang w:eastAsia="en-US"/>
                    </w:rPr>
                    <w:t xml:space="preserve">Uveďte, či v predkladanom návrhu právneho predpisu dochádza ku </w:t>
                  </w:r>
                  <w:proofErr w:type="spellStart"/>
                  <w:r w:rsidRPr="00146C23">
                    <w:rPr>
                      <w:rFonts w:eastAsia="Calibri" w:cs="Times New Roman"/>
                      <w:i/>
                      <w:iCs/>
                      <w:sz w:val="20"/>
                      <w:szCs w:val="20"/>
                      <w:lang w:eastAsia="en-US"/>
                    </w:rPr>
                    <w:t>goldplatingu</w:t>
                  </w:r>
                  <w:proofErr w:type="spellEnd"/>
                  <w:r w:rsidRPr="00146C23">
                    <w:rPr>
                      <w:rFonts w:eastAsia="Calibri" w:cs="Times New Roman"/>
                      <w:i/>
                      <w:iCs/>
                      <w:sz w:val="20"/>
                      <w:szCs w:val="20"/>
                      <w:lang w:eastAsia="en-US"/>
                    </w:rPr>
                    <w:t xml:space="preserve"> podľa tabuľky zhody, resp. či ku </w:t>
                  </w:r>
                  <w:proofErr w:type="spellStart"/>
                  <w:r w:rsidRPr="00146C23">
                    <w:rPr>
                      <w:rFonts w:eastAsia="Calibri" w:cs="Times New Roman"/>
                      <w:i/>
                      <w:iCs/>
                      <w:sz w:val="20"/>
                      <w:szCs w:val="20"/>
                      <w:lang w:eastAsia="en-US"/>
                    </w:rPr>
                    <w:t>goldplatingu</w:t>
                  </w:r>
                  <w:proofErr w:type="spellEnd"/>
                  <w:r w:rsidRPr="00146C23">
                    <w:rPr>
                      <w:rFonts w:eastAsia="Calibri" w:cs="Times New Roman"/>
                      <w:i/>
                      <w:iCs/>
                      <w:sz w:val="20"/>
                      <w:szCs w:val="20"/>
                      <w:lang w:eastAsia="en-US"/>
                    </w:rPr>
                    <w:t xml:space="preserve"> dochádza pri implementácii práva EÚ. </w:t>
                  </w:r>
                </w:p>
              </w:tc>
            </w:tr>
            <w:tr w:rsidR="00146C23" w:rsidRPr="00146C23" w:rsidTr="00146C23">
              <w:trPr>
                <w:trHeight w:val="296"/>
              </w:trPr>
              <w:tc>
                <w:tcPr>
                  <w:tcW w:w="8643" w:type="dxa"/>
                </w:tcPr>
                <w:p w:rsidR="00146C23" w:rsidRPr="00146C23" w:rsidRDefault="00146C23" w:rsidP="00146C23">
                  <w:pPr>
                    <w:widowControl/>
                    <w:autoSpaceDE w:val="0"/>
                    <w:autoSpaceDN w:val="0"/>
                    <w:rPr>
                      <w:rFonts w:eastAsia="Calibri" w:cs="Times New Roman"/>
                      <w:b/>
                      <w:iCs/>
                      <w:sz w:val="20"/>
                      <w:szCs w:val="20"/>
                      <w:lang w:eastAsia="en-US"/>
                    </w:rPr>
                  </w:pPr>
                  <w:r w:rsidRPr="00146C23">
                    <w:rPr>
                      <w:rFonts w:eastAsia="Calibri" w:cs="Times New Roman"/>
                      <w:b/>
                      <w:iCs/>
                      <w:sz w:val="20"/>
                      <w:szCs w:val="20"/>
                      <w:lang w:eastAsia="en-US"/>
                    </w:rPr>
                    <w:t xml:space="preserve">                                                                                                                               </w:t>
                  </w:r>
                  <w:sdt>
                    <w:sdtPr>
                      <w:rPr>
                        <w:rFonts w:eastAsia="Calibri" w:cs="Times New Roman"/>
                        <w:b/>
                        <w:iCs/>
                        <w:sz w:val="20"/>
                        <w:szCs w:val="20"/>
                        <w:lang w:eastAsia="en-US"/>
                      </w:rPr>
                      <w:id w:val="1614706761"/>
                      <w14:checkbox>
                        <w14:checked w14:val="0"/>
                        <w14:checkedState w14:val="2612" w14:font="MS Gothic"/>
                        <w14:uncheckedState w14:val="2610" w14:font="MS Gothic"/>
                      </w14:checkbox>
                    </w:sdtPr>
                    <w:sdtEndPr/>
                    <w:sdtContent>
                      <w:r w:rsidRPr="00146C23">
                        <w:rPr>
                          <w:rFonts w:ascii="Segoe UI Symbol" w:eastAsia="Calibri" w:hAnsi="Segoe UI Symbol" w:cs="Segoe UI Symbol"/>
                          <w:b/>
                          <w:iCs/>
                          <w:sz w:val="20"/>
                          <w:szCs w:val="20"/>
                          <w:lang w:eastAsia="en-US"/>
                        </w:rPr>
                        <w:t>☐</w:t>
                      </w:r>
                    </w:sdtContent>
                  </w:sdt>
                  <w:r w:rsidRPr="00146C23">
                    <w:rPr>
                      <w:rFonts w:eastAsia="Calibri" w:cs="Times New Roman"/>
                      <w:b/>
                      <w:iCs/>
                      <w:sz w:val="20"/>
                      <w:szCs w:val="20"/>
                      <w:lang w:eastAsia="en-US"/>
                    </w:rPr>
                    <w:t xml:space="preserve"> Áno                  </w:t>
                  </w:r>
                  <w:sdt>
                    <w:sdtPr>
                      <w:rPr>
                        <w:rFonts w:eastAsia="Calibri" w:cs="Times New Roman"/>
                        <w:b/>
                        <w:iCs/>
                        <w:sz w:val="20"/>
                        <w:szCs w:val="20"/>
                        <w:lang w:eastAsia="en-US"/>
                      </w:rPr>
                      <w:id w:val="-155225922"/>
                      <w14:checkbox>
                        <w14:checked w14:val="1"/>
                        <w14:checkedState w14:val="2612" w14:font="MS Gothic"/>
                        <w14:uncheckedState w14:val="2610" w14:font="MS Gothic"/>
                      </w14:checkbox>
                    </w:sdtPr>
                    <w:sdtEndPr/>
                    <w:sdtContent>
                      <w:r w:rsidRPr="00146C23">
                        <w:rPr>
                          <w:rFonts w:ascii="Segoe UI Symbol" w:eastAsia="Calibri" w:hAnsi="Segoe UI Symbol" w:cs="Segoe UI Symbol"/>
                          <w:b/>
                          <w:iCs/>
                          <w:sz w:val="20"/>
                          <w:szCs w:val="20"/>
                          <w:lang w:eastAsia="en-US"/>
                        </w:rPr>
                        <w:t>☒</w:t>
                      </w:r>
                    </w:sdtContent>
                  </w:sdt>
                  <w:r w:rsidRPr="00146C23">
                    <w:rPr>
                      <w:rFonts w:eastAsia="Calibri" w:cs="Times New Roman"/>
                      <w:b/>
                      <w:iCs/>
                      <w:sz w:val="20"/>
                      <w:szCs w:val="20"/>
                      <w:lang w:eastAsia="en-US"/>
                    </w:rPr>
                    <w:t xml:space="preserve"> Nie</w:t>
                  </w:r>
                </w:p>
                <w:p w:rsidR="00146C23" w:rsidRPr="00146C23" w:rsidRDefault="00146C23" w:rsidP="00146C23">
                  <w:pPr>
                    <w:widowControl/>
                    <w:autoSpaceDE w:val="0"/>
                    <w:autoSpaceDN w:val="0"/>
                    <w:rPr>
                      <w:rFonts w:eastAsia="Calibri" w:cs="Times New Roman"/>
                      <w:sz w:val="20"/>
                      <w:szCs w:val="20"/>
                      <w:lang w:eastAsia="en-US"/>
                    </w:rPr>
                  </w:pPr>
                  <w:r w:rsidRPr="00146C23">
                    <w:rPr>
                      <w:rFonts w:eastAsia="Calibri" w:cs="Times New Roman"/>
                      <w:i/>
                      <w:iCs/>
                      <w:sz w:val="20"/>
                      <w:szCs w:val="20"/>
                      <w:lang w:eastAsia="en-US"/>
                    </w:rPr>
                    <w:t xml:space="preserve">Ak áno, uveďte, ktorých vplyvov podľa bodu 9 sa goldplating týka: </w:t>
                  </w:r>
                </w:p>
              </w:tc>
            </w:tr>
            <w:tr w:rsidR="00146C23" w:rsidRPr="00146C23" w:rsidTr="00146C23">
              <w:trPr>
                <w:trHeight w:val="296"/>
              </w:trPr>
              <w:tc>
                <w:tcPr>
                  <w:tcW w:w="8643" w:type="dxa"/>
                </w:tcPr>
                <w:p w:rsidR="00146C23" w:rsidRPr="00146C23" w:rsidRDefault="00146C23" w:rsidP="00146C23">
                  <w:pPr>
                    <w:widowControl/>
                    <w:autoSpaceDE w:val="0"/>
                    <w:autoSpaceDN w:val="0"/>
                    <w:rPr>
                      <w:rFonts w:ascii="Segoe UI Symbol" w:eastAsia="Calibri" w:hAnsi="Segoe UI Symbol" w:cs="Segoe UI Symbol"/>
                      <w:sz w:val="20"/>
                      <w:szCs w:val="20"/>
                      <w:lang w:eastAsia="en-US"/>
                    </w:rPr>
                  </w:pPr>
                  <w:r w:rsidRPr="00146C23">
                    <w:rPr>
                      <w:rFonts w:ascii="Segoe UI Symbol" w:eastAsia="Calibri" w:hAnsi="Segoe UI Symbol" w:cs="Segoe UI Symbol"/>
                      <w:sz w:val="20"/>
                      <w:szCs w:val="20"/>
                      <w:lang w:eastAsia="en-US"/>
                    </w:rPr>
                    <w:t>-------</w:t>
                  </w:r>
                </w:p>
              </w:tc>
            </w:tr>
          </w:tbl>
          <w:p w:rsidR="00146C23" w:rsidRPr="00146C23" w:rsidRDefault="00146C23" w:rsidP="00146C23">
            <w:pPr>
              <w:widowControl/>
              <w:adjustRightInd/>
              <w:jc w:val="both"/>
              <w:rPr>
                <w:rFonts w:cs="Times New Roman"/>
                <w:i/>
                <w:sz w:val="20"/>
                <w:szCs w:val="20"/>
              </w:rPr>
            </w:pPr>
          </w:p>
        </w:tc>
      </w:tr>
      <w:tr w:rsidR="00146C23" w:rsidRPr="00146C23" w:rsidTr="00146C23">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146C23" w:rsidRPr="00146C23" w:rsidRDefault="00146C23" w:rsidP="00146C23">
            <w:pPr>
              <w:widowControl/>
              <w:adjustRightInd/>
              <w:jc w:val="center"/>
              <w:rPr>
                <w:rFonts w:cs="Times New Roman"/>
                <w:sz w:val="20"/>
                <w:szCs w:val="20"/>
              </w:rPr>
            </w:pPr>
          </w:p>
        </w:tc>
      </w:tr>
      <w:tr w:rsidR="00146C23" w:rsidRPr="00146C23" w:rsidTr="00146C23">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46C23" w:rsidRPr="00146C23" w:rsidRDefault="00146C23" w:rsidP="00146C23">
            <w:pPr>
              <w:widowControl/>
              <w:numPr>
                <w:ilvl w:val="0"/>
                <w:numId w:val="7"/>
              </w:numPr>
              <w:adjustRightInd/>
              <w:ind w:left="426"/>
              <w:contextualSpacing/>
              <w:rPr>
                <w:rFonts w:eastAsia="Calibri" w:cs="Times New Roman"/>
                <w:b/>
                <w:sz w:val="22"/>
                <w:szCs w:val="22"/>
                <w:lang w:eastAsia="en-US"/>
              </w:rPr>
            </w:pPr>
            <w:r w:rsidRPr="00146C23">
              <w:rPr>
                <w:rFonts w:eastAsia="Calibri" w:cs="Times New Roman"/>
                <w:b/>
                <w:sz w:val="22"/>
                <w:szCs w:val="22"/>
                <w:lang w:eastAsia="en-US"/>
              </w:rPr>
              <w:t>Preskúmanie účelnosti</w:t>
            </w:r>
          </w:p>
        </w:tc>
      </w:tr>
      <w:tr w:rsidR="00146C23" w:rsidRPr="00146C23" w:rsidTr="00146C23">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146C23" w:rsidRPr="00146C23" w:rsidRDefault="00146C23" w:rsidP="00146C23">
            <w:pPr>
              <w:widowControl/>
              <w:adjustRightInd/>
              <w:rPr>
                <w:rFonts w:cs="Times New Roman"/>
                <w:i/>
                <w:sz w:val="20"/>
                <w:szCs w:val="20"/>
              </w:rPr>
            </w:pPr>
            <w:r w:rsidRPr="00146C23">
              <w:rPr>
                <w:rFonts w:cs="Times New Roman"/>
                <w:i/>
                <w:sz w:val="20"/>
                <w:szCs w:val="20"/>
              </w:rPr>
              <w:t>Uveďte termín, kedy by malo dôjsť k preskúmaniu účinnosti a účelnosti predkladaného materiálu.</w:t>
            </w:r>
          </w:p>
          <w:p w:rsidR="00146C23" w:rsidRPr="00146C23" w:rsidRDefault="00146C23" w:rsidP="00146C23">
            <w:pPr>
              <w:widowControl/>
              <w:adjustRightInd/>
              <w:rPr>
                <w:rFonts w:cs="Times New Roman"/>
                <w:i/>
                <w:sz w:val="20"/>
                <w:szCs w:val="20"/>
              </w:rPr>
            </w:pPr>
            <w:r w:rsidRPr="00146C23">
              <w:rPr>
                <w:rFonts w:cs="Times New Roman"/>
                <w:i/>
                <w:sz w:val="20"/>
                <w:szCs w:val="20"/>
              </w:rPr>
              <w:t>Uveďte kritériá, na základe ktorých bude preskúmanie vykonané.</w:t>
            </w:r>
          </w:p>
          <w:p w:rsidR="00146C23" w:rsidRPr="00146C23" w:rsidRDefault="00146C23" w:rsidP="00146C23">
            <w:pPr>
              <w:widowControl/>
              <w:adjustRightInd/>
              <w:rPr>
                <w:rFonts w:cs="Times New Roman"/>
                <w:i/>
                <w:sz w:val="20"/>
                <w:szCs w:val="20"/>
              </w:rPr>
            </w:pPr>
          </w:p>
          <w:p w:rsidR="00146C23" w:rsidRPr="00146C23" w:rsidRDefault="00146C23" w:rsidP="00146C23">
            <w:pPr>
              <w:widowControl/>
              <w:adjustRightInd/>
              <w:jc w:val="both"/>
              <w:rPr>
                <w:rFonts w:cs="Times New Roman"/>
                <w:sz w:val="20"/>
                <w:szCs w:val="20"/>
              </w:rPr>
            </w:pPr>
            <w:r w:rsidRPr="00146C23">
              <w:rPr>
                <w:rFonts w:cs="Times New Roman"/>
                <w:sz w:val="20"/>
                <w:szCs w:val="20"/>
              </w:rPr>
              <w:t xml:space="preserve">Účelnosť navrhovaného zákona bude vykonaná približne pol roka po nadobudnutí účinnosti návrhu zákona, a to konkrétne 1. júna 2026. Budú sa zohľadňovať najmä poznatky z aplikačnej praxe. </w:t>
            </w:r>
          </w:p>
          <w:p w:rsidR="00146C23" w:rsidRPr="00146C23" w:rsidRDefault="00146C23" w:rsidP="00146C23">
            <w:pPr>
              <w:widowControl/>
              <w:adjustRightInd/>
              <w:rPr>
                <w:rFonts w:cs="Times New Roman"/>
                <w:i/>
                <w:sz w:val="20"/>
                <w:szCs w:val="20"/>
              </w:rPr>
            </w:pPr>
          </w:p>
        </w:tc>
      </w:tr>
      <w:tr w:rsidR="00146C23" w:rsidRPr="00146C23" w:rsidTr="00146C23">
        <w:tc>
          <w:tcPr>
            <w:tcW w:w="9180" w:type="dxa"/>
            <w:gridSpan w:val="11"/>
            <w:tcBorders>
              <w:top w:val="nil"/>
              <w:left w:val="nil"/>
              <w:bottom w:val="single" w:sz="4" w:space="0" w:color="auto"/>
              <w:right w:val="nil"/>
            </w:tcBorders>
            <w:shd w:val="clear" w:color="auto" w:fill="FFFFFF"/>
          </w:tcPr>
          <w:p w:rsidR="00146C23" w:rsidRPr="00146C23" w:rsidRDefault="00146C23" w:rsidP="00146C23">
            <w:pPr>
              <w:widowControl/>
              <w:adjustRightInd/>
              <w:jc w:val="both"/>
              <w:rPr>
                <w:rFonts w:cs="Times New Roman"/>
                <w:b/>
                <w:sz w:val="20"/>
                <w:szCs w:val="20"/>
              </w:rPr>
            </w:pPr>
          </w:p>
          <w:p w:rsidR="00146C23" w:rsidRPr="00146C23" w:rsidRDefault="00146C23" w:rsidP="00146C23">
            <w:pPr>
              <w:widowControl/>
              <w:adjustRightInd/>
              <w:ind w:left="142" w:hanging="142"/>
              <w:jc w:val="both"/>
              <w:rPr>
                <w:rFonts w:cs="Times New Roman"/>
                <w:sz w:val="20"/>
                <w:szCs w:val="20"/>
              </w:rPr>
            </w:pPr>
            <w:r w:rsidRPr="00146C23">
              <w:rPr>
                <w:rFonts w:cs="Times New Roman"/>
                <w:sz w:val="20"/>
                <w:szCs w:val="20"/>
              </w:rPr>
              <w:t xml:space="preserve">* vyplniť iba v prípade, ak materiál nie je zahrnutý do Plánu práce vlády Slovenskej republiky alebo Plánu        legislatívnych úloh vlády Slovenskej republiky. </w:t>
            </w:r>
          </w:p>
          <w:p w:rsidR="00146C23" w:rsidRPr="00146C23" w:rsidRDefault="00146C23" w:rsidP="00146C23">
            <w:pPr>
              <w:widowControl/>
              <w:adjustRightInd/>
              <w:jc w:val="both"/>
              <w:rPr>
                <w:rFonts w:cs="Times New Roman"/>
                <w:sz w:val="20"/>
                <w:szCs w:val="20"/>
              </w:rPr>
            </w:pPr>
            <w:r w:rsidRPr="00146C23">
              <w:rPr>
                <w:rFonts w:cs="Times New Roman"/>
                <w:sz w:val="20"/>
                <w:szCs w:val="20"/>
              </w:rPr>
              <w:t>** vyplniť iba v prípade, ak sa záverečné posúdenie vybraných vplyvov uskutočnilo v zmysle bodu 9.1. jednotnej metodiky.</w:t>
            </w:r>
          </w:p>
          <w:p w:rsidR="00146C23" w:rsidRPr="00146C23" w:rsidRDefault="00146C23" w:rsidP="00146C23">
            <w:pPr>
              <w:widowControl/>
              <w:adjustRightInd/>
              <w:jc w:val="both"/>
              <w:rPr>
                <w:rFonts w:cs="Times New Roman"/>
                <w:sz w:val="20"/>
                <w:szCs w:val="20"/>
              </w:rPr>
            </w:pPr>
            <w:r w:rsidRPr="00146C23">
              <w:rPr>
                <w:rFonts w:cs="Times New Roman"/>
                <w:sz w:val="20"/>
                <w:szCs w:val="20"/>
              </w:rPr>
              <w:t>*** posudzovanie sa týka len zmien v I. a II. pilieri univerzálneho systému dôchodkového zabezpečenia s identifikovaným dopadom od 0,1 % HDP (vrátane) na dlhodobom horizonte.</w:t>
            </w:r>
          </w:p>
          <w:p w:rsidR="00146C23" w:rsidRPr="00146C23" w:rsidRDefault="00146C23" w:rsidP="00146C23">
            <w:pPr>
              <w:widowControl/>
              <w:adjustRightInd/>
              <w:jc w:val="both"/>
              <w:rPr>
                <w:rFonts w:cs="Times New Roman"/>
                <w:sz w:val="20"/>
                <w:szCs w:val="20"/>
              </w:rPr>
            </w:pPr>
          </w:p>
          <w:p w:rsidR="00146C23" w:rsidRPr="00146C23" w:rsidRDefault="00146C23" w:rsidP="00146C23">
            <w:pPr>
              <w:widowControl/>
              <w:adjustRightInd/>
              <w:jc w:val="both"/>
              <w:rPr>
                <w:rFonts w:cs="Times New Roman"/>
                <w:b/>
                <w:sz w:val="20"/>
                <w:szCs w:val="20"/>
              </w:rPr>
            </w:pPr>
          </w:p>
        </w:tc>
      </w:tr>
      <w:tr w:rsidR="00146C23" w:rsidRPr="00146C23" w:rsidTr="00146C23">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146C23" w:rsidRPr="00146C23" w:rsidRDefault="00146C23" w:rsidP="00146C23">
            <w:pPr>
              <w:widowControl/>
              <w:numPr>
                <w:ilvl w:val="0"/>
                <w:numId w:val="7"/>
              </w:numPr>
              <w:adjustRightInd/>
              <w:ind w:left="426"/>
              <w:contextualSpacing/>
              <w:rPr>
                <w:rFonts w:eastAsia="Calibri" w:cs="Times New Roman"/>
                <w:b/>
                <w:sz w:val="22"/>
                <w:szCs w:val="22"/>
                <w:lang w:eastAsia="en-US"/>
              </w:rPr>
            </w:pPr>
            <w:r w:rsidRPr="00146C23">
              <w:rPr>
                <w:rFonts w:eastAsia="Calibri" w:cs="Times New Roman"/>
                <w:b/>
                <w:sz w:val="22"/>
                <w:szCs w:val="22"/>
                <w:lang w:eastAsia="en-US"/>
              </w:rPr>
              <w:t>Vybrané vplyvy  materiálu</w:t>
            </w:r>
          </w:p>
        </w:tc>
      </w:tr>
      <w:tr w:rsidR="00146C23" w:rsidRPr="00146C23" w:rsidTr="00146C23">
        <w:tc>
          <w:tcPr>
            <w:tcW w:w="3812" w:type="dxa"/>
            <w:tcBorders>
              <w:top w:val="single" w:sz="4" w:space="0" w:color="auto"/>
              <w:left w:val="single" w:sz="4" w:space="0" w:color="auto"/>
              <w:bottom w:val="nil"/>
              <w:right w:val="single" w:sz="4" w:space="0" w:color="auto"/>
            </w:tcBorders>
            <w:shd w:val="clear" w:color="auto" w:fill="E2E2E2"/>
          </w:tcPr>
          <w:p w:rsidR="00146C23" w:rsidRPr="00146C23" w:rsidRDefault="00146C23" w:rsidP="00146C23">
            <w:pPr>
              <w:widowControl/>
              <w:adjustRightInd/>
              <w:rPr>
                <w:rFonts w:cs="Times New Roman"/>
                <w:b/>
                <w:sz w:val="20"/>
                <w:szCs w:val="20"/>
              </w:rPr>
            </w:pPr>
            <w:r w:rsidRPr="00146C23">
              <w:rPr>
                <w:rFonts w:cs="Times New Roman"/>
                <w:b/>
                <w:sz w:val="20"/>
                <w:szCs w:val="20"/>
              </w:rPr>
              <w:t>Vplyvy na rozpočet verejnej správy</w:t>
            </w:r>
          </w:p>
        </w:tc>
        <w:sdt>
          <w:sdtPr>
            <w:rPr>
              <w:rFonts w:cs="Times New Roman"/>
              <w:b/>
              <w:sz w:val="20"/>
              <w:szCs w:val="20"/>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146C23" w:rsidRPr="00146C23" w:rsidRDefault="00146C23" w:rsidP="00146C23">
                <w:pPr>
                  <w:widowControl/>
                  <w:adjustRightInd/>
                  <w:jc w:val="center"/>
                  <w:rPr>
                    <w:rFonts w:cs="Times New Roman"/>
                    <w:b/>
                    <w:sz w:val="20"/>
                    <w:szCs w:val="20"/>
                  </w:rPr>
                </w:pPr>
                <w:r w:rsidRPr="00146C23">
                  <w:rPr>
                    <w:rFonts w:ascii="Segoe UI Symbol" w:eastAsia="MS Gothic" w:hAnsi="Segoe UI Symbol" w:cs="Segoe UI Symbol"/>
                    <w:b/>
                    <w:sz w:val="20"/>
                    <w:szCs w:val="20"/>
                  </w:rPr>
                  <w:t>☒</w:t>
                </w:r>
              </w:p>
            </w:tc>
          </w:sdtContent>
        </w:sdt>
        <w:tc>
          <w:tcPr>
            <w:tcW w:w="1312" w:type="dxa"/>
            <w:gridSpan w:val="2"/>
            <w:tcBorders>
              <w:top w:val="single" w:sz="4" w:space="0" w:color="auto"/>
              <w:left w:val="nil"/>
              <w:bottom w:val="dotted" w:sz="4" w:space="0" w:color="auto"/>
              <w:right w:val="nil"/>
            </w:tcBorders>
          </w:tcPr>
          <w:p w:rsidR="00146C23" w:rsidRPr="00146C23" w:rsidRDefault="00146C23" w:rsidP="00146C23">
            <w:pPr>
              <w:widowControl/>
              <w:adjustRightInd/>
              <w:rPr>
                <w:rFonts w:cs="Times New Roman"/>
                <w:b/>
                <w:sz w:val="20"/>
                <w:szCs w:val="20"/>
              </w:rPr>
            </w:pPr>
            <w:r w:rsidRPr="00146C23">
              <w:rPr>
                <w:rFonts w:cs="Times New Roman"/>
                <w:b/>
                <w:sz w:val="20"/>
                <w:szCs w:val="20"/>
              </w:rPr>
              <w:t>Pozitívne</w:t>
            </w:r>
          </w:p>
        </w:tc>
        <w:sdt>
          <w:sdtPr>
            <w:rPr>
              <w:rFonts w:cs="Times New Roman"/>
              <w:b/>
              <w:sz w:val="20"/>
              <w:szCs w:val="20"/>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146C23" w:rsidRPr="00146C23" w:rsidRDefault="00146C23" w:rsidP="00146C23">
                <w:pPr>
                  <w:widowControl/>
                  <w:adjustRightInd/>
                  <w:jc w:val="center"/>
                  <w:rPr>
                    <w:rFonts w:cs="Times New Roman"/>
                    <w:b/>
                    <w:sz w:val="20"/>
                    <w:szCs w:val="20"/>
                  </w:rPr>
                </w:pPr>
                <w:r w:rsidRPr="00146C23">
                  <w:rPr>
                    <w:rFonts w:ascii="Segoe UI Symbol" w:eastAsia="MS Gothic" w:hAnsi="Segoe UI Symbol" w:cs="Segoe UI Symbol"/>
                    <w:b/>
                    <w:sz w:val="20"/>
                    <w:szCs w:val="20"/>
                  </w:rPr>
                  <w:t>☐</w:t>
                </w:r>
              </w:p>
            </w:tc>
          </w:sdtContent>
        </w:sdt>
        <w:tc>
          <w:tcPr>
            <w:tcW w:w="1133" w:type="dxa"/>
            <w:tcBorders>
              <w:top w:val="single" w:sz="4" w:space="0" w:color="auto"/>
              <w:left w:val="nil"/>
              <w:bottom w:val="dotted" w:sz="4" w:space="0" w:color="auto"/>
              <w:right w:val="nil"/>
            </w:tcBorders>
          </w:tcPr>
          <w:p w:rsidR="00146C23" w:rsidRPr="00146C23" w:rsidRDefault="00146C23" w:rsidP="00146C23">
            <w:pPr>
              <w:widowControl/>
              <w:adjustRightInd/>
              <w:rPr>
                <w:rFonts w:cs="Times New Roman"/>
                <w:b/>
                <w:sz w:val="20"/>
                <w:szCs w:val="20"/>
              </w:rPr>
            </w:pPr>
            <w:r w:rsidRPr="00146C23">
              <w:rPr>
                <w:rFonts w:cs="Times New Roman"/>
                <w:b/>
                <w:sz w:val="20"/>
                <w:szCs w:val="20"/>
              </w:rPr>
              <w:t>Žiadne</w:t>
            </w:r>
          </w:p>
        </w:tc>
        <w:sdt>
          <w:sdtPr>
            <w:rPr>
              <w:rFonts w:cs="Times New Roman"/>
              <w:b/>
              <w:sz w:val="20"/>
              <w:szCs w:val="20"/>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146C23" w:rsidRPr="00146C23" w:rsidRDefault="00146C23" w:rsidP="00146C23">
                <w:pPr>
                  <w:widowControl/>
                  <w:adjustRightInd/>
                  <w:ind w:left="-107" w:right="-108"/>
                  <w:jc w:val="center"/>
                  <w:rPr>
                    <w:rFonts w:cs="Times New Roman"/>
                    <w:b/>
                    <w:sz w:val="20"/>
                    <w:szCs w:val="20"/>
                  </w:rPr>
                </w:pPr>
                <w:r w:rsidRPr="00146C23">
                  <w:rPr>
                    <w:rFonts w:ascii="Segoe UI Symbol" w:eastAsia="MS Gothic" w:hAnsi="Segoe UI Symbol" w:cs="Segoe UI Symbol"/>
                    <w:b/>
                    <w:sz w:val="20"/>
                    <w:szCs w:val="20"/>
                  </w:rPr>
                  <w:t>☒</w:t>
                </w:r>
              </w:p>
            </w:tc>
          </w:sdtContent>
        </w:sdt>
        <w:tc>
          <w:tcPr>
            <w:tcW w:w="1297" w:type="dxa"/>
            <w:tcBorders>
              <w:top w:val="single" w:sz="4" w:space="0" w:color="auto"/>
              <w:left w:val="nil"/>
              <w:bottom w:val="dotted" w:sz="4" w:space="0" w:color="auto"/>
              <w:right w:val="single" w:sz="4" w:space="0" w:color="auto"/>
            </w:tcBorders>
          </w:tcPr>
          <w:p w:rsidR="00146C23" w:rsidRPr="00146C23" w:rsidRDefault="00146C23" w:rsidP="00146C23">
            <w:pPr>
              <w:widowControl/>
              <w:adjustRightInd/>
              <w:ind w:left="34"/>
              <w:rPr>
                <w:rFonts w:cs="Times New Roman"/>
                <w:b/>
                <w:sz w:val="20"/>
                <w:szCs w:val="20"/>
              </w:rPr>
            </w:pPr>
            <w:r w:rsidRPr="00146C23">
              <w:rPr>
                <w:rFonts w:cs="Times New Roman"/>
                <w:b/>
                <w:sz w:val="20"/>
                <w:szCs w:val="20"/>
              </w:rPr>
              <w:t>Negatívne</w:t>
            </w:r>
          </w:p>
        </w:tc>
      </w:tr>
      <w:tr w:rsidR="00146C23" w:rsidRPr="00146C23" w:rsidTr="00146C23">
        <w:tc>
          <w:tcPr>
            <w:tcW w:w="3812" w:type="dxa"/>
            <w:tcBorders>
              <w:top w:val="nil"/>
              <w:left w:val="single" w:sz="4" w:space="0" w:color="auto"/>
              <w:bottom w:val="nil"/>
              <w:right w:val="single" w:sz="4" w:space="0" w:color="auto"/>
            </w:tcBorders>
            <w:shd w:val="clear" w:color="auto" w:fill="E2E2E2"/>
          </w:tcPr>
          <w:p w:rsidR="00146C23" w:rsidRPr="00146C23" w:rsidRDefault="00146C23" w:rsidP="00146C23">
            <w:pPr>
              <w:widowControl/>
              <w:adjustRightInd/>
              <w:rPr>
                <w:rFonts w:cs="Times New Roman"/>
                <w:sz w:val="20"/>
                <w:szCs w:val="20"/>
              </w:rPr>
            </w:pPr>
            <w:r w:rsidRPr="00146C23">
              <w:rPr>
                <w:rFonts w:cs="Times New Roman"/>
                <w:sz w:val="20"/>
                <w:szCs w:val="20"/>
              </w:rPr>
              <w:t xml:space="preserve">    z toho rozpočtovo zabezpečené vplyvy,         </w:t>
            </w:r>
          </w:p>
          <w:p w:rsidR="00146C23" w:rsidRPr="00146C23" w:rsidRDefault="00146C23" w:rsidP="00146C23">
            <w:pPr>
              <w:widowControl/>
              <w:adjustRightInd/>
              <w:rPr>
                <w:rFonts w:cs="Times New Roman"/>
                <w:sz w:val="20"/>
                <w:szCs w:val="20"/>
              </w:rPr>
            </w:pPr>
            <w:r w:rsidRPr="00146C23">
              <w:rPr>
                <w:rFonts w:cs="Times New Roman"/>
                <w:sz w:val="20"/>
                <w:szCs w:val="20"/>
              </w:rPr>
              <w:t xml:space="preserve">    v prípade identifikovaného negatívneho </w:t>
            </w:r>
          </w:p>
          <w:p w:rsidR="00146C23" w:rsidRPr="00146C23" w:rsidRDefault="00146C23" w:rsidP="00146C23">
            <w:pPr>
              <w:widowControl/>
              <w:adjustRightInd/>
              <w:rPr>
                <w:rFonts w:cs="Times New Roman"/>
                <w:sz w:val="20"/>
                <w:szCs w:val="20"/>
              </w:rPr>
            </w:pPr>
            <w:r w:rsidRPr="00146C23">
              <w:rPr>
                <w:rFonts w:cs="Times New Roman"/>
                <w:sz w:val="20"/>
                <w:szCs w:val="20"/>
              </w:rPr>
              <w:t xml:space="preserve">    vplyvu</w:t>
            </w:r>
          </w:p>
        </w:tc>
        <w:sdt>
          <w:sdtPr>
            <w:rPr>
              <w:rFonts w:cs="Times New Roman"/>
              <w:sz w:val="20"/>
              <w:szCs w:val="20"/>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146C23" w:rsidRPr="00146C23" w:rsidRDefault="00146C23" w:rsidP="00146C23">
                <w:pPr>
                  <w:widowControl/>
                  <w:adjustRightInd/>
                  <w:jc w:val="center"/>
                  <w:rPr>
                    <w:rFonts w:cs="Times New Roman"/>
                    <w:sz w:val="20"/>
                    <w:szCs w:val="20"/>
                  </w:rPr>
                </w:pPr>
                <w:r w:rsidRPr="00146C23">
                  <w:rPr>
                    <w:rFonts w:ascii="Segoe UI Symbol" w:eastAsia="MS Gothic" w:hAnsi="Segoe UI Symbol" w:cs="Segoe UI Symbol"/>
                    <w:sz w:val="20"/>
                    <w:szCs w:val="20"/>
                  </w:rPr>
                  <w:t>☐</w:t>
                </w:r>
              </w:p>
            </w:tc>
          </w:sdtContent>
        </w:sdt>
        <w:tc>
          <w:tcPr>
            <w:tcW w:w="1312" w:type="dxa"/>
            <w:gridSpan w:val="2"/>
            <w:tcBorders>
              <w:top w:val="dotted" w:sz="4" w:space="0" w:color="auto"/>
              <w:left w:val="nil"/>
              <w:bottom w:val="dotted" w:sz="4" w:space="0" w:color="auto"/>
              <w:right w:val="nil"/>
            </w:tcBorders>
            <w:vAlign w:val="center"/>
          </w:tcPr>
          <w:p w:rsidR="00146C23" w:rsidRPr="00146C23" w:rsidRDefault="00146C23" w:rsidP="00146C23">
            <w:pPr>
              <w:widowControl/>
              <w:adjustRightInd/>
              <w:rPr>
                <w:rFonts w:cs="Times New Roman"/>
                <w:sz w:val="20"/>
                <w:szCs w:val="20"/>
              </w:rPr>
            </w:pPr>
            <w:r w:rsidRPr="00146C23">
              <w:rPr>
                <w:rFonts w:cs="Times New Roman"/>
                <w:sz w:val="20"/>
                <w:szCs w:val="20"/>
              </w:rPr>
              <w:t>Áno</w:t>
            </w:r>
          </w:p>
        </w:tc>
        <w:sdt>
          <w:sdtPr>
            <w:rPr>
              <w:rFonts w:cs="Times New Roman"/>
              <w:sz w:val="20"/>
              <w:szCs w:val="20"/>
            </w:rPr>
            <w:id w:val="40579842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146C23" w:rsidRPr="00146C23" w:rsidRDefault="00146C23" w:rsidP="00146C23">
                <w:pPr>
                  <w:widowControl/>
                  <w:adjustRightInd/>
                  <w:jc w:val="center"/>
                  <w:rPr>
                    <w:rFonts w:cs="Times New Roman"/>
                    <w:sz w:val="20"/>
                    <w:szCs w:val="20"/>
                  </w:rPr>
                </w:pPr>
                <w:r w:rsidRPr="00146C23">
                  <w:rPr>
                    <w:rFonts w:ascii="Segoe UI Symbol" w:eastAsia="MS Gothic" w:hAnsi="Segoe UI Symbol" w:cs="Segoe UI Symbol"/>
                    <w:sz w:val="20"/>
                    <w:szCs w:val="20"/>
                  </w:rPr>
                  <w:t>☒</w:t>
                </w:r>
              </w:p>
            </w:tc>
          </w:sdtContent>
        </w:sdt>
        <w:tc>
          <w:tcPr>
            <w:tcW w:w="1133" w:type="dxa"/>
            <w:tcBorders>
              <w:top w:val="dotted" w:sz="4" w:space="0" w:color="auto"/>
              <w:left w:val="nil"/>
              <w:bottom w:val="dotted" w:sz="4" w:space="0" w:color="auto"/>
              <w:right w:val="nil"/>
            </w:tcBorders>
            <w:vAlign w:val="center"/>
          </w:tcPr>
          <w:p w:rsidR="00146C23" w:rsidRPr="00146C23" w:rsidRDefault="00146C23" w:rsidP="00146C23">
            <w:pPr>
              <w:widowControl/>
              <w:adjustRightInd/>
              <w:rPr>
                <w:rFonts w:cs="Times New Roman"/>
                <w:sz w:val="20"/>
                <w:szCs w:val="20"/>
              </w:rPr>
            </w:pPr>
            <w:r w:rsidRPr="00146C23">
              <w:rPr>
                <w:rFonts w:cs="Times New Roman"/>
                <w:sz w:val="20"/>
                <w:szCs w:val="20"/>
              </w:rPr>
              <w:t>Nie</w:t>
            </w:r>
          </w:p>
        </w:tc>
        <w:sdt>
          <w:sdtPr>
            <w:rPr>
              <w:rFonts w:cs="Times New Roman"/>
              <w:sz w:val="20"/>
              <w:szCs w:val="20"/>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146C23" w:rsidRPr="00146C23" w:rsidRDefault="00146C23" w:rsidP="00146C23">
                <w:pPr>
                  <w:widowControl/>
                  <w:adjustRightInd/>
                  <w:ind w:left="-107" w:right="-108"/>
                  <w:jc w:val="center"/>
                  <w:rPr>
                    <w:rFonts w:cs="Times New Roman"/>
                    <w:sz w:val="20"/>
                    <w:szCs w:val="20"/>
                  </w:rPr>
                </w:pPr>
                <w:r w:rsidRPr="00146C23">
                  <w:rPr>
                    <w:rFonts w:ascii="Segoe UI Symbol" w:eastAsia="MS Gothic" w:hAnsi="Segoe UI Symbol" w:cs="Segoe UI Symbol"/>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rsidR="00146C23" w:rsidRPr="00146C23" w:rsidRDefault="00146C23" w:rsidP="00146C23">
            <w:pPr>
              <w:widowControl/>
              <w:adjustRightInd/>
              <w:ind w:left="34"/>
              <w:rPr>
                <w:rFonts w:cs="Times New Roman"/>
                <w:sz w:val="20"/>
                <w:szCs w:val="20"/>
              </w:rPr>
            </w:pPr>
            <w:r w:rsidRPr="00146C23">
              <w:rPr>
                <w:rFonts w:cs="Times New Roman"/>
                <w:sz w:val="20"/>
                <w:szCs w:val="20"/>
              </w:rPr>
              <w:t>Čiastočne</w:t>
            </w:r>
          </w:p>
        </w:tc>
      </w:tr>
      <w:tr w:rsidR="00146C23" w:rsidRPr="00146C23" w:rsidTr="00146C23">
        <w:tc>
          <w:tcPr>
            <w:tcW w:w="3812" w:type="dxa"/>
            <w:tcBorders>
              <w:top w:val="nil"/>
              <w:left w:val="single" w:sz="4" w:space="0" w:color="auto"/>
              <w:bottom w:val="nil"/>
              <w:right w:val="single" w:sz="4" w:space="0" w:color="auto"/>
            </w:tcBorders>
            <w:shd w:val="clear" w:color="auto" w:fill="E2E2E2"/>
          </w:tcPr>
          <w:p w:rsidR="00146C23" w:rsidRPr="00146C23" w:rsidRDefault="00146C23" w:rsidP="00146C23">
            <w:pPr>
              <w:widowControl/>
              <w:adjustRightInd/>
              <w:rPr>
                <w:rFonts w:cs="Times New Roman"/>
                <w:b/>
                <w:sz w:val="20"/>
                <w:szCs w:val="20"/>
              </w:rPr>
            </w:pPr>
            <w:r w:rsidRPr="00146C23">
              <w:rPr>
                <w:rFonts w:cs="Times New Roman"/>
                <w:b/>
                <w:sz w:val="20"/>
                <w:szCs w:val="20"/>
              </w:rPr>
              <w:t>v tom vplyvy na rozpočty obcí a vyšších územných celkov</w:t>
            </w:r>
          </w:p>
        </w:tc>
        <w:sdt>
          <w:sdtPr>
            <w:rPr>
              <w:rFonts w:cs="Times New Roman"/>
              <w:b/>
              <w:sz w:val="20"/>
              <w:szCs w:val="20"/>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146C23" w:rsidRPr="00146C23" w:rsidRDefault="00146C23" w:rsidP="00146C23">
                <w:pPr>
                  <w:widowControl/>
                  <w:adjustRightInd/>
                  <w:jc w:val="center"/>
                  <w:rPr>
                    <w:rFonts w:cs="Times New Roman"/>
                    <w:b/>
                    <w:sz w:val="20"/>
                    <w:szCs w:val="20"/>
                  </w:rPr>
                </w:pPr>
                <w:r w:rsidRPr="00146C23">
                  <w:rPr>
                    <w:rFonts w:ascii="Segoe UI Symbol" w:eastAsia="MS Gothic" w:hAnsi="Segoe UI Symbol" w:cs="Segoe UI Symbol"/>
                    <w:b/>
                    <w:sz w:val="20"/>
                    <w:szCs w:val="20"/>
                  </w:rPr>
                  <w:t>☐</w:t>
                </w:r>
              </w:p>
            </w:tc>
          </w:sdtContent>
        </w:sdt>
        <w:tc>
          <w:tcPr>
            <w:tcW w:w="1312" w:type="dxa"/>
            <w:gridSpan w:val="2"/>
            <w:tcBorders>
              <w:top w:val="dotted" w:sz="4" w:space="0" w:color="auto"/>
              <w:left w:val="nil"/>
              <w:bottom w:val="dotted" w:sz="4" w:space="0" w:color="auto"/>
              <w:right w:val="nil"/>
            </w:tcBorders>
          </w:tcPr>
          <w:p w:rsidR="00146C23" w:rsidRPr="00146C23" w:rsidRDefault="00146C23" w:rsidP="00146C23">
            <w:pPr>
              <w:widowControl/>
              <w:adjustRightInd/>
              <w:rPr>
                <w:rFonts w:cs="Times New Roman"/>
                <w:b/>
                <w:sz w:val="20"/>
                <w:szCs w:val="20"/>
              </w:rPr>
            </w:pPr>
            <w:r w:rsidRPr="00146C23">
              <w:rPr>
                <w:rFonts w:cs="Times New Roman"/>
                <w:b/>
                <w:sz w:val="20"/>
                <w:szCs w:val="20"/>
              </w:rPr>
              <w:t>Pozitívne</w:t>
            </w:r>
          </w:p>
        </w:tc>
        <w:sdt>
          <w:sdtPr>
            <w:rPr>
              <w:rFonts w:cs="Times New Roman"/>
              <w:b/>
              <w:sz w:val="20"/>
              <w:szCs w:val="20"/>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146C23" w:rsidRPr="00146C23" w:rsidRDefault="00146C23" w:rsidP="00146C23">
                <w:pPr>
                  <w:widowControl/>
                  <w:adjustRightInd/>
                  <w:jc w:val="center"/>
                  <w:rPr>
                    <w:rFonts w:cs="Times New Roman"/>
                    <w:b/>
                    <w:sz w:val="20"/>
                    <w:szCs w:val="20"/>
                  </w:rPr>
                </w:pPr>
                <w:r w:rsidRPr="00146C23">
                  <w:rPr>
                    <w:rFonts w:ascii="Segoe UI Symbol" w:eastAsia="MS Gothic" w:hAnsi="Segoe UI Symbol" w:cs="Segoe UI Symbol"/>
                    <w:b/>
                    <w:sz w:val="20"/>
                    <w:szCs w:val="20"/>
                  </w:rPr>
                  <w:t>☒</w:t>
                </w:r>
              </w:p>
            </w:tc>
          </w:sdtContent>
        </w:sdt>
        <w:tc>
          <w:tcPr>
            <w:tcW w:w="1133" w:type="dxa"/>
            <w:tcBorders>
              <w:top w:val="dotted" w:sz="4" w:space="0" w:color="auto"/>
              <w:left w:val="nil"/>
              <w:bottom w:val="dotted" w:sz="4" w:space="0" w:color="auto"/>
              <w:right w:val="nil"/>
            </w:tcBorders>
          </w:tcPr>
          <w:p w:rsidR="00146C23" w:rsidRPr="00146C23" w:rsidRDefault="00146C23" w:rsidP="00146C23">
            <w:pPr>
              <w:widowControl/>
              <w:adjustRightInd/>
              <w:rPr>
                <w:rFonts w:cs="Times New Roman"/>
                <w:b/>
                <w:sz w:val="20"/>
                <w:szCs w:val="20"/>
              </w:rPr>
            </w:pPr>
            <w:r w:rsidRPr="00146C23">
              <w:rPr>
                <w:rFonts w:cs="Times New Roman"/>
                <w:b/>
                <w:sz w:val="20"/>
                <w:szCs w:val="20"/>
              </w:rPr>
              <w:t>Žiadne</w:t>
            </w:r>
          </w:p>
        </w:tc>
        <w:sdt>
          <w:sdtPr>
            <w:rPr>
              <w:rFonts w:cs="Times New Roman"/>
              <w:b/>
              <w:sz w:val="20"/>
              <w:szCs w:val="20"/>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146C23" w:rsidRPr="00146C23" w:rsidRDefault="00146C23" w:rsidP="00146C23">
                <w:pPr>
                  <w:widowControl/>
                  <w:adjustRightInd/>
                  <w:ind w:left="-107" w:right="-108"/>
                  <w:jc w:val="center"/>
                  <w:rPr>
                    <w:rFonts w:cs="Times New Roman"/>
                    <w:b/>
                    <w:sz w:val="20"/>
                    <w:szCs w:val="20"/>
                  </w:rPr>
                </w:pPr>
                <w:r w:rsidRPr="00146C23">
                  <w:rPr>
                    <w:rFonts w:ascii="Segoe UI Symbol" w:eastAsia="MS Gothic" w:hAnsi="Segoe UI Symbol" w:cs="Segoe UI Symbol"/>
                    <w:b/>
                    <w:sz w:val="20"/>
                    <w:szCs w:val="20"/>
                  </w:rPr>
                  <w:t>☐</w:t>
                </w:r>
              </w:p>
            </w:tc>
          </w:sdtContent>
        </w:sdt>
        <w:tc>
          <w:tcPr>
            <w:tcW w:w="1297" w:type="dxa"/>
            <w:tcBorders>
              <w:top w:val="dotted" w:sz="4" w:space="0" w:color="auto"/>
              <w:left w:val="nil"/>
              <w:bottom w:val="dotted" w:sz="4" w:space="0" w:color="auto"/>
              <w:right w:val="single" w:sz="4" w:space="0" w:color="auto"/>
            </w:tcBorders>
          </w:tcPr>
          <w:p w:rsidR="00146C23" w:rsidRPr="00146C23" w:rsidRDefault="00146C23" w:rsidP="00146C23">
            <w:pPr>
              <w:widowControl/>
              <w:adjustRightInd/>
              <w:ind w:left="34"/>
              <w:rPr>
                <w:rFonts w:cs="Times New Roman"/>
                <w:b/>
                <w:sz w:val="20"/>
                <w:szCs w:val="20"/>
              </w:rPr>
            </w:pPr>
            <w:r w:rsidRPr="00146C23">
              <w:rPr>
                <w:rFonts w:cs="Times New Roman"/>
                <w:b/>
                <w:sz w:val="20"/>
                <w:szCs w:val="20"/>
              </w:rPr>
              <w:t>Negatívne</w:t>
            </w:r>
          </w:p>
        </w:tc>
      </w:tr>
      <w:tr w:rsidR="00146C23" w:rsidRPr="00146C23" w:rsidTr="00146C23">
        <w:tc>
          <w:tcPr>
            <w:tcW w:w="3812" w:type="dxa"/>
            <w:tcBorders>
              <w:top w:val="nil"/>
              <w:left w:val="single" w:sz="4" w:space="0" w:color="auto"/>
              <w:bottom w:val="single" w:sz="4" w:space="0" w:color="auto"/>
              <w:right w:val="single" w:sz="4" w:space="0" w:color="auto"/>
            </w:tcBorders>
            <w:shd w:val="clear" w:color="auto" w:fill="E2E2E2"/>
          </w:tcPr>
          <w:p w:rsidR="00146C23" w:rsidRPr="00146C23" w:rsidRDefault="00146C23" w:rsidP="00146C23">
            <w:pPr>
              <w:widowControl/>
              <w:adjustRightInd/>
              <w:ind w:left="171"/>
              <w:rPr>
                <w:rFonts w:cs="Times New Roman"/>
                <w:sz w:val="20"/>
                <w:szCs w:val="20"/>
              </w:rPr>
            </w:pPr>
            <w:r w:rsidRPr="00146C23">
              <w:rPr>
                <w:rFonts w:cs="Times New Roman"/>
                <w:sz w:val="20"/>
                <w:szCs w:val="20"/>
              </w:rPr>
              <w:t>z toho rozpočtovo zabezpečené vplyvy,</w:t>
            </w:r>
          </w:p>
          <w:p w:rsidR="00146C23" w:rsidRPr="00146C23" w:rsidRDefault="00146C23" w:rsidP="00146C23">
            <w:pPr>
              <w:widowControl/>
              <w:adjustRightInd/>
              <w:ind w:left="171"/>
              <w:rPr>
                <w:rFonts w:cs="Times New Roman"/>
                <w:sz w:val="20"/>
                <w:szCs w:val="20"/>
              </w:rPr>
            </w:pPr>
            <w:r w:rsidRPr="00146C23">
              <w:rPr>
                <w:rFonts w:cs="Times New Roman"/>
                <w:sz w:val="20"/>
                <w:szCs w:val="20"/>
              </w:rPr>
              <w:t>v prípade identifikovaného negatívneho vplyvu</w:t>
            </w:r>
          </w:p>
        </w:tc>
        <w:sdt>
          <w:sdtPr>
            <w:rPr>
              <w:rFonts w:cs="Times New Roman"/>
              <w:sz w:val="20"/>
              <w:szCs w:val="20"/>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146C23" w:rsidRPr="00146C23" w:rsidRDefault="00146C23" w:rsidP="00146C23">
                <w:pPr>
                  <w:widowControl/>
                  <w:adjustRightInd/>
                  <w:jc w:val="center"/>
                  <w:rPr>
                    <w:rFonts w:cs="Times New Roman"/>
                    <w:sz w:val="20"/>
                    <w:szCs w:val="20"/>
                  </w:rPr>
                </w:pPr>
                <w:r w:rsidRPr="00146C23">
                  <w:rPr>
                    <w:rFonts w:ascii="Segoe UI Symbol" w:eastAsia="MS Gothic" w:hAnsi="Segoe UI Symbol" w:cs="Segoe UI Symbol"/>
                    <w:sz w:val="20"/>
                    <w:szCs w:val="20"/>
                  </w:rPr>
                  <w:t>☐</w:t>
                </w:r>
              </w:p>
            </w:tc>
          </w:sdtContent>
        </w:sdt>
        <w:tc>
          <w:tcPr>
            <w:tcW w:w="1312" w:type="dxa"/>
            <w:gridSpan w:val="2"/>
            <w:tcBorders>
              <w:top w:val="dotted" w:sz="4" w:space="0" w:color="auto"/>
              <w:left w:val="nil"/>
              <w:bottom w:val="single" w:sz="4" w:space="0" w:color="auto"/>
              <w:right w:val="nil"/>
            </w:tcBorders>
            <w:vAlign w:val="center"/>
          </w:tcPr>
          <w:p w:rsidR="00146C23" w:rsidRPr="00146C23" w:rsidRDefault="00146C23" w:rsidP="00146C23">
            <w:pPr>
              <w:widowControl/>
              <w:adjustRightInd/>
              <w:rPr>
                <w:rFonts w:cs="Times New Roman"/>
                <w:sz w:val="20"/>
                <w:szCs w:val="20"/>
              </w:rPr>
            </w:pPr>
            <w:r w:rsidRPr="00146C23">
              <w:rPr>
                <w:rFonts w:cs="Times New Roman"/>
                <w:sz w:val="20"/>
                <w:szCs w:val="20"/>
              </w:rPr>
              <w:t>Áno</w:t>
            </w:r>
          </w:p>
        </w:tc>
        <w:sdt>
          <w:sdtPr>
            <w:rPr>
              <w:rFonts w:cs="Times New Roman"/>
              <w:sz w:val="20"/>
              <w:szCs w:val="20"/>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146C23" w:rsidRPr="00146C23" w:rsidRDefault="00146C23" w:rsidP="00146C23">
                <w:pPr>
                  <w:widowControl/>
                  <w:adjustRightInd/>
                  <w:jc w:val="center"/>
                  <w:rPr>
                    <w:rFonts w:cs="Times New Roman"/>
                    <w:sz w:val="20"/>
                    <w:szCs w:val="20"/>
                  </w:rPr>
                </w:pPr>
                <w:r w:rsidRPr="00146C23">
                  <w:rPr>
                    <w:rFonts w:ascii="Segoe UI Symbol" w:eastAsia="MS Gothic" w:hAnsi="Segoe UI Symbol" w:cs="Segoe UI Symbol"/>
                    <w:sz w:val="20"/>
                    <w:szCs w:val="20"/>
                  </w:rPr>
                  <w:t>☐</w:t>
                </w:r>
              </w:p>
            </w:tc>
          </w:sdtContent>
        </w:sdt>
        <w:tc>
          <w:tcPr>
            <w:tcW w:w="1133" w:type="dxa"/>
            <w:tcBorders>
              <w:top w:val="dotted" w:sz="4" w:space="0" w:color="auto"/>
              <w:left w:val="nil"/>
              <w:bottom w:val="single" w:sz="4" w:space="0" w:color="auto"/>
              <w:right w:val="nil"/>
            </w:tcBorders>
            <w:vAlign w:val="center"/>
          </w:tcPr>
          <w:p w:rsidR="00146C23" w:rsidRPr="00146C23" w:rsidRDefault="00146C23" w:rsidP="00146C23">
            <w:pPr>
              <w:widowControl/>
              <w:adjustRightInd/>
              <w:rPr>
                <w:rFonts w:cs="Times New Roman"/>
                <w:sz w:val="20"/>
                <w:szCs w:val="20"/>
              </w:rPr>
            </w:pPr>
            <w:r w:rsidRPr="00146C23">
              <w:rPr>
                <w:rFonts w:cs="Times New Roman"/>
                <w:sz w:val="20"/>
                <w:szCs w:val="20"/>
              </w:rPr>
              <w:t>Nie</w:t>
            </w:r>
          </w:p>
        </w:tc>
        <w:sdt>
          <w:sdtPr>
            <w:rPr>
              <w:rFonts w:cs="Times New Roman"/>
              <w:sz w:val="20"/>
              <w:szCs w:val="20"/>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146C23" w:rsidRPr="00146C23" w:rsidRDefault="00146C23" w:rsidP="00146C23">
                <w:pPr>
                  <w:widowControl/>
                  <w:adjustRightInd/>
                  <w:ind w:left="-107" w:right="-108"/>
                  <w:jc w:val="center"/>
                  <w:rPr>
                    <w:rFonts w:cs="Times New Roman"/>
                    <w:sz w:val="20"/>
                    <w:szCs w:val="20"/>
                  </w:rPr>
                </w:pPr>
                <w:r w:rsidRPr="00146C23">
                  <w:rPr>
                    <w:rFonts w:ascii="Segoe UI Symbol" w:eastAsia="MS Gothic" w:hAnsi="Segoe UI Symbol" w:cs="Segoe UI Symbol"/>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rsidR="00146C23" w:rsidRPr="00146C23" w:rsidRDefault="00146C23" w:rsidP="00146C23">
            <w:pPr>
              <w:widowControl/>
              <w:adjustRightInd/>
              <w:ind w:left="34"/>
              <w:rPr>
                <w:rFonts w:cs="Times New Roman"/>
                <w:sz w:val="20"/>
                <w:szCs w:val="20"/>
              </w:rPr>
            </w:pPr>
            <w:r w:rsidRPr="00146C23">
              <w:rPr>
                <w:rFonts w:cs="Times New Roman"/>
                <w:sz w:val="20"/>
                <w:szCs w:val="20"/>
              </w:rPr>
              <w:t>Čiastočne</w:t>
            </w:r>
          </w:p>
        </w:tc>
      </w:tr>
      <w:tr w:rsidR="00146C23" w:rsidRPr="00146C23" w:rsidTr="00146C23">
        <w:tc>
          <w:tcPr>
            <w:tcW w:w="3812" w:type="dxa"/>
            <w:tcBorders>
              <w:top w:val="single" w:sz="4" w:space="0" w:color="auto"/>
              <w:left w:val="single" w:sz="4" w:space="0" w:color="auto"/>
              <w:bottom w:val="single" w:sz="4" w:space="0" w:color="auto"/>
              <w:right w:val="single" w:sz="4" w:space="0" w:color="auto"/>
            </w:tcBorders>
            <w:shd w:val="clear" w:color="auto" w:fill="E2E2E2"/>
          </w:tcPr>
          <w:p w:rsidR="00146C23" w:rsidRPr="00146C23" w:rsidRDefault="00146C23" w:rsidP="00146C23">
            <w:pPr>
              <w:widowControl/>
              <w:adjustRightInd/>
              <w:ind w:left="171"/>
              <w:rPr>
                <w:rFonts w:cs="Times New Roman"/>
                <w:sz w:val="20"/>
                <w:szCs w:val="20"/>
              </w:rPr>
            </w:pPr>
            <w:r w:rsidRPr="00146C23">
              <w:rPr>
                <w:rFonts w:cs="Times New Roman"/>
                <w:sz w:val="20"/>
                <w:szCs w:val="20"/>
              </w:rPr>
              <w:t>Vplyv na dlhodobú udržateľnosť verejných financií v prípade vybraných opatrení ***</w:t>
            </w:r>
          </w:p>
        </w:tc>
        <w:sdt>
          <w:sdtPr>
            <w:rPr>
              <w:rFonts w:cs="Times New Roman"/>
              <w:sz w:val="20"/>
              <w:szCs w:val="20"/>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146C23" w:rsidRPr="00146C23" w:rsidRDefault="00146C23" w:rsidP="00146C23">
                <w:pPr>
                  <w:widowControl/>
                  <w:adjustRightInd/>
                  <w:jc w:val="center"/>
                  <w:rPr>
                    <w:rFonts w:cs="Times New Roman"/>
                    <w:sz w:val="20"/>
                    <w:szCs w:val="20"/>
                  </w:rPr>
                </w:pPr>
                <w:r w:rsidRPr="00146C23">
                  <w:rPr>
                    <w:rFonts w:ascii="Segoe UI Symbol" w:eastAsia="MS Gothic" w:hAnsi="Segoe UI Symbol" w:cs="Segoe UI Symbol"/>
                    <w:sz w:val="20"/>
                    <w:szCs w:val="20"/>
                  </w:rPr>
                  <w:t>☐</w:t>
                </w:r>
              </w:p>
            </w:tc>
          </w:sdtContent>
        </w:sdt>
        <w:tc>
          <w:tcPr>
            <w:tcW w:w="1312" w:type="dxa"/>
            <w:gridSpan w:val="2"/>
            <w:tcBorders>
              <w:top w:val="single" w:sz="4" w:space="0" w:color="auto"/>
              <w:left w:val="nil"/>
              <w:bottom w:val="single" w:sz="4" w:space="0" w:color="auto"/>
              <w:right w:val="nil"/>
            </w:tcBorders>
            <w:vAlign w:val="center"/>
          </w:tcPr>
          <w:p w:rsidR="00146C23" w:rsidRPr="00146C23" w:rsidRDefault="00146C23" w:rsidP="00146C23">
            <w:pPr>
              <w:widowControl/>
              <w:adjustRightInd/>
              <w:rPr>
                <w:rFonts w:cs="Times New Roman"/>
                <w:sz w:val="20"/>
                <w:szCs w:val="20"/>
              </w:rPr>
            </w:pPr>
            <w:r w:rsidRPr="00146C23">
              <w:rPr>
                <w:rFonts w:cs="Times New Roman"/>
                <w:sz w:val="20"/>
                <w:szCs w:val="20"/>
              </w:rPr>
              <w:t>Áno</w:t>
            </w:r>
          </w:p>
        </w:tc>
        <w:tc>
          <w:tcPr>
            <w:tcW w:w="538" w:type="dxa"/>
            <w:gridSpan w:val="2"/>
            <w:tcBorders>
              <w:top w:val="single" w:sz="4" w:space="0" w:color="auto"/>
              <w:left w:val="nil"/>
              <w:bottom w:val="single" w:sz="4" w:space="0" w:color="auto"/>
              <w:right w:val="nil"/>
            </w:tcBorders>
            <w:vAlign w:val="center"/>
          </w:tcPr>
          <w:p w:rsidR="00146C23" w:rsidRPr="00146C23" w:rsidRDefault="00146C23" w:rsidP="00146C23">
            <w:pPr>
              <w:widowControl/>
              <w:adjustRightInd/>
              <w:jc w:val="center"/>
              <w:rPr>
                <w:rFonts w:cs="Times New Roman"/>
                <w:sz w:val="20"/>
                <w:szCs w:val="20"/>
              </w:rPr>
            </w:pPr>
          </w:p>
        </w:tc>
        <w:tc>
          <w:tcPr>
            <w:tcW w:w="1133" w:type="dxa"/>
            <w:tcBorders>
              <w:top w:val="single" w:sz="4" w:space="0" w:color="auto"/>
              <w:left w:val="nil"/>
              <w:bottom w:val="single" w:sz="4" w:space="0" w:color="auto"/>
              <w:right w:val="nil"/>
            </w:tcBorders>
            <w:vAlign w:val="center"/>
          </w:tcPr>
          <w:p w:rsidR="00146C23" w:rsidRPr="00146C23" w:rsidRDefault="00146C23" w:rsidP="00146C23">
            <w:pPr>
              <w:widowControl/>
              <w:adjustRightInd/>
              <w:rPr>
                <w:rFonts w:cs="Times New Roman"/>
                <w:sz w:val="20"/>
                <w:szCs w:val="20"/>
              </w:rPr>
            </w:pPr>
          </w:p>
        </w:tc>
        <w:sdt>
          <w:sdtPr>
            <w:rPr>
              <w:rFonts w:cs="Times New Roman"/>
              <w:sz w:val="20"/>
              <w:szCs w:val="20"/>
            </w:rPr>
            <w:id w:val="217795167"/>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146C23" w:rsidRPr="00146C23" w:rsidRDefault="00146C23" w:rsidP="00146C23">
                <w:pPr>
                  <w:widowControl/>
                  <w:adjustRightInd/>
                  <w:ind w:left="-107" w:right="-108"/>
                  <w:jc w:val="center"/>
                  <w:rPr>
                    <w:rFonts w:cs="Times New Roman"/>
                    <w:sz w:val="20"/>
                    <w:szCs w:val="20"/>
                  </w:rPr>
                </w:pPr>
                <w:r w:rsidRPr="00146C23">
                  <w:rPr>
                    <w:rFonts w:ascii="Segoe UI Symbol" w:eastAsia="MS Gothic" w:hAnsi="Segoe UI Symbol" w:cs="Segoe UI Symbol"/>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rsidR="00146C23" w:rsidRPr="00146C23" w:rsidRDefault="00146C23" w:rsidP="00146C23">
            <w:pPr>
              <w:widowControl/>
              <w:adjustRightInd/>
              <w:ind w:left="34"/>
              <w:rPr>
                <w:rFonts w:cs="Times New Roman"/>
                <w:sz w:val="20"/>
                <w:szCs w:val="20"/>
              </w:rPr>
            </w:pPr>
            <w:r w:rsidRPr="00146C23">
              <w:rPr>
                <w:rFonts w:cs="Times New Roman"/>
                <w:sz w:val="20"/>
                <w:szCs w:val="20"/>
              </w:rPr>
              <w:t>Nie</w:t>
            </w:r>
          </w:p>
        </w:tc>
      </w:tr>
      <w:tr w:rsidR="00146C23" w:rsidRPr="00146C23" w:rsidTr="00146C23">
        <w:tc>
          <w:tcPr>
            <w:tcW w:w="3812" w:type="dxa"/>
            <w:tcBorders>
              <w:top w:val="single" w:sz="4" w:space="0" w:color="auto"/>
              <w:left w:val="single" w:sz="4" w:space="0" w:color="auto"/>
              <w:bottom w:val="single" w:sz="4" w:space="0" w:color="auto"/>
              <w:right w:val="single" w:sz="4" w:space="0" w:color="auto"/>
            </w:tcBorders>
            <w:shd w:val="clear" w:color="auto" w:fill="E2E2E2"/>
          </w:tcPr>
          <w:p w:rsidR="00146C23" w:rsidRPr="00146C23" w:rsidRDefault="00146C23" w:rsidP="00146C23">
            <w:pPr>
              <w:widowControl/>
              <w:adjustRightInd/>
              <w:rPr>
                <w:rFonts w:cs="Times New Roman"/>
                <w:b/>
                <w:sz w:val="20"/>
                <w:szCs w:val="20"/>
              </w:rPr>
            </w:pPr>
            <w:r w:rsidRPr="00146C23">
              <w:rPr>
                <w:rFonts w:cs="Times New Roman"/>
                <w:b/>
                <w:sz w:val="20"/>
                <w:szCs w:val="20"/>
              </w:rPr>
              <w:t>Vplyvy na limit verejných výdavkov</w:t>
            </w:r>
          </w:p>
        </w:tc>
        <w:sdt>
          <w:sdtPr>
            <w:rPr>
              <w:rFonts w:cs="Times New Roman"/>
              <w:b/>
              <w:sz w:val="20"/>
              <w:szCs w:val="20"/>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146C23" w:rsidRPr="00146C23" w:rsidRDefault="00146C23" w:rsidP="00146C23">
                <w:pPr>
                  <w:widowControl/>
                  <w:adjustRightInd/>
                  <w:jc w:val="center"/>
                  <w:rPr>
                    <w:rFonts w:cs="Times New Roman"/>
                    <w:sz w:val="20"/>
                    <w:szCs w:val="20"/>
                  </w:rPr>
                </w:pPr>
                <w:r w:rsidRPr="00146C23">
                  <w:rPr>
                    <w:rFonts w:eastAsia="MS Gothic" w:cs="Times New Roman" w:hint="eastAsia"/>
                    <w:b/>
                    <w:sz w:val="20"/>
                    <w:szCs w:val="20"/>
                  </w:rPr>
                  <w:t>☐</w:t>
                </w:r>
              </w:p>
            </w:tc>
          </w:sdtContent>
        </w:sdt>
        <w:tc>
          <w:tcPr>
            <w:tcW w:w="1312" w:type="dxa"/>
            <w:gridSpan w:val="2"/>
            <w:tcBorders>
              <w:top w:val="single" w:sz="4" w:space="0" w:color="auto"/>
              <w:left w:val="nil"/>
              <w:bottom w:val="single" w:sz="4" w:space="0" w:color="auto"/>
              <w:right w:val="nil"/>
            </w:tcBorders>
            <w:vAlign w:val="center"/>
          </w:tcPr>
          <w:p w:rsidR="00146C23" w:rsidRPr="00146C23" w:rsidRDefault="00146C23" w:rsidP="00146C23">
            <w:pPr>
              <w:widowControl/>
              <w:adjustRightInd/>
              <w:rPr>
                <w:rFonts w:cs="Times New Roman"/>
                <w:sz w:val="20"/>
                <w:szCs w:val="20"/>
              </w:rPr>
            </w:pPr>
            <w:r w:rsidRPr="00146C23">
              <w:rPr>
                <w:rFonts w:cs="Times New Roman"/>
                <w:b/>
                <w:sz w:val="20"/>
                <w:szCs w:val="20"/>
              </w:rPr>
              <w:t>Pozitívne</w:t>
            </w:r>
          </w:p>
        </w:tc>
        <w:sdt>
          <w:sdtPr>
            <w:rPr>
              <w:rFonts w:cs="Times New Roman"/>
              <w:b/>
              <w:sz w:val="20"/>
              <w:szCs w:val="20"/>
            </w:rPr>
            <w:id w:val="1766731543"/>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146C23" w:rsidRPr="00146C23" w:rsidRDefault="00146C23" w:rsidP="00146C23">
                <w:pPr>
                  <w:widowControl/>
                  <w:adjustRightInd/>
                  <w:jc w:val="center"/>
                  <w:rPr>
                    <w:rFonts w:cs="Times New Roman"/>
                    <w:sz w:val="20"/>
                    <w:szCs w:val="20"/>
                  </w:rPr>
                </w:pPr>
                <w:r w:rsidRPr="00146C23">
                  <w:rPr>
                    <w:rFonts w:eastAsia="MS Gothic" w:cs="Times New Roman" w:hint="eastAsia"/>
                    <w:b/>
                    <w:sz w:val="20"/>
                    <w:szCs w:val="20"/>
                  </w:rPr>
                  <w:t>☐</w:t>
                </w:r>
              </w:p>
            </w:tc>
          </w:sdtContent>
        </w:sdt>
        <w:tc>
          <w:tcPr>
            <w:tcW w:w="1133" w:type="dxa"/>
            <w:tcBorders>
              <w:top w:val="single" w:sz="4" w:space="0" w:color="auto"/>
              <w:left w:val="nil"/>
              <w:bottom w:val="single" w:sz="4" w:space="0" w:color="auto"/>
              <w:right w:val="nil"/>
            </w:tcBorders>
            <w:vAlign w:val="center"/>
          </w:tcPr>
          <w:p w:rsidR="00146C23" w:rsidRPr="00146C23" w:rsidRDefault="00146C23" w:rsidP="00146C23">
            <w:pPr>
              <w:widowControl/>
              <w:adjustRightInd/>
              <w:rPr>
                <w:rFonts w:cs="Times New Roman"/>
                <w:sz w:val="20"/>
                <w:szCs w:val="20"/>
              </w:rPr>
            </w:pPr>
            <w:r w:rsidRPr="00146C23">
              <w:rPr>
                <w:rFonts w:cs="Times New Roman"/>
                <w:b/>
                <w:sz w:val="20"/>
                <w:szCs w:val="20"/>
              </w:rPr>
              <w:t>Žiadne</w:t>
            </w:r>
          </w:p>
        </w:tc>
        <w:sdt>
          <w:sdtPr>
            <w:rPr>
              <w:rFonts w:cs="Times New Roman"/>
              <w:b/>
              <w:sz w:val="20"/>
              <w:szCs w:val="20"/>
            </w:rPr>
            <w:id w:val="1889299136"/>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146C23" w:rsidRPr="00146C23" w:rsidRDefault="00146C23" w:rsidP="00146C23">
                <w:pPr>
                  <w:widowControl/>
                  <w:adjustRightInd/>
                  <w:ind w:left="-107" w:right="-108"/>
                  <w:jc w:val="center"/>
                  <w:rPr>
                    <w:rFonts w:cs="Times New Roman"/>
                    <w:sz w:val="20"/>
                    <w:szCs w:val="20"/>
                  </w:rPr>
                </w:pPr>
                <w:r w:rsidRPr="00146C23">
                  <w:rPr>
                    <w:rFonts w:eastAsia="MS Gothic" w:cs="Times New Roman" w:hint="eastAsia"/>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rsidR="00146C23" w:rsidRPr="00146C23" w:rsidRDefault="00146C23" w:rsidP="00146C23">
            <w:pPr>
              <w:widowControl/>
              <w:adjustRightInd/>
              <w:ind w:left="34"/>
              <w:rPr>
                <w:rFonts w:cs="Times New Roman"/>
                <w:sz w:val="20"/>
                <w:szCs w:val="20"/>
              </w:rPr>
            </w:pPr>
            <w:r w:rsidRPr="00146C23">
              <w:rPr>
                <w:rFonts w:cs="Times New Roman"/>
                <w:b/>
                <w:sz w:val="20"/>
                <w:szCs w:val="20"/>
              </w:rPr>
              <w:t>Negatívne</w:t>
            </w:r>
          </w:p>
        </w:tc>
      </w:tr>
      <w:tr w:rsidR="00146C23" w:rsidRPr="00146C23" w:rsidTr="00146C23">
        <w:tc>
          <w:tcPr>
            <w:tcW w:w="3812" w:type="dxa"/>
            <w:tcBorders>
              <w:top w:val="single" w:sz="4" w:space="0" w:color="auto"/>
              <w:left w:val="single" w:sz="4" w:space="0" w:color="auto"/>
              <w:bottom w:val="nil"/>
              <w:right w:val="single" w:sz="4" w:space="0" w:color="auto"/>
            </w:tcBorders>
            <w:shd w:val="clear" w:color="auto" w:fill="E2E2E2"/>
          </w:tcPr>
          <w:p w:rsidR="00146C23" w:rsidRPr="00146C23" w:rsidRDefault="00146C23" w:rsidP="00146C23">
            <w:pPr>
              <w:widowControl/>
              <w:adjustRightInd/>
              <w:rPr>
                <w:rFonts w:cs="Times New Roman"/>
                <w:b/>
                <w:sz w:val="20"/>
                <w:szCs w:val="20"/>
              </w:rPr>
            </w:pPr>
            <w:r w:rsidRPr="00146C23">
              <w:rPr>
                <w:rFonts w:cs="Times New Roman"/>
                <w:b/>
                <w:sz w:val="20"/>
                <w:szCs w:val="20"/>
              </w:rPr>
              <w:t>Vplyvy na podnikateľské prostredie</w:t>
            </w:r>
          </w:p>
        </w:tc>
        <w:sdt>
          <w:sdtPr>
            <w:rPr>
              <w:rFonts w:cs="Times New Roman"/>
              <w:b/>
              <w:sz w:val="20"/>
              <w:szCs w:val="20"/>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146C23" w:rsidRPr="00146C23" w:rsidRDefault="00146C23" w:rsidP="00146C23">
                <w:pPr>
                  <w:widowControl/>
                  <w:adjustRightInd/>
                  <w:jc w:val="center"/>
                  <w:rPr>
                    <w:rFonts w:cs="Times New Roman"/>
                    <w:b/>
                    <w:sz w:val="20"/>
                    <w:szCs w:val="20"/>
                  </w:rPr>
                </w:pPr>
                <w:r w:rsidRPr="00146C23">
                  <w:rPr>
                    <w:rFonts w:ascii="Segoe UI Symbol" w:eastAsia="MS Gothic" w:hAnsi="Segoe UI Symbol" w:cs="Segoe UI Symbol"/>
                    <w:b/>
                    <w:sz w:val="20"/>
                    <w:szCs w:val="20"/>
                  </w:rPr>
                  <w:t>☒</w:t>
                </w:r>
              </w:p>
            </w:tc>
          </w:sdtContent>
        </w:sdt>
        <w:tc>
          <w:tcPr>
            <w:tcW w:w="1312" w:type="dxa"/>
            <w:gridSpan w:val="2"/>
            <w:tcBorders>
              <w:top w:val="single" w:sz="4" w:space="0" w:color="auto"/>
              <w:left w:val="nil"/>
              <w:bottom w:val="dotted" w:sz="4" w:space="0" w:color="auto"/>
              <w:right w:val="nil"/>
            </w:tcBorders>
            <w:vAlign w:val="center"/>
          </w:tcPr>
          <w:p w:rsidR="00146C23" w:rsidRPr="00146C23" w:rsidRDefault="00146C23" w:rsidP="00146C23">
            <w:pPr>
              <w:widowControl/>
              <w:adjustRightInd/>
              <w:ind w:right="-108"/>
              <w:rPr>
                <w:rFonts w:cs="Times New Roman"/>
                <w:b/>
                <w:sz w:val="20"/>
                <w:szCs w:val="20"/>
              </w:rPr>
            </w:pPr>
            <w:r w:rsidRPr="00146C23">
              <w:rPr>
                <w:rFonts w:cs="Times New Roman"/>
                <w:b/>
                <w:sz w:val="20"/>
                <w:szCs w:val="20"/>
              </w:rPr>
              <w:t>Pozitívne</w:t>
            </w:r>
          </w:p>
        </w:tc>
        <w:sdt>
          <w:sdtPr>
            <w:rPr>
              <w:rFonts w:cs="Times New Roman"/>
              <w:b/>
              <w:sz w:val="20"/>
              <w:szCs w:val="20"/>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146C23" w:rsidRPr="00146C23" w:rsidRDefault="00146C23" w:rsidP="00146C23">
                <w:pPr>
                  <w:widowControl/>
                  <w:adjustRightInd/>
                  <w:jc w:val="center"/>
                  <w:rPr>
                    <w:rFonts w:cs="Times New Roman"/>
                    <w:b/>
                    <w:sz w:val="20"/>
                    <w:szCs w:val="20"/>
                  </w:rPr>
                </w:pPr>
                <w:r w:rsidRPr="00146C23">
                  <w:rPr>
                    <w:rFonts w:ascii="Segoe UI Symbol" w:eastAsia="MS Gothic" w:hAnsi="Segoe UI Symbol" w:cs="Segoe UI Symbol"/>
                    <w:b/>
                    <w:sz w:val="20"/>
                    <w:szCs w:val="20"/>
                  </w:rPr>
                  <w:t>☐</w:t>
                </w:r>
              </w:p>
            </w:tc>
          </w:sdtContent>
        </w:sdt>
        <w:tc>
          <w:tcPr>
            <w:tcW w:w="1133" w:type="dxa"/>
            <w:tcBorders>
              <w:top w:val="single" w:sz="4" w:space="0" w:color="auto"/>
              <w:left w:val="nil"/>
              <w:bottom w:val="dotted" w:sz="4" w:space="0" w:color="auto"/>
              <w:right w:val="nil"/>
            </w:tcBorders>
            <w:vAlign w:val="center"/>
          </w:tcPr>
          <w:p w:rsidR="00146C23" w:rsidRPr="00146C23" w:rsidRDefault="00146C23" w:rsidP="00146C23">
            <w:pPr>
              <w:widowControl/>
              <w:adjustRightInd/>
              <w:rPr>
                <w:rFonts w:cs="Times New Roman"/>
                <w:b/>
                <w:sz w:val="20"/>
                <w:szCs w:val="20"/>
              </w:rPr>
            </w:pPr>
            <w:r w:rsidRPr="00146C23">
              <w:rPr>
                <w:rFonts w:cs="Times New Roman"/>
                <w:b/>
                <w:sz w:val="20"/>
                <w:szCs w:val="20"/>
              </w:rPr>
              <w:t>Žiadne</w:t>
            </w:r>
          </w:p>
        </w:tc>
        <w:sdt>
          <w:sdtPr>
            <w:rPr>
              <w:rFonts w:cs="Times New Roman"/>
              <w:b/>
              <w:sz w:val="20"/>
              <w:szCs w:val="20"/>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146C23" w:rsidRPr="00146C23" w:rsidRDefault="00146C23" w:rsidP="00146C23">
                <w:pPr>
                  <w:widowControl/>
                  <w:adjustRightInd/>
                  <w:jc w:val="center"/>
                  <w:rPr>
                    <w:rFonts w:cs="Times New Roman"/>
                    <w:b/>
                    <w:sz w:val="20"/>
                    <w:szCs w:val="20"/>
                  </w:rPr>
                </w:pPr>
                <w:r w:rsidRPr="00146C23">
                  <w:rPr>
                    <w:rFonts w:ascii="Segoe UI Symbol" w:eastAsia="MS Gothic" w:hAnsi="Segoe UI Symbol" w:cs="Segoe UI Symbol"/>
                    <w:b/>
                    <w:sz w:val="20"/>
                    <w:szCs w:val="20"/>
                  </w:rPr>
                  <w:t>☒</w:t>
                </w:r>
              </w:p>
            </w:tc>
          </w:sdtContent>
        </w:sdt>
        <w:tc>
          <w:tcPr>
            <w:tcW w:w="1297" w:type="dxa"/>
            <w:tcBorders>
              <w:top w:val="single" w:sz="4" w:space="0" w:color="auto"/>
              <w:left w:val="nil"/>
              <w:bottom w:val="dotted" w:sz="4" w:space="0" w:color="auto"/>
              <w:right w:val="single" w:sz="4" w:space="0" w:color="auto"/>
            </w:tcBorders>
            <w:vAlign w:val="center"/>
          </w:tcPr>
          <w:p w:rsidR="00146C23" w:rsidRPr="00146C23" w:rsidRDefault="00146C23" w:rsidP="00146C23">
            <w:pPr>
              <w:widowControl/>
              <w:adjustRightInd/>
              <w:ind w:left="54"/>
              <w:rPr>
                <w:rFonts w:cs="Times New Roman"/>
                <w:b/>
                <w:sz w:val="20"/>
                <w:szCs w:val="20"/>
              </w:rPr>
            </w:pPr>
            <w:r w:rsidRPr="00146C23">
              <w:rPr>
                <w:rFonts w:cs="Times New Roman"/>
                <w:b/>
                <w:sz w:val="20"/>
                <w:szCs w:val="20"/>
              </w:rPr>
              <w:t>Negatívne</w:t>
            </w:r>
          </w:p>
        </w:tc>
      </w:tr>
      <w:tr w:rsidR="00146C23" w:rsidRPr="00146C23" w:rsidTr="00146C23">
        <w:tc>
          <w:tcPr>
            <w:tcW w:w="3812" w:type="dxa"/>
            <w:tcBorders>
              <w:top w:val="nil"/>
              <w:left w:val="single" w:sz="4" w:space="0" w:color="000000"/>
              <w:bottom w:val="nil"/>
              <w:right w:val="single" w:sz="4" w:space="0" w:color="000000"/>
            </w:tcBorders>
            <w:shd w:val="clear" w:color="auto" w:fill="E2E2E2"/>
          </w:tcPr>
          <w:p w:rsidR="00146C23" w:rsidRPr="00146C23" w:rsidRDefault="00146C23" w:rsidP="00146C23">
            <w:pPr>
              <w:widowControl/>
              <w:adjustRightInd/>
              <w:rPr>
                <w:rFonts w:cs="Times New Roman"/>
                <w:sz w:val="20"/>
                <w:szCs w:val="20"/>
              </w:rPr>
            </w:pPr>
            <w:r w:rsidRPr="00146C23">
              <w:rPr>
                <w:rFonts w:cs="Times New Roman"/>
                <w:sz w:val="20"/>
                <w:szCs w:val="20"/>
              </w:rPr>
              <w:t xml:space="preserve">    z toho vplyvy na MSP</w:t>
            </w:r>
          </w:p>
          <w:p w:rsidR="00146C23" w:rsidRPr="00146C23" w:rsidRDefault="00146C23" w:rsidP="00146C23">
            <w:pPr>
              <w:widowControl/>
              <w:adjustRightInd/>
              <w:rPr>
                <w:rFonts w:cs="Times New Roman"/>
                <w:sz w:val="20"/>
                <w:szCs w:val="20"/>
              </w:rPr>
            </w:pPr>
          </w:p>
        </w:tc>
        <w:sdt>
          <w:sdtPr>
            <w:rPr>
              <w:rFonts w:cs="Times New Roman"/>
              <w:sz w:val="20"/>
              <w:szCs w:val="20"/>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146C23" w:rsidRPr="00146C23" w:rsidRDefault="00146C23" w:rsidP="00146C23">
                <w:pPr>
                  <w:widowControl/>
                  <w:adjustRightInd/>
                  <w:jc w:val="center"/>
                  <w:rPr>
                    <w:rFonts w:cs="Times New Roman"/>
                    <w:sz w:val="20"/>
                    <w:szCs w:val="20"/>
                  </w:rPr>
                </w:pPr>
                <w:r w:rsidRPr="00146C23">
                  <w:rPr>
                    <w:rFonts w:ascii="Segoe UI Symbol" w:eastAsia="MS Gothic" w:hAnsi="Segoe UI Symbol" w:cs="Segoe UI Symbol"/>
                    <w:sz w:val="20"/>
                    <w:szCs w:val="20"/>
                  </w:rPr>
                  <w:t>☒</w:t>
                </w:r>
              </w:p>
            </w:tc>
          </w:sdtContent>
        </w:sdt>
        <w:tc>
          <w:tcPr>
            <w:tcW w:w="1312" w:type="dxa"/>
            <w:gridSpan w:val="2"/>
            <w:tcBorders>
              <w:top w:val="dotted" w:sz="4" w:space="0" w:color="auto"/>
              <w:left w:val="nil"/>
              <w:bottom w:val="dotted" w:sz="4" w:space="0" w:color="auto"/>
              <w:right w:val="nil"/>
            </w:tcBorders>
            <w:vAlign w:val="center"/>
          </w:tcPr>
          <w:p w:rsidR="00146C23" w:rsidRPr="00146C23" w:rsidRDefault="00146C23" w:rsidP="00146C23">
            <w:pPr>
              <w:widowControl/>
              <w:adjustRightInd/>
              <w:ind w:right="-108"/>
              <w:rPr>
                <w:rFonts w:cs="Times New Roman"/>
                <w:sz w:val="20"/>
                <w:szCs w:val="20"/>
              </w:rPr>
            </w:pPr>
            <w:r w:rsidRPr="00146C23">
              <w:rPr>
                <w:rFonts w:cs="Times New Roman"/>
                <w:sz w:val="20"/>
                <w:szCs w:val="20"/>
              </w:rPr>
              <w:t>Pozitívne</w:t>
            </w:r>
          </w:p>
        </w:tc>
        <w:sdt>
          <w:sdtPr>
            <w:rPr>
              <w:rFonts w:cs="Times New Roman"/>
              <w:sz w:val="20"/>
              <w:szCs w:val="20"/>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146C23" w:rsidRPr="00146C23" w:rsidRDefault="00146C23" w:rsidP="00146C23">
                <w:pPr>
                  <w:widowControl/>
                  <w:adjustRightInd/>
                  <w:jc w:val="center"/>
                  <w:rPr>
                    <w:rFonts w:cs="Times New Roman"/>
                    <w:sz w:val="20"/>
                    <w:szCs w:val="20"/>
                  </w:rPr>
                </w:pPr>
                <w:r w:rsidRPr="00146C23">
                  <w:rPr>
                    <w:rFonts w:ascii="Segoe UI Symbol" w:eastAsia="MS Gothic" w:hAnsi="Segoe UI Symbol" w:cs="Segoe UI Symbol"/>
                    <w:sz w:val="20"/>
                    <w:szCs w:val="20"/>
                  </w:rPr>
                  <w:t>☐</w:t>
                </w:r>
              </w:p>
            </w:tc>
          </w:sdtContent>
        </w:sdt>
        <w:tc>
          <w:tcPr>
            <w:tcW w:w="1133" w:type="dxa"/>
            <w:tcBorders>
              <w:top w:val="dotted" w:sz="4" w:space="0" w:color="auto"/>
              <w:left w:val="nil"/>
              <w:bottom w:val="dotted" w:sz="4" w:space="0" w:color="auto"/>
              <w:right w:val="nil"/>
            </w:tcBorders>
            <w:vAlign w:val="center"/>
          </w:tcPr>
          <w:p w:rsidR="00146C23" w:rsidRPr="00146C23" w:rsidRDefault="00146C23" w:rsidP="00146C23">
            <w:pPr>
              <w:widowControl/>
              <w:adjustRightInd/>
              <w:rPr>
                <w:rFonts w:cs="Times New Roman"/>
                <w:sz w:val="20"/>
                <w:szCs w:val="20"/>
              </w:rPr>
            </w:pPr>
            <w:r w:rsidRPr="00146C23">
              <w:rPr>
                <w:rFonts w:cs="Times New Roman"/>
                <w:sz w:val="20"/>
                <w:szCs w:val="20"/>
              </w:rPr>
              <w:t>Žiadne</w:t>
            </w:r>
          </w:p>
        </w:tc>
        <w:sdt>
          <w:sdtPr>
            <w:rPr>
              <w:rFonts w:cs="Times New Roman"/>
              <w:sz w:val="20"/>
              <w:szCs w:val="20"/>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146C23" w:rsidRPr="00146C23" w:rsidRDefault="00146C23" w:rsidP="00146C23">
                <w:pPr>
                  <w:widowControl/>
                  <w:adjustRightInd/>
                  <w:jc w:val="center"/>
                  <w:rPr>
                    <w:rFonts w:cs="Times New Roman"/>
                    <w:sz w:val="20"/>
                    <w:szCs w:val="20"/>
                  </w:rPr>
                </w:pPr>
                <w:r w:rsidRPr="00146C23">
                  <w:rPr>
                    <w:rFonts w:ascii="Segoe UI Symbol" w:eastAsia="MS Gothic" w:hAnsi="Segoe UI Symbol" w:cs="Segoe UI Symbol"/>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rsidR="00146C23" w:rsidRPr="00146C23" w:rsidRDefault="00146C23" w:rsidP="00146C23">
            <w:pPr>
              <w:widowControl/>
              <w:adjustRightInd/>
              <w:ind w:left="54"/>
              <w:rPr>
                <w:rFonts w:cs="Times New Roman"/>
                <w:sz w:val="20"/>
                <w:szCs w:val="20"/>
              </w:rPr>
            </w:pPr>
            <w:r w:rsidRPr="00146C23">
              <w:rPr>
                <w:rFonts w:cs="Times New Roman"/>
                <w:sz w:val="20"/>
                <w:szCs w:val="20"/>
              </w:rPr>
              <w:t>Negatívne</w:t>
            </w:r>
          </w:p>
        </w:tc>
      </w:tr>
      <w:tr w:rsidR="00146C23" w:rsidRPr="00146C23" w:rsidTr="00146C23">
        <w:tc>
          <w:tcPr>
            <w:tcW w:w="3812" w:type="dxa"/>
            <w:tcBorders>
              <w:top w:val="nil"/>
              <w:left w:val="single" w:sz="4" w:space="0" w:color="auto"/>
              <w:bottom w:val="single" w:sz="4" w:space="0" w:color="auto"/>
              <w:right w:val="single" w:sz="4" w:space="0" w:color="auto"/>
            </w:tcBorders>
            <w:shd w:val="clear" w:color="auto" w:fill="E2E2E2"/>
          </w:tcPr>
          <w:p w:rsidR="00146C23" w:rsidRPr="00146C23" w:rsidRDefault="00146C23" w:rsidP="00146C23">
            <w:pPr>
              <w:widowControl/>
              <w:adjustRightInd/>
              <w:rPr>
                <w:rFonts w:cs="Times New Roman"/>
                <w:sz w:val="20"/>
                <w:szCs w:val="20"/>
              </w:rPr>
            </w:pPr>
            <w:r w:rsidRPr="00146C23">
              <w:rPr>
                <w:rFonts w:cs="Times New Roman"/>
                <w:sz w:val="20"/>
                <w:szCs w:val="20"/>
              </w:rPr>
              <w:t xml:space="preserve">    Mechanizmus znižovania byrokracie    </w:t>
            </w:r>
          </w:p>
          <w:p w:rsidR="00146C23" w:rsidRPr="00146C23" w:rsidRDefault="00146C23" w:rsidP="00146C23">
            <w:pPr>
              <w:widowControl/>
              <w:adjustRightInd/>
              <w:rPr>
                <w:rFonts w:cs="Times New Roman"/>
                <w:b/>
                <w:sz w:val="20"/>
                <w:szCs w:val="20"/>
              </w:rPr>
            </w:pPr>
            <w:r w:rsidRPr="00146C23">
              <w:rPr>
                <w:rFonts w:cs="Times New Roman"/>
                <w:sz w:val="20"/>
                <w:szCs w:val="20"/>
              </w:rPr>
              <w:t xml:space="preserve">    a nákladov sa uplatňuje:</w:t>
            </w:r>
          </w:p>
        </w:tc>
        <w:sdt>
          <w:sdtPr>
            <w:rPr>
              <w:rFonts w:cs="Times New Roman"/>
              <w:b/>
              <w:sz w:val="20"/>
              <w:szCs w:val="20"/>
            </w:rPr>
            <w:id w:val="-817577505"/>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146C23" w:rsidRPr="00146C23" w:rsidRDefault="00146C23" w:rsidP="00146C23">
                <w:pPr>
                  <w:widowControl/>
                  <w:adjustRightInd/>
                  <w:jc w:val="center"/>
                  <w:rPr>
                    <w:rFonts w:cs="Times New Roman"/>
                    <w:b/>
                    <w:sz w:val="20"/>
                    <w:szCs w:val="20"/>
                  </w:rPr>
                </w:pPr>
                <w:r w:rsidRPr="00146C23">
                  <w:rPr>
                    <w:rFonts w:ascii="Segoe UI Symbol" w:eastAsia="MS Gothic" w:hAnsi="Segoe UI Symbol" w:cs="Segoe UI Symbol"/>
                    <w:b/>
                    <w:sz w:val="20"/>
                    <w:szCs w:val="20"/>
                  </w:rPr>
                  <w:t>☒</w:t>
                </w:r>
              </w:p>
            </w:tc>
          </w:sdtContent>
        </w:sdt>
        <w:tc>
          <w:tcPr>
            <w:tcW w:w="1596" w:type="dxa"/>
            <w:gridSpan w:val="3"/>
            <w:tcBorders>
              <w:top w:val="dotted" w:sz="4" w:space="0" w:color="auto"/>
              <w:left w:val="nil"/>
              <w:bottom w:val="single" w:sz="4" w:space="0" w:color="auto"/>
              <w:right w:val="nil"/>
            </w:tcBorders>
            <w:vAlign w:val="center"/>
          </w:tcPr>
          <w:p w:rsidR="00146C23" w:rsidRPr="00146C23" w:rsidRDefault="00146C23" w:rsidP="00146C23">
            <w:pPr>
              <w:widowControl/>
              <w:adjustRightInd/>
              <w:ind w:right="-108"/>
              <w:rPr>
                <w:rFonts w:cs="Times New Roman"/>
                <w:b/>
                <w:sz w:val="20"/>
                <w:szCs w:val="20"/>
              </w:rPr>
            </w:pPr>
            <w:r w:rsidRPr="00146C23">
              <w:rPr>
                <w:rFonts w:cs="Times New Roman"/>
                <w:sz w:val="20"/>
                <w:szCs w:val="20"/>
              </w:rPr>
              <w:t>Áno</w:t>
            </w:r>
          </w:p>
        </w:tc>
        <w:tc>
          <w:tcPr>
            <w:tcW w:w="254" w:type="dxa"/>
            <w:tcBorders>
              <w:top w:val="dotted" w:sz="4" w:space="0" w:color="auto"/>
              <w:left w:val="nil"/>
              <w:bottom w:val="single" w:sz="4" w:space="0" w:color="auto"/>
              <w:right w:val="nil"/>
            </w:tcBorders>
            <w:vAlign w:val="center"/>
          </w:tcPr>
          <w:p w:rsidR="00146C23" w:rsidRPr="00146C23" w:rsidRDefault="00146C23" w:rsidP="00146C23">
            <w:pPr>
              <w:widowControl/>
              <w:adjustRightInd/>
              <w:jc w:val="center"/>
              <w:rPr>
                <w:rFonts w:cs="Times New Roman"/>
                <w:b/>
                <w:sz w:val="20"/>
                <w:szCs w:val="20"/>
              </w:rPr>
            </w:pPr>
          </w:p>
        </w:tc>
        <w:tc>
          <w:tcPr>
            <w:tcW w:w="1133" w:type="dxa"/>
            <w:tcBorders>
              <w:top w:val="dotted" w:sz="4" w:space="0" w:color="auto"/>
              <w:left w:val="nil"/>
              <w:bottom w:val="single" w:sz="4" w:space="0" w:color="auto"/>
              <w:right w:val="nil"/>
            </w:tcBorders>
            <w:vAlign w:val="center"/>
          </w:tcPr>
          <w:p w:rsidR="00146C23" w:rsidRPr="00146C23" w:rsidRDefault="00146C23" w:rsidP="00146C23">
            <w:pPr>
              <w:widowControl/>
              <w:adjustRightInd/>
              <w:jc w:val="center"/>
              <w:rPr>
                <w:rFonts w:cs="Times New Roman"/>
                <w:b/>
                <w:sz w:val="20"/>
                <w:szCs w:val="20"/>
              </w:rPr>
            </w:pPr>
          </w:p>
        </w:tc>
        <w:sdt>
          <w:sdtPr>
            <w:rPr>
              <w:rFonts w:cs="Times New Roman"/>
              <w:b/>
              <w:sz w:val="20"/>
              <w:szCs w:val="20"/>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146C23" w:rsidRPr="00146C23" w:rsidRDefault="00146C23" w:rsidP="00146C23">
                <w:pPr>
                  <w:widowControl/>
                  <w:adjustRightInd/>
                  <w:jc w:val="center"/>
                  <w:rPr>
                    <w:rFonts w:cs="Times New Roman"/>
                    <w:b/>
                    <w:sz w:val="20"/>
                    <w:szCs w:val="20"/>
                  </w:rPr>
                </w:pPr>
                <w:r w:rsidRPr="00146C23">
                  <w:rPr>
                    <w:rFonts w:ascii="Segoe UI Symbol" w:eastAsia="MS Gothic" w:hAnsi="Segoe UI Symbol" w:cs="Segoe UI Symbol"/>
                    <w:b/>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rsidR="00146C23" w:rsidRPr="00146C23" w:rsidRDefault="00146C23" w:rsidP="00146C23">
            <w:pPr>
              <w:widowControl/>
              <w:adjustRightInd/>
              <w:ind w:left="54"/>
              <w:rPr>
                <w:rFonts w:cs="Times New Roman"/>
                <w:b/>
                <w:sz w:val="20"/>
                <w:szCs w:val="20"/>
              </w:rPr>
            </w:pPr>
            <w:r w:rsidRPr="00146C23">
              <w:rPr>
                <w:rFonts w:cs="Times New Roman"/>
                <w:sz w:val="20"/>
                <w:szCs w:val="20"/>
              </w:rPr>
              <w:t>Nie</w:t>
            </w:r>
          </w:p>
        </w:tc>
      </w:tr>
      <w:tr w:rsidR="00146C23" w:rsidRPr="00146C23" w:rsidTr="00146C23">
        <w:tc>
          <w:tcPr>
            <w:tcW w:w="3812" w:type="dxa"/>
            <w:tcBorders>
              <w:top w:val="single" w:sz="4" w:space="0" w:color="000000"/>
              <w:left w:val="single" w:sz="4" w:space="0" w:color="auto"/>
              <w:bottom w:val="single" w:sz="4" w:space="0" w:color="auto"/>
              <w:right w:val="single" w:sz="4" w:space="0" w:color="auto"/>
            </w:tcBorders>
            <w:shd w:val="clear" w:color="auto" w:fill="E2E2E2"/>
          </w:tcPr>
          <w:p w:rsidR="00146C23" w:rsidRPr="00146C23" w:rsidRDefault="00146C23" w:rsidP="00146C23">
            <w:pPr>
              <w:widowControl/>
              <w:adjustRightInd/>
              <w:rPr>
                <w:rFonts w:cs="Times New Roman"/>
                <w:b/>
                <w:sz w:val="20"/>
                <w:szCs w:val="20"/>
              </w:rPr>
            </w:pPr>
            <w:r w:rsidRPr="00146C23">
              <w:rPr>
                <w:rFonts w:cs="Times New Roman"/>
                <w:b/>
                <w:sz w:val="20"/>
                <w:szCs w:val="20"/>
              </w:rPr>
              <w:t>Sociálne vplyvy</w:t>
            </w:r>
          </w:p>
        </w:tc>
        <w:sdt>
          <w:sdtPr>
            <w:rPr>
              <w:rFonts w:cs="Times New Roman"/>
              <w:b/>
              <w:sz w:val="20"/>
              <w:szCs w:val="20"/>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146C23" w:rsidRPr="00146C23" w:rsidRDefault="00146C23" w:rsidP="00146C23">
                <w:pPr>
                  <w:widowControl/>
                  <w:adjustRightInd/>
                  <w:jc w:val="center"/>
                  <w:rPr>
                    <w:rFonts w:cs="Times New Roman"/>
                    <w:b/>
                    <w:sz w:val="20"/>
                    <w:szCs w:val="20"/>
                  </w:rPr>
                </w:pPr>
                <w:r w:rsidRPr="00146C23">
                  <w:rPr>
                    <w:rFonts w:ascii="Segoe UI Symbol" w:eastAsia="MS Gothic"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tcPr>
          <w:p w:rsidR="00146C23" w:rsidRPr="00146C23" w:rsidRDefault="00146C23" w:rsidP="00146C23">
            <w:pPr>
              <w:widowControl/>
              <w:adjustRightInd/>
              <w:ind w:right="-108"/>
              <w:rPr>
                <w:rFonts w:cs="Times New Roman"/>
                <w:b/>
                <w:sz w:val="20"/>
                <w:szCs w:val="20"/>
              </w:rPr>
            </w:pPr>
            <w:r w:rsidRPr="00146C23">
              <w:rPr>
                <w:rFonts w:cs="Times New Roman"/>
                <w:b/>
                <w:sz w:val="20"/>
                <w:szCs w:val="20"/>
              </w:rPr>
              <w:t>Pozitívne</w:t>
            </w:r>
          </w:p>
        </w:tc>
        <w:sdt>
          <w:sdtPr>
            <w:rPr>
              <w:rFonts w:cs="Times New Roman"/>
              <w:b/>
              <w:sz w:val="20"/>
              <w:szCs w:val="20"/>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146C23" w:rsidRPr="00146C23" w:rsidRDefault="00146C23" w:rsidP="00146C23">
                <w:pPr>
                  <w:widowControl/>
                  <w:adjustRightInd/>
                  <w:jc w:val="center"/>
                  <w:rPr>
                    <w:rFonts w:cs="Times New Roman"/>
                    <w:b/>
                    <w:sz w:val="20"/>
                    <w:szCs w:val="20"/>
                  </w:rPr>
                </w:pPr>
                <w:r w:rsidRPr="00146C23">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rsidR="00146C23" w:rsidRPr="00146C23" w:rsidRDefault="00146C23" w:rsidP="00146C23">
            <w:pPr>
              <w:widowControl/>
              <w:adjustRightInd/>
              <w:rPr>
                <w:rFonts w:cs="Times New Roman"/>
                <w:b/>
                <w:sz w:val="20"/>
                <w:szCs w:val="20"/>
              </w:rPr>
            </w:pPr>
            <w:r w:rsidRPr="00146C23">
              <w:rPr>
                <w:rFonts w:cs="Times New Roman"/>
                <w:b/>
                <w:sz w:val="20"/>
                <w:szCs w:val="20"/>
              </w:rPr>
              <w:t>Žiadne</w:t>
            </w:r>
          </w:p>
        </w:tc>
        <w:sdt>
          <w:sdtPr>
            <w:rPr>
              <w:rFonts w:cs="Times New Roman"/>
              <w:b/>
              <w:sz w:val="20"/>
              <w:szCs w:val="20"/>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146C23" w:rsidRPr="00146C23" w:rsidRDefault="00146C23" w:rsidP="00146C23">
                <w:pPr>
                  <w:widowControl/>
                  <w:adjustRightInd/>
                  <w:jc w:val="center"/>
                  <w:rPr>
                    <w:rFonts w:cs="Times New Roman"/>
                    <w:b/>
                    <w:sz w:val="20"/>
                    <w:szCs w:val="20"/>
                  </w:rPr>
                </w:pPr>
                <w:r w:rsidRPr="00146C23">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rsidR="00146C23" w:rsidRPr="00146C23" w:rsidRDefault="00146C23" w:rsidP="00146C23">
            <w:pPr>
              <w:widowControl/>
              <w:adjustRightInd/>
              <w:ind w:left="54"/>
              <w:rPr>
                <w:rFonts w:cs="Times New Roman"/>
                <w:b/>
                <w:sz w:val="20"/>
                <w:szCs w:val="20"/>
              </w:rPr>
            </w:pPr>
            <w:r w:rsidRPr="00146C23">
              <w:rPr>
                <w:rFonts w:cs="Times New Roman"/>
                <w:b/>
                <w:sz w:val="20"/>
                <w:szCs w:val="20"/>
              </w:rPr>
              <w:t>Negatívne</w:t>
            </w:r>
          </w:p>
        </w:tc>
      </w:tr>
      <w:tr w:rsidR="00146C23" w:rsidRPr="00146C23" w:rsidTr="00146C23">
        <w:tc>
          <w:tcPr>
            <w:tcW w:w="3812" w:type="dxa"/>
            <w:tcBorders>
              <w:top w:val="single" w:sz="4" w:space="0" w:color="auto"/>
              <w:left w:val="single" w:sz="4" w:space="0" w:color="auto"/>
              <w:bottom w:val="nil"/>
              <w:right w:val="single" w:sz="4" w:space="0" w:color="auto"/>
            </w:tcBorders>
            <w:shd w:val="clear" w:color="auto" w:fill="E2E2E2"/>
          </w:tcPr>
          <w:p w:rsidR="00146C23" w:rsidRPr="00146C23" w:rsidRDefault="00146C23" w:rsidP="00146C23">
            <w:pPr>
              <w:widowControl/>
              <w:adjustRightInd/>
              <w:rPr>
                <w:rFonts w:cs="Times New Roman"/>
                <w:b/>
                <w:sz w:val="20"/>
                <w:szCs w:val="20"/>
              </w:rPr>
            </w:pPr>
            <w:r w:rsidRPr="00146C23">
              <w:rPr>
                <w:rFonts w:cs="Times New Roman"/>
                <w:b/>
                <w:sz w:val="20"/>
                <w:szCs w:val="20"/>
              </w:rPr>
              <w:t>Vplyvy na životné prostredie</w:t>
            </w:r>
          </w:p>
        </w:tc>
        <w:sdt>
          <w:sdtPr>
            <w:rPr>
              <w:rFonts w:cs="Times New Roman"/>
              <w:b/>
              <w:sz w:val="20"/>
              <w:szCs w:val="20"/>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146C23" w:rsidRPr="00146C23" w:rsidRDefault="00146C23" w:rsidP="00146C23">
                <w:pPr>
                  <w:widowControl/>
                  <w:adjustRightInd/>
                  <w:jc w:val="center"/>
                  <w:rPr>
                    <w:rFonts w:cs="Times New Roman"/>
                    <w:b/>
                    <w:sz w:val="20"/>
                    <w:szCs w:val="20"/>
                  </w:rPr>
                </w:pPr>
                <w:r w:rsidRPr="00146C23">
                  <w:rPr>
                    <w:rFonts w:ascii="Segoe UI Symbol" w:eastAsia="MS Gothic"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tcPr>
          <w:p w:rsidR="00146C23" w:rsidRPr="00146C23" w:rsidRDefault="00146C23" w:rsidP="00146C23">
            <w:pPr>
              <w:widowControl/>
              <w:adjustRightInd/>
              <w:ind w:right="-108"/>
              <w:rPr>
                <w:rFonts w:cs="Times New Roman"/>
                <w:b/>
                <w:sz w:val="20"/>
                <w:szCs w:val="20"/>
              </w:rPr>
            </w:pPr>
            <w:r w:rsidRPr="00146C23">
              <w:rPr>
                <w:rFonts w:cs="Times New Roman"/>
                <w:b/>
                <w:sz w:val="20"/>
                <w:szCs w:val="20"/>
              </w:rPr>
              <w:t>Pozitívne</w:t>
            </w:r>
          </w:p>
        </w:tc>
        <w:sdt>
          <w:sdtPr>
            <w:rPr>
              <w:rFonts w:cs="Times New Roman"/>
              <w:b/>
              <w:sz w:val="20"/>
              <w:szCs w:val="20"/>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146C23" w:rsidRPr="00146C23" w:rsidRDefault="00146C23" w:rsidP="00146C23">
                <w:pPr>
                  <w:widowControl/>
                  <w:adjustRightInd/>
                  <w:jc w:val="center"/>
                  <w:rPr>
                    <w:rFonts w:cs="Times New Roman"/>
                    <w:b/>
                    <w:sz w:val="20"/>
                    <w:szCs w:val="20"/>
                  </w:rPr>
                </w:pPr>
                <w:r w:rsidRPr="00146C23">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rsidR="00146C23" w:rsidRPr="00146C23" w:rsidRDefault="00146C23" w:rsidP="00146C23">
            <w:pPr>
              <w:widowControl/>
              <w:adjustRightInd/>
              <w:rPr>
                <w:rFonts w:cs="Times New Roman"/>
                <w:b/>
                <w:sz w:val="20"/>
                <w:szCs w:val="20"/>
              </w:rPr>
            </w:pPr>
            <w:r w:rsidRPr="00146C23">
              <w:rPr>
                <w:rFonts w:cs="Times New Roman"/>
                <w:b/>
                <w:sz w:val="20"/>
                <w:szCs w:val="20"/>
              </w:rPr>
              <w:t>Žiadne</w:t>
            </w:r>
          </w:p>
        </w:tc>
        <w:sdt>
          <w:sdtPr>
            <w:rPr>
              <w:rFonts w:cs="Times New Roman"/>
              <w:b/>
              <w:sz w:val="20"/>
              <w:szCs w:val="20"/>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146C23" w:rsidRPr="00146C23" w:rsidRDefault="00146C23" w:rsidP="00146C23">
                <w:pPr>
                  <w:widowControl/>
                  <w:adjustRightInd/>
                  <w:jc w:val="center"/>
                  <w:rPr>
                    <w:rFonts w:cs="Times New Roman"/>
                    <w:b/>
                    <w:sz w:val="20"/>
                    <w:szCs w:val="20"/>
                  </w:rPr>
                </w:pPr>
                <w:r w:rsidRPr="00146C23">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rsidR="00146C23" w:rsidRPr="00146C23" w:rsidRDefault="00146C23" w:rsidP="00146C23">
            <w:pPr>
              <w:widowControl/>
              <w:adjustRightInd/>
              <w:ind w:left="54"/>
              <w:rPr>
                <w:rFonts w:cs="Times New Roman"/>
                <w:b/>
                <w:sz w:val="20"/>
                <w:szCs w:val="20"/>
              </w:rPr>
            </w:pPr>
            <w:r w:rsidRPr="00146C23">
              <w:rPr>
                <w:rFonts w:cs="Times New Roman"/>
                <w:b/>
                <w:sz w:val="20"/>
                <w:szCs w:val="20"/>
              </w:rPr>
              <w:t>Negatívne</w:t>
            </w:r>
          </w:p>
        </w:tc>
      </w:tr>
      <w:tr w:rsidR="00146C23" w:rsidRPr="00146C23" w:rsidTr="00146C23">
        <w:tc>
          <w:tcPr>
            <w:tcW w:w="3812" w:type="dxa"/>
            <w:tcBorders>
              <w:top w:val="nil"/>
              <w:left w:val="single" w:sz="4" w:space="0" w:color="auto"/>
              <w:bottom w:val="single" w:sz="4" w:space="0" w:color="auto"/>
              <w:right w:val="single" w:sz="4" w:space="0" w:color="auto"/>
            </w:tcBorders>
            <w:shd w:val="clear" w:color="auto" w:fill="E2E2E2"/>
          </w:tcPr>
          <w:p w:rsidR="00146C23" w:rsidRPr="00146C23" w:rsidRDefault="00146C23" w:rsidP="00146C23">
            <w:pPr>
              <w:widowControl/>
              <w:adjustRightInd/>
              <w:rPr>
                <w:rFonts w:cs="Times New Roman"/>
                <w:sz w:val="20"/>
                <w:szCs w:val="20"/>
              </w:rPr>
            </w:pPr>
          </w:p>
          <w:p w:rsidR="00146C23" w:rsidRPr="00146C23" w:rsidRDefault="00146C23" w:rsidP="00146C23">
            <w:pPr>
              <w:widowControl/>
              <w:adjustRightInd/>
              <w:ind w:left="164"/>
              <w:rPr>
                <w:rFonts w:cs="Times New Roman"/>
                <w:b/>
                <w:sz w:val="20"/>
                <w:szCs w:val="20"/>
              </w:rPr>
            </w:pPr>
            <w:r w:rsidRPr="00146C23">
              <w:rPr>
                <w:rFonts w:cs="Times New Roman"/>
                <w:sz w:val="20"/>
                <w:szCs w:val="20"/>
              </w:rPr>
              <w:t>Materiál je posudzovaný podľa zákona č. 24/2006 Z. z. o posudzovaní vplyvov na životné prostredie a o zmene a doplnení niektorých zákonov v znení neskorších predpisov</w:t>
            </w:r>
          </w:p>
        </w:tc>
        <w:sdt>
          <w:sdtPr>
            <w:rPr>
              <w:rFonts w:cs="Times New Roman"/>
              <w:b/>
              <w:sz w:val="20"/>
              <w:szCs w:val="20"/>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146C23" w:rsidRPr="00146C23" w:rsidRDefault="00146C23" w:rsidP="00146C23">
                <w:pPr>
                  <w:widowControl/>
                  <w:adjustRightInd/>
                  <w:jc w:val="center"/>
                  <w:rPr>
                    <w:rFonts w:cs="Times New Roman"/>
                    <w:b/>
                    <w:sz w:val="20"/>
                    <w:szCs w:val="20"/>
                  </w:rPr>
                </w:pPr>
                <w:r w:rsidRPr="00146C23">
                  <w:rPr>
                    <w:rFonts w:ascii="Segoe UI Symbol" w:eastAsia="MS Gothic"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vAlign w:val="center"/>
          </w:tcPr>
          <w:p w:rsidR="00146C23" w:rsidRPr="00146C23" w:rsidRDefault="00146C23" w:rsidP="00146C23">
            <w:pPr>
              <w:widowControl/>
              <w:adjustRightInd/>
              <w:ind w:right="-108"/>
              <w:rPr>
                <w:rFonts w:cs="Times New Roman"/>
                <w:b/>
                <w:sz w:val="20"/>
                <w:szCs w:val="20"/>
              </w:rPr>
            </w:pPr>
            <w:r w:rsidRPr="00146C23">
              <w:rPr>
                <w:rFonts w:cs="Times New Roman"/>
                <w:sz w:val="20"/>
                <w:szCs w:val="20"/>
              </w:rPr>
              <w:t>Áno</w:t>
            </w:r>
          </w:p>
        </w:tc>
        <w:tc>
          <w:tcPr>
            <w:tcW w:w="538" w:type="dxa"/>
            <w:gridSpan w:val="2"/>
            <w:tcBorders>
              <w:top w:val="single" w:sz="4" w:space="0" w:color="auto"/>
              <w:left w:val="nil"/>
              <w:bottom w:val="single" w:sz="4" w:space="0" w:color="auto"/>
              <w:right w:val="nil"/>
            </w:tcBorders>
            <w:vAlign w:val="center"/>
          </w:tcPr>
          <w:p w:rsidR="00146C23" w:rsidRPr="00146C23" w:rsidRDefault="00146C23" w:rsidP="00146C23">
            <w:pPr>
              <w:widowControl/>
              <w:adjustRightInd/>
              <w:jc w:val="center"/>
              <w:rPr>
                <w:rFonts w:cs="Times New Roman"/>
                <w:b/>
                <w:sz w:val="20"/>
                <w:szCs w:val="20"/>
              </w:rPr>
            </w:pPr>
          </w:p>
        </w:tc>
        <w:tc>
          <w:tcPr>
            <w:tcW w:w="1133" w:type="dxa"/>
            <w:tcBorders>
              <w:top w:val="single" w:sz="4" w:space="0" w:color="auto"/>
              <w:left w:val="nil"/>
              <w:bottom w:val="single" w:sz="4" w:space="0" w:color="auto"/>
              <w:right w:val="nil"/>
            </w:tcBorders>
            <w:vAlign w:val="center"/>
          </w:tcPr>
          <w:p w:rsidR="00146C23" w:rsidRPr="00146C23" w:rsidRDefault="00146C23" w:rsidP="00146C23">
            <w:pPr>
              <w:widowControl/>
              <w:adjustRightInd/>
              <w:jc w:val="center"/>
              <w:rPr>
                <w:rFonts w:cs="Times New Roman"/>
                <w:b/>
                <w:sz w:val="20"/>
                <w:szCs w:val="20"/>
              </w:rPr>
            </w:pPr>
          </w:p>
        </w:tc>
        <w:sdt>
          <w:sdtPr>
            <w:rPr>
              <w:rFonts w:cs="Times New Roman"/>
              <w:b/>
              <w:sz w:val="20"/>
              <w:szCs w:val="20"/>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146C23" w:rsidRPr="00146C23" w:rsidRDefault="00146C23" w:rsidP="00146C23">
                <w:pPr>
                  <w:widowControl/>
                  <w:adjustRightInd/>
                  <w:jc w:val="center"/>
                  <w:rPr>
                    <w:rFonts w:cs="Times New Roman"/>
                    <w:b/>
                    <w:sz w:val="20"/>
                    <w:szCs w:val="20"/>
                  </w:rPr>
                </w:pPr>
                <w:r w:rsidRPr="00146C23">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rsidR="00146C23" w:rsidRPr="00146C23" w:rsidRDefault="00146C23" w:rsidP="00146C23">
            <w:pPr>
              <w:widowControl/>
              <w:adjustRightInd/>
              <w:ind w:left="54"/>
              <w:rPr>
                <w:rFonts w:cs="Times New Roman"/>
                <w:b/>
                <w:sz w:val="20"/>
                <w:szCs w:val="20"/>
              </w:rPr>
            </w:pPr>
            <w:r w:rsidRPr="00146C23">
              <w:rPr>
                <w:rFonts w:cs="Times New Roman"/>
                <w:sz w:val="20"/>
                <w:szCs w:val="20"/>
              </w:rPr>
              <w:t>Nie</w:t>
            </w:r>
          </w:p>
        </w:tc>
      </w:tr>
      <w:tr w:rsidR="00146C23" w:rsidRPr="00146C23" w:rsidTr="00146C23">
        <w:tc>
          <w:tcPr>
            <w:tcW w:w="3812" w:type="dxa"/>
            <w:tcBorders>
              <w:top w:val="single" w:sz="4" w:space="0" w:color="auto"/>
              <w:left w:val="single" w:sz="4" w:space="0" w:color="auto"/>
              <w:bottom w:val="single" w:sz="4" w:space="0" w:color="auto"/>
              <w:right w:val="single" w:sz="4" w:space="0" w:color="auto"/>
            </w:tcBorders>
            <w:shd w:val="clear" w:color="auto" w:fill="E2E2E2"/>
          </w:tcPr>
          <w:p w:rsidR="00146C23" w:rsidRPr="00146C23" w:rsidRDefault="00146C23" w:rsidP="00146C23">
            <w:pPr>
              <w:widowControl/>
              <w:adjustRightInd/>
              <w:rPr>
                <w:rFonts w:cs="Times New Roman"/>
                <w:b/>
                <w:sz w:val="20"/>
                <w:szCs w:val="20"/>
              </w:rPr>
            </w:pPr>
            <w:r w:rsidRPr="00146C23">
              <w:rPr>
                <w:rFonts w:cs="Times New Roman"/>
                <w:b/>
                <w:sz w:val="20"/>
                <w:szCs w:val="20"/>
              </w:rPr>
              <w:t>Vplyvy na informatizáciu spoločnosti</w:t>
            </w:r>
          </w:p>
        </w:tc>
        <w:sdt>
          <w:sdtPr>
            <w:rPr>
              <w:rFonts w:cs="Times New Roman"/>
              <w:b/>
              <w:sz w:val="20"/>
              <w:szCs w:val="20"/>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146C23" w:rsidRPr="00146C23" w:rsidRDefault="00146C23" w:rsidP="00146C23">
                <w:pPr>
                  <w:widowControl/>
                  <w:adjustRightInd/>
                  <w:jc w:val="center"/>
                  <w:rPr>
                    <w:rFonts w:cs="Times New Roman"/>
                    <w:b/>
                    <w:sz w:val="20"/>
                    <w:szCs w:val="20"/>
                  </w:rPr>
                </w:pPr>
                <w:r w:rsidRPr="00146C23">
                  <w:rPr>
                    <w:rFonts w:ascii="Segoe UI Symbol" w:eastAsia="MS Gothic"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tcPr>
          <w:p w:rsidR="00146C23" w:rsidRPr="00146C23" w:rsidRDefault="00146C23" w:rsidP="00146C23">
            <w:pPr>
              <w:widowControl/>
              <w:adjustRightInd/>
              <w:ind w:right="-108"/>
              <w:rPr>
                <w:rFonts w:cs="Times New Roman"/>
                <w:b/>
                <w:sz w:val="20"/>
                <w:szCs w:val="20"/>
              </w:rPr>
            </w:pPr>
            <w:r w:rsidRPr="00146C23">
              <w:rPr>
                <w:rFonts w:cs="Times New Roman"/>
                <w:b/>
                <w:sz w:val="20"/>
                <w:szCs w:val="20"/>
              </w:rPr>
              <w:t>Pozitívne</w:t>
            </w:r>
          </w:p>
        </w:tc>
        <w:sdt>
          <w:sdtPr>
            <w:rPr>
              <w:rFonts w:cs="Times New Roman"/>
              <w:b/>
              <w:sz w:val="20"/>
              <w:szCs w:val="20"/>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146C23" w:rsidRPr="00146C23" w:rsidRDefault="00146C23" w:rsidP="00146C23">
                <w:pPr>
                  <w:widowControl/>
                  <w:adjustRightInd/>
                  <w:jc w:val="center"/>
                  <w:rPr>
                    <w:rFonts w:cs="Times New Roman"/>
                    <w:b/>
                    <w:sz w:val="20"/>
                    <w:szCs w:val="20"/>
                  </w:rPr>
                </w:pPr>
                <w:r w:rsidRPr="00146C23">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rsidR="00146C23" w:rsidRPr="00146C23" w:rsidRDefault="00146C23" w:rsidP="00146C23">
            <w:pPr>
              <w:widowControl/>
              <w:adjustRightInd/>
              <w:rPr>
                <w:rFonts w:cs="Times New Roman"/>
                <w:b/>
                <w:sz w:val="20"/>
                <w:szCs w:val="20"/>
              </w:rPr>
            </w:pPr>
            <w:r w:rsidRPr="00146C23">
              <w:rPr>
                <w:rFonts w:cs="Times New Roman"/>
                <w:b/>
                <w:sz w:val="20"/>
                <w:szCs w:val="20"/>
              </w:rPr>
              <w:t>Žiadne</w:t>
            </w:r>
          </w:p>
        </w:tc>
        <w:sdt>
          <w:sdtPr>
            <w:rPr>
              <w:rFonts w:cs="Times New Roman"/>
              <w:b/>
              <w:sz w:val="20"/>
              <w:szCs w:val="20"/>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146C23" w:rsidRPr="00146C23" w:rsidRDefault="00146C23" w:rsidP="00146C23">
                <w:pPr>
                  <w:widowControl/>
                  <w:adjustRightInd/>
                  <w:jc w:val="center"/>
                  <w:rPr>
                    <w:rFonts w:cs="Times New Roman"/>
                    <w:b/>
                    <w:sz w:val="20"/>
                    <w:szCs w:val="20"/>
                  </w:rPr>
                </w:pPr>
                <w:r w:rsidRPr="00146C23">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rsidR="00146C23" w:rsidRPr="00146C23" w:rsidRDefault="00146C23" w:rsidP="00146C23">
            <w:pPr>
              <w:widowControl/>
              <w:adjustRightInd/>
              <w:ind w:left="54"/>
              <w:rPr>
                <w:rFonts w:cs="Times New Roman"/>
                <w:b/>
                <w:sz w:val="20"/>
                <w:szCs w:val="20"/>
              </w:rPr>
            </w:pPr>
            <w:r w:rsidRPr="00146C23">
              <w:rPr>
                <w:rFonts w:cs="Times New Roman"/>
                <w:b/>
                <w:sz w:val="20"/>
                <w:szCs w:val="20"/>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146C23" w:rsidRPr="00146C23" w:rsidTr="00146C23">
        <w:tc>
          <w:tcPr>
            <w:tcW w:w="3812" w:type="dxa"/>
            <w:tcBorders>
              <w:top w:val="single" w:sz="4" w:space="0" w:color="auto"/>
              <w:left w:val="single" w:sz="4" w:space="0" w:color="auto"/>
              <w:bottom w:val="nil"/>
              <w:right w:val="single" w:sz="4" w:space="0" w:color="auto"/>
            </w:tcBorders>
            <w:shd w:val="clear" w:color="auto" w:fill="E2E2E2"/>
          </w:tcPr>
          <w:p w:rsidR="00146C23" w:rsidRPr="00146C23" w:rsidRDefault="00146C23" w:rsidP="00146C23">
            <w:pPr>
              <w:widowControl/>
              <w:adjustRightInd/>
              <w:rPr>
                <w:rFonts w:cs="Times New Roman"/>
                <w:b/>
                <w:sz w:val="20"/>
                <w:szCs w:val="20"/>
              </w:rPr>
            </w:pPr>
            <w:r w:rsidRPr="00146C23">
              <w:rPr>
                <w:rFonts w:eastAsia="Calibri" w:cs="Times New Roman"/>
                <w:b/>
                <w:sz w:val="20"/>
                <w:szCs w:val="20"/>
                <w:lang w:eastAsia="en-US"/>
              </w:rPr>
              <w:t>Vplyvy na služby verejnej správy pre občana, z toho</w:t>
            </w:r>
          </w:p>
        </w:tc>
        <w:tc>
          <w:tcPr>
            <w:tcW w:w="541" w:type="dxa"/>
            <w:tcBorders>
              <w:top w:val="single" w:sz="4" w:space="0" w:color="auto"/>
              <w:left w:val="single" w:sz="4" w:space="0" w:color="auto"/>
              <w:bottom w:val="nil"/>
              <w:right w:val="nil"/>
            </w:tcBorders>
          </w:tcPr>
          <w:p w:rsidR="00146C23" w:rsidRPr="00146C23" w:rsidRDefault="00146C23" w:rsidP="00146C23">
            <w:pPr>
              <w:widowControl/>
              <w:adjustRightInd/>
              <w:jc w:val="center"/>
              <w:rPr>
                <w:rFonts w:eastAsia="MS Mincho" w:cs="Times New Roman"/>
                <w:b/>
                <w:sz w:val="20"/>
                <w:szCs w:val="20"/>
              </w:rPr>
            </w:pPr>
          </w:p>
        </w:tc>
        <w:tc>
          <w:tcPr>
            <w:tcW w:w="1281" w:type="dxa"/>
            <w:tcBorders>
              <w:top w:val="single" w:sz="4" w:space="0" w:color="auto"/>
              <w:left w:val="nil"/>
              <w:bottom w:val="nil"/>
              <w:right w:val="nil"/>
            </w:tcBorders>
          </w:tcPr>
          <w:p w:rsidR="00146C23" w:rsidRPr="00146C23" w:rsidRDefault="00146C23" w:rsidP="00146C23">
            <w:pPr>
              <w:widowControl/>
              <w:adjustRightInd/>
              <w:ind w:right="-108"/>
              <w:rPr>
                <w:rFonts w:cs="Times New Roman"/>
                <w:b/>
                <w:sz w:val="20"/>
                <w:szCs w:val="20"/>
              </w:rPr>
            </w:pPr>
          </w:p>
        </w:tc>
        <w:tc>
          <w:tcPr>
            <w:tcW w:w="569" w:type="dxa"/>
            <w:gridSpan w:val="2"/>
            <w:tcBorders>
              <w:top w:val="single" w:sz="4" w:space="0" w:color="auto"/>
              <w:left w:val="nil"/>
              <w:bottom w:val="nil"/>
              <w:right w:val="nil"/>
            </w:tcBorders>
          </w:tcPr>
          <w:p w:rsidR="00146C23" w:rsidRPr="00146C23" w:rsidRDefault="00146C23" w:rsidP="00146C23">
            <w:pPr>
              <w:widowControl/>
              <w:adjustRightInd/>
              <w:jc w:val="center"/>
              <w:rPr>
                <w:rFonts w:eastAsia="MS Mincho" w:cs="Times New Roman"/>
                <w:b/>
                <w:sz w:val="20"/>
                <w:szCs w:val="20"/>
              </w:rPr>
            </w:pPr>
          </w:p>
        </w:tc>
        <w:tc>
          <w:tcPr>
            <w:tcW w:w="1133" w:type="dxa"/>
            <w:tcBorders>
              <w:top w:val="single" w:sz="4" w:space="0" w:color="auto"/>
              <w:left w:val="nil"/>
              <w:bottom w:val="nil"/>
              <w:right w:val="nil"/>
            </w:tcBorders>
          </w:tcPr>
          <w:p w:rsidR="00146C23" w:rsidRPr="00146C23" w:rsidRDefault="00146C23" w:rsidP="00146C23">
            <w:pPr>
              <w:widowControl/>
              <w:adjustRightInd/>
              <w:rPr>
                <w:rFonts w:cs="Times New Roman"/>
                <w:b/>
                <w:sz w:val="20"/>
                <w:szCs w:val="20"/>
              </w:rPr>
            </w:pPr>
          </w:p>
        </w:tc>
        <w:tc>
          <w:tcPr>
            <w:tcW w:w="547" w:type="dxa"/>
            <w:tcBorders>
              <w:top w:val="single" w:sz="4" w:space="0" w:color="auto"/>
              <w:left w:val="nil"/>
              <w:bottom w:val="nil"/>
              <w:right w:val="nil"/>
            </w:tcBorders>
          </w:tcPr>
          <w:p w:rsidR="00146C23" w:rsidRPr="00146C23" w:rsidRDefault="00146C23" w:rsidP="00146C23">
            <w:pPr>
              <w:widowControl/>
              <w:adjustRightInd/>
              <w:jc w:val="center"/>
              <w:rPr>
                <w:rFonts w:eastAsia="MS Mincho" w:cs="Times New Roman"/>
                <w:b/>
                <w:sz w:val="20"/>
                <w:szCs w:val="20"/>
              </w:rPr>
            </w:pPr>
          </w:p>
        </w:tc>
        <w:tc>
          <w:tcPr>
            <w:tcW w:w="1297" w:type="dxa"/>
            <w:tcBorders>
              <w:top w:val="single" w:sz="4" w:space="0" w:color="auto"/>
              <w:left w:val="nil"/>
              <w:bottom w:val="nil"/>
              <w:right w:val="single" w:sz="4" w:space="0" w:color="auto"/>
            </w:tcBorders>
          </w:tcPr>
          <w:p w:rsidR="00146C23" w:rsidRPr="00146C23" w:rsidRDefault="00146C23" w:rsidP="00146C23">
            <w:pPr>
              <w:widowControl/>
              <w:adjustRightInd/>
              <w:ind w:left="54"/>
              <w:rPr>
                <w:rFonts w:cs="Times New Roman"/>
                <w:b/>
                <w:sz w:val="20"/>
                <w:szCs w:val="20"/>
              </w:rPr>
            </w:pPr>
          </w:p>
        </w:tc>
      </w:tr>
      <w:tr w:rsidR="00146C23" w:rsidRPr="00146C23" w:rsidTr="00146C23">
        <w:tc>
          <w:tcPr>
            <w:tcW w:w="3812" w:type="dxa"/>
            <w:tcBorders>
              <w:top w:val="nil"/>
              <w:left w:val="single" w:sz="4" w:space="0" w:color="auto"/>
              <w:bottom w:val="nil"/>
              <w:right w:val="single" w:sz="4" w:space="0" w:color="auto"/>
            </w:tcBorders>
            <w:shd w:val="clear" w:color="auto" w:fill="E2E2E2"/>
          </w:tcPr>
          <w:p w:rsidR="00146C23" w:rsidRPr="00146C23" w:rsidRDefault="00146C23" w:rsidP="00146C23">
            <w:pPr>
              <w:widowControl/>
              <w:adjustRightInd/>
              <w:ind w:left="196" w:hanging="196"/>
              <w:rPr>
                <w:rFonts w:eastAsia="Calibri" w:cs="Times New Roman"/>
                <w:b/>
                <w:sz w:val="20"/>
                <w:szCs w:val="20"/>
                <w:lang w:eastAsia="en-US"/>
              </w:rPr>
            </w:pPr>
            <w:r w:rsidRPr="00146C23">
              <w:rPr>
                <w:rFonts w:eastAsia="Calibri" w:cs="Times New Roman"/>
                <w:b/>
                <w:sz w:val="20"/>
                <w:szCs w:val="20"/>
                <w:lang w:eastAsia="en-US"/>
              </w:rPr>
              <w:t xml:space="preserve">    vplyvy služieb verejnej správy na občana</w:t>
            </w:r>
          </w:p>
        </w:tc>
        <w:sdt>
          <w:sdtPr>
            <w:rPr>
              <w:rFonts w:cs="Times New Roman"/>
              <w:b/>
              <w:sz w:val="20"/>
              <w:szCs w:val="20"/>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tcPr>
              <w:p w:rsidR="00146C23" w:rsidRPr="00146C23" w:rsidRDefault="00146C23" w:rsidP="00146C23">
                <w:pPr>
                  <w:widowControl/>
                  <w:adjustRightInd/>
                  <w:jc w:val="center"/>
                  <w:rPr>
                    <w:rFonts w:cs="Times New Roman"/>
                    <w:b/>
                    <w:sz w:val="20"/>
                    <w:szCs w:val="20"/>
                  </w:rPr>
                </w:pPr>
                <w:r w:rsidRPr="00146C23">
                  <w:rPr>
                    <w:rFonts w:ascii="Segoe UI Symbol" w:eastAsia="MS Gothic" w:hAnsi="Segoe UI Symbol" w:cs="Segoe UI Symbol"/>
                    <w:b/>
                    <w:sz w:val="20"/>
                    <w:szCs w:val="20"/>
                  </w:rPr>
                  <w:t>☐</w:t>
                </w:r>
              </w:p>
            </w:tc>
          </w:sdtContent>
        </w:sdt>
        <w:tc>
          <w:tcPr>
            <w:tcW w:w="1312" w:type="dxa"/>
            <w:gridSpan w:val="2"/>
            <w:tcBorders>
              <w:top w:val="nil"/>
              <w:left w:val="nil"/>
              <w:bottom w:val="dotted" w:sz="4" w:space="0" w:color="auto"/>
              <w:right w:val="nil"/>
            </w:tcBorders>
          </w:tcPr>
          <w:p w:rsidR="00146C23" w:rsidRPr="00146C23" w:rsidRDefault="00146C23" w:rsidP="00146C23">
            <w:pPr>
              <w:widowControl/>
              <w:adjustRightInd/>
              <w:ind w:right="-108"/>
              <w:rPr>
                <w:rFonts w:cs="Times New Roman"/>
                <w:b/>
                <w:sz w:val="20"/>
                <w:szCs w:val="20"/>
              </w:rPr>
            </w:pPr>
            <w:r w:rsidRPr="00146C23">
              <w:rPr>
                <w:rFonts w:cs="Times New Roman"/>
                <w:b/>
                <w:sz w:val="20"/>
                <w:szCs w:val="20"/>
              </w:rPr>
              <w:t>Pozitívne</w:t>
            </w:r>
          </w:p>
        </w:tc>
        <w:sdt>
          <w:sdtPr>
            <w:rPr>
              <w:rFonts w:cs="Times New Roman"/>
              <w:b/>
              <w:sz w:val="20"/>
              <w:szCs w:val="20"/>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tcPr>
              <w:p w:rsidR="00146C23" w:rsidRPr="00146C23" w:rsidRDefault="00146C23" w:rsidP="00146C23">
                <w:pPr>
                  <w:widowControl/>
                  <w:adjustRightInd/>
                  <w:jc w:val="center"/>
                  <w:rPr>
                    <w:rFonts w:cs="Times New Roman"/>
                    <w:b/>
                    <w:sz w:val="20"/>
                    <w:szCs w:val="20"/>
                  </w:rPr>
                </w:pPr>
                <w:r w:rsidRPr="00146C23">
                  <w:rPr>
                    <w:rFonts w:ascii="Segoe UI Symbol" w:eastAsia="MS Gothic" w:hAnsi="Segoe UI Symbol" w:cs="Segoe UI Symbol"/>
                    <w:b/>
                    <w:sz w:val="20"/>
                    <w:szCs w:val="20"/>
                  </w:rPr>
                  <w:t>☒</w:t>
                </w:r>
              </w:p>
            </w:tc>
          </w:sdtContent>
        </w:sdt>
        <w:tc>
          <w:tcPr>
            <w:tcW w:w="1133" w:type="dxa"/>
            <w:tcBorders>
              <w:top w:val="nil"/>
              <w:left w:val="nil"/>
              <w:bottom w:val="dotted" w:sz="4" w:space="0" w:color="auto"/>
              <w:right w:val="nil"/>
            </w:tcBorders>
          </w:tcPr>
          <w:p w:rsidR="00146C23" w:rsidRPr="00146C23" w:rsidRDefault="00146C23" w:rsidP="00146C23">
            <w:pPr>
              <w:widowControl/>
              <w:adjustRightInd/>
              <w:rPr>
                <w:rFonts w:cs="Times New Roman"/>
                <w:b/>
                <w:sz w:val="20"/>
                <w:szCs w:val="20"/>
              </w:rPr>
            </w:pPr>
            <w:r w:rsidRPr="00146C23">
              <w:rPr>
                <w:rFonts w:cs="Times New Roman"/>
                <w:b/>
                <w:sz w:val="20"/>
                <w:szCs w:val="20"/>
              </w:rPr>
              <w:t>Žiadne</w:t>
            </w:r>
          </w:p>
        </w:tc>
        <w:sdt>
          <w:sdtPr>
            <w:rPr>
              <w:rFonts w:cs="Times New Roman"/>
              <w:b/>
              <w:sz w:val="20"/>
              <w:szCs w:val="20"/>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tcPr>
              <w:p w:rsidR="00146C23" w:rsidRPr="00146C23" w:rsidRDefault="00146C23" w:rsidP="00146C23">
                <w:pPr>
                  <w:widowControl/>
                  <w:adjustRightInd/>
                  <w:jc w:val="center"/>
                  <w:rPr>
                    <w:rFonts w:cs="Times New Roman"/>
                    <w:b/>
                    <w:sz w:val="20"/>
                    <w:szCs w:val="20"/>
                  </w:rPr>
                </w:pPr>
                <w:r w:rsidRPr="00146C23">
                  <w:rPr>
                    <w:rFonts w:ascii="Segoe UI Symbol" w:eastAsia="MS Gothic" w:hAnsi="Segoe UI Symbol" w:cs="Segoe UI Symbol"/>
                    <w:b/>
                    <w:sz w:val="20"/>
                    <w:szCs w:val="20"/>
                  </w:rPr>
                  <w:t>☐</w:t>
                </w:r>
              </w:p>
            </w:tc>
          </w:sdtContent>
        </w:sdt>
        <w:tc>
          <w:tcPr>
            <w:tcW w:w="1297" w:type="dxa"/>
            <w:tcBorders>
              <w:top w:val="nil"/>
              <w:left w:val="nil"/>
              <w:bottom w:val="dotted" w:sz="4" w:space="0" w:color="auto"/>
              <w:right w:val="single" w:sz="4" w:space="0" w:color="auto"/>
            </w:tcBorders>
          </w:tcPr>
          <w:p w:rsidR="00146C23" w:rsidRPr="00146C23" w:rsidRDefault="00146C23" w:rsidP="00146C23">
            <w:pPr>
              <w:widowControl/>
              <w:adjustRightInd/>
              <w:ind w:left="54"/>
              <w:rPr>
                <w:rFonts w:cs="Times New Roman"/>
                <w:b/>
                <w:sz w:val="20"/>
                <w:szCs w:val="20"/>
              </w:rPr>
            </w:pPr>
            <w:r w:rsidRPr="00146C23">
              <w:rPr>
                <w:rFonts w:cs="Times New Roman"/>
                <w:b/>
                <w:sz w:val="20"/>
                <w:szCs w:val="20"/>
              </w:rPr>
              <w:t>Negatívne</w:t>
            </w:r>
          </w:p>
        </w:tc>
      </w:tr>
      <w:tr w:rsidR="00146C23" w:rsidRPr="00146C23" w:rsidTr="00146C23">
        <w:tc>
          <w:tcPr>
            <w:tcW w:w="3812" w:type="dxa"/>
            <w:tcBorders>
              <w:top w:val="nil"/>
              <w:left w:val="single" w:sz="4" w:space="0" w:color="auto"/>
              <w:bottom w:val="nil"/>
              <w:right w:val="single" w:sz="4" w:space="0" w:color="auto"/>
            </w:tcBorders>
            <w:shd w:val="clear" w:color="auto" w:fill="E2E2E2"/>
          </w:tcPr>
          <w:p w:rsidR="00146C23" w:rsidRPr="00146C23" w:rsidRDefault="00146C23" w:rsidP="00146C23">
            <w:pPr>
              <w:widowControl/>
              <w:adjustRightInd/>
              <w:ind w:left="168" w:hanging="168"/>
              <w:rPr>
                <w:rFonts w:eastAsia="Calibri" w:cs="Times New Roman"/>
                <w:b/>
                <w:sz w:val="20"/>
                <w:szCs w:val="20"/>
                <w:lang w:eastAsia="en-US"/>
              </w:rPr>
            </w:pPr>
            <w:r w:rsidRPr="00146C23">
              <w:rPr>
                <w:rFonts w:eastAsia="Calibri" w:cs="Times New Roman"/>
                <w:b/>
                <w:sz w:val="20"/>
                <w:szCs w:val="20"/>
                <w:lang w:eastAsia="en-US"/>
              </w:rPr>
              <w:t xml:space="preserve">    vplyvy na procesy služieb vo verejnej správe</w:t>
            </w:r>
          </w:p>
        </w:tc>
        <w:sdt>
          <w:sdtPr>
            <w:rPr>
              <w:rFonts w:cs="Times New Roman"/>
              <w:b/>
              <w:sz w:val="20"/>
              <w:szCs w:val="20"/>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rsidR="00146C23" w:rsidRPr="00146C23" w:rsidRDefault="00146C23" w:rsidP="00146C23">
                <w:pPr>
                  <w:widowControl/>
                  <w:adjustRightInd/>
                  <w:jc w:val="center"/>
                  <w:rPr>
                    <w:rFonts w:cs="Times New Roman"/>
                    <w:b/>
                    <w:sz w:val="20"/>
                    <w:szCs w:val="20"/>
                  </w:rPr>
                </w:pPr>
                <w:r w:rsidRPr="00146C23">
                  <w:rPr>
                    <w:rFonts w:ascii="Segoe UI Symbol" w:eastAsia="MS Gothic" w:hAnsi="Segoe UI Symbol" w:cs="Segoe UI Symbol"/>
                    <w:b/>
                    <w:sz w:val="20"/>
                    <w:szCs w:val="20"/>
                  </w:rPr>
                  <w:t>☐</w:t>
                </w:r>
              </w:p>
            </w:tc>
          </w:sdtContent>
        </w:sdt>
        <w:tc>
          <w:tcPr>
            <w:tcW w:w="1312" w:type="dxa"/>
            <w:gridSpan w:val="2"/>
            <w:tcBorders>
              <w:top w:val="dotted" w:sz="4" w:space="0" w:color="auto"/>
              <w:left w:val="nil"/>
              <w:bottom w:val="dotted" w:sz="4" w:space="0" w:color="auto"/>
              <w:right w:val="nil"/>
            </w:tcBorders>
            <w:vAlign w:val="center"/>
          </w:tcPr>
          <w:p w:rsidR="00146C23" w:rsidRPr="00146C23" w:rsidRDefault="00146C23" w:rsidP="00146C23">
            <w:pPr>
              <w:widowControl/>
              <w:adjustRightInd/>
              <w:ind w:right="-108"/>
              <w:rPr>
                <w:rFonts w:cs="Times New Roman"/>
                <w:b/>
                <w:sz w:val="20"/>
                <w:szCs w:val="20"/>
              </w:rPr>
            </w:pPr>
            <w:r w:rsidRPr="00146C23">
              <w:rPr>
                <w:rFonts w:cs="Times New Roman"/>
                <w:b/>
                <w:sz w:val="20"/>
                <w:szCs w:val="20"/>
              </w:rPr>
              <w:t>Pozitívne</w:t>
            </w:r>
          </w:p>
        </w:tc>
        <w:sdt>
          <w:sdtPr>
            <w:rPr>
              <w:rFonts w:cs="Times New Roman"/>
              <w:b/>
              <w:sz w:val="20"/>
              <w:szCs w:val="20"/>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vAlign w:val="center"/>
              </w:tcPr>
              <w:p w:rsidR="00146C23" w:rsidRPr="00146C23" w:rsidRDefault="00146C23" w:rsidP="00146C23">
                <w:pPr>
                  <w:widowControl/>
                  <w:adjustRightInd/>
                  <w:jc w:val="center"/>
                  <w:rPr>
                    <w:rFonts w:cs="Times New Roman"/>
                    <w:b/>
                    <w:sz w:val="20"/>
                    <w:szCs w:val="20"/>
                  </w:rPr>
                </w:pPr>
                <w:r w:rsidRPr="00146C23">
                  <w:rPr>
                    <w:rFonts w:ascii="Segoe UI Symbol" w:eastAsia="MS Gothic" w:hAnsi="Segoe UI Symbol" w:cs="Segoe UI Symbol"/>
                    <w:b/>
                    <w:sz w:val="20"/>
                    <w:szCs w:val="20"/>
                  </w:rPr>
                  <w:t>☒</w:t>
                </w:r>
              </w:p>
            </w:tc>
          </w:sdtContent>
        </w:sdt>
        <w:tc>
          <w:tcPr>
            <w:tcW w:w="1133" w:type="dxa"/>
            <w:tcBorders>
              <w:top w:val="dotted" w:sz="4" w:space="0" w:color="auto"/>
              <w:left w:val="nil"/>
              <w:bottom w:val="dotted" w:sz="4" w:space="0" w:color="auto"/>
              <w:right w:val="nil"/>
            </w:tcBorders>
            <w:vAlign w:val="center"/>
          </w:tcPr>
          <w:p w:rsidR="00146C23" w:rsidRPr="00146C23" w:rsidRDefault="00146C23" w:rsidP="00146C23">
            <w:pPr>
              <w:widowControl/>
              <w:adjustRightInd/>
              <w:rPr>
                <w:rFonts w:cs="Times New Roman"/>
                <w:b/>
                <w:sz w:val="20"/>
                <w:szCs w:val="20"/>
              </w:rPr>
            </w:pPr>
            <w:r w:rsidRPr="00146C23">
              <w:rPr>
                <w:rFonts w:cs="Times New Roman"/>
                <w:b/>
                <w:sz w:val="20"/>
                <w:szCs w:val="20"/>
              </w:rPr>
              <w:t>Žiadne</w:t>
            </w:r>
          </w:p>
        </w:tc>
        <w:sdt>
          <w:sdtPr>
            <w:rPr>
              <w:rFonts w:cs="Times New Roman"/>
              <w:b/>
              <w:sz w:val="20"/>
              <w:szCs w:val="20"/>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vAlign w:val="center"/>
              </w:tcPr>
              <w:p w:rsidR="00146C23" w:rsidRPr="00146C23" w:rsidRDefault="00146C23" w:rsidP="00146C23">
                <w:pPr>
                  <w:widowControl/>
                  <w:adjustRightInd/>
                  <w:jc w:val="center"/>
                  <w:rPr>
                    <w:rFonts w:cs="Times New Roman"/>
                    <w:b/>
                    <w:sz w:val="20"/>
                    <w:szCs w:val="20"/>
                  </w:rPr>
                </w:pPr>
                <w:r w:rsidRPr="00146C23">
                  <w:rPr>
                    <w:rFonts w:ascii="Segoe UI Symbol" w:eastAsia="MS Gothic" w:hAnsi="Segoe UI Symbol" w:cs="Segoe UI Symbol"/>
                    <w:b/>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rsidR="00146C23" w:rsidRPr="00146C23" w:rsidRDefault="00146C23" w:rsidP="00146C23">
            <w:pPr>
              <w:widowControl/>
              <w:adjustRightInd/>
              <w:ind w:left="54"/>
              <w:rPr>
                <w:rFonts w:cs="Times New Roman"/>
                <w:b/>
                <w:sz w:val="20"/>
                <w:szCs w:val="20"/>
              </w:rPr>
            </w:pPr>
            <w:r w:rsidRPr="00146C23">
              <w:rPr>
                <w:rFonts w:cs="Times New Roman"/>
                <w:b/>
                <w:sz w:val="20"/>
                <w:szCs w:val="20"/>
              </w:rPr>
              <w:t>Negatívne</w:t>
            </w:r>
          </w:p>
        </w:tc>
      </w:tr>
    </w:tbl>
    <w:tbl>
      <w:tblPr>
        <w:tblStyle w:val="Mriekatabuky11"/>
        <w:tblW w:w="9180" w:type="dxa"/>
        <w:tblLayout w:type="fixed"/>
        <w:tblLook w:val="04A0" w:firstRow="1" w:lastRow="0" w:firstColumn="1" w:lastColumn="0" w:noHBand="0" w:noVBand="1"/>
      </w:tblPr>
      <w:tblGrid>
        <w:gridCol w:w="3812"/>
        <w:gridCol w:w="541"/>
        <w:gridCol w:w="1312"/>
        <w:gridCol w:w="538"/>
        <w:gridCol w:w="1133"/>
        <w:gridCol w:w="547"/>
        <w:gridCol w:w="1297"/>
      </w:tblGrid>
      <w:tr w:rsidR="00146C23" w:rsidRPr="00146C23" w:rsidTr="00146C23">
        <w:tc>
          <w:tcPr>
            <w:tcW w:w="3812" w:type="dxa"/>
            <w:tcBorders>
              <w:top w:val="single" w:sz="4" w:space="0" w:color="000000"/>
              <w:left w:val="single" w:sz="4" w:space="0" w:color="auto"/>
              <w:bottom w:val="single" w:sz="4" w:space="0" w:color="auto"/>
              <w:right w:val="single" w:sz="4" w:space="0" w:color="auto"/>
            </w:tcBorders>
            <w:shd w:val="clear" w:color="auto" w:fill="E2E2E2"/>
          </w:tcPr>
          <w:p w:rsidR="00146C23" w:rsidRPr="00146C23" w:rsidRDefault="00146C23" w:rsidP="00146C23">
            <w:pPr>
              <w:widowControl/>
              <w:adjustRightInd/>
              <w:rPr>
                <w:rFonts w:cs="Times New Roman"/>
                <w:b/>
                <w:sz w:val="20"/>
                <w:szCs w:val="20"/>
              </w:rPr>
            </w:pPr>
            <w:r w:rsidRPr="00146C23">
              <w:rPr>
                <w:rFonts w:cs="Times New Roman"/>
                <w:b/>
                <w:sz w:val="20"/>
                <w:szCs w:val="20"/>
                <w:lang w:eastAsia="en-US"/>
              </w:rPr>
              <w:t>Vplyvy na manželstvo, rodičovstvo a rodinu</w:t>
            </w:r>
          </w:p>
        </w:tc>
        <w:sdt>
          <w:sdtPr>
            <w:rPr>
              <w:rFonts w:cs="Times New Roman"/>
              <w:b/>
              <w:sz w:val="20"/>
              <w:szCs w:val="20"/>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146C23" w:rsidRPr="00146C23" w:rsidRDefault="00146C23" w:rsidP="00146C23">
                <w:pPr>
                  <w:widowControl/>
                  <w:adjustRightInd/>
                  <w:jc w:val="center"/>
                  <w:rPr>
                    <w:rFonts w:cs="Times New Roman"/>
                    <w:b/>
                    <w:sz w:val="20"/>
                    <w:szCs w:val="20"/>
                  </w:rPr>
                </w:pPr>
                <w:r w:rsidRPr="00146C23">
                  <w:rPr>
                    <w:rFonts w:ascii="Segoe UI Symbol" w:eastAsia="MS Gothic" w:hAnsi="Segoe UI Symbol" w:cs="Segoe UI Symbol"/>
                    <w:b/>
                    <w:sz w:val="20"/>
                    <w:szCs w:val="20"/>
                  </w:rPr>
                  <w:t>☐</w:t>
                </w:r>
              </w:p>
            </w:tc>
          </w:sdtContent>
        </w:sdt>
        <w:tc>
          <w:tcPr>
            <w:tcW w:w="1312" w:type="dxa"/>
            <w:tcBorders>
              <w:top w:val="single" w:sz="4" w:space="0" w:color="auto"/>
              <w:left w:val="nil"/>
              <w:bottom w:val="single" w:sz="4" w:space="0" w:color="auto"/>
              <w:right w:val="nil"/>
            </w:tcBorders>
            <w:vAlign w:val="center"/>
          </w:tcPr>
          <w:p w:rsidR="00146C23" w:rsidRPr="00146C23" w:rsidRDefault="00146C23" w:rsidP="00146C23">
            <w:pPr>
              <w:widowControl/>
              <w:adjustRightInd/>
              <w:ind w:right="-108"/>
              <w:rPr>
                <w:rFonts w:cs="Times New Roman"/>
                <w:b/>
                <w:sz w:val="20"/>
                <w:szCs w:val="20"/>
              </w:rPr>
            </w:pPr>
            <w:r w:rsidRPr="00146C23">
              <w:rPr>
                <w:rFonts w:cs="Times New Roman"/>
                <w:b/>
                <w:sz w:val="20"/>
                <w:szCs w:val="20"/>
              </w:rPr>
              <w:t>Pozitívne</w:t>
            </w:r>
          </w:p>
        </w:tc>
        <w:sdt>
          <w:sdtPr>
            <w:rPr>
              <w:rFonts w:cs="Times New Roman"/>
              <w:b/>
              <w:sz w:val="20"/>
              <w:szCs w:val="20"/>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146C23" w:rsidRPr="00146C23" w:rsidRDefault="00146C23" w:rsidP="00146C23">
                <w:pPr>
                  <w:widowControl/>
                  <w:adjustRightInd/>
                  <w:jc w:val="center"/>
                  <w:rPr>
                    <w:rFonts w:cs="Times New Roman"/>
                    <w:b/>
                    <w:sz w:val="20"/>
                    <w:szCs w:val="20"/>
                  </w:rPr>
                </w:pPr>
                <w:r w:rsidRPr="00146C23">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vAlign w:val="center"/>
          </w:tcPr>
          <w:p w:rsidR="00146C23" w:rsidRPr="00146C23" w:rsidRDefault="00146C23" w:rsidP="00146C23">
            <w:pPr>
              <w:widowControl/>
              <w:adjustRightInd/>
              <w:rPr>
                <w:rFonts w:cs="Times New Roman"/>
                <w:b/>
                <w:sz w:val="20"/>
                <w:szCs w:val="20"/>
              </w:rPr>
            </w:pPr>
            <w:r w:rsidRPr="00146C23">
              <w:rPr>
                <w:rFonts w:cs="Times New Roman"/>
                <w:b/>
                <w:sz w:val="20"/>
                <w:szCs w:val="20"/>
              </w:rPr>
              <w:t>Žiadne</w:t>
            </w:r>
          </w:p>
        </w:tc>
        <w:sdt>
          <w:sdtPr>
            <w:rPr>
              <w:rFonts w:cs="Times New Roman"/>
              <w:b/>
              <w:sz w:val="20"/>
              <w:szCs w:val="20"/>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146C23" w:rsidRPr="00146C23" w:rsidRDefault="00146C23" w:rsidP="00146C23">
                <w:pPr>
                  <w:widowControl/>
                  <w:adjustRightInd/>
                  <w:jc w:val="center"/>
                  <w:rPr>
                    <w:rFonts w:cs="Times New Roman"/>
                    <w:b/>
                    <w:sz w:val="20"/>
                    <w:szCs w:val="20"/>
                  </w:rPr>
                </w:pPr>
                <w:r w:rsidRPr="00146C23">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rsidR="00146C23" w:rsidRPr="00146C23" w:rsidRDefault="00146C23" w:rsidP="00146C23">
            <w:pPr>
              <w:widowControl/>
              <w:adjustRightInd/>
              <w:ind w:left="54"/>
              <w:rPr>
                <w:rFonts w:cs="Times New Roman"/>
                <w:b/>
                <w:sz w:val="20"/>
                <w:szCs w:val="20"/>
              </w:rPr>
            </w:pPr>
            <w:r w:rsidRPr="00146C23">
              <w:rPr>
                <w:rFonts w:cs="Times New Roman"/>
                <w:b/>
                <w:sz w:val="20"/>
                <w:szCs w:val="20"/>
              </w:rPr>
              <w:t>Negatívne</w:t>
            </w:r>
          </w:p>
        </w:tc>
      </w:tr>
    </w:tbl>
    <w:p w:rsidR="00146C23" w:rsidRPr="00146C23" w:rsidRDefault="00146C23" w:rsidP="00146C23">
      <w:pPr>
        <w:widowControl/>
        <w:adjustRightInd/>
        <w:ind w:right="141"/>
        <w:rPr>
          <w:rFonts w:cs="Times New Roman"/>
          <w:b/>
          <w:sz w:val="20"/>
          <w:szCs w:val="20"/>
        </w:rPr>
      </w:pPr>
    </w:p>
    <w:tbl>
      <w:tblPr>
        <w:tblStyle w:val="Mriekatabuky11"/>
        <w:tblW w:w="9176" w:type="dxa"/>
        <w:tblLayout w:type="fixed"/>
        <w:tblLook w:val="04A0" w:firstRow="1" w:lastRow="0" w:firstColumn="1" w:lastColumn="0" w:noHBand="0" w:noVBand="1"/>
      </w:tblPr>
      <w:tblGrid>
        <w:gridCol w:w="9176"/>
      </w:tblGrid>
      <w:tr w:rsidR="00146C23" w:rsidRPr="00146C23" w:rsidTr="00146C23">
        <w:tc>
          <w:tcPr>
            <w:tcW w:w="9176" w:type="dxa"/>
            <w:tcBorders>
              <w:top w:val="single" w:sz="4" w:space="0" w:color="auto"/>
              <w:left w:val="single" w:sz="4" w:space="0" w:color="auto"/>
              <w:bottom w:val="nil"/>
              <w:right w:val="single" w:sz="4" w:space="0" w:color="auto"/>
            </w:tcBorders>
            <w:shd w:val="clear" w:color="auto" w:fill="E2E2E2"/>
          </w:tcPr>
          <w:p w:rsidR="00146C23" w:rsidRPr="00146C23" w:rsidRDefault="00146C23" w:rsidP="00146C23">
            <w:pPr>
              <w:widowControl/>
              <w:numPr>
                <w:ilvl w:val="0"/>
                <w:numId w:val="7"/>
              </w:numPr>
              <w:adjustRightInd/>
              <w:ind w:left="426"/>
              <w:contextualSpacing/>
              <w:rPr>
                <w:rFonts w:eastAsia="Calibri" w:cs="Times New Roman"/>
                <w:b/>
                <w:sz w:val="22"/>
                <w:szCs w:val="22"/>
                <w:lang w:eastAsia="en-US"/>
              </w:rPr>
            </w:pPr>
            <w:r w:rsidRPr="00146C23">
              <w:rPr>
                <w:rFonts w:eastAsia="Calibri" w:cs="Times New Roman"/>
                <w:b/>
                <w:sz w:val="22"/>
                <w:szCs w:val="22"/>
                <w:lang w:eastAsia="en-US"/>
              </w:rPr>
              <w:t>Poznámky</w:t>
            </w:r>
          </w:p>
        </w:tc>
      </w:tr>
      <w:tr w:rsidR="00146C23" w:rsidRPr="00146C23" w:rsidTr="00146C23">
        <w:trPr>
          <w:trHeight w:val="713"/>
        </w:trPr>
        <w:tc>
          <w:tcPr>
            <w:tcW w:w="9176" w:type="dxa"/>
            <w:tcBorders>
              <w:top w:val="nil"/>
              <w:left w:val="single" w:sz="4" w:space="0" w:color="auto"/>
              <w:bottom w:val="single" w:sz="4" w:space="0" w:color="FFFFFF"/>
              <w:right w:val="single" w:sz="4" w:space="0" w:color="auto"/>
            </w:tcBorders>
          </w:tcPr>
          <w:p w:rsidR="00146C23" w:rsidRPr="00146C23" w:rsidRDefault="00146C23" w:rsidP="00146C23">
            <w:pPr>
              <w:widowControl/>
              <w:adjustRightInd/>
              <w:jc w:val="both"/>
              <w:rPr>
                <w:rFonts w:cs="Times New Roman"/>
                <w:i/>
                <w:sz w:val="20"/>
                <w:szCs w:val="20"/>
              </w:rPr>
            </w:pPr>
            <w:r w:rsidRPr="00146C23">
              <w:rPr>
                <w:rFonts w:cs="Times New Roman"/>
                <w:i/>
                <w:sz w:val="20"/>
                <w:szCs w:val="20"/>
              </w:rPr>
              <w:t xml:space="preserve">V prípade potreby uveďte doplňujúce informácie k identifikovaným vplyvom a ich analýzam. </w:t>
            </w:r>
          </w:p>
          <w:p w:rsidR="00146C23" w:rsidRPr="00146C23" w:rsidRDefault="00146C23" w:rsidP="00146C23">
            <w:pPr>
              <w:widowControl/>
              <w:adjustRightInd/>
              <w:jc w:val="both"/>
              <w:rPr>
                <w:rFonts w:cs="Times New Roman"/>
                <w:i/>
                <w:sz w:val="20"/>
                <w:szCs w:val="20"/>
              </w:rPr>
            </w:pPr>
          </w:p>
          <w:p w:rsidR="00146C23" w:rsidRPr="00146C23" w:rsidRDefault="00146C23" w:rsidP="00146C23">
            <w:pPr>
              <w:widowControl/>
              <w:adjustRightInd/>
              <w:jc w:val="both"/>
              <w:rPr>
                <w:rFonts w:cs="Times New Roman"/>
                <w:i/>
                <w:sz w:val="20"/>
                <w:szCs w:val="20"/>
              </w:rPr>
            </w:pPr>
            <w:r w:rsidRPr="00146C23">
              <w:rPr>
                <w:rFonts w:cs="Times New Roman"/>
                <w:i/>
                <w:sz w:val="20"/>
                <w:szCs w:val="20"/>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146C23" w:rsidRPr="00146C23" w:rsidRDefault="00146C23" w:rsidP="00146C23">
            <w:pPr>
              <w:widowControl/>
              <w:adjustRightInd/>
              <w:jc w:val="both"/>
              <w:rPr>
                <w:rFonts w:cs="Times New Roman"/>
                <w:i/>
                <w:sz w:val="20"/>
                <w:szCs w:val="20"/>
              </w:rPr>
            </w:pPr>
          </w:p>
          <w:p w:rsidR="00146C23" w:rsidRPr="00146C23" w:rsidRDefault="00146C23" w:rsidP="00146C23">
            <w:pPr>
              <w:widowControl/>
              <w:adjustRightInd/>
              <w:jc w:val="both"/>
              <w:rPr>
                <w:rFonts w:cs="Times New Roman"/>
                <w:i/>
                <w:sz w:val="20"/>
                <w:szCs w:val="20"/>
              </w:rPr>
            </w:pPr>
            <w:r w:rsidRPr="00146C23">
              <w:rPr>
                <w:rFonts w:cs="Times New Roman"/>
                <w:i/>
                <w:sz w:val="20"/>
                <w:szCs w:val="20"/>
              </w:rPr>
              <w:t>Informácie v tejto časti slúžia na zhrnutie vplyvov alebo aj na vyjadrenie sa k marginálnym vplyvom a nie ako náhrada za vypracovanie príslušných analýz vybraných vplyvov.</w:t>
            </w:r>
          </w:p>
          <w:p w:rsidR="00146C23" w:rsidRPr="00146C23" w:rsidRDefault="00146C23" w:rsidP="00146C23">
            <w:pPr>
              <w:widowControl/>
              <w:adjustRightInd/>
              <w:jc w:val="both"/>
              <w:rPr>
                <w:rFonts w:cs="Times New Roman"/>
                <w:i/>
                <w:sz w:val="20"/>
                <w:szCs w:val="20"/>
              </w:rPr>
            </w:pPr>
          </w:p>
          <w:p w:rsidR="00146C23" w:rsidRPr="00146C23" w:rsidRDefault="00146C23" w:rsidP="00146C23">
            <w:pPr>
              <w:widowControl/>
              <w:adjustRightInd/>
              <w:jc w:val="both"/>
              <w:rPr>
                <w:rFonts w:cs="Times New Roman"/>
                <w:i/>
                <w:sz w:val="20"/>
                <w:szCs w:val="20"/>
              </w:rPr>
            </w:pPr>
            <w:r w:rsidRPr="00146C23">
              <w:rPr>
                <w:rFonts w:cs="Times New Roman"/>
                <w:i/>
                <w:sz w:val="20"/>
                <w:szCs w:val="20"/>
              </w:rPr>
              <w:t>V prípade, že je materiál posudzovaný podľa zákona č. 24/2006 Z. z. o posudzovaní vplyvov na životné prostredie a o zmene a doplnení niektorých zákonov v znení neskorších prepisov, uveďte internetový odkaz na tento proces</w:t>
            </w:r>
          </w:p>
          <w:p w:rsidR="00146C23" w:rsidRPr="00146C23" w:rsidRDefault="00146C23" w:rsidP="00146C23">
            <w:pPr>
              <w:widowControl/>
              <w:adjustRightInd/>
              <w:jc w:val="both"/>
              <w:rPr>
                <w:rFonts w:cs="Times New Roman"/>
                <w:i/>
                <w:sz w:val="20"/>
                <w:szCs w:val="20"/>
              </w:rPr>
            </w:pPr>
          </w:p>
          <w:p w:rsidR="00146C23" w:rsidRPr="00146C23" w:rsidRDefault="00146C23" w:rsidP="00146C23">
            <w:pPr>
              <w:widowControl/>
              <w:adjustRightInd/>
              <w:jc w:val="both"/>
              <w:rPr>
                <w:rFonts w:eastAsia="Calibri" w:cs="Times New Roman"/>
                <w:sz w:val="20"/>
                <w:szCs w:val="20"/>
                <w:lang w:eastAsia="en-US"/>
              </w:rPr>
            </w:pPr>
            <w:r w:rsidRPr="00146C23">
              <w:rPr>
                <w:rFonts w:eastAsia="Calibri" w:cs="Times New Roman"/>
                <w:bCs/>
                <w:iCs/>
                <w:sz w:val="20"/>
                <w:szCs w:val="20"/>
                <w:lang w:eastAsia="en-US"/>
              </w:rPr>
              <w:t>Návrh zákona implementuje alebo čiastočne implementuje viaceré európske právne predpisy</w:t>
            </w:r>
            <w:r w:rsidRPr="00146C23">
              <w:rPr>
                <w:rFonts w:eastAsia="Calibri" w:cs="Times New Roman"/>
                <w:sz w:val="20"/>
                <w:szCs w:val="20"/>
                <w:lang w:eastAsia="en-US"/>
              </w:rPr>
              <w:t xml:space="preserve">, pričom sa obmedzuje len na implementáciu v rozsahu doplnenia nevyhnutnej právnej úpravy pre aplikovateľnosť a vymáhateľnosť </w:t>
            </w:r>
            <w:r w:rsidRPr="00146C23">
              <w:rPr>
                <w:rFonts w:cs="Times New Roman"/>
                <w:sz w:val="20"/>
                <w:szCs w:val="20"/>
              </w:rPr>
              <w:t>ako to predpokladajú</w:t>
            </w:r>
            <w:r w:rsidRPr="00146C23">
              <w:rPr>
                <w:rFonts w:eastAsia="Calibri" w:cs="Times New Roman"/>
                <w:sz w:val="20"/>
                <w:szCs w:val="20"/>
                <w:lang w:eastAsia="en-US"/>
              </w:rPr>
              <w:t xml:space="preserve"> nariadenia</w:t>
            </w:r>
            <w:r w:rsidRPr="00146C23">
              <w:rPr>
                <w:rFonts w:cs="Times New Roman"/>
                <w:sz w:val="20"/>
                <w:szCs w:val="20"/>
              </w:rPr>
              <w:t>, pričom návrh zákona neustanovuje ďalšie práva a povinnosti nad rámec implementovaných nariadení a transponovaných smerníc.</w:t>
            </w:r>
            <w:r w:rsidRPr="00146C23">
              <w:rPr>
                <w:rFonts w:eastAsia="Calibri" w:cs="Times New Roman"/>
                <w:sz w:val="20"/>
                <w:szCs w:val="20"/>
                <w:lang w:eastAsia="en-US"/>
              </w:rPr>
              <w:t xml:space="preserve"> Práva a povinnosti hospodárskych subjektov sú obsiahnuté priamo v nariadeniach.</w:t>
            </w:r>
          </w:p>
          <w:p w:rsidR="00146C23" w:rsidRPr="00146C23" w:rsidRDefault="00146C23" w:rsidP="00146C23">
            <w:pPr>
              <w:widowControl/>
              <w:adjustRightInd/>
              <w:jc w:val="both"/>
              <w:rPr>
                <w:rFonts w:cs="Times New Roman"/>
                <w:sz w:val="20"/>
                <w:szCs w:val="20"/>
              </w:rPr>
            </w:pPr>
          </w:p>
          <w:p w:rsidR="00146C23" w:rsidRPr="00146C23" w:rsidRDefault="00146C23" w:rsidP="00146C23">
            <w:pPr>
              <w:widowControl/>
              <w:adjustRightInd/>
              <w:jc w:val="both"/>
              <w:rPr>
                <w:rFonts w:eastAsia="Calibri" w:cs="Times New Roman"/>
                <w:sz w:val="20"/>
                <w:szCs w:val="20"/>
                <w:lang w:eastAsia="en-US"/>
              </w:rPr>
            </w:pPr>
            <w:r w:rsidRPr="00146C23">
              <w:rPr>
                <w:rFonts w:cs="Times New Roman"/>
                <w:sz w:val="20"/>
                <w:szCs w:val="20"/>
              </w:rPr>
              <w:t xml:space="preserve">Samotný návrh zákona má pozitívne vplyvy na životné prostredie v zanedbateľnom rozsahu, a to v súvislosti s implementáciou </w:t>
            </w:r>
            <w:r w:rsidRPr="00146C23">
              <w:rPr>
                <w:rFonts w:eastAsia="Calibri" w:cs="Times New Roman"/>
                <w:iCs/>
                <w:sz w:val="20"/>
                <w:szCs w:val="20"/>
                <w:shd w:val="clear" w:color="auto" w:fill="FFFFFF"/>
                <w:lang w:eastAsia="en-US"/>
              </w:rPr>
              <w:t>nariadenia (EÚ) 2024/1252 v platnom znená</w:t>
            </w:r>
            <w:r w:rsidRPr="00146C23">
              <w:rPr>
                <w:rFonts w:cs="Times New Roman"/>
                <w:sz w:val="20"/>
                <w:szCs w:val="20"/>
              </w:rPr>
              <w:t xml:space="preserve"> </w:t>
            </w:r>
            <w:r w:rsidRPr="00146C23">
              <w:rPr>
                <w:rFonts w:eastAsia="Calibri" w:cs="Times New Roman"/>
                <w:sz w:val="20"/>
                <w:szCs w:val="20"/>
              </w:rPr>
              <w:t>v dôsledku využívania permanentných magnetov ako druhotných surovín,</w:t>
            </w:r>
            <w:r w:rsidRPr="00146C23">
              <w:rPr>
                <w:rFonts w:eastAsia="Calibri" w:cs="Times New Roman"/>
                <w:iCs/>
                <w:sz w:val="20"/>
                <w:szCs w:val="20"/>
                <w:shd w:val="clear" w:color="auto" w:fill="FFFFFF"/>
                <w:lang w:eastAsia="en-US"/>
              </w:rPr>
              <w:t xml:space="preserve"> v súvislosti so zavedením sledovania uhlíkovej stopy a postupným zavádzaním požiadaviek na recyklovaný obsah batérií v súvislosti s nariadením (EÚ) 2023/1542 v platnom znení, pretože nosná časť z týchto nariadení, ktorá má pozitívne vplyvy na životné prostredie, nie je návrhom zákona implementovaná a taktiež </w:t>
            </w:r>
            <w:r w:rsidRPr="00146C23">
              <w:rPr>
                <w:rFonts w:eastAsia="Calibri" w:cs="Times New Roman"/>
                <w:noProof/>
                <w:sz w:val="20"/>
                <w:szCs w:val="20"/>
                <w:lang w:eastAsia="en-US"/>
              </w:rPr>
              <w:t xml:space="preserve">v poklese spotreby papiera na tlač príručiek s pokynmi na používanie, čím sa zníži aj zodpovedajúca uhlíková stopa v súvislosti s </w:t>
            </w:r>
            <w:r w:rsidRPr="00146C23">
              <w:rPr>
                <w:rFonts w:eastAsia="Calibri" w:cs="Times New Roman"/>
                <w:iCs/>
                <w:sz w:val="20"/>
                <w:szCs w:val="20"/>
                <w:shd w:val="clear" w:color="auto" w:fill="FFFFFF"/>
                <w:lang w:eastAsia="en-US"/>
              </w:rPr>
              <w:t>nariadením (EÚ) 2023/1230 v platnom znení.</w:t>
            </w:r>
          </w:p>
          <w:p w:rsidR="00146C23" w:rsidRPr="00146C23" w:rsidRDefault="00146C23" w:rsidP="00146C23">
            <w:pPr>
              <w:widowControl/>
              <w:adjustRightInd/>
              <w:jc w:val="both"/>
              <w:rPr>
                <w:rFonts w:eastAsia="Calibri" w:cs="Times New Roman"/>
                <w:sz w:val="20"/>
                <w:szCs w:val="20"/>
                <w:lang w:eastAsia="en-US"/>
              </w:rPr>
            </w:pPr>
          </w:p>
          <w:p w:rsidR="00146C23" w:rsidRPr="00146C23" w:rsidRDefault="00146C23" w:rsidP="00146C23">
            <w:pPr>
              <w:widowControl/>
              <w:adjustRightInd/>
              <w:jc w:val="both"/>
              <w:rPr>
                <w:rFonts w:cs="Times New Roman"/>
                <w:i/>
                <w:sz w:val="20"/>
                <w:szCs w:val="20"/>
              </w:rPr>
            </w:pPr>
            <w:r w:rsidRPr="00146C23">
              <w:rPr>
                <w:rFonts w:eastAsia="Calibri" w:cs="Times New Roman"/>
                <w:sz w:val="20"/>
                <w:szCs w:val="20"/>
                <w:lang w:eastAsia="en-US"/>
              </w:rPr>
              <w:t>Vplyvy na rozpočet verejnej správy a podnikateľské vplyvy sú podrobnejšie opísané v príslušných analýzach posúdených vplyvov, pričom negatívny vplyv na rozpočet verejnej správy a na limit verejných výdavkov bude kompenzovaný zvýšenými príjmami rozpočtovej organizácie Slovenskej obchodnej inšpekcie ako je to uvedené v príslušnej analýze vplyvov.</w:t>
            </w:r>
          </w:p>
        </w:tc>
      </w:tr>
      <w:tr w:rsidR="00146C23" w:rsidRPr="00146C23" w:rsidTr="00146C23">
        <w:tc>
          <w:tcPr>
            <w:tcW w:w="9176" w:type="dxa"/>
            <w:tcBorders>
              <w:top w:val="single" w:sz="4" w:space="0" w:color="auto"/>
              <w:left w:val="single" w:sz="4" w:space="0" w:color="auto"/>
              <w:bottom w:val="single" w:sz="4" w:space="0" w:color="FFFFFF"/>
              <w:right w:val="single" w:sz="4" w:space="0" w:color="auto"/>
            </w:tcBorders>
            <w:shd w:val="clear" w:color="auto" w:fill="E2E2E2"/>
          </w:tcPr>
          <w:p w:rsidR="00146C23" w:rsidRPr="00146C23" w:rsidRDefault="00146C23" w:rsidP="00146C23">
            <w:pPr>
              <w:widowControl/>
              <w:numPr>
                <w:ilvl w:val="0"/>
                <w:numId w:val="7"/>
              </w:numPr>
              <w:adjustRightInd/>
              <w:ind w:left="426"/>
              <w:contextualSpacing/>
              <w:rPr>
                <w:rFonts w:eastAsia="Calibri" w:cs="Times New Roman"/>
                <w:b/>
                <w:sz w:val="22"/>
                <w:szCs w:val="22"/>
                <w:lang w:eastAsia="en-US"/>
              </w:rPr>
            </w:pPr>
            <w:r w:rsidRPr="00146C23">
              <w:rPr>
                <w:rFonts w:eastAsia="Calibri" w:cs="Times New Roman"/>
                <w:b/>
                <w:sz w:val="22"/>
                <w:szCs w:val="22"/>
                <w:lang w:eastAsia="en-US"/>
              </w:rPr>
              <w:t>Kontakt na spracovateľa</w:t>
            </w:r>
          </w:p>
        </w:tc>
      </w:tr>
      <w:tr w:rsidR="00146C23" w:rsidRPr="00146C23" w:rsidTr="00146C23">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46C23" w:rsidRPr="00146C23" w:rsidRDefault="00146C23" w:rsidP="00146C23">
            <w:pPr>
              <w:widowControl/>
              <w:adjustRightInd/>
              <w:rPr>
                <w:rFonts w:cs="Times New Roman"/>
                <w:i/>
                <w:sz w:val="20"/>
                <w:szCs w:val="20"/>
              </w:rPr>
            </w:pPr>
            <w:r w:rsidRPr="00146C23">
              <w:rPr>
                <w:rFonts w:cs="Times New Roman"/>
                <w:i/>
                <w:sz w:val="20"/>
                <w:szCs w:val="20"/>
              </w:rPr>
              <w:t>Uveďte údaje na kontaktnú osobu, ktorú je možné kontaktovať v súvislosti s posúdením vybraných vplyvov.</w:t>
            </w:r>
          </w:p>
          <w:p w:rsidR="00146C23" w:rsidRPr="00146C23" w:rsidRDefault="00146C23" w:rsidP="00146C23">
            <w:pPr>
              <w:widowControl/>
              <w:adjustRightInd/>
              <w:rPr>
                <w:rFonts w:cs="Times New Roman"/>
                <w:i/>
                <w:sz w:val="20"/>
                <w:szCs w:val="20"/>
              </w:rPr>
            </w:pPr>
          </w:p>
          <w:p w:rsidR="00146C23" w:rsidRPr="00146C23" w:rsidRDefault="00146C23" w:rsidP="00146C23">
            <w:pPr>
              <w:widowControl/>
              <w:adjustRightInd/>
              <w:rPr>
                <w:rFonts w:cs="Times New Roman"/>
                <w:sz w:val="20"/>
                <w:szCs w:val="20"/>
              </w:rPr>
            </w:pPr>
            <w:r w:rsidRPr="00146C23">
              <w:rPr>
                <w:rFonts w:cs="Times New Roman"/>
                <w:sz w:val="20"/>
                <w:szCs w:val="20"/>
              </w:rPr>
              <w:t>JUDr. Liliana Tahotná</w:t>
            </w:r>
          </w:p>
          <w:p w:rsidR="00146C23" w:rsidRPr="00146C23" w:rsidRDefault="00146C23" w:rsidP="00146C23">
            <w:pPr>
              <w:widowControl/>
              <w:adjustRightInd/>
              <w:rPr>
                <w:rFonts w:cs="Times New Roman"/>
                <w:sz w:val="20"/>
                <w:szCs w:val="20"/>
              </w:rPr>
            </w:pPr>
            <w:r w:rsidRPr="00146C23">
              <w:rPr>
                <w:rFonts w:cs="Times New Roman"/>
                <w:sz w:val="20"/>
                <w:szCs w:val="20"/>
              </w:rPr>
              <w:t>odbor skúšobníctva a európskych záležitostí</w:t>
            </w:r>
          </w:p>
          <w:p w:rsidR="00146C23" w:rsidRPr="00146C23" w:rsidRDefault="00146C23" w:rsidP="00146C23">
            <w:pPr>
              <w:widowControl/>
              <w:adjustRightInd/>
              <w:rPr>
                <w:rFonts w:cs="Times New Roman"/>
                <w:sz w:val="20"/>
                <w:szCs w:val="20"/>
              </w:rPr>
            </w:pPr>
            <w:r w:rsidRPr="00146C23">
              <w:rPr>
                <w:rFonts w:cs="Times New Roman"/>
                <w:sz w:val="20"/>
                <w:szCs w:val="20"/>
              </w:rPr>
              <w:t>Úrad pre normalizáciu, metrológiu a skúšobníctvo Slovenskej republiky</w:t>
            </w:r>
          </w:p>
          <w:p w:rsidR="00146C23" w:rsidRPr="00146C23" w:rsidRDefault="00146C23" w:rsidP="00146C23">
            <w:pPr>
              <w:widowControl/>
              <w:adjustRightInd/>
              <w:rPr>
                <w:rFonts w:cs="Times New Roman"/>
                <w:sz w:val="20"/>
                <w:szCs w:val="20"/>
              </w:rPr>
            </w:pPr>
            <w:r w:rsidRPr="00146C23">
              <w:rPr>
                <w:rFonts w:cs="Times New Roman"/>
                <w:sz w:val="20"/>
                <w:szCs w:val="20"/>
              </w:rPr>
              <w:t xml:space="preserve">email: </w:t>
            </w:r>
            <w:hyperlink r:id="rId8" w:history="1">
              <w:r w:rsidRPr="00146C23">
                <w:rPr>
                  <w:rFonts w:cs="Times New Roman"/>
                  <w:sz w:val="20"/>
                  <w:szCs w:val="20"/>
                  <w:u w:val="single"/>
                </w:rPr>
                <w:t>liliana.tahotna@normoff.gov.sk</w:t>
              </w:r>
            </w:hyperlink>
            <w:r w:rsidRPr="00146C23">
              <w:rPr>
                <w:rFonts w:cs="Times New Roman"/>
                <w:sz w:val="20"/>
                <w:szCs w:val="20"/>
              </w:rPr>
              <w:t xml:space="preserve">. </w:t>
            </w:r>
          </w:p>
          <w:p w:rsidR="00146C23" w:rsidRPr="00146C23" w:rsidRDefault="00146C23" w:rsidP="00146C23">
            <w:pPr>
              <w:widowControl/>
              <w:adjustRightInd/>
              <w:rPr>
                <w:rFonts w:cs="Times New Roman"/>
                <w:sz w:val="20"/>
                <w:szCs w:val="20"/>
              </w:rPr>
            </w:pPr>
            <w:r w:rsidRPr="00146C23">
              <w:rPr>
                <w:rFonts w:cs="Times New Roman"/>
                <w:sz w:val="20"/>
                <w:szCs w:val="20"/>
              </w:rPr>
              <w:t>tel. č.: 02/ 20 907 296</w:t>
            </w:r>
          </w:p>
        </w:tc>
      </w:tr>
      <w:tr w:rsidR="00146C23" w:rsidRPr="00146C23" w:rsidTr="00146C23">
        <w:tc>
          <w:tcPr>
            <w:tcW w:w="9176" w:type="dxa"/>
            <w:tcBorders>
              <w:top w:val="single" w:sz="4" w:space="0" w:color="auto"/>
              <w:left w:val="single" w:sz="4" w:space="0" w:color="auto"/>
              <w:bottom w:val="single" w:sz="4" w:space="0" w:color="FFFFFF"/>
              <w:right w:val="single" w:sz="4" w:space="0" w:color="auto"/>
            </w:tcBorders>
            <w:shd w:val="clear" w:color="auto" w:fill="E2E2E2"/>
          </w:tcPr>
          <w:p w:rsidR="00146C23" w:rsidRPr="00146C23" w:rsidRDefault="00146C23" w:rsidP="00146C23">
            <w:pPr>
              <w:widowControl/>
              <w:numPr>
                <w:ilvl w:val="0"/>
                <w:numId w:val="7"/>
              </w:numPr>
              <w:adjustRightInd/>
              <w:ind w:left="426"/>
              <w:contextualSpacing/>
              <w:rPr>
                <w:rFonts w:eastAsia="Calibri" w:cs="Times New Roman"/>
                <w:b/>
                <w:sz w:val="22"/>
                <w:szCs w:val="22"/>
                <w:lang w:eastAsia="en-US"/>
              </w:rPr>
            </w:pPr>
            <w:r w:rsidRPr="00146C23">
              <w:rPr>
                <w:rFonts w:eastAsia="Calibri" w:cs="Times New Roman"/>
                <w:b/>
                <w:sz w:val="22"/>
                <w:szCs w:val="22"/>
                <w:lang w:eastAsia="en-US"/>
              </w:rPr>
              <w:t>Zdroje</w:t>
            </w:r>
          </w:p>
        </w:tc>
      </w:tr>
      <w:tr w:rsidR="00146C23" w:rsidRPr="00146C23" w:rsidTr="00146C23">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46C23" w:rsidRPr="00146C23" w:rsidRDefault="00146C23" w:rsidP="00146C23">
            <w:pPr>
              <w:widowControl/>
              <w:adjustRightInd/>
              <w:jc w:val="both"/>
              <w:rPr>
                <w:rFonts w:cs="Times New Roman"/>
                <w:sz w:val="20"/>
                <w:szCs w:val="20"/>
              </w:rPr>
            </w:pPr>
            <w:r w:rsidRPr="00146C23">
              <w:rPr>
                <w:rFonts w:cs="Times New Roman"/>
                <w:sz w:val="20"/>
                <w:szCs w:val="20"/>
              </w:rPr>
              <w:t>Konzultácie s orgánmi verejnej moci, ústrednými orgánmi štátnej správy a orgánmi dohľadu nad určenými výrobkami, kalkulačka nákladov podnikateľského prostredia, dáta úradu, expertný odhad.</w:t>
            </w:r>
          </w:p>
          <w:p w:rsidR="00146C23" w:rsidRPr="00146C23" w:rsidRDefault="00146C23" w:rsidP="00146C23">
            <w:pPr>
              <w:widowControl/>
              <w:adjustRightInd/>
              <w:rPr>
                <w:rFonts w:cs="Times New Roman"/>
                <w:b/>
                <w:sz w:val="20"/>
                <w:szCs w:val="20"/>
              </w:rPr>
            </w:pPr>
          </w:p>
        </w:tc>
      </w:tr>
      <w:tr w:rsidR="00146C23" w:rsidRPr="00146C23" w:rsidTr="00146C23">
        <w:tc>
          <w:tcPr>
            <w:tcW w:w="9176" w:type="dxa"/>
            <w:tcBorders>
              <w:top w:val="single" w:sz="4" w:space="0" w:color="auto"/>
              <w:left w:val="single" w:sz="4" w:space="0" w:color="auto"/>
              <w:bottom w:val="single" w:sz="4" w:space="0" w:color="FFFFFF"/>
              <w:right w:val="single" w:sz="4" w:space="0" w:color="auto"/>
            </w:tcBorders>
            <w:shd w:val="clear" w:color="auto" w:fill="E2E2E2"/>
          </w:tcPr>
          <w:p w:rsidR="00146C23" w:rsidRPr="00146C23" w:rsidRDefault="00146C23" w:rsidP="00146C23">
            <w:pPr>
              <w:widowControl/>
              <w:numPr>
                <w:ilvl w:val="0"/>
                <w:numId w:val="7"/>
              </w:numPr>
              <w:adjustRightInd/>
              <w:ind w:left="447" w:hanging="425"/>
              <w:contextualSpacing/>
              <w:rPr>
                <w:rFonts w:eastAsia="Calibri" w:cs="Times New Roman"/>
                <w:b/>
                <w:sz w:val="22"/>
                <w:szCs w:val="22"/>
                <w:lang w:eastAsia="en-US"/>
              </w:rPr>
            </w:pPr>
            <w:r w:rsidRPr="00146C23">
              <w:rPr>
                <w:rFonts w:eastAsia="Calibri" w:cs="Times New Roman"/>
                <w:b/>
                <w:sz w:val="22"/>
                <w:szCs w:val="22"/>
                <w:lang w:eastAsia="en-US"/>
              </w:rPr>
              <w:t>Stanovisko Komisie na posudzovanie vybraných vplyvov z PPK č. 045/2025 zo dňa</w:t>
            </w:r>
            <w:r w:rsidRPr="00146C23">
              <w:rPr>
                <w:rFonts w:eastAsia="Calibri" w:cs="Times New Roman"/>
                <w:sz w:val="22"/>
                <w:szCs w:val="22"/>
                <w:lang w:eastAsia="en-US"/>
              </w:rPr>
              <w:t xml:space="preserve"> </w:t>
            </w:r>
            <w:r w:rsidRPr="00146C23">
              <w:rPr>
                <w:rFonts w:eastAsia="Calibri" w:cs="Times New Roman"/>
                <w:b/>
                <w:sz w:val="22"/>
                <w:szCs w:val="22"/>
                <w:lang w:eastAsia="en-US"/>
              </w:rPr>
              <w:t>15.04.2025</w:t>
            </w:r>
          </w:p>
          <w:p w:rsidR="00146C23" w:rsidRPr="00146C23" w:rsidRDefault="00146C23" w:rsidP="00146C23">
            <w:pPr>
              <w:widowControl/>
              <w:adjustRightInd/>
              <w:ind w:left="502"/>
              <w:rPr>
                <w:rFonts w:cs="Times New Roman"/>
                <w:b/>
                <w:sz w:val="20"/>
                <w:szCs w:val="20"/>
              </w:rPr>
            </w:pPr>
            <w:r w:rsidRPr="00146C23">
              <w:rPr>
                <w:rFonts w:eastAsia="Calibri" w:cs="Times New Roman"/>
                <w:sz w:val="22"/>
                <w:szCs w:val="22"/>
                <w:lang w:eastAsia="en-US"/>
              </w:rPr>
              <w:t>(v prípade, ak sa uskutočnilo v zmysle bodu 8.1 Jednotnej metodiky)</w:t>
            </w:r>
          </w:p>
        </w:tc>
      </w:tr>
      <w:tr w:rsidR="00146C23" w:rsidRPr="00146C23" w:rsidTr="00146C23">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46C23" w:rsidRPr="00146C23" w:rsidRDefault="00146C23" w:rsidP="00146C23">
            <w:pPr>
              <w:widowControl/>
              <w:adjustRightInd/>
              <w:rPr>
                <w:rFonts w:cs="Times New Roman"/>
                <w:b/>
                <w:sz w:val="20"/>
                <w:szCs w:val="20"/>
              </w:rPr>
            </w:pPr>
          </w:p>
          <w:tbl>
            <w:tblPr>
              <w:tblStyle w:val="Mriekatabuky1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46C23" w:rsidRPr="00146C23" w:rsidTr="00146C23">
              <w:trPr>
                <w:trHeight w:val="396"/>
              </w:trPr>
              <w:tc>
                <w:tcPr>
                  <w:tcW w:w="2552" w:type="dxa"/>
                </w:tcPr>
                <w:p w:rsidR="00146C23" w:rsidRPr="00146C23" w:rsidRDefault="00D22762" w:rsidP="00146C23">
                  <w:pPr>
                    <w:widowControl/>
                    <w:adjustRightInd/>
                    <w:rPr>
                      <w:rFonts w:cs="Times New Roman"/>
                      <w:b/>
                      <w:sz w:val="20"/>
                      <w:szCs w:val="20"/>
                    </w:rPr>
                  </w:pPr>
                  <w:sdt>
                    <w:sdtPr>
                      <w:rPr>
                        <w:rFonts w:cs="Times New Roman"/>
                        <w:b/>
                        <w:sz w:val="20"/>
                        <w:szCs w:val="20"/>
                      </w:rPr>
                      <w:id w:val="-1874910888"/>
                      <w14:checkbox>
                        <w14:checked w14:val="0"/>
                        <w14:checkedState w14:val="2612" w14:font="MS Gothic"/>
                        <w14:uncheckedState w14:val="2610" w14:font="MS Gothic"/>
                      </w14:checkbox>
                    </w:sdtPr>
                    <w:sdtEndPr/>
                    <w:sdtContent>
                      <w:r w:rsidR="00146C23" w:rsidRPr="00146C23">
                        <w:rPr>
                          <w:rFonts w:ascii="Segoe UI Symbol" w:eastAsia="MS Gothic" w:hAnsi="Segoe UI Symbol" w:cs="Segoe UI Symbol"/>
                          <w:b/>
                          <w:sz w:val="20"/>
                          <w:szCs w:val="20"/>
                        </w:rPr>
                        <w:t>☐</w:t>
                      </w:r>
                    </w:sdtContent>
                  </w:sdt>
                  <w:r w:rsidR="00146C23" w:rsidRPr="00146C23">
                    <w:rPr>
                      <w:rFonts w:cs="Times New Roman"/>
                      <w:b/>
                      <w:sz w:val="20"/>
                      <w:szCs w:val="20"/>
                    </w:rPr>
                    <w:t xml:space="preserve">  Súhlasné </w:t>
                  </w:r>
                </w:p>
              </w:tc>
              <w:tc>
                <w:tcPr>
                  <w:tcW w:w="3827" w:type="dxa"/>
                </w:tcPr>
                <w:p w:rsidR="00146C23" w:rsidRPr="00146C23" w:rsidRDefault="00D22762" w:rsidP="00146C23">
                  <w:pPr>
                    <w:widowControl/>
                    <w:adjustRightInd/>
                    <w:rPr>
                      <w:rFonts w:cs="Times New Roman"/>
                      <w:b/>
                      <w:sz w:val="20"/>
                      <w:szCs w:val="20"/>
                    </w:rPr>
                  </w:pPr>
                  <w:sdt>
                    <w:sdtPr>
                      <w:rPr>
                        <w:rFonts w:cs="Times New Roman"/>
                        <w:b/>
                        <w:sz w:val="20"/>
                        <w:szCs w:val="20"/>
                      </w:rPr>
                      <w:id w:val="1697888127"/>
                      <w14:checkbox>
                        <w14:checked w14:val="0"/>
                        <w14:checkedState w14:val="2612" w14:font="MS Gothic"/>
                        <w14:uncheckedState w14:val="2610" w14:font="MS Gothic"/>
                      </w14:checkbox>
                    </w:sdtPr>
                    <w:sdtEndPr/>
                    <w:sdtContent>
                      <w:r w:rsidR="00146C23" w:rsidRPr="00146C23">
                        <w:rPr>
                          <w:rFonts w:ascii="Segoe UI Symbol" w:eastAsia="MS Gothic" w:hAnsi="Segoe UI Symbol" w:cs="Segoe UI Symbol"/>
                          <w:b/>
                          <w:sz w:val="20"/>
                          <w:szCs w:val="20"/>
                        </w:rPr>
                        <w:t>☐</w:t>
                      </w:r>
                    </w:sdtContent>
                  </w:sdt>
                  <w:r w:rsidR="00146C23" w:rsidRPr="00146C23">
                    <w:rPr>
                      <w:rFonts w:cs="Times New Roman"/>
                      <w:b/>
                      <w:sz w:val="20"/>
                      <w:szCs w:val="20"/>
                    </w:rPr>
                    <w:t xml:space="preserve">  Súhlasné s návrhom na dopracovanie</w:t>
                  </w:r>
                </w:p>
              </w:tc>
              <w:tc>
                <w:tcPr>
                  <w:tcW w:w="2534" w:type="dxa"/>
                </w:tcPr>
                <w:p w:rsidR="00146C23" w:rsidRPr="00146C23" w:rsidRDefault="00D22762" w:rsidP="00146C23">
                  <w:pPr>
                    <w:widowControl/>
                    <w:adjustRightInd/>
                    <w:ind w:right="459"/>
                    <w:rPr>
                      <w:rFonts w:cs="Times New Roman"/>
                      <w:b/>
                      <w:sz w:val="20"/>
                      <w:szCs w:val="20"/>
                    </w:rPr>
                  </w:pPr>
                  <w:sdt>
                    <w:sdtPr>
                      <w:rPr>
                        <w:rFonts w:cs="Times New Roman"/>
                        <w:b/>
                        <w:sz w:val="20"/>
                        <w:szCs w:val="20"/>
                      </w:rPr>
                      <w:id w:val="-647822913"/>
                      <w14:checkbox>
                        <w14:checked w14:val="1"/>
                        <w14:checkedState w14:val="2612" w14:font="MS Gothic"/>
                        <w14:uncheckedState w14:val="2610" w14:font="MS Gothic"/>
                      </w14:checkbox>
                    </w:sdtPr>
                    <w:sdtEndPr/>
                    <w:sdtContent>
                      <w:r w:rsidR="00146C23" w:rsidRPr="00146C23">
                        <w:rPr>
                          <w:rFonts w:ascii="Segoe UI Symbol" w:eastAsia="MS Gothic" w:hAnsi="Segoe UI Symbol" w:cs="Segoe UI Symbol"/>
                          <w:b/>
                          <w:sz w:val="20"/>
                          <w:szCs w:val="20"/>
                        </w:rPr>
                        <w:t>☒</w:t>
                      </w:r>
                    </w:sdtContent>
                  </w:sdt>
                  <w:r w:rsidR="00146C23" w:rsidRPr="00146C23">
                    <w:rPr>
                      <w:rFonts w:cs="Times New Roman"/>
                      <w:b/>
                      <w:sz w:val="20"/>
                      <w:szCs w:val="20"/>
                    </w:rPr>
                    <w:t xml:space="preserve">  Nesúhlasné</w:t>
                  </w:r>
                </w:p>
              </w:tc>
            </w:tr>
          </w:tbl>
          <w:p w:rsidR="00146C23" w:rsidRPr="00146C23" w:rsidRDefault="00146C23" w:rsidP="00146C23">
            <w:pPr>
              <w:widowControl/>
              <w:adjustRightInd/>
              <w:jc w:val="both"/>
              <w:rPr>
                <w:rFonts w:cs="Times New Roman"/>
                <w:b/>
                <w:sz w:val="20"/>
                <w:szCs w:val="20"/>
              </w:rPr>
            </w:pPr>
            <w:r w:rsidRPr="00146C23">
              <w:rPr>
                <w:rFonts w:cs="Times New Roman"/>
                <w:b/>
                <w:sz w:val="20"/>
                <w:szCs w:val="20"/>
              </w:rPr>
              <w:t>Uveďte pripomienky zo stanoviska Komisie z časti II. spolu s Vaším vyhodnotením:</w:t>
            </w:r>
          </w:p>
          <w:p w:rsidR="00146C23" w:rsidRPr="00146C23" w:rsidRDefault="00146C23" w:rsidP="00146C23">
            <w:pPr>
              <w:widowControl/>
              <w:adjustRightInd/>
              <w:jc w:val="both"/>
              <w:rPr>
                <w:rFonts w:cs="Times New Roman"/>
                <w:b/>
                <w:sz w:val="20"/>
                <w:szCs w:val="20"/>
              </w:rPr>
            </w:pPr>
          </w:p>
          <w:p w:rsidR="00146C23" w:rsidRPr="00146C23" w:rsidRDefault="00146C23" w:rsidP="00146C23">
            <w:pPr>
              <w:widowControl/>
              <w:adjustRightInd/>
              <w:jc w:val="both"/>
              <w:rPr>
                <w:rFonts w:cs="Times New Roman"/>
                <w:sz w:val="20"/>
                <w:szCs w:val="20"/>
                <w:u w:val="single"/>
              </w:rPr>
            </w:pPr>
            <w:r w:rsidRPr="00146C23">
              <w:rPr>
                <w:rFonts w:cs="Times New Roman"/>
                <w:sz w:val="20"/>
                <w:szCs w:val="20"/>
                <w:u w:val="single"/>
              </w:rPr>
              <w:t>K doložke vybraných vplyvov</w:t>
            </w:r>
          </w:p>
          <w:p w:rsidR="00146C23" w:rsidRPr="00146C23" w:rsidRDefault="00146C23" w:rsidP="00146C23">
            <w:pPr>
              <w:widowControl/>
              <w:adjustRightInd/>
              <w:jc w:val="both"/>
              <w:rPr>
                <w:rFonts w:cs="Times New Roman"/>
                <w:sz w:val="20"/>
                <w:szCs w:val="20"/>
              </w:rPr>
            </w:pPr>
            <w:r w:rsidRPr="00146C23">
              <w:rPr>
                <w:rFonts w:cs="Times New Roman"/>
                <w:sz w:val="20"/>
                <w:szCs w:val="20"/>
              </w:rPr>
              <w:t>Komisia odporúča predkladateľovi v Doložke vybraných vplyvov v časti 8. Preskúmanie účelnosti doplniť dátum a kritéria hodnotenia účelnosti predkladaného materiálu.</w:t>
            </w:r>
          </w:p>
          <w:p w:rsidR="00146C23" w:rsidRPr="00146C23" w:rsidRDefault="00146C23" w:rsidP="00146C23">
            <w:pPr>
              <w:widowControl/>
              <w:adjustRightInd/>
              <w:jc w:val="both"/>
              <w:rPr>
                <w:rFonts w:cs="Times New Roman"/>
                <w:i/>
                <w:sz w:val="20"/>
                <w:szCs w:val="20"/>
              </w:rPr>
            </w:pPr>
            <w:r w:rsidRPr="00146C23">
              <w:rPr>
                <w:rFonts w:cs="Times New Roman"/>
                <w:sz w:val="20"/>
                <w:szCs w:val="20"/>
              </w:rPr>
              <w:t xml:space="preserve">Odôvodnenie: Preskúmanie účelnosti sa nastavuje po určitom čase, aby sa zhodnotilo, či a na základe akých kritérií bol cieľ naplnený. V  zmysle II. časti, bodu 8 Jednotnej metodiky je preskúmanie účelnosti náplňou ex post hodnotenia, avšak dátum a kritériá je potrebné, aby boli určené predkladateľom materiálu. </w:t>
            </w:r>
          </w:p>
          <w:p w:rsidR="00146C23" w:rsidRPr="00146C23" w:rsidRDefault="00146C23" w:rsidP="00146C23">
            <w:pPr>
              <w:widowControl/>
              <w:adjustRightInd/>
              <w:jc w:val="both"/>
              <w:rPr>
                <w:rFonts w:cs="Times New Roman"/>
                <w:i/>
                <w:sz w:val="20"/>
                <w:szCs w:val="20"/>
              </w:rPr>
            </w:pPr>
            <w:r w:rsidRPr="00146C23">
              <w:rPr>
                <w:rFonts w:cs="Times New Roman"/>
                <w:i/>
                <w:sz w:val="20"/>
                <w:szCs w:val="20"/>
              </w:rPr>
              <w:t>Materiál bol podľa pripomienky upravený.</w:t>
            </w:r>
          </w:p>
          <w:p w:rsidR="00146C23" w:rsidRPr="00146C23" w:rsidRDefault="00146C23" w:rsidP="00146C23">
            <w:pPr>
              <w:widowControl/>
              <w:adjustRightInd/>
              <w:rPr>
                <w:rFonts w:cs="Times New Roman"/>
                <w:b/>
                <w:sz w:val="20"/>
                <w:szCs w:val="20"/>
              </w:rPr>
            </w:pPr>
          </w:p>
          <w:p w:rsidR="00146C23" w:rsidRPr="00146C23" w:rsidRDefault="00146C23" w:rsidP="00146C23">
            <w:pPr>
              <w:widowControl/>
              <w:adjustRightInd/>
              <w:jc w:val="both"/>
              <w:rPr>
                <w:rFonts w:cs="Times New Roman"/>
                <w:sz w:val="20"/>
                <w:szCs w:val="20"/>
              </w:rPr>
            </w:pPr>
            <w:r w:rsidRPr="00146C23">
              <w:rPr>
                <w:rFonts w:cs="Times New Roman"/>
                <w:sz w:val="20"/>
                <w:szCs w:val="20"/>
              </w:rPr>
              <w:t>Komisia žiada predkladateľa o vyznačenie mechanizmu znižovania byrokracie v Doložke vybraných vplyvov.</w:t>
            </w:r>
          </w:p>
          <w:p w:rsidR="00146C23" w:rsidRPr="00146C23" w:rsidRDefault="00146C23" w:rsidP="00146C23">
            <w:pPr>
              <w:widowControl/>
              <w:adjustRightInd/>
              <w:jc w:val="both"/>
              <w:rPr>
                <w:rFonts w:cs="Times New Roman"/>
                <w:i/>
                <w:sz w:val="20"/>
                <w:szCs w:val="20"/>
              </w:rPr>
            </w:pPr>
            <w:r w:rsidRPr="00146C23">
              <w:rPr>
                <w:rFonts w:cs="Times New Roman"/>
                <w:sz w:val="20"/>
                <w:szCs w:val="20"/>
              </w:rPr>
              <w:t xml:space="preserve">Odôvodnenie: Materiál obsahuje vplyvy, na základe ktorých sa podľa Jednotnej metodiky hodnotenia vplyvov vzťahuje mechanizmus znižovania byrokracie a je potrebné v Doložke vybraných vplyvov vyznačiť mechanizmus „Áno“. </w:t>
            </w:r>
          </w:p>
          <w:p w:rsidR="00146C23" w:rsidRPr="00146C23" w:rsidRDefault="00146C23" w:rsidP="00146C23">
            <w:pPr>
              <w:widowControl/>
              <w:adjustRightInd/>
              <w:jc w:val="both"/>
              <w:rPr>
                <w:rFonts w:cs="Times New Roman"/>
                <w:i/>
                <w:sz w:val="20"/>
                <w:szCs w:val="20"/>
              </w:rPr>
            </w:pPr>
            <w:r w:rsidRPr="00146C23">
              <w:rPr>
                <w:rFonts w:cs="Times New Roman"/>
                <w:i/>
                <w:sz w:val="20"/>
                <w:szCs w:val="20"/>
              </w:rPr>
              <w:t>Materiál bol podľa pripomienky upravený.</w:t>
            </w:r>
          </w:p>
          <w:p w:rsidR="00146C23" w:rsidRPr="00146C23" w:rsidRDefault="00146C23" w:rsidP="00146C23">
            <w:pPr>
              <w:widowControl/>
              <w:adjustRightInd/>
              <w:jc w:val="both"/>
              <w:rPr>
                <w:rFonts w:cs="Times New Roman"/>
                <w:b/>
                <w:sz w:val="20"/>
                <w:szCs w:val="20"/>
              </w:rPr>
            </w:pPr>
          </w:p>
          <w:p w:rsidR="00146C23" w:rsidRPr="00146C23" w:rsidRDefault="00146C23" w:rsidP="00146C23">
            <w:pPr>
              <w:widowControl/>
              <w:adjustRightInd/>
              <w:jc w:val="both"/>
              <w:rPr>
                <w:rFonts w:cs="Times New Roman"/>
                <w:sz w:val="20"/>
                <w:szCs w:val="20"/>
                <w:u w:val="single"/>
              </w:rPr>
            </w:pPr>
            <w:r w:rsidRPr="00146C23">
              <w:rPr>
                <w:rFonts w:cs="Times New Roman"/>
                <w:sz w:val="20"/>
                <w:szCs w:val="20"/>
                <w:u w:val="single"/>
              </w:rPr>
              <w:t>K vplyvom na rozpočet verejnej správy</w:t>
            </w:r>
          </w:p>
          <w:p w:rsidR="00146C23" w:rsidRPr="00146C23" w:rsidRDefault="00146C23" w:rsidP="00146C23">
            <w:pPr>
              <w:widowControl/>
              <w:adjustRightInd/>
              <w:jc w:val="both"/>
              <w:rPr>
                <w:rFonts w:cs="Times New Roman"/>
                <w:sz w:val="20"/>
                <w:szCs w:val="20"/>
                <w:u w:val="single"/>
              </w:rPr>
            </w:pPr>
          </w:p>
          <w:p w:rsidR="00146C23" w:rsidRPr="00146C23" w:rsidRDefault="00146C23" w:rsidP="00146C23">
            <w:pPr>
              <w:widowControl/>
              <w:adjustRightInd/>
              <w:jc w:val="both"/>
              <w:rPr>
                <w:rFonts w:cs="Times New Roman"/>
                <w:sz w:val="20"/>
                <w:szCs w:val="20"/>
              </w:rPr>
            </w:pPr>
            <w:r w:rsidRPr="00146C23">
              <w:rPr>
                <w:rFonts w:cs="Times New Roman"/>
                <w:sz w:val="20"/>
                <w:szCs w:val="20"/>
              </w:rPr>
              <w:t>Podľa doložky vybraných vplyvov má predložený návrh pozitívne vplyvy na rozpočet verejnej správy a žiadne vplyvy na limit verejných výdavkov.</w:t>
            </w:r>
          </w:p>
          <w:p w:rsidR="00146C23" w:rsidRPr="00146C23" w:rsidRDefault="00146C23" w:rsidP="00146C23">
            <w:pPr>
              <w:widowControl/>
              <w:adjustRightInd/>
              <w:jc w:val="both"/>
              <w:rPr>
                <w:rFonts w:cs="Times New Roman"/>
                <w:sz w:val="20"/>
                <w:szCs w:val="20"/>
              </w:rPr>
            </w:pPr>
          </w:p>
          <w:p w:rsidR="00146C23" w:rsidRPr="00146C23" w:rsidRDefault="00146C23" w:rsidP="00146C23">
            <w:pPr>
              <w:widowControl/>
              <w:adjustRightInd/>
              <w:jc w:val="both"/>
              <w:rPr>
                <w:rFonts w:cs="Times New Roman"/>
                <w:sz w:val="20"/>
                <w:szCs w:val="20"/>
              </w:rPr>
            </w:pPr>
            <w:r w:rsidRPr="00146C23">
              <w:rPr>
                <w:rFonts w:cs="Times New Roman"/>
                <w:sz w:val="20"/>
                <w:szCs w:val="20"/>
              </w:rPr>
              <w:t>V analýze vplyvov na rozpočet verejnej správy je v oblasti príjmov kvantifikovaná suma 300 eur v rokoch 2026 až 2028 každoročne.</w:t>
            </w:r>
          </w:p>
          <w:p w:rsidR="00146C23" w:rsidRPr="00146C23" w:rsidRDefault="00146C23" w:rsidP="00146C23">
            <w:pPr>
              <w:widowControl/>
              <w:adjustRightInd/>
              <w:jc w:val="both"/>
              <w:rPr>
                <w:rFonts w:cs="Times New Roman"/>
                <w:sz w:val="20"/>
                <w:szCs w:val="20"/>
              </w:rPr>
            </w:pPr>
          </w:p>
          <w:p w:rsidR="00146C23" w:rsidRPr="00146C23" w:rsidRDefault="00146C23" w:rsidP="00146C23">
            <w:pPr>
              <w:widowControl/>
              <w:adjustRightInd/>
              <w:jc w:val="both"/>
              <w:rPr>
                <w:rFonts w:cs="Times New Roman"/>
                <w:sz w:val="20"/>
                <w:szCs w:val="20"/>
              </w:rPr>
            </w:pPr>
            <w:r w:rsidRPr="00146C23">
              <w:rPr>
                <w:rFonts w:cs="Times New Roman"/>
                <w:sz w:val="20"/>
                <w:szCs w:val="20"/>
              </w:rPr>
              <w:t>Pozitívny vplyv predstavuje nový správny poplatok za prvostupňové overenie výstupných dokumentov z oblasti posudzovania zhody ÚNMS SR. Správny poplatok sa stanovuje minimálnou sumou 10 eur za overenie a bude sa týkať približne 30 subjektov ročne.</w:t>
            </w:r>
          </w:p>
          <w:p w:rsidR="00146C23" w:rsidRPr="00146C23" w:rsidRDefault="00146C23" w:rsidP="00146C23">
            <w:pPr>
              <w:widowControl/>
              <w:adjustRightInd/>
              <w:jc w:val="both"/>
              <w:rPr>
                <w:rFonts w:cs="Times New Roman"/>
                <w:sz w:val="20"/>
                <w:szCs w:val="20"/>
              </w:rPr>
            </w:pPr>
          </w:p>
          <w:p w:rsidR="00146C23" w:rsidRPr="00146C23" w:rsidRDefault="00146C23" w:rsidP="00146C23">
            <w:pPr>
              <w:widowControl/>
              <w:adjustRightInd/>
              <w:jc w:val="both"/>
              <w:rPr>
                <w:rFonts w:cs="Times New Roman"/>
                <w:sz w:val="20"/>
                <w:szCs w:val="20"/>
              </w:rPr>
            </w:pPr>
            <w:r w:rsidRPr="00146C23">
              <w:rPr>
                <w:rFonts w:cs="Times New Roman"/>
                <w:sz w:val="20"/>
                <w:szCs w:val="20"/>
              </w:rPr>
              <w:t>V analýze vplyvov na rozpočet verejnej správy je v oblasti výdavkov kvantifikovaná suma 465 466 eur v roku 2026 a suma 451 466 eur v rokoch 2027 a 2028 každoročne. Vplyv na počet zamestnancov v roku 2026 je uvedený +12, vplyv na mzdové výdavky je kvantifikovaný v sume 360 586 eur v rokoch 2026 až 2028 každoročne. Rozpočtovo nekrytý vplyv je nula.</w:t>
            </w:r>
          </w:p>
          <w:p w:rsidR="00146C23" w:rsidRPr="00146C23" w:rsidRDefault="00146C23" w:rsidP="00146C23">
            <w:pPr>
              <w:widowControl/>
              <w:adjustRightInd/>
              <w:jc w:val="both"/>
              <w:rPr>
                <w:rFonts w:cs="Times New Roman"/>
                <w:sz w:val="20"/>
                <w:szCs w:val="20"/>
              </w:rPr>
            </w:pPr>
          </w:p>
          <w:p w:rsidR="00146C23" w:rsidRPr="00146C23" w:rsidRDefault="00146C23" w:rsidP="00146C23">
            <w:pPr>
              <w:widowControl/>
              <w:adjustRightInd/>
              <w:jc w:val="both"/>
              <w:rPr>
                <w:rFonts w:cs="Times New Roman"/>
                <w:sz w:val="20"/>
                <w:szCs w:val="20"/>
              </w:rPr>
            </w:pPr>
            <w:r w:rsidRPr="00146C23">
              <w:rPr>
                <w:rFonts w:cs="Times New Roman"/>
                <w:sz w:val="20"/>
                <w:szCs w:val="20"/>
              </w:rPr>
              <w:t>Negatívny vplyv predstavujú výdavky na personálne a materiálne zabezpečenie Slovenskej obchodnej inšpekcie, vyplývajúce z jej nových povinností v oblasti trhového dohľadu.</w:t>
            </w:r>
          </w:p>
          <w:p w:rsidR="00146C23" w:rsidRPr="00146C23" w:rsidRDefault="00146C23" w:rsidP="00146C23">
            <w:pPr>
              <w:widowControl/>
              <w:adjustRightInd/>
              <w:jc w:val="both"/>
              <w:rPr>
                <w:rFonts w:cs="Times New Roman"/>
                <w:sz w:val="20"/>
                <w:szCs w:val="20"/>
              </w:rPr>
            </w:pPr>
          </w:p>
          <w:p w:rsidR="00146C23" w:rsidRPr="00146C23" w:rsidRDefault="00146C23" w:rsidP="00146C23">
            <w:pPr>
              <w:widowControl/>
              <w:adjustRightInd/>
              <w:jc w:val="both"/>
              <w:rPr>
                <w:rFonts w:cs="Times New Roman"/>
                <w:sz w:val="20"/>
                <w:szCs w:val="20"/>
              </w:rPr>
            </w:pPr>
            <w:r w:rsidRPr="00146C23">
              <w:rPr>
                <w:rFonts w:cs="Times New Roman"/>
                <w:sz w:val="20"/>
                <w:szCs w:val="20"/>
              </w:rPr>
              <w:t>Komisia žiada zosúladiť doložku vybraných vplyvov s analýzou vplyvov, z ktorej vyplýva aj negatívny vplyv na rozpočet verejnej správy.</w:t>
            </w:r>
          </w:p>
          <w:p w:rsidR="00146C23" w:rsidRPr="00146C23" w:rsidRDefault="00146C23" w:rsidP="00146C23">
            <w:pPr>
              <w:widowControl/>
              <w:adjustRightInd/>
              <w:jc w:val="both"/>
              <w:rPr>
                <w:rFonts w:cs="Times New Roman"/>
                <w:sz w:val="20"/>
                <w:szCs w:val="20"/>
              </w:rPr>
            </w:pPr>
            <w:r w:rsidRPr="00146C23">
              <w:rPr>
                <w:rFonts w:cs="Times New Roman"/>
                <w:i/>
                <w:sz w:val="20"/>
                <w:szCs w:val="20"/>
              </w:rPr>
              <w:t>Materiál bol podľa pripomienky upravený.</w:t>
            </w:r>
          </w:p>
          <w:p w:rsidR="00146C23" w:rsidRPr="00146C23" w:rsidRDefault="00146C23" w:rsidP="00146C23">
            <w:pPr>
              <w:widowControl/>
              <w:adjustRightInd/>
              <w:jc w:val="both"/>
              <w:rPr>
                <w:rFonts w:cs="Times New Roman"/>
                <w:sz w:val="20"/>
                <w:szCs w:val="20"/>
              </w:rPr>
            </w:pPr>
          </w:p>
          <w:p w:rsidR="00146C23" w:rsidRPr="00146C23" w:rsidRDefault="00146C23" w:rsidP="00146C23">
            <w:pPr>
              <w:widowControl/>
              <w:adjustRightInd/>
              <w:jc w:val="both"/>
              <w:rPr>
                <w:rFonts w:cs="Times New Roman"/>
                <w:i/>
                <w:sz w:val="20"/>
                <w:szCs w:val="20"/>
              </w:rPr>
            </w:pPr>
            <w:r w:rsidRPr="00146C23">
              <w:rPr>
                <w:rFonts w:cs="Times New Roman"/>
                <w:sz w:val="20"/>
                <w:szCs w:val="20"/>
              </w:rPr>
              <w:t>Analýzu vplyvov na rozpočet verejnej správy Komisia žiada vypracovať v súlade s platnou Jednotnou metodikou na posudzovanie vybraných vplyvov (platné vzory tabuliek, aj s LVV a správne označenie).</w:t>
            </w:r>
          </w:p>
          <w:p w:rsidR="00146C23" w:rsidRPr="00146C23" w:rsidRDefault="00146C23" w:rsidP="00146C23">
            <w:pPr>
              <w:widowControl/>
              <w:adjustRightInd/>
              <w:jc w:val="both"/>
              <w:rPr>
                <w:rFonts w:cs="Times New Roman"/>
                <w:sz w:val="20"/>
                <w:szCs w:val="20"/>
              </w:rPr>
            </w:pPr>
            <w:r w:rsidRPr="00146C23">
              <w:rPr>
                <w:rFonts w:cs="Times New Roman"/>
                <w:i/>
                <w:sz w:val="20"/>
                <w:szCs w:val="20"/>
              </w:rPr>
              <w:t>Materiál bol podľa pripomienky</w:t>
            </w:r>
            <w:r w:rsidRPr="00146C23">
              <w:rPr>
                <w:rFonts w:cs="Times New Roman"/>
                <w:sz w:val="20"/>
                <w:szCs w:val="20"/>
              </w:rPr>
              <w:t xml:space="preserve"> </w:t>
            </w:r>
            <w:r w:rsidRPr="00146C23">
              <w:rPr>
                <w:rFonts w:cs="Times New Roman"/>
                <w:i/>
                <w:sz w:val="20"/>
                <w:szCs w:val="20"/>
              </w:rPr>
              <w:t xml:space="preserve">upravený. </w:t>
            </w:r>
          </w:p>
          <w:p w:rsidR="00146C23" w:rsidRPr="00146C23" w:rsidRDefault="00146C23" w:rsidP="00146C23">
            <w:pPr>
              <w:widowControl/>
              <w:adjustRightInd/>
              <w:jc w:val="both"/>
              <w:rPr>
                <w:rFonts w:cs="Times New Roman"/>
                <w:sz w:val="20"/>
                <w:szCs w:val="20"/>
              </w:rPr>
            </w:pPr>
          </w:p>
          <w:p w:rsidR="00146C23" w:rsidRPr="00146C23" w:rsidRDefault="00146C23" w:rsidP="00146C23">
            <w:pPr>
              <w:widowControl/>
              <w:adjustRightInd/>
              <w:jc w:val="both"/>
              <w:rPr>
                <w:rFonts w:cs="Times New Roman"/>
                <w:sz w:val="20"/>
                <w:szCs w:val="20"/>
              </w:rPr>
            </w:pPr>
            <w:r w:rsidRPr="00146C23">
              <w:rPr>
                <w:rFonts w:cs="Times New Roman"/>
                <w:sz w:val="20"/>
                <w:szCs w:val="20"/>
              </w:rPr>
              <w:t>V Tabuľke č. 1/A:</w:t>
            </w:r>
          </w:p>
          <w:p w:rsidR="00146C23" w:rsidRPr="00146C23" w:rsidRDefault="00146C23" w:rsidP="00146C23">
            <w:pPr>
              <w:widowControl/>
              <w:tabs>
                <w:tab w:val="left" w:pos="164"/>
              </w:tabs>
              <w:adjustRightInd/>
              <w:jc w:val="both"/>
              <w:rPr>
                <w:rFonts w:cs="Times New Roman"/>
                <w:sz w:val="20"/>
                <w:szCs w:val="20"/>
              </w:rPr>
            </w:pPr>
            <w:r w:rsidRPr="00146C23">
              <w:rPr>
                <w:rFonts w:cs="Times New Roman"/>
                <w:sz w:val="20"/>
                <w:szCs w:val="20"/>
              </w:rPr>
              <w:t>•</w:t>
            </w:r>
            <w:r w:rsidRPr="00146C23">
              <w:rPr>
                <w:rFonts w:cs="Times New Roman"/>
                <w:sz w:val="20"/>
                <w:szCs w:val="20"/>
              </w:rPr>
              <w:tab/>
              <w:t>v časti „Príjmy verejnej správy celkom“ je potrebné vyplniť aj riadok „vplyv na ŠR“ a uviesť subjekt verejnej správy, zároveň je potrebné vyplniť podrobnú tabuľku  č. 3.</w:t>
            </w:r>
          </w:p>
          <w:p w:rsidR="00146C23" w:rsidRPr="00146C23" w:rsidRDefault="00146C23" w:rsidP="00146C23">
            <w:pPr>
              <w:widowControl/>
              <w:tabs>
                <w:tab w:val="left" w:pos="164"/>
              </w:tabs>
              <w:adjustRightInd/>
              <w:jc w:val="both"/>
              <w:rPr>
                <w:rFonts w:cs="Times New Roman"/>
                <w:sz w:val="20"/>
                <w:szCs w:val="20"/>
              </w:rPr>
            </w:pPr>
            <w:r w:rsidRPr="00146C23">
              <w:rPr>
                <w:rFonts w:cs="Times New Roman"/>
                <w:sz w:val="20"/>
                <w:szCs w:val="20"/>
              </w:rPr>
              <w:t>M</w:t>
            </w:r>
            <w:r w:rsidRPr="00146C23">
              <w:rPr>
                <w:rFonts w:cs="Times New Roman"/>
                <w:i/>
                <w:sz w:val="20"/>
                <w:szCs w:val="20"/>
              </w:rPr>
              <w:t>ateriál bol podľa pripomienky upravený.</w:t>
            </w:r>
          </w:p>
          <w:p w:rsidR="00146C23" w:rsidRPr="00146C23" w:rsidRDefault="00146C23" w:rsidP="00146C23">
            <w:pPr>
              <w:widowControl/>
              <w:tabs>
                <w:tab w:val="left" w:pos="164"/>
              </w:tabs>
              <w:adjustRightInd/>
              <w:jc w:val="both"/>
              <w:rPr>
                <w:rFonts w:cs="Times New Roman"/>
                <w:sz w:val="20"/>
                <w:szCs w:val="20"/>
              </w:rPr>
            </w:pPr>
            <w:r w:rsidRPr="00146C23">
              <w:rPr>
                <w:rFonts w:cs="Times New Roman"/>
                <w:sz w:val="20"/>
                <w:szCs w:val="20"/>
              </w:rPr>
              <w:t>•</w:t>
            </w:r>
            <w:r w:rsidRPr="00146C23">
              <w:rPr>
                <w:rFonts w:cs="Times New Roman"/>
                <w:sz w:val="20"/>
                <w:szCs w:val="20"/>
              </w:rPr>
              <w:tab/>
              <w:t>v riadku „Vplyv na počet zamestnancov “ Komisia žiada uviesť vplyv na počet zamestnancov v každom roku.</w:t>
            </w:r>
            <w:r w:rsidRPr="00146C23">
              <w:rPr>
                <w:rFonts w:ascii="Calibri" w:eastAsia="Calibri" w:hAnsi="Calibri" w:cs="Times New Roman"/>
                <w:sz w:val="22"/>
                <w:szCs w:val="22"/>
                <w:lang w:eastAsia="en-US"/>
              </w:rPr>
              <w:t xml:space="preserve"> </w:t>
            </w:r>
            <w:r w:rsidRPr="00146C23">
              <w:rPr>
                <w:rFonts w:cs="Times New Roman"/>
                <w:i/>
                <w:sz w:val="20"/>
                <w:szCs w:val="20"/>
              </w:rPr>
              <w:t>Materiál bol podľa pripomienky upravený.</w:t>
            </w:r>
          </w:p>
          <w:p w:rsidR="00146C23" w:rsidRPr="00146C23" w:rsidRDefault="00146C23" w:rsidP="00146C23">
            <w:pPr>
              <w:widowControl/>
              <w:tabs>
                <w:tab w:val="left" w:pos="164"/>
              </w:tabs>
              <w:adjustRightInd/>
              <w:jc w:val="both"/>
              <w:rPr>
                <w:rFonts w:cs="Times New Roman"/>
                <w:i/>
                <w:sz w:val="20"/>
                <w:szCs w:val="20"/>
              </w:rPr>
            </w:pPr>
            <w:r w:rsidRPr="00146C23">
              <w:rPr>
                <w:rFonts w:cs="Times New Roman"/>
                <w:sz w:val="20"/>
                <w:szCs w:val="20"/>
              </w:rPr>
              <w:t>•</w:t>
            </w:r>
            <w:r w:rsidRPr="00146C23">
              <w:rPr>
                <w:rFonts w:cs="Times New Roman"/>
                <w:sz w:val="20"/>
                <w:szCs w:val="20"/>
              </w:rPr>
              <w:tab/>
              <w:t>v riadku „Vplyv na mzdové výdavky“ a v riadku „vplyv na ŠR“ Komisia žiada uviesť iba vplyv na mzdy (EK 610) a nie vplyv na osobné výdavky (EK 610 + 620)</w:t>
            </w:r>
            <w:r w:rsidRPr="00146C23">
              <w:rPr>
                <w:rFonts w:cs="Times New Roman"/>
                <w:i/>
                <w:sz w:val="20"/>
                <w:szCs w:val="20"/>
              </w:rPr>
              <w:t>.</w:t>
            </w:r>
          </w:p>
          <w:p w:rsidR="00146C23" w:rsidRPr="00146C23" w:rsidRDefault="00146C23" w:rsidP="00146C23">
            <w:pPr>
              <w:widowControl/>
              <w:tabs>
                <w:tab w:val="left" w:pos="164"/>
              </w:tabs>
              <w:adjustRightInd/>
              <w:jc w:val="both"/>
              <w:rPr>
                <w:rFonts w:cs="Times New Roman"/>
                <w:sz w:val="20"/>
                <w:szCs w:val="20"/>
              </w:rPr>
            </w:pPr>
            <w:r w:rsidRPr="00146C23">
              <w:rPr>
                <w:rFonts w:cs="Times New Roman"/>
                <w:i/>
                <w:sz w:val="20"/>
                <w:szCs w:val="20"/>
              </w:rPr>
              <w:t>Materiál bol podľa pripomienky upravený.</w:t>
            </w:r>
          </w:p>
          <w:p w:rsidR="00146C23" w:rsidRPr="00146C23" w:rsidRDefault="00146C23" w:rsidP="00146C23">
            <w:pPr>
              <w:widowControl/>
              <w:tabs>
                <w:tab w:val="left" w:pos="164"/>
              </w:tabs>
              <w:adjustRightInd/>
              <w:jc w:val="both"/>
              <w:rPr>
                <w:rFonts w:cs="Times New Roman"/>
                <w:sz w:val="20"/>
                <w:szCs w:val="20"/>
              </w:rPr>
            </w:pPr>
            <w:r w:rsidRPr="00146C23">
              <w:rPr>
                <w:rFonts w:cs="Times New Roman"/>
                <w:sz w:val="20"/>
                <w:szCs w:val="20"/>
              </w:rPr>
              <w:t>• vyplniť riadok „Financovanie zabezpečené v rozpočte“.</w:t>
            </w:r>
          </w:p>
          <w:p w:rsidR="00146C23" w:rsidRPr="00146C23" w:rsidRDefault="00146C23" w:rsidP="00146C23">
            <w:pPr>
              <w:widowControl/>
              <w:adjustRightInd/>
              <w:jc w:val="both"/>
              <w:rPr>
                <w:rFonts w:cs="Times New Roman"/>
                <w:sz w:val="20"/>
                <w:szCs w:val="20"/>
              </w:rPr>
            </w:pPr>
            <w:r w:rsidRPr="00146C23">
              <w:rPr>
                <w:rFonts w:cs="Times New Roman"/>
                <w:i/>
                <w:sz w:val="20"/>
                <w:szCs w:val="20"/>
              </w:rPr>
              <w:t>Materiál bol podľa pripomienky upravený.</w:t>
            </w:r>
          </w:p>
          <w:p w:rsidR="00146C23" w:rsidRPr="00146C23" w:rsidRDefault="00146C23" w:rsidP="00146C23">
            <w:pPr>
              <w:widowControl/>
              <w:tabs>
                <w:tab w:val="left" w:pos="164"/>
              </w:tabs>
              <w:adjustRightInd/>
              <w:jc w:val="both"/>
              <w:rPr>
                <w:rFonts w:cs="Times New Roman"/>
                <w:sz w:val="20"/>
                <w:szCs w:val="20"/>
              </w:rPr>
            </w:pPr>
            <w:r w:rsidRPr="00146C23">
              <w:rPr>
                <w:rFonts w:cs="Times New Roman"/>
                <w:sz w:val="20"/>
                <w:szCs w:val="20"/>
              </w:rPr>
              <w:t>•</w:t>
            </w:r>
            <w:r w:rsidRPr="00146C23">
              <w:rPr>
                <w:rFonts w:cs="Times New Roman"/>
                <w:sz w:val="20"/>
                <w:szCs w:val="20"/>
              </w:rPr>
              <w:tab/>
              <w:t>v riadkoch, kde je uvedené „v tom: za každý subjekt verejnej správy zvlášť“ alebo „v tom: za každý subjekt verejnej správy/program zvlášť“, tieto texty  nahradiť konkrétnym subjektom a programom.</w:t>
            </w:r>
          </w:p>
          <w:p w:rsidR="00146C23" w:rsidRPr="00146C23" w:rsidRDefault="00146C23" w:rsidP="00146C23">
            <w:pPr>
              <w:widowControl/>
              <w:tabs>
                <w:tab w:val="left" w:pos="164"/>
              </w:tabs>
              <w:adjustRightInd/>
              <w:jc w:val="both"/>
              <w:rPr>
                <w:rFonts w:cs="Times New Roman"/>
                <w:sz w:val="20"/>
                <w:szCs w:val="20"/>
              </w:rPr>
            </w:pPr>
            <w:r w:rsidRPr="00146C23">
              <w:rPr>
                <w:rFonts w:cs="Times New Roman"/>
                <w:i/>
                <w:sz w:val="20"/>
                <w:szCs w:val="20"/>
              </w:rPr>
              <w:t>Materiál bol podľa pripomienky upravený.</w:t>
            </w:r>
          </w:p>
          <w:p w:rsidR="00146C23" w:rsidRPr="00146C23" w:rsidRDefault="00146C23" w:rsidP="00146C23">
            <w:pPr>
              <w:widowControl/>
              <w:adjustRightInd/>
              <w:jc w:val="both"/>
              <w:rPr>
                <w:rFonts w:cs="Times New Roman"/>
                <w:sz w:val="20"/>
                <w:szCs w:val="20"/>
              </w:rPr>
            </w:pPr>
          </w:p>
          <w:p w:rsidR="00146C23" w:rsidRPr="00146C23" w:rsidRDefault="00146C23" w:rsidP="00146C23">
            <w:pPr>
              <w:widowControl/>
              <w:adjustRightInd/>
              <w:jc w:val="both"/>
              <w:rPr>
                <w:rFonts w:cs="Times New Roman"/>
                <w:sz w:val="20"/>
                <w:szCs w:val="20"/>
              </w:rPr>
            </w:pPr>
            <w:r w:rsidRPr="00146C23">
              <w:rPr>
                <w:rFonts w:cs="Times New Roman"/>
                <w:sz w:val="20"/>
                <w:szCs w:val="20"/>
              </w:rPr>
              <w:t>V tabuľkách označených ako č. 7, 8 a 9:</w:t>
            </w:r>
          </w:p>
          <w:p w:rsidR="00146C23" w:rsidRPr="00146C23" w:rsidRDefault="00146C23" w:rsidP="00146C23">
            <w:pPr>
              <w:widowControl/>
              <w:adjustRightInd/>
              <w:jc w:val="both"/>
              <w:rPr>
                <w:rFonts w:cs="Times New Roman"/>
                <w:sz w:val="20"/>
                <w:szCs w:val="20"/>
              </w:rPr>
            </w:pPr>
            <w:r w:rsidRPr="00146C23">
              <w:rPr>
                <w:rFonts w:cs="Times New Roman"/>
                <w:sz w:val="20"/>
                <w:szCs w:val="20"/>
              </w:rPr>
              <w:t>•Komisia žiada uviesť vplyv na počet zamestnancov v každom roku.</w:t>
            </w:r>
          </w:p>
          <w:p w:rsidR="00146C23" w:rsidRPr="00146C23" w:rsidRDefault="00146C23" w:rsidP="00146C23">
            <w:pPr>
              <w:widowControl/>
              <w:adjustRightInd/>
              <w:jc w:val="both"/>
              <w:rPr>
                <w:rFonts w:cs="Times New Roman"/>
                <w:sz w:val="20"/>
                <w:szCs w:val="20"/>
              </w:rPr>
            </w:pPr>
            <w:r w:rsidRPr="00146C23">
              <w:rPr>
                <w:rFonts w:cs="Times New Roman"/>
                <w:i/>
                <w:sz w:val="20"/>
                <w:szCs w:val="20"/>
              </w:rPr>
              <w:t xml:space="preserve">Materiál bol podľa pripomienky upravený. </w:t>
            </w:r>
          </w:p>
          <w:p w:rsidR="00146C23" w:rsidRPr="00146C23" w:rsidRDefault="00146C23" w:rsidP="00146C23">
            <w:pPr>
              <w:widowControl/>
              <w:adjustRightInd/>
              <w:jc w:val="both"/>
              <w:rPr>
                <w:rFonts w:cs="Times New Roman"/>
                <w:sz w:val="20"/>
                <w:szCs w:val="20"/>
              </w:rPr>
            </w:pPr>
            <w:r w:rsidRPr="00146C23">
              <w:rPr>
                <w:rFonts w:cs="Times New Roman"/>
                <w:sz w:val="20"/>
                <w:szCs w:val="20"/>
              </w:rPr>
              <w:t>•Komisia žiada uviesť správny „Priemerný mzdový výdavok“ (PMV), ktorý sa počíta zo mzdových výdavkov (EK 610) a nie z osobných výdavkov celkom</w:t>
            </w:r>
          </w:p>
          <w:p w:rsidR="00146C23" w:rsidRPr="00146C23" w:rsidRDefault="00146C23" w:rsidP="00146C23">
            <w:pPr>
              <w:widowControl/>
              <w:adjustRightInd/>
              <w:jc w:val="both"/>
              <w:rPr>
                <w:rFonts w:cs="Times New Roman"/>
                <w:sz w:val="20"/>
                <w:szCs w:val="20"/>
              </w:rPr>
            </w:pPr>
            <w:r w:rsidRPr="00146C23">
              <w:rPr>
                <w:rFonts w:cs="Times New Roman"/>
                <w:i/>
                <w:sz w:val="20"/>
                <w:szCs w:val="20"/>
              </w:rPr>
              <w:t>Materiál bol podľa pripomienky upravený.</w:t>
            </w:r>
            <w:r w:rsidRPr="00146C23">
              <w:rPr>
                <w:rFonts w:cs="Times New Roman"/>
                <w:sz w:val="20"/>
                <w:szCs w:val="20"/>
              </w:rPr>
              <w:t xml:space="preserve"> </w:t>
            </w:r>
          </w:p>
          <w:p w:rsidR="00146C23" w:rsidRPr="00146C23" w:rsidRDefault="00146C23" w:rsidP="00146C23">
            <w:pPr>
              <w:widowControl/>
              <w:tabs>
                <w:tab w:val="left" w:pos="0"/>
              </w:tabs>
              <w:adjustRightInd/>
              <w:jc w:val="both"/>
              <w:rPr>
                <w:rFonts w:cs="Times New Roman"/>
                <w:sz w:val="20"/>
                <w:szCs w:val="20"/>
              </w:rPr>
            </w:pPr>
            <w:r w:rsidRPr="00146C23">
              <w:rPr>
                <w:rFonts w:cs="Times New Roman"/>
                <w:sz w:val="20"/>
                <w:szCs w:val="20"/>
              </w:rPr>
              <w:t xml:space="preserve">•Komisia žiada správne kvantifikovať „poistné a príspevok do poisťovní“ (EK 620), ktoré je vo výške 35,95 %. </w:t>
            </w:r>
            <w:r w:rsidRPr="00146C23">
              <w:rPr>
                <w:rFonts w:cs="Times New Roman"/>
                <w:i/>
                <w:sz w:val="20"/>
                <w:szCs w:val="20"/>
              </w:rPr>
              <w:t>Materiál bol podľa pripomienky upravený.</w:t>
            </w:r>
            <w:r w:rsidRPr="00146C23">
              <w:rPr>
                <w:rFonts w:cs="Times New Roman"/>
                <w:sz w:val="20"/>
                <w:szCs w:val="20"/>
              </w:rPr>
              <w:t xml:space="preserve"> </w:t>
            </w:r>
          </w:p>
          <w:p w:rsidR="00146C23" w:rsidRPr="00146C23" w:rsidRDefault="00146C23" w:rsidP="00146C23">
            <w:pPr>
              <w:widowControl/>
              <w:adjustRightInd/>
              <w:jc w:val="both"/>
              <w:rPr>
                <w:rFonts w:cs="Times New Roman"/>
                <w:sz w:val="20"/>
                <w:szCs w:val="20"/>
              </w:rPr>
            </w:pPr>
            <w:r w:rsidRPr="00146C23">
              <w:rPr>
                <w:rFonts w:cs="Times New Roman"/>
                <w:sz w:val="20"/>
                <w:szCs w:val="20"/>
              </w:rPr>
              <w:t>• tabuľky je potrebné označiť v súlade s aktuálnymi vzormi Jednotnej metodiky na posudzovanie vybraných vplyvov a doplniť subjekt verejnej správy, ktorého sa tabuľka týka.</w:t>
            </w:r>
          </w:p>
          <w:p w:rsidR="00146C23" w:rsidRPr="00146C23" w:rsidRDefault="00146C23" w:rsidP="00146C23">
            <w:pPr>
              <w:widowControl/>
              <w:adjustRightInd/>
              <w:jc w:val="both"/>
              <w:rPr>
                <w:rFonts w:cs="Times New Roman"/>
                <w:sz w:val="20"/>
                <w:szCs w:val="20"/>
              </w:rPr>
            </w:pPr>
            <w:r w:rsidRPr="00146C23">
              <w:rPr>
                <w:rFonts w:cs="Times New Roman"/>
                <w:i/>
                <w:sz w:val="20"/>
                <w:szCs w:val="20"/>
              </w:rPr>
              <w:t>Materiál bol podľa pripomienky upravený</w:t>
            </w:r>
            <w:r w:rsidRPr="00146C23">
              <w:rPr>
                <w:rFonts w:cs="Times New Roman"/>
                <w:sz w:val="20"/>
                <w:szCs w:val="20"/>
              </w:rPr>
              <w:t>.</w:t>
            </w:r>
          </w:p>
          <w:p w:rsidR="00146C23" w:rsidRPr="00146C23" w:rsidRDefault="00146C23" w:rsidP="00146C23">
            <w:pPr>
              <w:widowControl/>
              <w:adjustRightInd/>
              <w:jc w:val="both"/>
              <w:rPr>
                <w:rFonts w:cs="Times New Roman"/>
                <w:sz w:val="20"/>
                <w:szCs w:val="20"/>
              </w:rPr>
            </w:pPr>
          </w:p>
          <w:p w:rsidR="00146C23" w:rsidRPr="00146C23" w:rsidRDefault="00146C23" w:rsidP="00146C23">
            <w:pPr>
              <w:widowControl/>
              <w:adjustRightInd/>
              <w:jc w:val="both"/>
              <w:rPr>
                <w:rFonts w:cs="Times New Roman"/>
                <w:sz w:val="20"/>
                <w:szCs w:val="20"/>
              </w:rPr>
            </w:pPr>
            <w:r w:rsidRPr="00146C23">
              <w:rPr>
                <w:rFonts w:cs="Times New Roman"/>
                <w:sz w:val="20"/>
                <w:szCs w:val="20"/>
              </w:rPr>
              <w:t>Z dôvodu nekrytého negatívneho vplyvu na rozpočet verejnej správy s predloženým materiálom Komisia zásadne nesúhlasí. Všetky vplyvy na rozpočet verejnej správy súvisiace s prijatím predloženého materiálu Komisia žiada zabezpečiť v rámci schválených limitov rozpočtu dotknutého subjektu verejnej správy na príslušné rozpočtové roky, t. j. bez nekrytého vplyvu na rozpočet verejnej správy.</w:t>
            </w:r>
          </w:p>
          <w:p w:rsidR="00146C23" w:rsidRPr="00146C23" w:rsidRDefault="00146C23" w:rsidP="00146C23">
            <w:pPr>
              <w:widowControl/>
              <w:adjustRightInd/>
              <w:jc w:val="both"/>
              <w:rPr>
                <w:rFonts w:cs="Times New Roman"/>
                <w:sz w:val="20"/>
                <w:szCs w:val="20"/>
              </w:rPr>
            </w:pPr>
            <w:r w:rsidRPr="00146C23">
              <w:rPr>
                <w:rFonts w:cs="Times New Roman"/>
                <w:i/>
                <w:sz w:val="20"/>
                <w:szCs w:val="20"/>
              </w:rPr>
              <w:t>Pripomienka nebola akceptovaná.</w:t>
            </w:r>
            <w:r w:rsidRPr="00146C23">
              <w:rPr>
                <w:rFonts w:cs="Times New Roman"/>
                <w:sz w:val="20"/>
                <w:szCs w:val="20"/>
              </w:rPr>
              <w:t xml:space="preserve"> </w:t>
            </w:r>
          </w:p>
          <w:p w:rsidR="00146C23" w:rsidRPr="00146C23" w:rsidRDefault="00146C23" w:rsidP="00146C23">
            <w:pPr>
              <w:widowControl/>
              <w:adjustRightInd/>
              <w:jc w:val="both"/>
              <w:rPr>
                <w:rFonts w:cs="Times New Roman"/>
                <w:sz w:val="20"/>
                <w:szCs w:val="20"/>
              </w:rPr>
            </w:pPr>
          </w:p>
          <w:p w:rsidR="00146C23" w:rsidRPr="00146C23" w:rsidRDefault="00146C23" w:rsidP="00146C23">
            <w:pPr>
              <w:widowControl/>
              <w:adjustRightInd/>
              <w:jc w:val="both"/>
              <w:rPr>
                <w:rFonts w:cs="Times New Roman"/>
                <w:sz w:val="20"/>
                <w:szCs w:val="20"/>
              </w:rPr>
            </w:pPr>
            <w:r w:rsidRPr="00146C23">
              <w:rPr>
                <w:rFonts w:cs="Times New Roman"/>
                <w:sz w:val="20"/>
                <w:szCs w:val="20"/>
              </w:rPr>
              <w:t xml:space="preserve">Zároveň je potrebné do materiálu doplniť návrh uznesenia vlády. V zmysle Jednotnej metodiky na posudzovanie vybraných vplyvov (čl. 8, bod 8.3.) „Materiál predkladaný na PPK obsahuje návrh uznesenia vlády Slovenskej republiky...“. </w:t>
            </w:r>
          </w:p>
          <w:p w:rsidR="00146C23" w:rsidRPr="00146C23" w:rsidRDefault="00146C23" w:rsidP="00146C23">
            <w:pPr>
              <w:widowControl/>
              <w:adjustRightInd/>
              <w:jc w:val="both"/>
              <w:rPr>
                <w:rFonts w:cs="Times New Roman"/>
                <w:sz w:val="20"/>
                <w:szCs w:val="20"/>
              </w:rPr>
            </w:pPr>
            <w:r w:rsidRPr="00146C23">
              <w:rPr>
                <w:rFonts w:cs="Times New Roman"/>
                <w:i/>
                <w:sz w:val="20"/>
                <w:szCs w:val="20"/>
              </w:rPr>
              <w:t>Materiál bol podľa pripomienky doplnený o návrh uznesenia vlády.</w:t>
            </w:r>
            <w:r w:rsidRPr="00146C23">
              <w:rPr>
                <w:rFonts w:cs="Times New Roman"/>
                <w:sz w:val="20"/>
                <w:szCs w:val="20"/>
              </w:rPr>
              <w:t xml:space="preserve"> </w:t>
            </w:r>
          </w:p>
          <w:p w:rsidR="00146C23" w:rsidRPr="00146C23" w:rsidRDefault="00146C23" w:rsidP="00146C23">
            <w:pPr>
              <w:widowControl/>
              <w:adjustRightInd/>
              <w:rPr>
                <w:rFonts w:cs="Times New Roman"/>
                <w:b/>
                <w:sz w:val="20"/>
                <w:szCs w:val="20"/>
              </w:rPr>
            </w:pPr>
          </w:p>
          <w:p w:rsidR="00146C23" w:rsidRPr="00146C23" w:rsidRDefault="00146C23" w:rsidP="00146C23">
            <w:pPr>
              <w:widowControl/>
              <w:adjustRightInd/>
              <w:rPr>
                <w:rFonts w:cs="Times New Roman"/>
                <w:b/>
                <w:sz w:val="20"/>
                <w:szCs w:val="20"/>
              </w:rPr>
            </w:pPr>
          </w:p>
        </w:tc>
      </w:tr>
      <w:tr w:rsidR="00146C23" w:rsidRPr="00146C23" w:rsidTr="00146C23">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146C23" w:rsidRPr="00146C23" w:rsidRDefault="00146C23" w:rsidP="00146C23">
            <w:pPr>
              <w:widowControl/>
              <w:numPr>
                <w:ilvl w:val="0"/>
                <w:numId w:val="7"/>
              </w:numPr>
              <w:adjustRightInd/>
              <w:ind w:left="450" w:hanging="425"/>
              <w:contextualSpacing/>
              <w:jc w:val="both"/>
              <w:rPr>
                <w:rFonts w:eastAsia="Calibri" w:cs="Times New Roman"/>
                <w:b/>
                <w:sz w:val="22"/>
                <w:szCs w:val="22"/>
                <w:lang w:eastAsia="en-US"/>
              </w:rPr>
            </w:pPr>
            <w:r w:rsidRPr="00146C23">
              <w:rPr>
                <w:rFonts w:eastAsia="Calibri" w:cs="Times New Roman"/>
                <w:b/>
                <w:sz w:val="22"/>
                <w:szCs w:val="22"/>
                <w:lang w:eastAsia="en-US"/>
              </w:rPr>
              <w:t>Stanovisko Komisie na posudzovanie vybraných vplyvov zo záverečného posúdenia č. ..........</w:t>
            </w:r>
            <w:r w:rsidRPr="00146C23">
              <w:rPr>
                <w:rFonts w:eastAsia="Calibri" w:cs="Times New Roman"/>
                <w:sz w:val="22"/>
                <w:szCs w:val="22"/>
                <w:lang w:eastAsia="en-US"/>
              </w:rPr>
              <w:t xml:space="preserve"> (v prípade, ak sa uskutočnilo v zmysle bodu 9.1. Jednotnej metodiky) </w:t>
            </w:r>
          </w:p>
        </w:tc>
      </w:tr>
      <w:tr w:rsidR="00146C23" w:rsidRPr="00146C23" w:rsidTr="00146C23">
        <w:tblPrEx>
          <w:tblBorders>
            <w:insideH w:val="single" w:sz="4" w:space="0" w:color="FFFFFF"/>
            <w:insideV w:val="single" w:sz="4" w:space="0" w:color="FFFFFF"/>
          </w:tblBorders>
        </w:tblPrEx>
        <w:tc>
          <w:tcPr>
            <w:tcW w:w="9176" w:type="dxa"/>
            <w:shd w:val="clear" w:color="auto" w:fill="FFFFFF"/>
          </w:tcPr>
          <w:p w:rsidR="00146C23" w:rsidRPr="00146C23" w:rsidRDefault="00146C23" w:rsidP="00146C23">
            <w:pPr>
              <w:widowControl/>
              <w:adjustRightInd/>
              <w:rPr>
                <w:rFonts w:cs="Times New Roman"/>
                <w:b/>
                <w:sz w:val="20"/>
                <w:szCs w:val="20"/>
              </w:rPr>
            </w:pPr>
          </w:p>
          <w:tbl>
            <w:tblPr>
              <w:tblStyle w:val="Mriekatabuky1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46C23" w:rsidRPr="00146C23" w:rsidTr="00146C23">
              <w:trPr>
                <w:trHeight w:val="396"/>
              </w:trPr>
              <w:tc>
                <w:tcPr>
                  <w:tcW w:w="2552" w:type="dxa"/>
                </w:tcPr>
                <w:p w:rsidR="00146C23" w:rsidRPr="00146C23" w:rsidRDefault="00D22762" w:rsidP="00146C23">
                  <w:pPr>
                    <w:widowControl/>
                    <w:adjustRightInd/>
                    <w:rPr>
                      <w:rFonts w:cs="Times New Roman"/>
                      <w:b/>
                      <w:sz w:val="20"/>
                      <w:szCs w:val="20"/>
                    </w:rPr>
                  </w:pPr>
                  <w:sdt>
                    <w:sdtPr>
                      <w:rPr>
                        <w:rFonts w:cs="Times New Roman"/>
                        <w:b/>
                        <w:sz w:val="20"/>
                        <w:szCs w:val="20"/>
                      </w:rPr>
                      <w:id w:val="888232876"/>
                      <w14:checkbox>
                        <w14:checked w14:val="0"/>
                        <w14:checkedState w14:val="2612" w14:font="MS Gothic"/>
                        <w14:uncheckedState w14:val="2610" w14:font="MS Gothic"/>
                      </w14:checkbox>
                    </w:sdtPr>
                    <w:sdtEndPr/>
                    <w:sdtContent>
                      <w:r w:rsidR="00146C23" w:rsidRPr="00146C23">
                        <w:rPr>
                          <w:rFonts w:ascii="Segoe UI Symbol" w:eastAsia="MS Gothic" w:hAnsi="Segoe UI Symbol" w:cs="Segoe UI Symbol"/>
                          <w:b/>
                          <w:sz w:val="20"/>
                          <w:szCs w:val="20"/>
                        </w:rPr>
                        <w:t>☐</w:t>
                      </w:r>
                    </w:sdtContent>
                  </w:sdt>
                  <w:r w:rsidR="00146C23" w:rsidRPr="00146C23">
                    <w:rPr>
                      <w:rFonts w:cs="Times New Roman"/>
                      <w:b/>
                      <w:sz w:val="20"/>
                      <w:szCs w:val="20"/>
                    </w:rPr>
                    <w:t xml:space="preserve">   Súhlasné </w:t>
                  </w:r>
                </w:p>
              </w:tc>
              <w:tc>
                <w:tcPr>
                  <w:tcW w:w="3827" w:type="dxa"/>
                </w:tcPr>
                <w:p w:rsidR="00146C23" w:rsidRPr="00146C23" w:rsidRDefault="00D22762" w:rsidP="00146C23">
                  <w:pPr>
                    <w:widowControl/>
                    <w:adjustRightInd/>
                    <w:rPr>
                      <w:rFonts w:cs="Times New Roman"/>
                      <w:b/>
                      <w:sz w:val="20"/>
                      <w:szCs w:val="20"/>
                    </w:rPr>
                  </w:pPr>
                  <w:sdt>
                    <w:sdtPr>
                      <w:rPr>
                        <w:rFonts w:cs="Times New Roman"/>
                        <w:b/>
                        <w:sz w:val="20"/>
                        <w:szCs w:val="20"/>
                      </w:rPr>
                      <w:id w:val="953831761"/>
                      <w14:checkbox>
                        <w14:checked w14:val="0"/>
                        <w14:checkedState w14:val="2612" w14:font="MS Gothic"/>
                        <w14:uncheckedState w14:val="2610" w14:font="MS Gothic"/>
                      </w14:checkbox>
                    </w:sdtPr>
                    <w:sdtEndPr/>
                    <w:sdtContent>
                      <w:r w:rsidR="00146C23" w:rsidRPr="00146C23">
                        <w:rPr>
                          <w:rFonts w:ascii="Segoe UI Symbol" w:eastAsia="MS Gothic" w:hAnsi="Segoe UI Symbol" w:cs="Segoe UI Symbol"/>
                          <w:b/>
                          <w:sz w:val="20"/>
                          <w:szCs w:val="20"/>
                        </w:rPr>
                        <w:t>☐</w:t>
                      </w:r>
                    </w:sdtContent>
                  </w:sdt>
                  <w:r w:rsidR="00146C23" w:rsidRPr="00146C23">
                    <w:rPr>
                      <w:rFonts w:cs="Times New Roman"/>
                      <w:b/>
                      <w:sz w:val="20"/>
                      <w:szCs w:val="20"/>
                    </w:rPr>
                    <w:t xml:space="preserve">  Súhlasné s  návrhom na dopracovanie</w:t>
                  </w:r>
                </w:p>
              </w:tc>
              <w:tc>
                <w:tcPr>
                  <w:tcW w:w="2534" w:type="dxa"/>
                </w:tcPr>
                <w:p w:rsidR="00146C23" w:rsidRPr="00146C23" w:rsidRDefault="00D22762" w:rsidP="00146C23">
                  <w:pPr>
                    <w:widowControl/>
                    <w:adjustRightInd/>
                    <w:ind w:right="459"/>
                    <w:rPr>
                      <w:rFonts w:cs="Times New Roman"/>
                      <w:b/>
                      <w:sz w:val="20"/>
                      <w:szCs w:val="20"/>
                    </w:rPr>
                  </w:pPr>
                  <w:sdt>
                    <w:sdtPr>
                      <w:rPr>
                        <w:rFonts w:cs="Times New Roman"/>
                        <w:b/>
                        <w:sz w:val="20"/>
                        <w:szCs w:val="20"/>
                      </w:rPr>
                      <w:id w:val="-361740452"/>
                      <w14:checkbox>
                        <w14:checked w14:val="0"/>
                        <w14:checkedState w14:val="2612" w14:font="MS Gothic"/>
                        <w14:uncheckedState w14:val="2610" w14:font="MS Gothic"/>
                      </w14:checkbox>
                    </w:sdtPr>
                    <w:sdtEndPr/>
                    <w:sdtContent>
                      <w:r w:rsidR="00146C23" w:rsidRPr="00146C23">
                        <w:rPr>
                          <w:rFonts w:ascii="Segoe UI Symbol" w:eastAsia="MS Gothic" w:hAnsi="Segoe UI Symbol" w:cs="Segoe UI Symbol"/>
                          <w:b/>
                          <w:sz w:val="20"/>
                          <w:szCs w:val="20"/>
                        </w:rPr>
                        <w:t>☐</w:t>
                      </w:r>
                    </w:sdtContent>
                  </w:sdt>
                  <w:r w:rsidR="00146C23" w:rsidRPr="00146C23">
                    <w:rPr>
                      <w:rFonts w:cs="Times New Roman"/>
                      <w:b/>
                      <w:sz w:val="20"/>
                      <w:szCs w:val="20"/>
                    </w:rPr>
                    <w:t xml:space="preserve">  Nesúhlasné</w:t>
                  </w:r>
                </w:p>
              </w:tc>
            </w:tr>
          </w:tbl>
          <w:p w:rsidR="00146C23" w:rsidRPr="00146C23" w:rsidRDefault="00146C23" w:rsidP="00146C23">
            <w:pPr>
              <w:widowControl/>
              <w:adjustRightInd/>
              <w:jc w:val="both"/>
              <w:rPr>
                <w:rFonts w:cs="Times New Roman"/>
                <w:b/>
                <w:sz w:val="20"/>
                <w:szCs w:val="20"/>
              </w:rPr>
            </w:pPr>
            <w:r w:rsidRPr="00146C23">
              <w:rPr>
                <w:rFonts w:cs="Times New Roman"/>
                <w:b/>
                <w:sz w:val="20"/>
                <w:szCs w:val="20"/>
              </w:rPr>
              <w:t>Uveďte pripomienky zo stanoviska Komisie z časti II. spolu s Vaším vyhodnotením:</w:t>
            </w:r>
          </w:p>
          <w:p w:rsidR="00146C23" w:rsidRPr="00146C23" w:rsidRDefault="00146C23" w:rsidP="00146C23">
            <w:pPr>
              <w:widowControl/>
              <w:adjustRightInd/>
              <w:rPr>
                <w:rFonts w:cs="Times New Roman"/>
                <w:b/>
                <w:sz w:val="20"/>
                <w:szCs w:val="20"/>
              </w:rPr>
            </w:pPr>
          </w:p>
          <w:p w:rsidR="00146C23" w:rsidRPr="00146C23" w:rsidRDefault="00146C23" w:rsidP="00146C23">
            <w:pPr>
              <w:widowControl/>
              <w:adjustRightInd/>
              <w:rPr>
                <w:rFonts w:cs="Times New Roman"/>
                <w:b/>
                <w:sz w:val="20"/>
                <w:szCs w:val="20"/>
              </w:rPr>
            </w:pPr>
          </w:p>
        </w:tc>
      </w:tr>
    </w:tbl>
    <w:p w:rsidR="00146C23" w:rsidRPr="00146C23" w:rsidRDefault="00146C23" w:rsidP="00146C23">
      <w:pPr>
        <w:widowControl/>
        <w:adjustRightInd/>
        <w:spacing w:after="160" w:line="259" w:lineRule="auto"/>
        <w:rPr>
          <w:rFonts w:ascii="Calibri" w:eastAsia="Calibri" w:hAnsi="Calibri" w:cs="Times New Roman"/>
          <w:sz w:val="22"/>
          <w:szCs w:val="22"/>
          <w:lang w:eastAsia="en-US"/>
        </w:rPr>
      </w:pPr>
    </w:p>
    <w:p w:rsidR="00146C23" w:rsidRDefault="00146C23">
      <w:pPr>
        <w:widowControl/>
        <w:adjustRightInd/>
      </w:pPr>
      <w:r>
        <w:br w:type="page"/>
      </w:r>
    </w:p>
    <w:p w:rsidR="00146C23" w:rsidRPr="00146C23" w:rsidRDefault="00146C23" w:rsidP="00146C23">
      <w:pPr>
        <w:widowControl/>
        <w:adjustRightInd/>
        <w:spacing w:after="160" w:line="259" w:lineRule="auto"/>
        <w:jc w:val="center"/>
        <w:rPr>
          <w:rFonts w:eastAsia="Calibri" w:cs="Times New Roman"/>
          <w:b/>
          <w:sz w:val="28"/>
          <w:szCs w:val="28"/>
          <w:lang w:eastAsia="en-US"/>
        </w:rPr>
      </w:pPr>
      <w:r w:rsidRPr="00146C23">
        <w:rPr>
          <w:rFonts w:eastAsia="Calibri" w:cs="Times New Roman"/>
          <w:b/>
          <w:sz w:val="28"/>
          <w:szCs w:val="28"/>
          <w:lang w:eastAsia="en-US"/>
        </w:rPr>
        <w:t>Analýza vplyvov na podnikateľské prostredie</w:t>
      </w:r>
    </w:p>
    <w:p w:rsidR="00146C23" w:rsidRPr="00146C23" w:rsidRDefault="00146C23" w:rsidP="00146C23">
      <w:pPr>
        <w:widowControl/>
        <w:adjustRightInd/>
        <w:spacing w:after="160" w:line="259" w:lineRule="auto"/>
        <w:jc w:val="both"/>
        <w:rPr>
          <w:rFonts w:eastAsia="Calibri" w:cs="Times New Roman"/>
          <w:b/>
          <w:lang w:eastAsia="en-US"/>
        </w:rPr>
      </w:pPr>
    </w:p>
    <w:p w:rsidR="00146C23" w:rsidRPr="00146C23" w:rsidRDefault="00146C23" w:rsidP="00146C23">
      <w:pPr>
        <w:widowControl/>
        <w:adjustRightInd/>
        <w:spacing w:after="160" w:line="259" w:lineRule="auto"/>
        <w:jc w:val="both"/>
        <w:rPr>
          <w:rFonts w:eastAsia="Calibri" w:cs="Times New Roman"/>
          <w:lang w:eastAsia="en-US"/>
        </w:rPr>
      </w:pPr>
      <w:r w:rsidRPr="00146C23">
        <w:rPr>
          <w:rFonts w:eastAsia="Calibri" w:cs="Times New Roman"/>
          <w:b/>
          <w:lang w:eastAsia="en-US"/>
        </w:rPr>
        <w:t xml:space="preserve">Názov materiálu: </w:t>
      </w:r>
      <w:r w:rsidRPr="00146C23">
        <w:rPr>
          <w:rFonts w:eastAsia="Calibri" w:cs="Times New Roman"/>
          <w:lang w:eastAsia="en-US"/>
        </w:rPr>
        <w:t>Návrh zákona, ktorým sa mení a dopĺňa zákon č. 56/2018 Z. z. o posudzovaní zhody výrobku, sprístupňovaní určeného výrobku na trhu a o zmene a doplnení niektorých zákonov v znení neskorších predpisov a ktorým sa menia a dopĺňajú niektoré zákony (ďalej len „návrh zákona“)</w:t>
      </w:r>
    </w:p>
    <w:p w:rsidR="00146C23" w:rsidRPr="00146C23" w:rsidRDefault="00146C23" w:rsidP="00146C23">
      <w:pPr>
        <w:widowControl/>
        <w:adjustRightInd/>
        <w:spacing w:after="160" w:line="259" w:lineRule="auto"/>
        <w:jc w:val="both"/>
        <w:rPr>
          <w:rFonts w:eastAsia="Calibri" w:cs="Times New Roman"/>
          <w:b/>
          <w:lang w:eastAsia="en-US"/>
        </w:rPr>
      </w:pPr>
      <w:r w:rsidRPr="00146C23">
        <w:rPr>
          <w:rFonts w:eastAsia="Calibri" w:cs="Times New Roman"/>
          <w:b/>
          <w:lang w:eastAsia="en-US"/>
        </w:rPr>
        <w:t xml:space="preserve">Predkladateľ: </w:t>
      </w:r>
      <w:r w:rsidRPr="00146C23">
        <w:rPr>
          <w:rFonts w:eastAsia="Calibri" w:cs="Times New Roman"/>
          <w:lang w:eastAsia="en-US"/>
        </w:rPr>
        <w:t>Úrad pre normalizáciu, metrológiu a skúšobníctvo Slovenskej republiky (ďalej len „úrad“)</w:t>
      </w:r>
    </w:p>
    <w:p w:rsidR="00146C23" w:rsidRPr="00146C23" w:rsidRDefault="00146C23" w:rsidP="00146C23">
      <w:pPr>
        <w:widowControl/>
        <w:adjustRightInd/>
        <w:spacing w:after="160" w:line="259" w:lineRule="auto"/>
        <w:jc w:val="both"/>
        <w:rPr>
          <w:rFonts w:eastAsia="Calibri" w:cs="Times New Roman"/>
          <w:b/>
          <w:lang w:eastAsia="en-US"/>
        </w:rPr>
      </w:pPr>
    </w:p>
    <w:p w:rsidR="00146C23" w:rsidRPr="00146C23" w:rsidRDefault="00146C23" w:rsidP="00146C23">
      <w:pPr>
        <w:widowControl/>
        <w:adjustRightInd/>
        <w:spacing w:after="160" w:line="259" w:lineRule="auto"/>
        <w:jc w:val="both"/>
        <w:rPr>
          <w:rFonts w:eastAsia="Calibri" w:cs="Times New Roman"/>
          <w:b/>
          <w:lang w:eastAsia="en-US"/>
        </w:rPr>
      </w:pPr>
      <w:r w:rsidRPr="00146C23">
        <w:rPr>
          <w:rFonts w:eastAsia="Calibri" w:cs="Times New Roman"/>
          <w:b/>
          <w:lang w:eastAsia="en-US"/>
        </w:rPr>
        <w:t>3.1 Náklady regulácie</w:t>
      </w:r>
    </w:p>
    <w:p w:rsidR="00146C23" w:rsidRPr="00146C23" w:rsidRDefault="00146C23" w:rsidP="00146C23">
      <w:pPr>
        <w:widowControl/>
        <w:tabs>
          <w:tab w:val="left" w:pos="8025"/>
        </w:tabs>
        <w:adjustRightInd/>
        <w:spacing w:after="160" w:line="259" w:lineRule="auto"/>
        <w:rPr>
          <w:rFonts w:eastAsia="Calibri" w:cs="Times New Roman"/>
          <w:bCs/>
          <w:i/>
          <w:iCs/>
          <w:lang w:eastAsia="en-US"/>
        </w:rPr>
      </w:pPr>
      <w:r w:rsidRPr="00146C23">
        <w:rPr>
          <w:rFonts w:eastAsia="Calibri" w:cs="Times New Roman"/>
          <w:b/>
          <w:i/>
          <w:iCs/>
          <w:lang w:eastAsia="en-US"/>
        </w:rPr>
        <w:t xml:space="preserve">3.1.1 Súhrnná tabuľka nákladov regulácie </w:t>
      </w:r>
      <w:r w:rsidRPr="00146C23">
        <w:rPr>
          <w:rFonts w:eastAsia="Calibri" w:cs="Times New Roman"/>
          <w:b/>
          <w:i/>
          <w:iCs/>
          <w:lang w:eastAsia="en-US"/>
        </w:rPr>
        <w:tab/>
      </w:r>
    </w:p>
    <w:p w:rsidR="00146C23" w:rsidRPr="00146C23" w:rsidRDefault="00146C23" w:rsidP="00146C23">
      <w:pPr>
        <w:widowControl/>
        <w:adjustRightInd/>
        <w:spacing w:after="160" w:line="259" w:lineRule="auto"/>
        <w:jc w:val="both"/>
        <w:rPr>
          <w:rFonts w:eastAsia="Calibri" w:cs="Times New Roman"/>
          <w:i/>
          <w:lang w:eastAsia="en-US"/>
        </w:rPr>
      </w:pPr>
      <w:r w:rsidRPr="00146C23">
        <w:rPr>
          <w:rFonts w:eastAsia="Calibri" w:cs="Times New Roman"/>
          <w:i/>
          <w:lang w:eastAsia="en-US"/>
        </w:rPr>
        <w:t xml:space="preserve">Tabuľka č. 1: Zmeny nákladov (ročne) v prepočte na podnikateľské prostredie (PP), vyhodnotenie mechanizmu znižovania byrokracie a nákladov, náklady </w:t>
      </w:r>
      <w:proofErr w:type="spellStart"/>
      <w:r w:rsidRPr="00146C23">
        <w:rPr>
          <w:rFonts w:eastAsia="Calibri" w:cs="Times New Roman"/>
          <w:i/>
          <w:lang w:eastAsia="en-US"/>
        </w:rPr>
        <w:t>goldplatingu</w:t>
      </w:r>
      <w:proofErr w:type="spellEnd"/>
      <w:r w:rsidRPr="00146C23">
        <w:rPr>
          <w:rFonts w:eastAsia="Calibri" w:cs="Times New Roman"/>
          <w:i/>
          <w:vertAlign w:val="superscript"/>
          <w:lang w:eastAsia="en-US"/>
        </w:rPr>
        <w:footnoteReference w:id="1"/>
      </w:r>
      <w:r w:rsidRPr="00146C23">
        <w:rPr>
          <w:rFonts w:eastAsia="Calibri" w:cs="Times New Roman"/>
          <w:i/>
          <w:lang w:eastAsia="en-US"/>
        </w:rPr>
        <w:t xml:space="preserve"> na podnikateľské prostredie. </w:t>
      </w:r>
    </w:p>
    <w:p w:rsidR="00146C23" w:rsidRPr="00146C23" w:rsidRDefault="00146C23" w:rsidP="00146C23">
      <w:pPr>
        <w:widowControl/>
        <w:adjustRightInd/>
        <w:spacing w:after="160" w:line="259" w:lineRule="auto"/>
        <w:jc w:val="both"/>
        <w:rPr>
          <w:rFonts w:eastAsia="Calibri" w:cs="Times New Roman"/>
          <w:i/>
          <w:lang w:eastAsia="en-US"/>
        </w:rPr>
      </w:pPr>
      <w:r w:rsidRPr="00146C23">
        <w:rPr>
          <w:rFonts w:eastAsia="Calibri" w:cs="Times New Roman"/>
          <w:i/>
          <w:lang w:eastAsia="en-US"/>
        </w:rPr>
        <w:t xml:space="preserve">Nahraďte rovnakou tabuľkou po vyplnení Kalkulačky nákladov podnikateľského prostredia, ktorá je povinnou prílohou tejto analýzy a nájdete ju na </w:t>
      </w:r>
      <w:hyperlink r:id="rId9" w:history="1">
        <w:r w:rsidRPr="00146C23">
          <w:rPr>
            <w:rFonts w:eastAsia="Calibri" w:cs="Times New Roman"/>
            <w:i/>
            <w:color w:val="0563C1"/>
            <w:u w:val="single"/>
            <w:lang w:eastAsia="en-US"/>
          </w:rPr>
          <w:t>webovom sídle MH SR</w:t>
        </w:r>
      </w:hyperlink>
      <w:r w:rsidRPr="00146C23">
        <w:rPr>
          <w:rFonts w:eastAsia="Calibri" w:cs="Times New Roman"/>
          <w:i/>
          <w:lang w:eastAsia="en-US"/>
        </w:rPr>
        <w:t>, (ďalej len „Kalkulačka nákladov“):</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146C23" w:rsidRPr="00146C23" w:rsidTr="00146C23">
        <w:trPr>
          <w:trHeight w:val="270"/>
        </w:trPr>
        <w:tc>
          <w:tcPr>
            <w:tcW w:w="146" w:type="dxa"/>
            <w:tcBorders>
              <w:top w:val="nil"/>
              <w:left w:val="nil"/>
              <w:bottom w:val="nil"/>
              <w:right w:val="nil"/>
            </w:tcBorders>
            <w:shd w:val="clear" w:color="auto" w:fill="auto"/>
            <w:noWrap/>
            <w:vAlign w:val="bottom"/>
            <w:hideMark/>
          </w:tcPr>
          <w:p w:rsidR="00146C23" w:rsidRPr="00146C23" w:rsidRDefault="00146C23" w:rsidP="00146C23">
            <w:pPr>
              <w:widowControl/>
              <w:adjustRightInd/>
              <w:rPr>
                <w:rFonts w:cs="Times New Roman"/>
                <w:color w:val="000000"/>
                <w:sz w:val="20"/>
                <w:szCs w:val="20"/>
              </w:rPr>
            </w:pPr>
          </w:p>
        </w:tc>
        <w:tc>
          <w:tcPr>
            <w:tcW w:w="3540" w:type="dxa"/>
            <w:tcBorders>
              <w:top w:val="nil"/>
              <w:left w:val="nil"/>
              <w:bottom w:val="nil"/>
              <w:right w:val="nil"/>
            </w:tcBorders>
            <w:shd w:val="clear" w:color="auto" w:fill="auto"/>
            <w:noWrap/>
            <w:vAlign w:val="bottom"/>
            <w:hideMark/>
          </w:tcPr>
          <w:p w:rsidR="00146C23" w:rsidRPr="00146C23" w:rsidRDefault="00146C23" w:rsidP="00146C23">
            <w:pPr>
              <w:widowControl/>
              <w:adjustRightInd/>
              <w:rPr>
                <w:rFonts w:cs="Times New Roman"/>
                <w:color w:val="000000"/>
                <w:sz w:val="20"/>
                <w:szCs w:val="20"/>
              </w:rPr>
            </w:pPr>
          </w:p>
        </w:tc>
        <w:tc>
          <w:tcPr>
            <w:tcW w:w="2792" w:type="dxa"/>
            <w:gridSpan w:val="2"/>
            <w:tcBorders>
              <w:top w:val="nil"/>
              <w:left w:val="nil"/>
              <w:bottom w:val="nil"/>
              <w:right w:val="nil"/>
            </w:tcBorders>
            <w:shd w:val="clear" w:color="auto" w:fill="auto"/>
            <w:noWrap/>
            <w:vAlign w:val="bottom"/>
            <w:hideMark/>
          </w:tcPr>
          <w:p w:rsidR="00146C23" w:rsidRPr="00146C23" w:rsidRDefault="00146C23" w:rsidP="00146C23">
            <w:pPr>
              <w:widowControl/>
              <w:adjustRightInd/>
              <w:rPr>
                <w:rFonts w:cs="Times New Roman"/>
                <w:color w:val="000000"/>
                <w:sz w:val="20"/>
                <w:szCs w:val="20"/>
              </w:rPr>
            </w:pPr>
          </w:p>
        </w:tc>
        <w:tc>
          <w:tcPr>
            <w:tcW w:w="160" w:type="dxa"/>
            <w:tcBorders>
              <w:top w:val="nil"/>
              <w:left w:val="nil"/>
              <w:bottom w:val="nil"/>
              <w:right w:val="nil"/>
            </w:tcBorders>
            <w:shd w:val="clear" w:color="auto" w:fill="auto"/>
            <w:noWrap/>
            <w:vAlign w:val="bottom"/>
            <w:hideMark/>
          </w:tcPr>
          <w:p w:rsidR="00146C23" w:rsidRPr="00146C23" w:rsidRDefault="00146C23" w:rsidP="00146C23">
            <w:pPr>
              <w:widowControl/>
              <w:adjustRightInd/>
              <w:rPr>
                <w:rFonts w:cs="Times New Roman"/>
                <w:color w:val="000000"/>
                <w:sz w:val="20"/>
                <w:szCs w:val="20"/>
              </w:rPr>
            </w:pPr>
          </w:p>
        </w:tc>
        <w:tc>
          <w:tcPr>
            <w:tcW w:w="2716" w:type="dxa"/>
            <w:gridSpan w:val="2"/>
            <w:tcBorders>
              <w:top w:val="nil"/>
              <w:left w:val="nil"/>
              <w:bottom w:val="nil"/>
              <w:right w:val="nil"/>
            </w:tcBorders>
            <w:shd w:val="clear" w:color="auto" w:fill="auto"/>
            <w:noWrap/>
            <w:vAlign w:val="bottom"/>
            <w:hideMark/>
          </w:tcPr>
          <w:p w:rsidR="00146C23" w:rsidRPr="00146C23" w:rsidRDefault="00146C23" w:rsidP="00146C23">
            <w:pPr>
              <w:widowControl/>
              <w:adjustRightInd/>
              <w:rPr>
                <w:rFonts w:cs="Times New Roman"/>
                <w:color w:val="000000"/>
                <w:sz w:val="20"/>
                <w:szCs w:val="20"/>
              </w:rPr>
            </w:pPr>
          </w:p>
        </w:tc>
        <w:tc>
          <w:tcPr>
            <w:tcW w:w="160" w:type="dxa"/>
            <w:tcBorders>
              <w:top w:val="nil"/>
              <w:left w:val="nil"/>
              <w:bottom w:val="nil"/>
              <w:right w:val="nil"/>
            </w:tcBorders>
            <w:shd w:val="clear" w:color="auto" w:fill="auto"/>
            <w:noWrap/>
            <w:vAlign w:val="bottom"/>
            <w:hideMark/>
          </w:tcPr>
          <w:p w:rsidR="00146C23" w:rsidRPr="00146C23" w:rsidRDefault="00146C23" w:rsidP="00146C23">
            <w:pPr>
              <w:widowControl/>
              <w:adjustRightInd/>
              <w:jc w:val="center"/>
              <w:rPr>
                <w:rFonts w:cs="Times New Roman"/>
                <w:color w:val="000000"/>
                <w:sz w:val="20"/>
                <w:szCs w:val="20"/>
              </w:rPr>
            </w:pPr>
          </w:p>
        </w:tc>
      </w:tr>
      <w:tr w:rsidR="00146C23" w:rsidRPr="00146C23" w:rsidTr="00146C23">
        <w:trPr>
          <w:gridAfter w:val="2"/>
          <w:wAfter w:w="583" w:type="dxa"/>
          <w:trHeight w:val="451"/>
        </w:trPr>
        <w:tc>
          <w:tcPr>
            <w:tcW w:w="146" w:type="dxa"/>
            <w:tcBorders>
              <w:top w:val="nil"/>
              <w:left w:val="nil"/>
              <w:bottom w:val="nil"/>
              <w:right w:val="nil"/>
            </w:tcBorders>
            <w:shd w:val="clear" w:color="auto" w:fill="auto"/>
            <w:noWrap/>
            <w:vAlign w:val="bottom"/>
            <w:hideMark/>
          </w:tcPr>
          <w:p w:rsidR="00146C23" w:rsidRPr="00146C23" w:rsidRDefault="00146C23" w:rsidP="00146C23">
            <w:pPr>
              <w:widowControl/>
              <w:adjustRightInd/>
              <w:rPr>
                <w:rFonts w:cs="Times New Roman"/>
                <w:color w:val="000000"/>
                <w:sz w:val="20"/>
                <w:szCs w:val="20"/>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46C23" w:rsidRPr="00146C23" w:rsidRDefault="00146C23" w:rsidP="00146C23">
            <w:pPr>
              <w:widowControl/>
              <w:adjustRightInd/>
              <w:jc w:val="center"/>
              <w:rPr>
                <w:rFonts w:cs="Times New Roman"/>
                <w:b/>
                <w:bCs/>
                <w:i/>
                <w:iCs/>
                <w:color w:val="000000"/>
                <w:sz w:val="20"/>
                <w:szCs w:val="20"/>
              </w:rPr>
            </w:pPr>
            <w:r w:rsidRPr="00146C23">
              <w:rPr>
                <w:rFonts w:cs="Times New Roman"/>
                <w:b/>
                <w:bCs/>
                <w:i/>
                <w:iCs/>
                <w:color w:val="000000"/>
                <w:sz w:val="20"/>
                <w:szCs w:val="20"/>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rsidR="00146C23" w:rsidRPr="00146C23" w:rsidRDefault="00146C23" w:rsidP="00146C23">
            <w:pPr>
              <w:widowControl/>
              <w:adjustRightInd/>
              <w:jc w:val="center"/>
              <w:rPr>
                <w:rFonts w:cs="Times New Roman"/>
                <w:b/>
                <w:bCs/>
                <w:color w:val="000000"/>
                <w:sz w:val="20"/>
                <w:szCs w:val="20"/>
              </w:rPr>
            </w:pPr>
            <w:r w:rsidRPr="00146C23">
              <w:rPr>
                <w:rFonts w:cs="Times New Roman"/>
                <w:b/>
                <w:bCs/>
                <w:color w:val="000000"/>
                <w:sz w:val="20"/>
                <w:szCs w:val="20"/>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146C23" w:rsidRPr="00146C23" w:rsidRDefault="00146C23" w:rsidP="00146C23">
            <w:pPr>
              <w:widowControl/>
              <w:adjustRightInd/>
              <w:jc w:val="center"/>
              <w:rPr>
                <w:rFonts w:cs="Times New Roman"/>
                <w:b/>
                <w:bCs/>
                <w:color w:val="000000"/>
                <w:sz w:val="20"/>
                <w:szCs w:val="20"/>
              </w:rPr>
            </w:pPr>
            <w:r w:rsidRPr="00146C23">
              <w:rPr>
                <w:rFonts w:cs="Times New Roman"/>
                <w:b/>
                <w:bCs/>
                <w:color w:val="000000"/>
                <w:sz w:val="20"/>
                <w:szCs w:val="20"/>
              </w:rPr>
              <w:t>Zníženie nákladov v € na PP</w:t>
            </w:r>
          </w:p>
        </w:tc>
      </w:tr>
      <w:tr w:rsidR="00146C23" w:rsidRPr="00146C23" w:rsidTr="00146C23">
        <w:trPr>
          <w:gridAfter w:val="2"/>
          <w:wAfter w:w="583" w:type="dxa"/>
          <w:trHeight w:val="600"/>
        </w:trPr>
        <w:tc>
          <w:tcPr>
            <w:tcW w:w="146" w:type="dxa"/>
            <w:tcBorders>
              <w:top w:val="nil"/>
              <w:left w:val="nil"/>
              <w:bottom w:val="nil"/>
              <w:right w:val="nil"/>
            </w:tcBorders>
            <w:shd w:val="clear" w:color="auto" w:fill="auto"/>
            <w:noWrap/>
            <w:vAlign w:val="bottom"/>
            <w:hideMark/>
          </w:tcPr>
          <w:p w:rsidR="00146C23" w:rsidRPr="00146C23" w:rsidRDefault="00146C23" w:rsidP="00146C23">
            <w:pPr>
              <w:widowControl/>
              <w:adjustRightInd/>
              <w:rPr>
                <w:rFonts w:cs="Times New Roman"/>
                <w:color w:val="000000"/>
                <w:sz w:val="20"/>
                <w:szCs w:val="20"/>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146C23" w:rsidRPr="00146C23" w:rsidRDefault="00146C23" w:rsidP="00146C23">
            <w:pPr>
              <w:widowControl/>
              <w:adjustRightInd/>
              <w:rPr>
                <w:rFonts w:cs="Times New Roman"/>
                <w:b/>
                <w:bCs/>
                <w:i/>
                <w:iCs/>
                <w:color w:val="000000"/>
                <w:sz w:val="20"/>
                <w:szCs w:val="20"/>
              </w:rPr>
            </w:pPr>
            <w:r w:rsidRPr="00146C23">
              <w:rPr>
                <w:rFonts w:cs="Times New Roman"/>
                <w:b/>
                <w:bCs/>
                <w:i/>
                <w:iCs/>
                <w:color w:val="000000"/>
                <w:sz w:val="20"/>
                <w:szCs w:val="20"/>
              </w:rPr>
              <w:t xml:space="preserve">A. Dane, odvody, clá a poplatky, ktorých cieľom je znižovať negatívne </w:t>
            </w:r>
            <w:proofErr w:type="spellStart"/>
            <w:r w:rsidRPr="00146C23">
              <w:rPr>
                <w:rFonts w:cs="Times New Roman"/>
                <w:b/>
                <w:bCs/>
                <w:i/>
                <w:iCs/>
                <w:color w:val="000000"/>
                <w:sz w:val="20"/>
                <w:szCs w:val="20"/>
              </w:rPr>
              <w:t>externality</w:t>
            </w:r>
            <w:proofErr w:type="spellEnd"/>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146C23" w:rsidRPr="00146C23" w:rsidRDefault="00146C23" w:rsidP="00146C23">
            <w:pPr>
              <w:widowControl/>
              <w:adjustRightInd/>
              <w:jc w:val="center"/>
              <w:rPr>
                <w:rFonts w:cs="Times New Roman"/>
                <w:b/>
                <w:bCs/>
                <w:color w:val="000000"/>
                <w:sz w:val="20"/>
                <w:szCs w:val="20"/>
              </w:rPr>
            </w:pPr>
            <w:r w:rsidRPr="00146C23">
              <w:rPr>
                <w:rFonts w:cs="Times New Roman"/>
                <w:b/>
                <w:bCs/>
                <w:color w:val="000000"/>
                <w:sz w:val="20"/>
                <w:szCs w:val="20"/>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146C23" w:rsidRPr="00146C23" w:rsidRDefault="00146C23" w:rsidP="00146C23">
            <w:pPr>
              <w:widowControl/>
              <w:adjustRightInd/>
              <w:jc w:val="center"/>
              <w:rPr>
                <w:rFonts w:cs="Times New Roman"/>
                <w:b/>
                <w:bCs/>
                <w:color w:val="000000"/>
                <w:sz w:val="20"/>
                <w:szCs w:val="20"/>
              </w:rPr>
            </w:pPr>
            <w:r w:rsidRPr="00146C23">
              <w:rPr>
                <w:rFonts w:cs="Times New Roman"/>
                <w:b/>
                <w:bCs/>
                <w:color w:val="000000"/>
                <w:sz w:val="20"/>
                <w:szCs w:val="20"/>
              </w:rPr>
              <w:t> </w:t>
            </w:r>
          </w:p>
        </w:tc>
      </w:tr>
      <w:tr w:rsidR="00146C23" w:rsidRPr="00146C23" w:rsidTr="00146C23">
        <w:trPr>
          <w:gridAfter w:val="2"/>
          <w:wAfter w:w="583" w:type="dxa"/>
          <w:trHeight w:val="420"/>
        </w:trPr>
        <w:tc>
          <w:tcPr>
            <w:tcW w:w="146" w:type="dxa"/>
            <w:tcBorders>
              <w:top w:val="nil"/>
              <w:left w:val="nil"/>
              <w:bottom w:val="nil"/>
              <w:right w:val="nil"/>
            </w:tcBorders>
            <w:shd w:val="clear" w:color="auto" w:fill="auto"/>
            <w:noWrap/>
            <w:vAlign w:val="bottom"/>
            <w:hideMark/>
          </w:tcPr>
          <w:p w:rsidR="00146C23" w:rsidRPr="00146C23" w:rsidRDefault="00146C23" w:rsidP="00146C23">
            <w:pPr>
              <w:widowControl/>
              <w:adjustRightInd/>
              <w:rPr>
                <w:rFonts w:cs="Times New Roman"/>
                <w:color w:val="000000"/>
                <w:sz w:val="20"/>
                <w:szCs w:val="20"/>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146C23" w:rsidRPr="00146C23" w:rsidRDefault="00146C23" w:rsidP="00146C23">
            <w:pPr>
              <w:widowControl/>
              <w:adjustRightInd/>
              <w:rPr>
                <w:rFonts w:cs="Times New Roman"/>
                <w:b/>
                <w:bCs/>
                <w:i/>
                <w:iCs/>
                <w:color w:val="000000"/>
                <w:sz w:val="20"/>
                <w:szCs w:val="20"/>
              </w:rPr>
            </w:pPr>
            <w:r w:rsidRPr="00146C23">
              <w:rPr>
                <w:rFonts w:cs="Times New Roman"/>
                <w:b/>
                <w:bCs/>
                <w:i/>
                <w:iCs/>
                <w:color w:val="000000"/>
                <w:sz w:val="20"/>
                <w:szCs w:val="20"/>
              </w:rPr>
              <w:t>B. Iné poplatky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146C23" w:rsidRPr="00146C23" w:rsidRDefault="00146C23" w:rsidP="00146C23">
            <w:pPr>
              <w:widowControl/>
              <w:adjustRightInd/>
              <w:jc w:val="center"/>
              <w:rPr>
                <w:rFonts w:cs="Times New Roman"/>
                <w:b/>
                <w:bCs/>
                <w:color w:val="000000"/>
                <w:sz w:val="20"/>
                <w:szCs w:val="20"/>
              </w:rPr>
            </w:pPr>
            <w:r w:rsidRPr="00146C23">
              <w:rPr>
                <w:rFonts w:cs="Times New Roman"/>
                <w:b/>
                <w:bCs/>
                <w:color w:val="000000"/>
                <w:sz w:val="20"/>
                <w:szCs w:val="20"/>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146C23" w:rsidRPr="00146C23" w:rsidRDefault="00146C23" w:rsidP="00146C23">
            <w:pPr>
              <w:widowControl/>
              <w:adjustRightInd/>
              <w:jc w:val="center"/>
              <w:rPr>
                <w:rFonts w:cs="Times New Roman"/>
                <w:b/>
                <w:bCs/>
                <w:color w:val="000000"/>
                <w:sz w:val="20"/>
                <w:szCs w:val="20"/>
              </w:rPr>
            </w:pPr>
            <w:r w:rsidRPr="00146C23">
              <w:rPr>
                <w:rFonts w:cs="Times New Roman"/>
                <w:b/>
                <w:bCs/>
                <w:color w:val="000000"/>
                <w:sz w:val="20"/>
                <w:szCs w:val="20"/>
              </w:rPr>
              <w:t> </w:t>
            </w:r>
          </w:p>
        </w:tc>
      </w:tr>
      <w:tr w:rsidR="00146C23" w:rsidRPr="00146C23" w:rsidTr="00146C23">
        <w:trPr>
          <w:gridAfter w:val="2"/>
          <w:wAfter w:w="583" w:type="dxa"/>
          <w:trHeight w:val="435"/>
        </w:trPr>
        <w:tc>
          <w:tcPr>
            <w:tcW w:w="146" w:type="dxa"/>
            <w:tcBorders>
              <w:top w:val="nil"/>
              <w:left w:val="nil"/>
              <w:bottom w:val="nil"/>
              <w:right w:val="nil"/>
            </w:tcBorders>
            <w:shd w:val="clear" w:color="auto" w:fill="auto"/>
            <w:noWrap/>
            <w:vAlign w:val="bottom"/>
            <w:hideMark/>
          </w:tcPr>
          <w:p w:rsidR="00146C23" w:rsidRPr="00146C23" w:rsidRDefault="00146C23" w:rsidP="00146C23">
            <w:pPr>
              <w:widowControl/>
              <w:adjustRightInd/>
              <w:rPr>
                <w:rFonts w:cs="Times New Roman"/>
                <w:color w:val="000000"/>
                <w:sz w:val="20"/>
                <w:szCs w:val="20"/>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146C23" w:rsidRPr="00146C23" w:rsidRDefault="00146C23" w:rsidP="00146C23">
            <w:pPr>
              <w:widowControl/>
              <w:adjustRightInd/>
              <w:rPr>
                <w:rFonts w:cs="Times New Roman"/>
                <w:b/>
                <w:bCs/>
                <w:i/>
                <w:iCs/>
                <w:color w:val="000000"/>
                <w:sz w:val="20"/>
                <w:szCs w:val="20"/>
              </w:rPr>
            </w:pPr>
            <w:r w:rsidRPr="00146C23">
              <w:rPr>
                <w:rFonts w:cs="Times New Roman"/>
                <w:b/>
                <w:bCs/>
                <w:i/>
                <w:iCs/>
                <w:color w:val="000000"/>
                <w:sz w:val="20"/>
                <w:szCs w:val="20"/>
              </w:rPr>
              <w:t>C. Sankcie a pokuty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146C23" w:rsidRPr="00146C23" w:rsidRDefault="00146C23" w:rsidP="00146C23">
            <w:pPr>
              <w:widowControl/>
              <w:adjustRightInd/>
              <w:jc w:val="center"/>
              <w:rPr>
                <w:rFonts w:cs="Times New Roman"/>
                <w:b/>
                <w:bCs/>
                <w:color w:val="000000"/>
                <w:sz w:val="20"/>
                <w:szCs w:val="20"/>
              </w:rPr>
            </w:pPr>
            <w:r w:rsidRPr="00146C23">
              <w:rPr>
                <w:rFonts w:cs="Times New Roman"/>
                <w:b/>
                <w:bCs/>
                <w:color w:val="000000"/>
                <w:sz w:val="20"/>
                <w:szCs w:val="20"/>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146C23" w:rsidRPr="00146C23" w:rsidRDefault="00146C23" w:rsidP="00146C23">
            <w:pPr>
              <w:widowControl/>
              <w:adjustRightInd/>
              <w:jc w:val="center"/>
              <w:rPr>
                <w:rFonts w:cs="Times New Roman"/>
                <w:b/>
                <w:bCs/>
                <w:color w:val="000000"/>
                <w:sz w:val="20"/>
                <w:szCs w:val="20"/>
              </w:rPr>
            </w:pPr>
            <w:r w:rsidRPr="00146C23">
              <w:rPr>
                <w:rFonts w:cs="Times New Roman"/>
                <w:b/>
                <w:bCs/>
                <w:color w:val="000000"/>
                <w:sz w:val="20"/>
                <w:szCs w:val="20"/>
              </w:rPr>
              <w:t> </w:t>
            </w:r>
          </w:p>
        </w:tc>
      </w:tr>
      <w:tr w:rsidR="00146C23" w:rsidRPr="00146C23" w:rsidTr="00146C23">
        <w:trPr>
          <w:gridAfter w:val="2"/>
          <w:wAfter w:w="583" w:type="dxa"/>
          <w:trHeight w:val="480"/>
        </w:trPr>
        <w:tc>
          <w:tcPr>
            <w:tcW w:w="146" w:type="dxa"/>
            <w:tcBorders>
              <w:top w:val="nil"/>
              <w:left w:val="nil"/>
              <w:bottom w:val="nil"/>
              <w:right w:val="nil"/>
            </w:tcBorders>
            <w:shd w:val="clear" w:color="auto" w:fill="auto"/>
            <w:noWrap/>
            <w:vAlign w:val="bottom"/>
            <w:hideMark/>
          </w:tcPr>
          <w:p w:rsidR="00146C23" w:rsidRPr="00146C23" w:rsidRDefault="00146C23" w:rsidP="00146C23">
            <w:pPr>
              <w:widowControl/>
              <w:adjustRightInd/>
              <w:rPr>
                <w:rFonts w:cs="Times New Roman"/>
                <w:color w:val="000000"/>
                <w:sz w:val="20"/>
                <w:szCs w:val="20"/>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146C23" w:rsidRPr="00146C23" w:rsidRDefault="00146C23" w:rsidP="00146C23">
            <w:pPr>
              <w:widowControl/>
              <w:adjustRightInd/>
              <w:rPr>
                <w:rFonts w:cs="Times New Roman"/>
                <w:b/>
                <w:bCs/>
                <w:i/>
                <w:iCs/>
                <w:color w:val="000000"/>
                <w:sz w:val="20"/>
                <w:szCs w:val="20"/>
              </w:rPr>
            </w:pPr>
            <w:r w:rsidRPr="00146C23">
              <w:rPr>
                <w:rFonts w:cs="Times New Roman"/>
                <w:b/>
                <w:bCs/>
                <w:i/>
                <w:iCs/>
                <w:color w:val="000000"/>
                <w:sz w:val="20"/>
                <w:szCs w:val="20"/>
              </w:rPr>
              <w:t xml:space="preserve">D. Nepriame finančné náklady </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146C23" w:rsidRPr="00146C23" w:rsidRDefault="00146C23" w:rsidP="00146C23">
            <w:pPr>
              <w:widowControl/>
              <w:adjustRightInd/>
              <w:jc w:val="center"/>
              <w:rPr>
                <w:rFonts w:cs="Times New Roman"/>
                <w:b/>
                <w:bCs/>
                <w:color w:val="000000"/>
                <w:sz w:val="20"/>
                <w:szCs w:val="20"/>
              </w:rPr>
            </w:pPr>
            <w:r w:rsidRPr="00146C23">
              <w:rPr>
                <w:rFonts w:cs="Times New Roman"/>
                <w:b/>
                <w:bCs/>
                <w:color w:val="000000"/>
                <w:sz w:val="20"/>
                <w:szCs w:val="20"/>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146C23" w:rsidRPr="00146C23" w:rsidRDefault="00146C23" w:rsidP="00146C23">
            <w:pPr>
              <w:widowControl/>
              <w:adjustRightInd/>
              <w:jc w:val="center"/>
              <w:rPr>
                <w:rFonts w:cs="Times New Roman"/>
                <w:b/>
                <w:bCs/>
                <w:color w:val="000000"/>
                <w:sz w:val="20"/>
                <w:szCs w:val="20"/>
              </w:rPr>
            </w:pPr>
            <w:r w:rsidRPr="00146C23">
              <w:rPr>
                <w:rFonts w:cs="Times New Roman"/>
                <w:b/>
                <w:bCs/>
                <w:color w:val="000000"/>
                <w:sz w:val="20"/>
                <w:szCs w:val="20"/>
              </w:rPr>
              <w:t> </w:t>
            </w:r>
          </w:p>
        </w:tc>
      </w:tr>
      <w:tr w:rsidR="00146C23" w:rsidRPr="00146C23" w:rsidTr="00146C23">
        <w:trPr>
          <w:gridAfter w:val="2"/>
          <w:wAfter w:w="583" w:type="dxa"/>
          <w:trHeight w:val="480"/>
        </w:trPr>
        <w:tc>
          <w:tcPr>
            <w:tcW w:w="146" w:type="dxa"/>
            <w:tcBorders>
              <w:top w:val="nil"/>
              <w:left w:val="nil"/>
              <w:bottom w:val="nil"/>
              <w:right w:val="nil"/>
            </w:tcBorders>
            <w:shd w:val="clear" w:color="auto" w:fill="auto"/>
            <w:noWrap/>
            <w:vAlign w:val="bottom"/>
          </w:tcPr>
          <w:p w:rsidR="00146C23" w:rsidRPr="00146C23" w:rsidRDefault="00146C23" w:rsidP="00146C23">
            <w:pPr>
              <w:widowControl/>
              <w:adjustRightInd/>
              <w:rPr>
                <w:rFonts w:cs="Times New Roman"/>
                <w:color w:val="000000"/>
                <w:sz w:val="20"/>
                <w:szCs w:val="20"/>
              </w:rPr>
            </w:pPr>
          </w:p>
        </w:tc>
        <w:tc>
          <w:tcPr>
            <w:tcW w:w="3540" w:type="dxa"/>
            <w:tcBorders>
              <w:top w:val="nil"/>
              <w:left w:val="single" w:sz="8" w:space="0" w:color="auto"/>
              <w:bottom w:val="single" w:sz="4" w:space="0" w:color="auto"/>
              <w:right w:val="single" w:sz="4" w:space="0" w:color="auto"/>
            </w:tcBorders>
            <w:shd w:val="clear" w:color="auto" w:fill="auto"/>
            <w:vAlign w:val="center"/>
          </w:tcPr>
          <w:p w:rsidR="00146C23" w:rsidRPr="00146C23" w:rsidRDefault="00146C23" w:rsidP="00146C23">
            <w:pPr>
              <w:widowControl/>
              <w:adjustRightInd/>
              <w:rPr>
                <w:rFonts w:cs="Times New Roman"/>
                <w:b/>
                <w:bCs/>
                <w:i/>
                <w:iCs/>
                <w:color w:val="000000"/>
                <w:sz w:val="20"/>
                <w:szCs w:val="20"/>
              </w:rPr>
            </w:pPr>
            <w:r w:rsidRPr="00146C23">
              <w:rPr>
                <w:rFonts w:cs="Times New Roman"/>
                <w:b/>
                <w:bCs/>
                <w:i/>
                <w:iCs/>
                <w:color w:val="000000"/>
                <w:sz w:val="20"/>
                <w:szCs w:val="20"/>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vAlign w:val="center"/>
          </w:tcPr>
          <w:p w:rsidR="00146C23" w:rsidRPr="00146C23" w:rsidRDefault="00146C23" w:rsidP="00146C23">
            <w:pPr>
              <w:widowControl/>
              <w:adjustRightInd/>
              <w:jc w:val="center"/>
              <w:rPr>
                <w:rFonts w:cs="Times New Roman"/>
                <w:b/>
                <w:bCs/>
                <w:color w:val="000000"/>
                <w:sz w:val="20"/>
                <w:szCs w:val="20"/>
              </w:rPr>
            </w:pPr>
            <w:r w:rsidRPr="00146C23">
              <w:rPr>
                <w:rFonts w:cs="Times New Roman"/>
                <w:b/>
                <w:bCs/>
                <w:color w:val="000000"/>
                <w:sz w:val="20"/>
                <w:szCs w:val="20"/>
              </w:rPr>
              <w:t>1070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rsidR="00146C23" w:rsidRPr="00146C23" w:rsidRDefault="00146C23" w:rsidP="00146C23">
            <w:pPr>
              <w:widowControl/>
              <w:adjustRightInd/>
              <w:jc w:val="center"/>
              <w:rPr>
                <w:rFonts w:cs="Times New Roman"/>
                <w:b/>
                <w:bCs/>
                <w:color w:val="000000"/>
                <w:sz w:val="20"/>
                <w:szCs w:val="20"/>
              </w:rPr>
            </w:pPr>
          </w:p>
        </w:tc>
      </w:tr>
      <w:tr w:rsidR="00146C23" w:rsidRPr="00146C23" w:rsidTr="00146C23">
        <w:trPr>
          <w:gridAfter w:val="2"/>
          <w:wAfter w:w="583" w:type="dxa"/>
          <w:trHeight w:val="600"/>
        </w:trPr>
        <w:tc>
          <w:tcPr>
            <w:tcW w:w="146" w:type="dxa"/>
            <w:tcBorders>
              <w:top w:val="nil"/>
              <w:left w:val="nil"/>
              <w:bottom w:val="nil"/>
              <w:right w:val="nil"/>
            </w:tcBorders>
            <w:shd w:val="clear" w:color="auto" w:fill="auto"/>
            <w:noWrap/>
            <w:vAlign w:val="bottom"/>
            <w:hideMark/>
          </w:tcPr>
          <w:p w:rsidR="00146C23" w:rsidRPr="00146C23" w:rsidRDefault="00146C23" w:rsidP="00146C23">
            <w:pPr>
              <w:widowControl/>
              <w:adjustRightInd/>
              <w:rPr>
                <w:rFonts w:cs="Times New Roman"/>
                <w:color w:val="000000"/>
                <w:sz w:val="20"/>
                <w:szCs w:val="20"/>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146C23" w:rsidRPr="00146C23" w:rsidRDefault="00146C23" w:rsidP="00146C23">
            <w:pPr>
              <w:widowControl/>
              <w:adjustRightInd/>
              <w:rPr>
                <w:rFonts w:cs="Times New Roman"/>
                <w:b/>
                <w:bCs/>
                <w:i/>
                <w:iCs/>
                <w:color w:val="000000"/>
                <w:sz w:val="20"/>
                <w:szCs w:val="20"/>
              </w:rPr>
            </w:pPr>
            <w:r w:rsidRPr="00146C23">
              <w:rPr>
                <w:rFonts w:cs="Times New Roman"/>
                <w:b/>
                <w:bCs/>
                <w:i/>
                <w:iCs/>
                <w:color w:val="000000"/>
                <w:sz w:val="20"/>
                <w:szCs w:val="20"/>
              </w:rPr>
              <w:t>Spolu = A+B+C+D+E</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rsidR="00146C23" w:rsidRPr="00146C23" w:rsidRDefault="00146C23" w:rsidP="00146C23">
            <w:pPr>
              <w:widowControl/>
              <w:adjustRightInd/>
              <w:jc w:val="center"/>
              <w:rPr>
                <w:rFonts w:cs="Times New Roman"/>
                <w:b/>
                <w:bCs/>
                <w:color w:val="000000"/>
                <w:sz w:val="20"/>
                <w:szCs w:val="20"/>
              </w:rPr>
            </w:pPr>
            <w:r w:rsidRPr="00146C23">
              <w:rPr>
                <w:rFonts w:cs="Times New Roman"/>
                <w:b/>
                <w:bCs/>
                <w:color w:val="000000"/>
                <w:sz w:val="20"/>
                <w:szCs w:val="20"/>
              </w:rPr>
              <w:t> 1070</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146C23" w:rsidRPr="00146C23" w:rsidRDefault="00146C23" w:rsidP="00146C23">
            <w:pPr>
              <w:widowControl/>
              <w:adjustRightInd/>
              <w:jc w:val="center"/>
              <w:rPr>
                <w:rFonts w:cs="Times New Roman"/>
                <w:b/>
                <w:bCs/>
                <w:color w:val="000000"/>
                <w:sz w:val="20"/>
                <w:szCs w:val="20"/>
              </w:rPr>
            </w:pPr>
            <w:r w:rsidRPr="00146C23">
              <w:rPr>
                <w:rFonts w:cs="Times New Roman"/>
                <w:b/>
                <w:bCs/>
                <w:color w:val="000000"/>
                <w:sz w:val="20"/>
                <w:szCs w:val="20"/>
              </w:rPr>
              <w:t> </w:t>
            </w:r>
          </w:p>
        </w:tc>
      </w:tr>
      <w:tr w:rsidR="00146C23" w:rsidRPr="00146C23" w:rsidTr="00146C23">
        <w:trPr>
          <w:trHeight w:val="270"/>
        </w:trPr>
        <w:tc>
          <w:tcPr>
            <w:tcW w:w="146" w:type="dxa"/>
            <w:tcBorders>
              <w:top w:val="nil"/>
              <w:left w:val="nil"/>
              <w:bottom w:val="nil"/>
              <w:right w:val="nil"/>
            </w:tcBorders>
            <w:shd w:val="clear" w:color="auto" w:fill="auto"/>
            <w:noWrap/>
            <w:vAlign w:val="bottom"/>
            <w:hideMark/>
          </w:tcPr>
          <w:p w:rsidR="00146C23" w:rsidRPr="00146C23" w:rsidRDefault="00146C23" w:rsidP="00146C23">
            <w:pPr>
              <w:widowControl/>
              <w:adjustRightInd/>
              <w:rPr>
                <w:rFonts w:cs="Times New Roman"/>
                <w:color w:val="000000"/>
                <w:sz w:val="20"/>
                <w:szCs w:val="20"/>
              </w:rPr>
            </w:pPr>
          </w:p>
        </w:tc>
        <w:tc>
          <w:tcPr>
            <w:tcW w:w="3540" w:type="dxa"/>
            <w:tcBorders>
              <w:top w:val="nil"/>
              <w:left w:val="nil"/>
              <w:bottom w:val="nil"/>
              <w:right w:val="nil"/>
            </w:tcBorders>
            <w:shd w:val="clear" w:color="auto" w:fill="auto"/>
            <w:noWrap/>
            <w:vAlign w:val="bottom"/>
            <w:hideMark/>
          </w:tcPr>
          <w:p w:rsidR="00146C23" w:rsidRPr="00146C23" w:rsidRDefault="00146C23" w:rsidP="00146C23">
            <w:pPr>
              <w:widowControl/>
              <w:adjustRightInd/>
              <w:rPr>
                <w:rFonts w:cs="Times New Roman"/>
                <w:color w:val="000000"/>
                <w:sz w:val="20"/>
                <w:szCs w:val="20"/>
              </w:rPr>
            </w:pPr>
          </w:p>
        </w:tc>
        <w:tc>
          <w:tcPr>
            <w:tcW w:w="2792" w:type="dxa"/>
            <w:gridSpan w:val="2"/>
            <w:tcBorders>
              <w:top w:val="nil"/>
              <w:left w:val="nil"/>
              <w:bottom w:val="nil"/>
              <w:right w:val="nil"/>
            </w:tcBorders>
            <w:shd w:val="clear" w:color="auto" w:fill="auto"/>
            <w:vAlign w:val="center"/>
            <w:hideMark/>
          </w:tcPr>
          <w:p w:rsidR="00146C23" w:rsidRPr="00146C23" w:rsidRDefault="00146C23" w:rsidP="00146C23">
            <w:pPr>
              <w:widowControl/>
              <w:adjustRightInd/>
              <w:rPr>
                <w:rFonts w:cs="Times New Roman"/>
                <w:i/>
                <w:iCs/>
                <w:color w:val="000000"/>
                <w:sz w:val="20"/>
                <w:szCs w:val="20"/>
              </w:rPr>
            </w:pPr>
          </w:p>
        </w:tc>
        <w:tc>
          <w:tcPr>
            <w:tcW w:w="160" w:type="dxa"/>
            <w:tcBorders>
              <w:top w:val="nil"/>
              <w:left w:val="nil"/>
              <w:bottom w:val="nil"/>
              <w:right w:val="nil"/>
            </w:tcBorders>
            <w:shd w:val="clear" w:color="auto" w:fill="auto"/>
            <w:vAlign w:val="center"/>
            <w:hideMark/>
          </w:tcPr>
          <w:p w:rsidR="00146C23" w:rsidRPr="00146C23" w:rsidRDefault="00146C23" w:rsidP="00146C23">
            <w:pPr>
              <w:widowControl/>
              <w:adjustRightInd/>
              <w:rPr>
                <w:rFonts w:cs="Times New Roman"/>
                <w:i/>
                <w:iCs/>
                <w:color w:val="000000"/>
                <w:sz w:val="20"/>
                <w:szCs w:val="20"/>
              </w:rPr>
            </w:pPr>
          </w:p>
        </w:tc>
        <w:tc>
          <w:tcPr>
            <w:tcW w:w="2716" w:type="dxa"/>
            <w:gridSpan w:val="2"/>
            <w:tcBorders>
              <w:top w:val="nil"/>
              <w:left w:val="nil"/>
              <w:bottom w:val="nil"/>
              <w:right w:val="nil"/>
            </w:tcBorders>
            <w:shd w:val="clear" w:color="auto" w:fill="auto"/>
            <w:vAlign w:val="center"/>
            <w:hideMark/>
          </w:tcPr>
          <w:p w:rsidR="00146C23" w:rsidRPr="00146C23" w:rsidRDefault="00146C23" w:rsidP="00146C23">
            <w:pPr>
              <w:widowControl/>
              <w:adjustRightInd/>
              <w:rPr>
                <w:rFonts w:cs="Times New Roman"/>
                <w:i/>
                <w:iCs/>
                <w:color w:val="000000"/>
                <w:sz w:val="20"/>
                <w:szCs w:val="20"/>
              </w:rPr>
            </w:pPr>
          </w:p>
        </w:tc>
        <w:tc>
          <w:tcPr>
            <w:tcW w:w="160" w:type="dxa"/>
            <w:tcBorders>
              <w:top w:val="nil"/>
              <w:left w:val="nil"/>
              <w:bottom w:val="nil"/>
              <w:right w:val="nil"/>
            </w:tcBorders>
            <w:shd w:val="clear" w:color="auto" w:fill="auto"/>
            <w:vAlign w:val="center"/>
            <w:hideMark/>
          </w:tcPr>
          <w:p w:rsidR="00146C23" w:rsidRPr="00146C23" w:rsidRDefault="00146C23" w:rsidP="00146C23">
            <w:pPr>
              <w:widowControl/>
              <w:adjustRightInd/>
              <w:rPr>
                <w:rFonts w:cs="Times New Roman"/>
                <w:i/>
                <w:iCs/>
                <w:color w:val="000000"/>
                <w:sz w:val="20"/>
                <w:szCs w:val="20"/>
              </w:rPr>
            </w:pPr>
          </w:p>
        </w:tc>
      </w:tr>
      <w:tr w:rsidR="00146C23" w:rsidRPr="00146C23" w:rsidTr="00146C23">
        <w:trPr>
          <w:gridAfter w:val="2"/>
          <w:wAfter w:w="583" w:type="dxa"/>
          <w:trHeight w:val="412"/>
        </w:trPr>
        <w:tc>
          <w:tcPr>
            <w:tcW w:w="146" w:type="dxa"/>
            <w:tcBorders>
              <w:top w:val="nil"/>
              <w:left w:val="nil"/>
              <w:bottom w:val="nil"/>
              <w:right w:val="nil"/>
            </w:tcBorders>
            <w:shd w:val="clear" w:color="auto" w:fill="auto"/>
            <w:noWrap/>
            <w:vAlign w:val="bottom"/>
            <w:hideMark/>
          </w:tcPr>
          <w:p w:rsidR="00146C23" w:rsidRPr="00146C23" w:rsidRDefault="00146C23" w:rsidP="00146C23">
            <w:pPr>
              <w:widowControl/>
              <w:adjustRightInd/>
              <w:rPr>
                <w:rFonts w:cs="Times New Roman"/>
                <w:color w:val="000000"/>
                <w:sz w:val="20"/>
                <w:szCs w:val="20"/>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46C23" w:rsidRPr="00146C23" w:rsidRDefault="00146C23" w:rsidP="00146C23">
            <w:pPr>
              <w:widowControl/>
              <w:adjustRightInd/>
              <w:rPr>
                <w:rFonts w:cs="Times New Roman"/>
                <w:i/>
                <w:iCs/>
                <w:color w:val="000000"/>
                <w:sz w:val="22"/>
                <w:szCs w:val="22"/>
              </w:rPr>
            </w:pPr>
            <w:r w:rsidRPr="00146C23">
              <w:rPr>
                <w:rFonts w:cs="Times New Roman"/>
                <w:i/>
                <w:iCs/>
                <w:color w:val="000000"/>
                <w:sz w:val="22"/>
                <w:szCs w:val="22"/>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rsidR="00146C23" w:rsidRPr="00146C23" w:rsidRDefault="00146C23" w:rsidP="00146C23">
            <w:pPr>
              <w:widowControl/>
              <w:adjustRightInd/>
              <w:jc w:val="center"/>
              <w:rPr>
                <w:rFonts w:cs="Times New Roman"/>
                <w:b/>
                <w:bCs/>
                <w:color w:val="000000"/>
                <w:sz w:val="20"/>
                <w:szCs w:val="20"/>
              </w:rPr>
            </w:pPr>
            <w:r w:rsidRPr="00146C23">
              <w:rPr>
                <w:rFonts w:cs="Times New Roman"/>
                <w:b/>
                <w:bCs/>
                <w:color w:val="000000"/>
                <w:sz w:val="20"/>
                <w:szCs w:val="20"/>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146C23" w:rsidRPr="00146C23" w:rsidRDefault="00146C23" w:rsidP="00146C23">
            <w:pPr>
              <w:widowControl/>
              <w:adjustRightInd/>
              <w:jc w:val="center"/>
              <w:rPr>
                <w:rFonts w:cs="Times New Roman"/>
                <w:b/>
                <w:bCs/>
                <w:color w:val="000000"/>
                <w:sz w:val="20"/>
                <w:szCs w:val="20"/>
              </w:rPr>
            </w:pPr>
            <w:r w:rsidRPr="00146C23">
              <w:rPr>
                <w:rFonts w:cs="Times New Roman"/>
                <w:b/>
                <w:bCs/>
                <w:color w:val="000000"/>
                <w:sz w:val="20"/>
                <w:szCs w:val="20"/>
              </w:rPr>
              <w:t>Zníženie nákladov v € na PP</w:t>
            </w:r>
          </w:p>
        </w:tc>
      </w:tr>
      <w:tr w:rsidR="00146C23" w:rsidRPr="00146C23" w:rsidTr="00146C23">
        <w:trPr>
          <w:gridAfter w:val="2"/>
          <w:wAfter w:w="583" w:type="dxa"/>
          <w:trHeight w:val="840"/>
        </w:trPr>
        <w:tc>
          <w:tcPr>
            <w:tcW w:w="146" w:type="dxa"/>
            <w:tcBorders>
              <w:top w:val="nil"/>
              <w:left w:val="nil"/>
              <w:bottom w:val="nil"/>
              <w:right w:val="nil"/>
            </w:tcBorders>
            <w:shd w:val="clear" w:color="auto" w:fill="auto"/>
            <w:noWrap/>
            <w:vAlign w:val="bottom"/>
            <w:hideMark/>
          </w:tcPr>
          <w:p w:rsidR="00146C23" w:rsidRPr="00146C23" w:rsidRDefault="00146C23" w:rsidP="00146C23">
            <w:pPr>
              <w:widowControl/>
              <w:adjustRightInd/>
              <w:rPr>
                <w:rFonts w:cs="Times New Roman"/>
                <w:color w:val="000000"/>
                <w:sz w:val="20"/>
                <w:szCs w:val="20"/>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146C23" w:rsidRPr="00146C23" w:rsidRDefault="00146C23" w:rsidP="00146C23">
            <w:pPr>
              <w:widowControl/>
              <w:adjustRightInd/>
              <w:rPr>
                <w:rFonts w:cs="Times New Roman"/>
                <w:b/>
                <w:bCs/>
                <w:i/>
                <w:iCs/>
                <w:color w:val="000000"/>
                <w:sz w:val="20"/>
                <w:szCs w:val="20"/>
              </w:rPr>
            </w:pPr>
            <w:r w:rsidRPr="00146C23">
              <w:rPr>
                <w:rFonts w:cs="Times New Roman"/>
                <w:b/>
                <w:bCs/>
                <w:i/>
                <w:iCs/>
                <w:color w:val="000000"/>
                <w:sz w:val="20"/>
                <w:szCs w:val="20"/>
              </w:rPr>
              <w:t>F. Úplná harmonizácia práva EÚ</w:t>
            </w:r>
            <w:r w:rsidRPr="00146C23">
              <w:rPr>
                <w:rFonts w:cs="Times New Roman"/>
                <w:b/>
                <w:bCs/>
                <w:i/>
                <w:iCs/>
                <w:color w:val="000000"/>
                <w:sz w:val="20"/>
                <w:szCs w:val="20"/>
              </w:rPr>
              <w:br/>
            </w:r>
            <w:r w:rsidRPr="00146C23">
              <w:rPr>
                <w:rFonts w:cs="Times New Roman"/>
                <w:i/>
                <w:iCs/>
                <w:color w:val="000000"/>
                <w:sz w:val="16"/>
                <w:szCs w:val="16"/>
              </w:rPr>
              <w:t xml:space="preserve">(okrem daní, odvodov, ciel a poplatkov, ktorých cieľom je znižovať negatívne </w:t>
            </w:r>
            <w:proofErr w:type="spellStart"/>
            <w:r w:rsidRPr="00146C23">
              <w:rPr>
                <w:rFonts w:cs="Times New Roman"/>
                <w:i/>
                <w:iCs/>
                <w:color w:val="000000"/>
                <w:sz w:val="16"/>
                <w:szCs w:val="16"/>
              </w:rPr>
              <w:t>externality</w:t>
            </w:r>
            <w:proofErr w:type="spellEnd"/>
            <w:r w:rsidRPr="00146C23">
              <w:rPr>
                <w:rFonts w:cs="Times New Roman"/>
                <w:i/>
                <w:iCs/>
                <w:color w:val="000000"/>
                <w:sz w:val="16"/>
                <w:szCs w:val="16"/>
              </w:rPr>
              <w:t>)</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146C23" w:rsidRPr="00146C23" w:rsidRDefault="00146C23" w:rsidP="00146C23">
            <w:pPr>
              <w:widowControl/>
              <w:adjustRightInd/>
              <w:jc w:val="center"/>
              <w:rPr>
                <w:rFonts w:cs="Times New Roman"/>
                <w:b/>
                <w:bCs/>
                <w:color w:val="000000"/>
                <w:sz w:val="20"/>
                <w:szCs w:val="20"/>
              </w:rPr>
            </w:pPr>
            <w:r w:rsidRPr="00146C23">
              <w:rPr>
                <w:rFonts w:cs="Times New Roman"/>
                <w:b/>
                <w:bCs/>
                <w:color w:val="000000"/>
                <w:sz w:val="20"/>
                <w:szCs w:val="20"/>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146C23" w:rsidRPr="00146C23" w:rsidRDefault="00146C23" w:rsidP="00146C23">
            <w:pPr>
              <w:widowControl/>
              <w:adjustRightInd/>
              <w:jc w:val="center"/>
              <w:rPr>
                <w:rFonts w:cs="Times New Roman"/>
                <w:b/>
                <w:bCs/>
                <w:color w:val="000000"/>
                <w:sz w:val="20"/>
                <w:szCs w:val="20"/>
              </w:rPr>
            </w:pPr>
            <w:r w:rsidRPr="00146C23">
              <w:rPr>
                <w:rFonts w:cs="Times New Roman"/>
                <w:b/>
                <w:bCs/>
                <w:color w:val="000000"/>
                <w:sz w:val="20"/>
                <w:szCs w:val="20"/>
              </w:rPr>
              <w:t> </w:t>
            </w:r>
          </w:p>
        </w:tc>
      </w:tr>
      <w:tr w:rsidR="00146C23" w:rsidRPr="00146C23" w:rsidTr="00146C23">
        <w:trPr>
          <w:gridAfter w:val="2"/>
          <w:wAfter w:w="583" w:type="dxa"/>
          <w:trHeight w:val="486"/>
        </w:trPr>
        <w:tc>
          <w:tcPr>
            <w:tcW w:w="146" w:type="dxa"/>
            <w:tcBorders>
              <w:top w:val="nil"/>
              <w:left w:val="nil"/>
              <w:bottom w:val="nil"/>
              <w:right w:val="nil"/>
            </w:tcBorders>
            <w:shd w:val="clear" w:color="auto" w:fill="auto"/>
            <w:noWrap/>
            <w:vAlign w:val="bottom"/>
            <w:hideMark/>
          </w:tcPr>
          <w:p w:rsidR="00146C23" w:rsidRPr="00146C23" w:rsidRDefault="00146C23" w:rsidP="00146C23">
            <w:pPr>
              <w:widowControl/>
              <w:adjustRightInd/>
              <w:rPr>
                <w:rFonts w:cs="Times New Roman"/>
                <w:color w:val="000000"/>
                <w:sz w:val="20"/>
                <w:szCs w:val="20"/>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146C23" w:rsidRPr="00146C23" w:rsidRDefault="00146C23" w:rsidP="00146C23">
            <w:pPr>
              <w:widowControl/>
              <w:adjustRightInd/>
              <w:rPr>
                <w:rFonts w:cs="Times New Roman"/>
                <w:b/>
                <w:bCs/>
                <w:i/>
                <w:iCs/>
                <w:color w:val="000000"/>
                <w:sz w:val="20"/>
                <w:szCs w:val="20"/>
              </w:rPr>
            </w:pPr>
            <w:r w:rsidRPr="00146C23">
              <w:rPr>
                <w:rFonts w:cs="Times New Roman"/>
                <w:b/>
                <w:bCs/>
                <w:i/>
                <w:iCs/>
                <w:color w:val="000000"/>
                <w:sz w:val="20"/>
                <w:szCs w:val="20"/>
              </w:rPr>
              <w:t>G. Goldplating</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rsidR="00146C23" w:rsidRPr="00146C23" w:rsidRDefault="00146C23" w:rsidP="00146C23">
            <w:pPr>
              <w:widowControl/>
              <w:adjustRightInd/>
              <w:jc w:val="center"/>
              <w:rPr>
                <w:rFonts w:cs="Times New Roman"/>
                <w:b/>
                <w:bCs/>
                <w:color w:val="000000"/>
                <w:sz w:val="20"/>
                <w:szCs w:val="20"/>
              </w:rPr>
            </w:pPr>
            <w:r w:rsidRPr="00146C23">
              <w:rPr>
                <w:rFonts w:cs="Times New Roman"/>
                <w:b/>
                <w:bCs/>
                <w:color w:val="000000"/>
                <w:sz w:val="20"/>
                <w:szCs w:val="20"/>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146C23" w:rsidRPr="00146C23" w:rsidRDefault="00146C23" w:rsidP="00146C23">
            <w:pPr>
              <w:widowControl/>
              <w:adjustRightInd/>
              <w:jc w:val="center"/>
              <w:rPr>
                <w:rFonts w:cs="Times New Roman"/>
                <w:b/>
                <w:bCs/>
                <w:color w:val="000000"/>
                <w:sz w:val="20"/>
                <w:szCs w:val="20"/>
              </w:rPr>
            </w:pPr>
            <w:r w:rsidRPr="00146C23">
              <w:rPr>
                <w:rFonts w:cs="Times New Roman"/>
                <w:b/>
                <w:bCs/>
                <w:color w:val="000000"/>
                <w:sz w:val="20"/>
                <w:szCs w:val="20"/>
              </w:rPr>
              <w:t> </w:t>
            </w:r>
          </w:p>
        </w:tc>
      </w:tr>
      <w:tr w:rsidR="00146C23" w:rsidRPr="00146C23" w:rsidTr="00146C23">
        <w:trPr>
          <w:trHeight w:val="360"/>
        </w:trPr>
        <w:tc>
          <w:tcPr>
            <w:tcW w:w="146" w:type="dxa"/>
            <w:tcBorders>
              <w:top w:val="nil"/>
              <w:left w:val="nil"/>
              <w:bottom w:val="nil"/>
              <w:right w:val="nil"/>
            </w:tcBorders>
            <w:shd w:val="clear" w:color="auto" w:fill="auto"/>
            <w:noWrap/>
            <w:vAlign w:val="bottom"/>
            <w:hideMark/>
          </w:tcPr>
          <w:p w:rsidR="00146C23" w:rsidRPr="00146C23" w:rsidRDefault="00146C23" w:rsidP="00146C23">
            <w:pPr>
              <w:widowControl/>
              <w:adjustRightInd/>
              <w:rPr>
                <w:rFonts w:cs="Times New Roman"/>
                <w:color w:val="000000"/>
                <w:sz w:val="20"/>
                <w:szCs w:val="20"/>
              </w:rPr>
            </w:pPr>
          </w:p>
        </w:tc>
        <w:tc>
          <w:tcPr>
            <w:tcW w:w="3540" w:type="dxa"/>
            <w:tcBorders>
              <w:top w:val="nil"/>
              <w:left w:val="nil"/>
              <w:bottom w:val="nil"/>
              <w:right w:val="nil"/>
            </w:tcBorders>
            <w:shd w:val="clear" w:color="auto" w:fill="auto"/>
            <w:noWrap/>
            <w:vAlign w:val="bottom"/>
            <w:hideMark/>
          </w:tcPr>
          <w:p w:rsidR="00146C23" w:rsidRPr="00146C23" w:rsidRDefault="00146C23" w:rsidP="00146C23">
            <w:pPr>
              <w:widowControl/>
              <w:adjustRightInd/>
              <w:rPr>
                <w:rFonts w:cs="Times New Roman"/>
                <w:color w:val="000000"/>
                <w:sz w:val="20"/>
                <w:szCs w:val="20"/>
              </w:rPr>
            </w:pPr>
          </w:p>
        </w:tc>
        <w:tc>
          <w:tcPr>
            <w:tcW w:w="2792" w:type="dxa"/>
            <w:gridSpan w:val="2"/>
            <w:tcBorders>
              <w:top w:val="nil"/>
              <w:left w:val="nil"/>
              <w:bottom w:val="nil"/>
              <w:right w:val="nil"/>
            </w:tcBorders>
            <w:shd w:val="clear" w:color="auto" w:fill="auto"/>
            <w:vAlign w:val="center"/>
            <w:hideMark/>
          </w:tcPr>
          <w:p w:rsidR="00146C23" w:rsidRPr="00146C23" w:rsidRDefault="00146C23" w:rsidP="00146C23">
            <w:pPr>
              <w:widowControl/>
              <w:adjustRightInd/>
              <w:rPr>
                <w:rFonts w:cs="Times New Roman"/>
                <w:i/>
                <w:iCs/>
                <w:color w:val="000000"/>
                <w:sz w:val="20"/>
                <w:szCs w:val="20"/>
              </w:rPr>
            </w:pPr>
          </w:p>
        </w:tc>
        <w:tc>
          <w:tcPr>
            <w:tcW w:w="160" w:type="dxa"/>
            <w:tcBorders>
              <w:top w:val="nil"/>
              <w:left w:val="nil"/>
              <w:bottom w:val="nil"/>
              <w:right w:val="nil"/>
            </w:tcBorders>
            <w:shd w:val="clear" w:color="auto" w:fill="auto"/>
            <w:vAlign w:val="center"/>
            <w:hideMark/>
          </w:tcPr>
          <w:p w:rsidR="00146C23" w:rsidRPr="00146C23" w:rsidRDefault="00146C23" w:rsidP="00146C23">
            <w:pPr>
              <w:widowControl/>
              <w:adjustRightInd/>
              <w:rPr>
                <w:rFonts w:cs="Times New Roman"/>
                <w:i/>
                <w:iCs/>
                <w:color w:val="000000"/>
                <w:sz w:val="20"/>
                <w:szCs w:val="20"/>
              </w:rPr>
            </w:pPr>
          </w:p>
        </w:tc>
        <w:tc>
          <w:tcPr>
            <w:tcW w:w="2716" w:type="dxa"/>
            <w:gridSpan w:val="2"/>
            <w:tcBorders>
              <w:top w:val="nil"/>
              <w:left w:val="nil"/>
              <w:bottom w:val="nil"/>
              <w:right w:val="nil"/>
            </w:tcBorders>
            <w:shd w:val="clear" w:color="auto" w:fill="auto"/>
            <w:vAlign w:val="center"/>
            <w:hideMark/>
          </w:tcPr>
          <w:p w:rsidR="00146C23" w:rsidRPr="00146C23" w:rsidRDefault="00146C23" w:rsidP="00146C23">
            <w:pPr>
              <w:widowControl/>
              <w:adjustRightInd/>
              <w:rPr>
                <w:rFonts w:cs="Times New Roman"/>
                <w:i/>
                <w:iCs/>
                <w:color w:val="000000"/>
                <w:sz w:val="20"/>
                <w:szCs w:val="20"/>
              </w:rPr>
            </w:pPr>
          </w:p>
        </w:tc>
        <w:tc>
          <w:tcPr>
            <w:tcW w:w="160" w:type="dxa"/>
            <w:tcBorders>
              <w:top w:val="nil"/>
              <w:left w:val="nil"/>
              <w:bottom w:val="nil"/>
              <w:right w:val="nil"/>
            </w:tcBorders>
            <w:shd w:val="clear" w:color="auto" w:fill="auto"/>
            <w:vAlign w:val="center"/>
            <w:hideMark/>
          </w:tcPr>
          <w:p w:rsidR="00146C23" w:rsidRPr="00146C23" w:rsidRDefault="00146C23" w:rsidP="00146C23">
            <w:pPr>
              <w:widowControl/>
              <w:adjustRightInd/>
              <w:rPr>
                <w:rFonts w:cs="Times New Roman"/>
                <w:i/>
                <w:iCs/>
                <w:color w:val="000000"/>
                <w:sz w:val="20"/>
                <w:szCs w:val="20"/>
              </w:rPr>
            </w:pPr>
          </w:p>
        </w:tc>
      </w:tr>
      <w:tr w:rsidR="00146C23" w:rsidRPr="00146C23" w:rsidTr="00146C23">
        <w:trPr>
          <w:gridAfter w:val="2"/>
          <w:wAfter w:w="583" w:type="dxa"/>
          <w:trHeight w:val="390"/>
        </w:trPr>
        <w:tc>
          <w:tcPr>
            <w:tcW w:w="146" w:type="dxa"/>
            <w:tcBorders>
              <w:top w:val="nil"/>
              <w:left w:val="nil"/>
              <w:bottom w:val="nil"/>
              <w:right w:val="nil"/>
            </w:tcBorders>
            <w:shd w:val="clear" w:color="auto" w:fill="auto"/>
            <w:noWrap/>
            <w:vAlign w:val="bottom"/>
            <w:hideMark/>
          </w:tcPr>
          <w:p w:rsidR="00146C23" w:rsidRPr="00146C23" w:rsidRDefault="00146C23" w:rsidP="00146C23">
            <w:pPr>
              <w:widowControl/>
              <w:adjustRightInd/>
              <w:rPr>
                <w:rFonts w:cs="Times New Roman"/>
                <w:color w:val="000000"/>
                <w:sz w:val="20"/>
                <w:szCs w:val="20"/>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46C23" w:rsidRPr="00146C23" w:rsidRDefault="00146C23" w:rsidP="00146C23">
            <w:pPr>
              <w:widowControl/>
              <w:adjustRightInd/>
              <w:rPr>
                <w:rFonts w:cs="Times New Roman"/>
                <w:i/>
                <w:iCs/>
                <w:color w:val="000000"/>
                <w:sz w:val="20"/>
                <w:szCs w:val="20"/>
              </w:rPr>
            </w:pPr>
            <w:r w:rsidRPr="00146C23">
              <w:rPr>
                <w:rFonts w:cs="Times New Roman"/>
                <w:i/>
                <w:iCs/>
                <w:color w:val="000000"/>
                <w:sz w:val="20"/>
                <w:szCs w:val="20"/>
              </w:rPr>
              <w:t>VÝPOČET PRAVIDLA 1in 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rsidR="00146C23" w:rsidRPr="00146C23" w:rsidRDefault="00146C23" w:rsidP="00146C23">
            <w:pPr>
              <w:widowControl/>
              <w:adjustRightInd/>
              <w:jc w:val="center"/>
              <w:rPr>
                <w:rFonts w:cs="Times New Roman"/>
                <w:color w:val="000000"/>
                <w:sz w:val="20"/>
                <w:szCs w:val="20"/>
              </w:rPr>
            </w:pPr>
            <w:r w:rsidRPr="00146C23">
              <w:rPr>
                <w:rFonts w:cs="Times New Roman"/>
                <w:color w:val="000000"/>
                <w:sz w:val="20"/>
                <w:szCs w:val="20"/>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146C23" w:rsidRPr="00146C23" w:rsidRDefault="00146C23" w:rsidP="00146C23">
            <w:pPr>
              <w:widowControl/>
              <w:adjustRightInd/>
              <w:jc w:val="center"/>
              <w:rPr>
                <w:rFonts w:cs="Times New Roman"/>
                <w:color w:val="000000"/>
                <w:sz w:val="20"/>
                <w:szCs w:val="20"/>
              </w:rPr>
            </w:pPr>
            <w:r w:rsidRPr="00146C23">
              <w:rPr>
                <w:rFonts w:cs="Times New Roman"/>
                <w:color w:val="000000"/>
                <w:sz w:val="20"/>
                <w:szCs w:val="20"/>
              </w:rPr>
              <w:t>OUT</w:t>
            </w:r>
          </w:p>
        </w:tc>
      </w:tr>
      <w:tr w:rsidR="00146C23" w:rsidRPr="00146C23" w:rsidTr="00146C23">
        <w:trPr>
          <w:gridAfter w:val="2"/>
          <w:wAfter w:w="583" w:type="dxa"/>
          <w:trHeight w:val="390"/>
        </w:trPr>
        <w:tc>
          <w:tcPr>
            <w:tcW w:w="146" w:type="dxa"/>
            <w:tcBorders>
              <w:top w:val="nil"/>
              <w:left w:val="nil"/>
              <w:bottom w:val="nil"/>
              <w:right w:val="nil"/>
            </w:tcBorders>
            <w:shd w:val="clear" w:color="auto" w:fill="auto"/>
            <w:noWrap/>
            <w:vAlign w:val="bottom"/>
            <w:hideMark/>
          </w:tcPr>
          <w:p w:rsidR="00146C23" w:rsidRPr="00146C23" w:rsidRDefault="00146C23" w:rsidP="00146C23">
            <w:pPr>
              <w:widowControl/>
              <w:adjustRightInd/>
              <w:rPr>
                <w:rFonts w:cs="Times New Roman"/>
                <w:color w:val="000000"/>
                <w:sz w:val="20"/>
                <w:szCs w:val="20"/>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146C23" w:rsidRPr="00146C23" w:rsidRDefault="00146C23" w:rsidP="00146C23">
            <w:pPr>
              <w:widowControl/>
              <w:adjustRightInd/>
              <w:rPr>
                <w:rFonts w:cs="Times New Roman"/>
                <w:i/>
                <w:iCs/>
                <w:color w:val="000000"/>
                <w:sz w:val="20"/>
                <w:szCs w:val="20"/>
              </w:rPr>
            </w:pPr>
            <w:r w:rsidRPr="00146C23">
              <w:rPr>
                <w:rFonts w:cs="Times New Roman"/>
                <w:b/>
                <w:i/>
                <w:iCs/>
                <w:color w:val="000000"/>
                <w:sz w:val="20"/>
                <w:szCs w:val="20"/>
              </w:rPr>
              <w:t>H.</w:t>
            </w:r>
            <w:r w:rsidRPr="00146C23">
              <w:rPr>
                <w:rFonts w:cs="Times New Roman"/>
                <w:i/>
                <w:iCs/>
                <w:color w:val="000000"/>
                <w:sz w:val="20"/>
                <w:szCs w:val="20"/>
              </w:rPr>
              <w:t xml:space="preserve"> Náklady okrem výnimiek = B+D+E-F</w:t>
            </w:r>
          </w:p>
        </w:tc>
        <w:tc>
          <w:tcPr>
            <w:tcW w:w="2623" w:type="dxa"/>
            <w:tcBorders>
              <w:top w:val="single" w:sz="4" w:space="0" w:color="auto"/>
              <w:left w:val="nil"/>
              <w:bottom w:val="single" w:sz="8" w:space="0" w:color="auto"/>
              <w:right w:val="single" w:sz="4" w:space="0" w:color="000000"/>
            </w:tcBorders>
            <w:shd w:val="clear" w:color="000000" w:fill="FFC000"/>
            <w:vAlign w:val="center"/>
            <w:hideMark/>
          </w:tcPr>
          <w:p w:rsidR="00146C23" w:rsidRPr="00146C23" w:rsidRDefault="00146C23" w:rsidP="00146C23">
            <w:pPr>
              <w:widowControl/>
              <w:adjustRightInd/>
              <w:jc w:val="center"/>
              <w:rPr>
                <w:rFonts w:cs="Times New Roman"/>
                <w:b/>
                <w:bCs/>
                <w:color w:val="000000"/>
                <w:sz w:val="20"/>
                <w:szCs w:val="20"/>
              </w:rPr>
            </w:pPr>
            <w:r w:rsidRPr="00146C23">
              <w:rPr>
                <w:rFonts w:cs="Times New Roman"/>
                <w:b/>
                <w:bCs/>
                <w:color w:val="000000"/>
                <w:sz w:val="20"/>
                <w:szCs w:val="20"/>
              </w:rPr>
              <w:t> 1070</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146C23" w:rsidRPr="00146C23" w:rsidRDefault="00146C23" w:rsidP="00146C23">
            <w:pPr>
              <w:widowControl/>
              <w:adjustRightInd/>
              <w:jc w:val="center"/>
              <w:rPr>
                <w:rFonts w:cs="Times New Roman"/>
                <w:b/>
                <w:bCs/>
                <w:color w:val="000000"/>
                <w:sz w:val="20"/>
                <w:szCs w:val="20"/>
              </w:rPr>
            </w:pPr>
            <w:r w:rsidRPr="00146C23">
              <w:rPr>
                <w:rFonts w:cs="Times New Roman"/>
                <w:b/>
                <w:bCs/>
                <w:color w:val="000000"/>
                <w:sz w:val="20"/>
                <w:szCs w:val="20"/>
              </w:rPr>
              <w:t> </w:t>
            </w:r>
          </w:p>
        </w:tc>
      </w:tr>
    </w:tbl>
    <w:p w:rsidR="00146C23" w:rsidRPr="00146C23" w:rsidRDefault="00146C23" w:rsidP="00146C23">
      <w:pPr>
        <w:widowControl/>
        <w:adjustRightInd/>
        <w:spacing w:after="160" w:line="259" w:lineRule="auto"/>
        <w:rPr>
          <w:rFonts w:eastAsia="Calibri" w:cs="Times New Roman"/>
          <w:b/>
          <w:lang w:eastAsia="en-US"/>
        </w:rPr>
        <w:sectPr w:rsidR="00146C23" w:rsidRPr="00146C23" w:rsidSect="00146C23">
          <w:footerReference w:type="default" r:id="rId10"/>
          <w:pgSz w:w="11906" w:h="16838"/>
          <w:pgMar w:top="993" w:right="1417" w:bottom="1417" w:left="1417" w:header="708" w:footer="708" w:gutter="0"/>
          <w:pgNumType w:start="1"/>
          <w:cols w:space="708"/>
          <w:docGrid w:linePitch="360"/>
        </w:sectPr>
      </w:pPr>
    </w:p>
    <w:p w:rsidR="00146C23" w:rsidRPr="00146C23" w:rsidRDefault="00146C23" w:rsidP="00146C23">
      <w:pPr>
        <w:widowControl/>
        <w:adjustRightInd/>
        <w:spacing w:after="160" w:line="259" w:lineRule="auto"/>
        <w:rPr>
          <w:rFonts w:eastAsia="Calibri" w:cs="Times New Roman"/>
          <w:b/>
          <w:i/>
          <w:iCs/>
          <w:lang w:eastAsia="en-US"/>
        </w:rPr>
      </w:pPr>
      <w:r w:rsidRPr="00146C23">
        <w:rPr>
          <w:rFonts w:eastAsia="Calibri" w:cs="Times New Roman"/>
          <w:b/>
          <w:i/>
          <w:iCs/>
          <w:lang w:eastAsia="en-US"/>
        </w:rPr>
        <w:t>3.1.2 Výpočty vplyvov jednotlivých regulácií na zmeny v nákladoch podnikateľov</w:t>
      </w:r>
      <w:r w:rsidRPr="00146C23">
        <w:rPr>
          <w:rFonts w:eastAsia="Calibri" w:cs="Times New Roman"/>
          <w:i/>
          <w:lang w:eastAsia="en-US"/>
        </w:rPr>
        <w:tab/>
      </w:r>
      <w:r w:rsidRPr="00146C23">
        <w:rPr>
          <w:rFonts w:eastAsia="Calibri" w:cs="Times New Roman"/>
          <w:i/>
          <w:lang w:eastAsia="en-US"/>
        </w:rPr>
        <w:tab/>
      </w:r>
      <w:r w:rsidRPr="00146C23">
        <w:rPr>
          <w:rFonts w:eastAsia="Calibri" w:cs="Times New Roman"/>
          <w:i/>
          <w:lang w:eastAsia="en-US"/>
        </w:rPr>
        <w:tab/>
      </w:r>
      <w:r w:rsidRPr="00146C23">
        <w:rPr>
          <w:rFonts w:eastAsia="Calibri" w:cs="Times New Roman"/>
          <w:i/>
          <w:lang w:eastAsia="en-US"/>
        </w:rPr>
        <w:tab/>
      </w:r>
      <w:r w:rsidRPr="00146C23">
        <w:rPr>
          <w:rFonts w:eastAsia="Calibri" w:cs="Times New Roman"/>
          <w:i/>
          <w:lang w:eastAsia="en-US"/>
        </w:rPr>
        <w:tab/>
      </w:r>
      <w:r w:rsidRPr="00146C23">
        <w:rPr>
          <w:rFonts w:eastAsia="Calibri" w:cs="Times New Roman"/>
          <w:i/>
          <w:lang w:eastAsia="en-US"/>
        </w:rPr>
        <w:tab/>
      </w:r>
      <w:r w:rsidRPr="00146C23">
        <w:rPr>
          <w:rFonts w:eastAsia="Calibri" w:cs="Times New Roman"/>
          <w:i/>
          <w:lang w:eastAsia="en-US"/>
        </w:rPr>
        <w:tab/>
      </w:r>
      <w:r w:rsidRPr="00146C23">
        <w:rPr>
          <w:rFonts w:eastAsia="Calibri" w:cs="Times New Roman"/>
          <w:i/>
          <w:lang w:eastAsia="en-US"/>
        </w:rPr>
        <w:tab/>
      </w:r>
    </w:p>
    <w:p w:rsidR="00146C23" w:rsidRPr="00146C23" w:rsidRDefault="00146C23" w:rsidP="00146C23">
      <w:pPr>
        <w:widowControl/>
        <w:adjustRightInd/>
        <w:spacing w:after="160" w:line="259" w:lineRule="auto"/>
        <w:jc w:val="both"/>
        <w:rPr>
          <w:rFonts w:eastAsia="Calibri" w:cs="Times New Roman"/>
          <w:i/>
          <w:lang w:eastAsia="en-US"/>
        </w:rPr>
      </w:pPr>
      <w:r w:rsidRPr="00146C23">
        <w:rPr>
          <w:rFonts w:eastAsia="Calibri" w:cs="Times New Roman"/>
          <w:i/>
          <w:lang w:eastAsia="en-US"/>
        </w:rPr>
        <w:t>Tabuľka č. 2: Výpočet vplyvov jednotlivých regulácií (nahraďte rovnakou tabuľkou po vyplnení Kalkulačky nákladov):</w:t>
      </w:r>
    </w:p>
    <w:tbl>
      <w:tblPr>
        <w:tblW w:w="14884" w:type="dxa"/>
        <w:tblInd w:w="-5" w:type="dxa"/>
        <w:tblCellMar>
          <w:left w:w="70" w:type="dxa"/>
          <w:right w:w="70" w:type="dxa"/>
        </w:tblCellMar>
        <w:tblLook w:val="04A0" w:firstRow="1" w:lastRow="0" w:firstColumn="1" w:lastColumn="0" w:noHBand="0" w:noVBand="1"/>
      </w:tblPr>
      <w:tblGrid>
        <w:gridCol w:w="543"/>
        <w:gridCol w:w="2022"/>
        <w:gridCol w:w="1189"/>
        <w:gridCol w:w="1922"/>
        <w:gridCol w:w="1052"/>
        <w:gridCol w:w="935"/>
        <w:gridCol w:w="1373"/>
        <w:gridCol w:w="974"/>
        <w:gridCol w:w="791"/>
        <w:gridCol w:w="974"/>
        <w:gridCol w:w="1107"/>
        <w:gridCol w:w="839"/>
        <w:gridCol w:w="1163"/>
      </w:tblGrid>
      <w:tr w:rsidR="00146C23" w:rsidRPr="00146C23" w:rsidTr="00146C23">
        <w:trPr>
          <w:trHeight w:val="264"/>
        </w:trPr>
        <w:tc>
          <w:tcPr>
            <w:tcW w:w="56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146C23" w:rsidRPr="00146C23" w:rsidRDefault="00146C23" w:rsidP="00146C23">
            <w:pPr>
              <w:widowControl/>
              <w:adjustRightInd/>
              <w:jc w:val="center"/>
              <w:rPr>
                <w:rFonts w:cs="Times New Roman"/>
                <w:b/>
                <w:bCs/>
                <w:color w:val="000000"/>
                <w:sz w:val="20"/>
                <w:szCs w:val="20"/>
              </w:rPr>
            </w:pPr>
            <w:proofErr w:type="spellStart"/>
            <w:r w:rsidRPr="00146C23">
              <w:rPr>
                <w:rFonts w:cs="Times New Roman"/>
                <w:b/>
                <w:bCs/>
                <w:color w:val="000000"/>
                <w:sz w:val="20"/>
                <w:szCs w:val="20"/>
              </w:rPr>
              <w:t>P.č</w:t>
            </w:r>
            <w:proofErr w:type="spellEnd"/>
            <w:r w:rsidRPr="00146C23">
              <w:rPr>
                <w:rFonts w:cs="Times New Roman"/>
                <w:b/>
                <w:bCs/>
                <w:color w:val="000000"/>
                <w:sz w:val="20"/>
                <w:szCs w:val="20"/>
              </w:rPr>
              <w:t>.</w:t>
            </w:r>
          </w:p>
        </w:tc>
        <w:tc>
          <w:tcPr>
            <w:tcW w:w="2113"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146C23" w:rsidRPr="00146C23" w:rsidRDefault="00146C23" w:rsidP="00146C23">
            <w:pPr>
              <w:widowControl/>
              <w:adjustRightInd/>
              <w:jc w:val="center"/>
              <w:rPr>
                <w:rFonts w:cs="Times New Roman"/>
                <w:b/>
                <w:bCs/>
                <w:color w:val="000000"/>
                <w:sz w:val="20"/>
                <w:szCs w:val="20"/>
              </w:rPr>
            </w:pPr>
            <w:r w:rsidRPr="00146C23">
              <w:rPr>
                <w:rFonts w:cs="Times New Roman"/>
                <w:b/>
                <w:bCs/>
                <w:color w:val="000000"/>
                <w:sz w:val="20"/>
                <w:szCs w:val="20"/>
              </w:rPr>
              <w:t xml:space="preserve">Zrozumiteľný a stručný opis regulácie </w:t>
            </w:r>
            <w:r w:rsidRPr="00146C23">
              <w:rPr>
                <w:rFonts w:cs="Times New Roman"/>
                <w:b/>
                <w:bCs/>
                <w:color w:val="000000"/>
                <w:sz w:val="20"/>
                <w:szCs w:val="20"/>
              </w:rPr>
              <w:br/>
              <w:t xml:space="preserve">(dôvod zvýšenia/zníženia nákladov na PP a dôvod ponechania nákladov na PP, ktoré sú </w:t>
            </w:r>
            <w:proofErr w:type="spellStart"/>
            <w:r w:rsidRPr="00146C23">
              <w:rPr>
                <w:rFonts w:cs="Times New Roman"/>
                <w:b/>
                <w:bCs/>
                <w:color w:val="000000"/>
                <w:sz w:val="20"/>
                <w:szCs w:val="20"/>
              </w:rPr>
              <w:t>goldplatingom</w:t>
            </w:r>
            <w:proofErr w:type="spellEnd"/>
            <w:r w:rsidRPr="00146C23">
              <w:rPr>
                <w:rFonts w:cs="Times New Roman"/>
                <w:b/>
                <w:bCs/>
                <w:color w:val="000000"/>
                <w:sz w:val="20"/>
                <w:szCs w:val="20"/>
              </w:rPr>
              <w:t>)</w:t>
            </w:r>
          </w:p>
        </w:tc>
        <w:tc>
          <w:tcPr>
            <w:tcW w:w="1263"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146C23" w:rsidRPr="00146C23" w:rsidRDefault="00146C23" w:rsidP="00146C23">
            <w:pPr>
              <w:widowControl/>
              <w:adjustRightInd/>
              <w:jc w:val="center"/>
              <w:rPr>
                <w:rFonts w:cs="Times New Roman"/>
                <w:b/>
                <w:bCs/>
                <w:color w:val="000000"/>
                <w:sz w:val="20"/>
                <w:szCs w:val="20"/>
              </w:rPr>
            </w:pPr>
            <w:r w:rsidRPr="00146C23">
              <w:rPr>
                <w:rFonts w:cs="Times New Roman"/>
                <w:b/>
                <w:bCs/>
                <w:color w:val="000000"/>
                <w:sz w:val="20"/>
                <w:szCs w:val="20"/>
              </w:rPr>
              <w:t>Číslo normy</w:t>
            </w:r>
            <w:r w:rsidRPr="00146C23">
              <w:rPr>
                <w:rFonts w:cs="Times New Roman"/>
                <w:b/>
                <w:bCs/>
                <w:color w:val="000000"/>
                <w:sz w:val="20"/>
                <w:szCs w:val="20"/>
              </w:rPr>
              <w:br/>
            </w:r>
            <w:r w:rsidRPr="00146C23">
              <w:rPr>
                <w:rFonts w:cs="Times New Roman"/>
                <w:color w:val="000000"/>
                <w:sz w:val="20"/>
                <w:szCs w:val="20"/>
              </w:rPr>
              <w:t>(zákona, vyhlášky a pod.)</w:t>
            </w:r>
          </w:p>
        </w:tc>
        <w:tc>
          <w:tcPr>
            <w:tcW w:w="1976"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146C23" w:rsidRPr="00146C23" w:rsidRDefault="00146C23" w:rsidP="00146C23">
            <w:pPr>
              <w:widowControl/>
              <w:adjustRightInd/>
              <w:jc w:val="center"/>
              <w:rPr>
                <w:rFonts w:cs="Times New Roman"/>
                <w:b/>
                <w:bCs/>
                <w:color w:val="000000"/>
                <w:sz w:val="20"/>
                <w:szCs w:val="20"/>
              </w:rPr>
            </w:pPr>
            <w:r w:rsidRPr="00146C23">
              <w:rPr>
                <w:rFonts w:cs="Times New Roman"/>
                <w:b/>
                <w:bCs/>
                <w:color w:val="000000"/>
                <w:sz w:val="20"/>
                <w:szCs w:val="20"/>
              </w:rPr>
              <w:t>Lokalizácia</w:t>
            </w:r>
            <w:r w:rsidRPr="00146C23">
              <w:rPr>
                <w:rFonts w:cs="Times New Roman"/>
                <w:b/>
                <w:bCs/>
                <w:color w:val="000000"/>
                <w:sz w:val="20"/>
                <w:szCs w:val="20"/>
              </w:rPr>
              <w:br/>
              <w:t>(§, ods., čl.,...)</w:t>
            </w:r>
          </w:p>
        </w:tc>
        <w:tc>
          <w:tcPr>
            <w:tcW w:w="105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146C23" w:rsidRPr="00146C23" w:rsidRDefault="00146C23" w:rsidP="00146C23">
            <w:pPr>
              <w:widowControl/>
              <w:adjustRightInd/>
              <w:jc w:val="center"/>
              <w:rPr>
                <w:rFonts w:cs="Times New Roman"/>
                <w:b/>
                <w:bCs/>
                <w:color w:val="000000"/>
                <w:sz w:val="20"/>
                <w:szCs w:val="20"/>
              </w:rPr>
            </w:pPr>
            <w:r w:rsidRPr="00146C23">
              <w:rPr>
                <w:rFonts w:cs="Times New Roman"/>
                <w:b/>
                <w:bCs/>
                <w:color w:val="000000"/>
                <w:sz w:val="20"/>
                <w:szCs w:val="20"/>
              </w:rPr>
              <w:t xml:space="preserve">Pôvod regulácie: </w:t>
            </w:r>
            <w:r w:rsidRPr="00146C23">
              <w:rPr>
                <w:rFonts w:cs="Times New Roman"/>
                <w:b/>
                <w:bCs/>
                <w:color w:val="000000"/>
                <w:sz w:val="20"/>
                <w:szCs w:val="20"/>
              </w:rPr>
              <w:br/>
            </w:r>
            <w:r w:rsidRPr="00146C23">
              <w:rPr>
                <w:rFonts w:cs="Times New Roman"/>
                <w:color w:val="000000"/>
                <w:sz w:val="20"/>
                <w:szCs w:val="20"/>
              </w:rPr>
              <w:t xml:space="preserve">SK/EÚ úplná </w:t>
            </w:r>
            <w:proofErr w:type="spellStart"/>
            <w:r w:rsidRPr="00146C23">
              <w:rPr>
                <w:rFonts w:cs="Times New Roman"/>
                <w:color w:val="000000"/>
                <w:sz w:val="20"/>
                <w:szCs w:val="20"/>
              </w:rPr>
              <w:t>harm</w:t>
            </w:r>
            <w:proofErr w:type="spellEnd"/>
            <w:r w:rsidRPr="00146C23">
              <w:rPr>
                <w:rFonts w:cs="Times New Roman"/>
                <w:color w:val="000000"/>
                <w:sz w:val="20"/>
                <w:szCs w:val="20"/>
              </w:rPr>
              <w:t>./</w:t>
            </w:r>
            <w:r w:rsidRPr="00146C23">
              <w:rPr>
                <w:rFonts w:cs="Times New Roman"/>
                <w:color w:val="000000"/>
                <w:sz w:val="20"/>
                <w:szCs w:val="20"/>
              </w:rPr>
              <w:br/>
              <w:t>goldplating</w:t>
            </w:r>
          </w:p>
        </w:tc>
        <w:tc>
          <w:tcPr>
            <w:tcW w:w="93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146C23" w:rsidRPr="00146C23" w:rsidRDefault="00146C23" w:rsidP="00146C23">
            <w:pPr>
              <w:widowControl/>
              <w:adjustRightInd/>
              <w:jc w:val="center"/>
              <w:rPr>
                <w:rFonts w:cs="Times New Roman"/>
                <w:b/>
                <w:bCs/>
                <w:color w:val="000000"/>
                <w:sz w:val="20"/>
                <w:szCs w:val="20"/>
              </w:rPr>
            </w:pPr>
            <w:r w:rsidRPr="00146C23">
              <w:rPr>
                <w:rFonts w:cs="Times New Roman"/>
                <w:b/>
                <w:bCs/>
                <w:color w:val="000000"/>
                <w:sz w:val="20"/>
                <w:szCs w:val="20"/>
              </w:rPr>
              <w:t>Účinnosť regulácie</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146C23" w:rsidRPr="00146C23" w:rsidRDefault="00146C23" w:rsidP="00146C23">
            <w:pPr>
              <w:widowControl/>
              <w:adjustRightInd/>
              <w:jc w:val="center"/>
              <w:rPr>
                <w:rFonts w:cs="Times New Roman"/>
                <w:b/>
                <w:bCs/>
                <w:color w:val="000000"/>
                <w:sz w:val="20"/>
                <w:szCs w:val="20"/>
              </w:rPr>
            </w:pPr>
            <w:r w:rsidRPr="00146C23">
              <w:rPr>
                <w:rFonts w:cs="Times New Roman"/>
                <w:b/>
                <w:bCs/>
                <w:color w:val="000000"/>
                <w:sz w:val="20"/>
                <w:szCs w:val="20"/>
              </w:rPr>
              <w:t xml:space="preserve">Kategória </w:t>
            </w:r>
            <w:proofErr w:type="spellStart"/>
            <w:r w:rsidRPr="00146C23">
              <w:rPr>
                <w:rFonts w:cs="Times New Roman"/>
                <w:b/>
                <w:bCs/>
                <w:color w:val="000000"/>
                <w:sz w:val="20"/>
                <w:szCs w:val="20"/>
              </w:rPr>
              <w:t>dotk</w:t>
            </w:r>
            <w:proofErr w:type="spellEnd"/>
            <w:r w:rsidRPr="00146C23">
              <w:rPr>
                <w:rFonts w:cs="Times New Roman"/>
                <w:b/>
                <w:bCs/>
                <w:color w:val="000000"/>
                <w:sz w:val="20"/>
                <w:szCs w:val="20"/>
              </w:rPr>
              <w:t>. subjektov</w:t>
            </w:r>
          </w:p>
        </w:tc>
        <w:tc>
          <w:tcPr>
            <w:tcW w:w="97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146C23" w:rsidRPr="00146C23" w:rsidRDefault="00146C23" w:rsidP="00146C23">
            <w:pPr>
              <w:widowControl/>
              <w:adjustRightInd/>
              <w:jc w:val="center"/>
              <w:rPr>
                <w:rFonts w:cs="Times New Roman"/>
                <w:b/>
                <w:bCs/>
                <w:color w:val="000000"/>
                <w:sz w:val="20"/>
                <w:szCs w:val="20"/>
              </w:rPr>
            </w:pPr>
            <w:r w:rsidRPr="00146C23">
              <w:rPr>
                <w:rFonts w:cs="Times New Roman"/>
                <w:b/>
                <w:bCs/>
                <w:color w:val="000000"/>
                <w:sz w:val="20"/>
                <w:szCs w:val="20"/>
              </w:rPr>
              <w:t xml:space="preserve">Počet </w:t>
            </w:r>
            <w:proofErr w:type="spellStart"/>
            <w:r w:rsidRPr="00146C23">
              <w:rPr>
                <w:rFonts w:cs="Times New Roman"/>
                <w:b/>
                <w:bCs/>
                <w:color w:val="000000"/>
                <w:sz w:val="20"/>
                <w:szCs w:val="20"/>
              </w:rPr>
              <w:t>dotk</w:t>
            </w:r>
            <w:proofErr w:type="spellEnd"/>
            <w:r w:rsidRPr="00146C23">
              <w:rPr>
                <w:rFonts w:cs="Times New Roman"/>
                <w:b/>
                <w:bCs/>
                <w:color w:val="000000"/>
                <w:sz w:val="20"/>
                <w:szCs w:val="20"/>
              </w:rPr>
              <w:t xml:space="preserve">. subjektov spolu </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146C23" w:rsidRPr="00146C23" w:rsidRDefault="00146C23" w:rsidP="00146C23">
            <w:pPr>
              <w:widowControl/>
              <w:adjustRightInd/>
              <w:jc w:val="center"/>
              <w:rPr>
                <w:rFonts w:cs="Times New Roman"/>
                <w:b/>
                <w:bCs/>
                <w:color w:val="000000"/>
                <w:sz w:val="20"/>
                <w:szCs w:val="20"/>
              </w:rPr>
            </w:pPr>
            <w:r w:rsidRPr="00146C23">
              <w:rPr>
                <w:rFonts w:cs="Times New Roman"/>
                <w:b/>
                <w:bCs/>
                <w:color w:val="000000"/>
                <w:sz w:val="20"/>
                <w:szCs w:val="20"/>
              </w:rPr>
              <w:t>Vplyv na 1 podnik. v €</w:t>
            </w:r>
          </w:p>
        </w:tc>
        <w:tc>
          <w:tcPr>
            <w:tcW w:w="97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146C23" w:rsidRPr="00146C23" w:rsidRDefault="00146C23" w:rsidP="00146C23">
            <w:pPr>
              <w:widowControl/>
              <w:adjustRightInd/>
              <w:jc w:val="center"/>
              <w:rPr>
                <w:rFonts w:cs="Times New Roman"/>
                <w:b/>
                <w:bCs/>
                <w:color w:val="000000"/>
                <w:sz w:val="20"/>
                <w:szCs w:val="20"/>
              </w:rPr>
            </w:pPr>
            <w:r w:rsidRPr="00146C23">
              <w:rPr>
                <w:rFonts w:cs="Times New Roman"/>
                <w:b/>
                <w:bCs/>
                <w:color w:val="000000"/>
                <w:sz w:val="20"/>
                <w:szCs w:val="20"/>
              </w:rPr>
              <w:t xml:space="preserve">Vplyv na kategóriu </w:t>
            </w:r>
            <w:proofErr w:type="spellStart"/>
            <w:r w:rsidRPr="00146C23">
              <w:rPr>
                <w:rFonts w:cs="Times New Roman"/>
                <w:b/>
                <w:bCs/>
                <w:color w:val="000000"/>
                <w:sz w:val="20"/>
                <w:szCs w:val="20"/>
              </w:rPr>
              <w:t>dotk</w:t>
            </w:r>
            <w:proofErr w:type="spellEnd"/>
            <w:r w:rsidRPr="00146C23">
              <w:rPr>
                <w:rFonts w:cs="Times New Roman"/>
                <w:b/>
                <w:bCs/>
                <w:color w:val="000000"/>
                <w:sz w:val="20"/>
                <w:szCs w:val="20"/>
              </w:rPr>
              <w:t>. subjektov v €</w:t>
            </w:r>
          </w:p>
        </w:tc>
        <w:tc>
          <w:tcPr>
            <w:tcW w:w="116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146C23" w:rsidRPr="00146C23" w:rsidRDefault="00146C23" w:rsidP="00146C23">
            <w:pPr>
              <w:widowControl/>
              <w:adjustRightInd/>
              <w:jc w:val="center"/>
              <w:rPr>
                <w:rFonts w:cs="Times New Roman"/>
                <w:b/>
                <w:bCs/>
                <w:color w:val="000000"/>
                <w:sz w:val="20"/>
                <w:szCs w:val="20"/>
              </w:rPr>
            </w:pPr>
            <w:r w:rsidRPr="00146C23">
              <w:rPr>
                <w:rFonts w:cs="Times New Roman"/>
                <w:b/>
                <w:bCs/>
                <w:color w:val="000000"/>
                <w:sz w:val="20"/>
                <w:szCs w:val="20"/>
              </w:rPr>
              <w:t>Druh vplyvu</w:t>
            </w:r>
            <w:r w:rsidRPr="00146C23">
              <w:rPr>
                <w:rFonts w:cs="Times New Roman"/>
                <w:b/>
                <w:bCs/>
                <w:color w:val="000000"/>
                <w:sz w:val="20"/>
                <w:szCs w:val="20"/>
              </w:rPr>
              <w:br/>
            </w:r>
            <w:r w:rsidRPr="00146C23">
              <w:rPr>
                <w:rFonts w:cs="Times New Roman"/>
                <w:color w:val="000000"/>
                <w:sz w:val="20"/>
                <w:szCs w:val="20"/>
              </w:rPr>
              <w:t xml:space="preserve">In (zvyšuje náklady) / </w:t>
            </w:r>
            <w:r w:rsidRPr="00146C23">
              <w:rPr>
                <w:rFonts w:cs="Times New Roman"/>
                <w:color w:val="000000"/>
                <w:sz w:val="20"/>
                <w:szCs w:val="20"/>
              </w:rPr>
              <w:br/>
            </w:r>
            <w:proofErr w:type="spellStart"/>
            <w:r w:rsidRPr="00146C23">
              <w:rPr>
                <w:rFonts w:cs="Times New Roman"/>
                <w:color w:val="000000"/>
                <w:sz w:val="20"/>
                <w:szCs w:val="20"/>
              </w:rPr>
              <w:t>Out</w:t>
            </w:r>
            <w:proofErr w:type="spellEnd"/>
            <w:r w:rsidRPr="00146C23">
              <w:rPr>
                <w:rFonts w:cs="Times New Roman"/>
                <w:color w:val="000000"/>
                <w:sz w:val="20"/>
                <w:szCs w:val="20"/>
              </w:rPr>
              <w:t xml:space="preserve"> (znižuje náklady) / Nemení sa</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6C23" w:rsidRPr="00146C23" w:rsidRDefault="00146C23" w:rsidP="00146C23">
            <w:pPr>
              <w:widowControl/>
              <w:adjustRightInd/>
              <w:jc w:val="center"/>
              <w:rPr>
                <w:rFonts w:cs="Times New Roman"/>
                <w:b/>
                <w:bCs/>
                <w:color w:val="000000"/>
                <w:sz w:val="20"/>
                <w:szCs w:val="20"/>
              </w:rPr>
            </w:pPr>
            <w:r w:rsidRPr="00146C23">
              <w:rPr>
                <w:rFonts w:cs="Times New Roman"/>
                <w:b/>
                <w:bCs/>
                <w:color w:val="000000"/>
                <w:sz w:val="20"/>
                <w:szCs w:val="20"/>
              </w:rPr>
              <w:t xml:space="preserve">1in2out </w:t>
            </w:r>
            <w:r w:rsidRPr="00146C23">
              <w:rPr>
                <w:rFonts w:cs="Times New Roman"/>
                <w:b/>
                <w:bCs/>
                <w:color w:val="000000"/>
                <w:sz w:val="20"/>
                <w:szCs w:val="20"/>
              </w:rPr>
              <w:br/>
              <w:t>celkom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6C23" w:rsidRPr="00146C23" w:rsidRDefault="00146C23" w:rsidP="00146C23">
            <w:pPr>
              <w:widowControl/>
              <w:adjustRightInd/>
              <w:jc w:val="center"/>
              <w:rPr>
                <w:rFonts w:cs="Times New Roman"/>
                <w:b/>
                <w:bCs/>
                <w:color w:val="000000"/>
                <w:sz w:val="20"/>
                <w:szCs w:val="20"/>
              </w:rPr>
            </w:pPr>
            <w:r w:rsidRPr="00146C23">
              <w:rPr>
                <w:rFonts w:cs="Times New Roman"/>
                <w:b/>
                <w:bCs/>
                <w:color w:val="000000"/>
                <w:sz w:val="20"/>
                <w:szCs w:val="20"/>
              </w:rPr>
              <w:t>Goldplating celkom</w:t>
            </w:r>
          </w:p>
        </w:tc>
      </w:tr>
      <w:tr w:rsidR="00146C23" w:rsidRPr="00146C23" w:rsidTr="00146C23">
        <w:trPr>
          <w:trHeight w:val="450"/>
        </w:trPr>
        <w:tc>
          <w:tcPr>
            <w:tcW w:w="565"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2113"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1263" w:type="dxa"/>
            <w:vMerge/>
            <w:tcBorders>
              <w:top w:val="single" w:sz="4" w:space="0" w:color="auto"/>
              <w:left w:val="single" w:sz="4" w:space="0" w:color="auto"/>
              <w:bottom w:val="single" w:sz="4" w:space="0" w:color="000000"/>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1976" w:type="dxa"/>
            <w:vMerge/>
            <w:tcBorders>
              <w:top w:val="single" w:sz="4" w:space="0" w:color="auto"/>
              <w:left w:val="single" w:sz="4" w:space="0" w:color="auto"/>
              <w:bottom w:val="single" w:sz="4" w:space="0" w:color="000000"/>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r>
      <w:tr w:rsidR="00146C23" w:rsidRPr="00146C23" w:rsidTr="00146C23">
        <w:trPr>
          <w:trHeight w:val="450"/>
        </w:trPr>
        <w:tc>
          <w:tcPr>
            <w:tcW w:w="565"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2113"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1263" w:type="dxa"/>
            <w:vMerge/>
            <w:tcBorders>
              <w:top w:val="single" w:sz="4" w:space="0" w:color="auto"/>
              <w:left w:val="single" w:sz="4" w:space="0" w:color="auto"/>
              <w:bottom w:val="single" w:sz="4" w:space="0" w:color="000000"/>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1976" w:type="dxa"/>
            <w:vMerge/>
            <w:tcBorders>
              <w:top w:val="single" w:sz="4" w:space="0" w:color="auto"/>
              <w:left w:val="single" w:sz="4" w:space="0" w:color="auto"/>
              <w:bottom w:val="single" w:sz="4" w:space="0" w:color="000000"/>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r>
      <w:tr w:rsidR="00146C23" w:rsidRPr="00146C23" w:rsidTr="00146C23">
        <w:trPr>
          <w:trHeight w:val="450"/>
        </w:trPr>
        <w:tc>
          <w:tcPr>
            <w:tcW w:w="565"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2113"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1263" w:type="dxa"/>
            <w:vMerge/>
            <w:tcBorders>
              <w:top w:val="single" w:sz="4" w:space="0" w:color="auto"/>
              <w:left w:val="single" w:sz="4" w:space="0" w:color="auto"/>
              <w:bottom w:val="single" w:sz="4" w:space="0" w:color="000000"/>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1976" w:type="dxa"/>
            <w:vMerge/>
            <w:tcBorders>
              <w:top w:val="single" w:sz="4" w:space="0" w:color="auto"/>
              <w:left w:val="single" w:sz="4" w:space="0" w:color="auto"/>
              <w:bottom w:val="single" w:sz="4" w:space="0" w:color="000000"/>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r>
      <w:tr w:rsidR="00146C23" w:rsidRPr="00146C23" w:rsidTr="00146C23">
        <w:trPr>
          <w:trHeight w:val="450"/>
        </w:trPr>
        <w:tc>
          <w:tcPr>
            <w:tcW w:w="565"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2113"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1263" w:type="dxa"/>
            <w:vMerge/>
            <w:tcBorders>
              <w:top w:val="single" w:sz="4" w:space="0" w:color="auto"/>
              <w:left w:val="single" w:sz="4" w:space="0" w:color="auto"/>
              <w:bottom w:val="single" w:sz="4" w:space="0" w:color="000000"/>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1976" w:type="dxa"/>
            <w:vMerge/>
            <w:tcBorders>
              <w:top w:val="single" w:sz="4" w:space="0" w:color="auto"/>
              <w:left w:val="single" w:sz="4" w:space="0" w:color="auto"/>
              <w:bottom w:val="single" w:sz="4" w:space="0" w:color="000000"/>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r>
      <w:tr w:rsidR="00146C23" w:rsidRPr="00146C23" w:rsidTr="00146C23">
        <w:trPr>
          <w:trHeight w:val="450"/>
        </w:trPr>
        <w:tc>
          <w:tcPr>
            <w:tcW w:w="565"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2113"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1263" w:type="dxa"/>
            <w:vMerge/>
            <w:tcBorders>
              <w:top w:val="single" w:sz="4" w:space="0" w:color="auto"/>
              <w:left w:val="single" w:sz="4" w:space="0" w:color="auto"/>
              <w:bottom w:val="single" w:sz="4" w:space="0" w:color="000000"/>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1976" w:type="dxa"/>
            <w:vMerge/>
            <w:tcBorders>
              <w:top w:val="single" w:sz="4" w:space="0" w:color="auto"/>
              <w:left w:val="single" w:sz="4" w:space="0" w:color="auto"/>
              <w:bottom w:val="single" w:sz="4" w:space="0" w:color="000000"/>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935"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46C23" w:rsidRPr="00146C23" w:rsidRDefault="00146C23" w:rsidP="00146C23">
            <w:pPr>
              <w:widowControl/>
              <w:adjustRightInd/>
              <w:rPr>
                <w:rFonts w:cs="Times New Roman"/>
                <w:b/>
                <w:bCs/>
                <w:color w:val="000000"/>
                <w:sz w:val="20"/>
                <w:szCs w:val="20"/>
              </w:rPr>
            </w:pPr>
          </w:p>
        </w:tc>
      </w:tr>
      <w:tr w:rsidR="00146C23" w:rsidRPr="00146C23" w:rsidTr="00146C23">
        <w:trPr>
          <w:trHeight w:val="33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146C23" w:rsidRPr="00146C23" w:rsidRDefault="00146C23" w:rsidP="00146C23">
            <w:pPr>
              <w:widowControl/>
              <w:adjustRightInd/>
              <w:jc w:val="center"/>
              <w:rPr>
                <w:rFonts w:cs="Times New Roman"/>
                <w:color w:val="000000"/>
                <w:sz w:val="20"/>
                <w:szCs w:val="20"/>
              </w:rPr>
            </w:pPr>
            <w:r w:rsidRPr="00146C23">
              <w:rPr>
                <w:rFonts w:cs="Times New Roman"/>
                <w:color w:val="000000"/>
                <w:sz w:val="20"/>
                <w:szCs w:val="20"/>
              </w:rPr>
              <w:t>1</w:t>
            </w:r>
          </w:p>
        </w:tc>
        <w:tc>
          <w:tcPr>
            <w:tcW w:w="2113" w:type="dxa"/>
            <w:tcBorders>
              <w:top w:val="nil"/>
              <w:left w:val="nil"/>
              <w:bottom w:val="single" w:sz="4" w:space="0" w:color="auto"/>
              <w:right w:val="single" w:sz="4" w:space="0" w:color="auto"/>
            </w:tcBorders>
            <w:shd w:val="clear" w:color="auto" w:fill="auto"/>
            <w:vAlign w:val="center"/>
            <w:hideMark/>
          </w:tcPr>
          <w:p w:rsidR="00146C23" w:rsidRPr="00146C23" w:rsidRDefault="00146C23" w:rsidP="00146C23">
            <w:pPr>
              <w:widowControl/>
              <w:adjustRightInd/>
              <w:jc w:val="center"/>
              <w:rPr>
                <w:rFonts w:cs="Times New Roman"/>
                <w:color w:val="000000"/>
                <w:sz w:val="20"/>
                <w:szCs w:val="20"/>
              </w:rPr>
            </w:pPr>
            <w:r w:rsidRPr="00146C23">
              <w:rPr>
                <w:rFonts w:cs="Times New Roman"/>
                <w:color w:val="000000"/>
                <w:sz w:val="20"/>
                <w:szCs w:val="20"/>
              </w:rPr>
              <w:t xml:space="preserve">Prvostupňové overenie výstupných dokumentov posudzovania zhody podľa osobitného predpisu47ak) na účely ďalšieho overenia podľa osobitného predpisu47al) </w:t>
            </w:r>
          </w:p>
        </w:tc>
        <w:tc>
          <w:tcPr>
            <w:tcW w:w="1263" w:type="dxa"/>
            <w:tcBorders>
              <w:top w:val="nil"/>
              <w:left w:val="nil"/>
              <w:bottom w:val="single" w:sz="4" w:space="0" w:color="auto"/>
              <w:right w:val="single" w:sz="4" w:space="0" w:color="auto"/>
            </w:tcBorders>
            <w:shd w:val="clear" w:color="auto" w:fill="auto"/>
            <w:vAlign w:val="center"/>
            <w:hideMark/>
          </w:tcPr>
          <w:p w:rsidR="00146C23" w:rsidRPr="00146C23" w:rsidRDefault="00146C23" w:rsidP="00146C23">
            <w:pPr>
              <w:widowControl/>
              <w:adjustRightInd/>
              <w:jc w:val="center"/>
              <w:rPr>
                <w:rFonts w:cs="Times New Roman"/>
                <w:color w:val="000000"/>
                <w:sz w:val="20"/>
                <w:szCs w:val="20"/>
              </w:rPr>
            </w:pPr>
            <w:r w:rsidRPr="00146C23">
              <w:rPr>
                <w:rFonts w:cs="Times New Roman"/>
                <w:color w:val="000000"/>
                <w:sz w:val="20"/>
                <w:szCs w:val="20"/>
              </w:rPr>
              <w:t>Čl. II</w:t>
            </w:r>
            <w:r w:rsidRPr="00146C23">
              <w:rPr>
                <w:rFonts w:cs="Times New Roman"/>
                <w:color w:val="000000"/>
                <w:sz w:val="20"/>
                <w:szCs w:val="20"/>
              </w:rPr>
              <w:br/>
              <w:t>Návrh zákona</w:t>
            </w:r>
          </w:p>
        </w:tc>
        <w:tc>
          <w:tcPr>
            <w:tcW w:w="1976" w:type="dxa"/>
            <w:tcBorders>
              <w:top w:val="nil"/>
              <w:left w:val="nil"/>
              <w:bottom w:val="single" w:sz="4" w:space="0" w:color="auto"/>
              <w:right w:val="single" w:sz="4" w:space="0" w:color="auto"/>
            </w:tcBorders>
            <w:shd w:val="clear" w:color="auto" w:fill="auto"/>
            <w:vAlign w:val="center"/>
            <w:hideMark/>
          </w:tcPr>
          <w:p w:rsidR="00146C23" w:rsidRPr="00146C23" w:rsidRDefault="00146C23" w:rsidP="00146C23">
            <w:pPr>
              <w:widowControl/>
              <w:adjustRightInd/>
              <w:jc w:val="center"/>
              <w:rPr>
                <w:rFonts w:cs="Times New Roman"/>
                <w:color w:val="000000"/>
                <w:sz w:val="20"/>
                <w:szCs w:val="20"/>
              </w:rPr>
            </w:pPr>
            <w:r w:rsidRPr="00146C23">
              <w:rPr>
                <w:rFonts w:cs="Times New Roman"/>
                <w:color w:val="000000"/>
                <w:sz w:val="20"/>
                <w:szCs w:val="20"/>
              </w:rPr>
              <w:t>Sadzobník správnych poplatkov časť  XVII. METROLÓGIA A POSUDZOVANIE ZHODY, položka 237 písm. g)</w:t>
            </w:r>
          </w:p>
        </w:tc>
        <w:tc>
          <w:tcPr>
            <w:tcW w:w="1052" w:type="dxa"/>
            <w:tcBorders>
              <w:top w:val="nil"/>
              <w:left w:val="nil"/>
              <w:bottom w:val="single" w:sz="4" w:space="0" w:color="auto"/>
              <w:right w:val="single" w:sz="4" w:space="0" w:color="auto"/>
            </w:tcBorders>
            <w:shd w:val="clear" w:color="auto" w:fill="auto"/>
            <w:vAlign w:val="center"/>
            <w:hideMark/>
          </w:tcPr>
          <w:p w:rsidR="00146C23" w:rsidRPr="00146C23" w:rsidRDefault="00146C23" w:rsidP="00146C23">
            <w:pPr>
              <w:widowControl/>
              <w:adjustRightInd/>
              <w:jc w:val="center"/>
              <w:rPr>
                <w:rFonts w:cs="Times New Roman"/>
                <w:color w:val="000000"/>
                <w:sz w:val="20"/>
                <w:szCs w:val="20"/>
              </w:rPr>
            </w:pPr>
            <w:r w:rsidRPr="00146C23">
              <w:rPr>
                <w:rFonts w:cs="Times New Roman"/>
                <w:color w:val="000000"/>
                <w:sz w:val="20"/>
                <w:szCs w:val="20"/>
              </w:rPr>
              <w:t>1.SK</w:t>
            </w:r>
          </w:p>
        </w:tc>
        <w:tc>
          <w:tcPr>
            <w:tcW w:w="935" w:type="dxa"/>
            <w:tcBorders>
              <w:top w:val="nil"/>
              <w:left w:val="nil"/>
              <w:bottom w:val="single" w:sz="4" w:space="0" w:color="auto"/>
              <w:right w:val="single" w:sz="4" w:space="0" w:color="auto"/>
            </w:tcBorders>
            <w:shd w:val="clear" w:color="auto" w:fill="auto"/>
            <w:vAlign w:val="center"/>
            <w:hideMark/>
          </w:tcPr>
          <w:p w:rsidR="00146C23" w:rsidRPr="00146C23" w:rsidRDefault="00146C23" w:rsidP="00146C23">
            <w:pPr>
              <w:widowControl/>
              <w:adjustRightInd/>
              <w:jc w:val="center"/>
              <w:rPr>
                <w:rFonts w:cs="Times New Roman"/>
                <w:color w:val="000000"/>
                <w:sz w:val="20"/>
                <w:szCs w:val="20"/>
              </w:rPr>
            </w:pPr>
            <w:r w:rsidRPr="00146C23">
              <w:rPr>
                <w:rFonts w:cs="Times New Roman"/>
                <w:color w:val="000000"/>
                <w:sz w:val="20"/>
                <w:szCs w:val="20"/>
              </w:rPr>
              <w:t>01.01.26</w:t>
            </w:r>
          </w:p>
        </w:tc>
        <w:tc>
          <w:tcPr>
            <w:tcW w:w="1373" w:type="dxa"/>
            <w:tcBorders>
              <w:top w:val="nil"/>
              <w:left w:val="nil"/>
              <w:bottom w:val="single" w:sz="4" w:space="0" w:color="auto"/>
              <w:right w:val="single" w:sz="4" w:space="0" w:color="auto"/>
            </w:tcBorders>
            <w:shd w:val="clear" w:color="auto" w:fill="auto"/>
            <w:vAlign w:val="center"/>
            <w:hideMark/>
          </w:tcPr>
          <w:p w:rsidR="00146C23" w:rsidRPr="00146C23" w:rsidRDefault="00146C23" w:rsidP="00146C23">
            <w:pPr>
              <w:widowControl/>
              <w:adjustRightInd/>
              <w:jc w:val="center"/>
              <w:rPr>
                <w:rFonts w:cs="Times New Roman"/>
                <w:color w:val="000000"/>
                <w:sz w:val="20"/>
                <w:szCs w:val="20"/>
              </w:rPr>
            </w:pPr>
            <w:r w:rsidRPr="00146C23">
              <w:rPr>
                <w:rFonts w:cs="Times New Roman"/>
                <w:color w:val="000000"/>
                <w:sz w:val="20"/>
                <w:szCs w:val="20"/>
              </w:rPr>
              <w:t>Autorizované a notifikované osoby a klienti autorizovaných a notifikovaných osôb</w:t>
            </w:r>
          </w:p>
        </w:tc>
        <w:tc>
          <w:tcPr>
            <w:tcW w:w="974" w:type="dxa"/>
            <w:tcBorders>
              <w:top w:val="nil"/>
              <w:left w:val="nil"/>
              <w:bottom w:val="single" w:sz="4" w:space="0" w:color="auto"/>
              <w:right w:val="single" w:sz="4" w:space="0" w:color="auto"/>
            </w:tcBorders>
            <w:shd w:val="clear" w:color="auto" w:fill="auto"/>
            <w:vAlign w:val="center"/>
            <w:hideMark/>
          </w:tcPr>
          <w:p w:rsidR="00146C23" w:rsidRPr="00146C23" w:rsidRDefault="00146C23" w:rsidP="00146C23">
            <w:pPr>
              <w:widowControl/>
              <w:adjustRightInd/>
              <w:jc w:val="center"/>
              <w:rPr>
                <w:rFonts w:cs="Times New Roman"/>
                <w:color w:val="000000"/>
                <w:sz w:val="20"/>
                <w:szCs w:val="20"/>
              </w:rPr>
            </w:pPr>
            <w:r w:rsidRPr="00146C23">
              <w:rPr>
                <w:rFonts w:cs="Times New Roman"/>
                <w:color w:val="000000"/>
                <w:sz w:val="20"/>
                <w:szCs w:val="20"/>
              </w:rPr>
              <w:t>30</w:t>
            </w:r>
          </w:p>
        </w:tc>
        <w:tc>
          <w:tcPr>
            <w:tcW w:w="791" w:type="dxa"/>
            <w:tcBorders>
              <w:top w:val="nil"/>
              <w:left w:val="nil"/>
              <w:bottom w:val="single" w:sz="4" w:space="0" w:color="auto"/>
              <w:right w:val="single" w:sz="4" w:space="0" w:color="auto"/>
            </w:tcBorders>
            <w:shd w:val="clear" w:color="000000" w:fill="FFFFFF"/>
            <w:vAlign w:val="center"/>
            <w:hideMark/>
          </w:tcPr>
          <w:p w:rsidR="00146C23" w:rsidRPr="00146C23" w:rsidRDefault="00146C23" w:rsidP="00146C23">
            <w:pPr>
              <w:widowControl/>
              <w:adjustRightInd/>
              <w:jc w:val="center"/>
              <w:rPr>
                <w:rFonts w:cs="Times New Roman"/>
                <w:color w:val="000000"/>
                <w:sz w:val="20"/>
                <w:szCs w:val="20"/>
              </w:rPr>
            </w:pPr>
            <w:r w:rsidRPr="00146C23">
              <w:rPr>
                <w:rFonts w:cs="Times New Roman"/>
                <w:color w:val="000000"/>
                <w:sz w:val="20"/>
                <w:szCs w:val="20"/>
              </w:rPr>
              <w:t>36</w:t>
            </w:r>
          </w:p>
        </w:tc>
        <w:tc>
          <w:tcPr>
            <w:tcW w:w="974" w:type="dxa"/>
            <w:tcBorders>
              <w:top w:val="nil"/>
              <w:left w:val="nil"/>
              <w:bottom w:val="single" w:sz="4" w:space="0" w:color="auto"/>
              <w:right w:val="single" w:sz="4" w:space="0" w:color="auto"/>
            </w:tcBorders>
            <w:shd w:val="clear" w:color="auto" w:fill="auto"/>
            <w:vAlign w:val="center"/>
            <w:hideMark/>
          </w:tcPr>
          <w:p w:rsidR="00146C23" w:rsidRPr="00146C23" w:rsidRDefault="00146C23" w:rsidP="00146C23">
            <w:pPr>
              <w:widowControl/>
              <w:adjustRightInd/>
              <w:jc w:val="center"/>
              <w:rPr>
                <w:rFonts w:cs="Times New Roman"/>
                <w:color w:val="000000"/>
                <w:sz w:val="20"/>
                <w:szCs w:val="20"/>
              </w:rPr>
            </w:pPr>
            <w:r w:rsidRPr="00146C23">
              <w:rPr>
                <w:rFonts w:cs="Times New Roman"/>
                <w:color w:val="000000"/>
                <w:sz w:val="20"/>
                <w:szCs w:val="20"/>
              </w:rPr>
              <w:t>1 070</w:t>
            </w:r>
          </w:p>
        </w:tc>
        <w:tc>
          <w:tcPr>
            <w:tcW w:w="1167" w:type="dxa"/>
            <w:tcBorders>
              <w:top w:val="nil"/>
              <w:left w:val="nil"/>
              <w:bottom w:val="single" w:sz="4" w:space="0" w:color="auto"/>
              <w:right w:val="single" w:sz="4" w:space="0" w:color="auto"/>
            </w:tcBorders>
            <w:shd w:val="clear" w:color="auto" w:fill="auto"/>
            <w:vAlign w:val="center"/>
            <w:hideMark/>
          </w:tcPr>
          <w:p w:rsidR="00146C23" w:rsidRPr="00146C23" w:rsidRDefault="00146C23" w:rsidP="00146C23">
            <w:pPr>
              <w:widowControl/>
              <w:adjustRightInd/>
              <w:jc w:val="center"/>
              <w:rPr>
                <w:rFonts w:cs="Times New Roman"/>
                <w:color w:val="000000"/>
                <w:sz w:val="20"/>
                <w:szCs w:val="20"/>
              </w:rPr>
            </w:pPr>
            <w:r w:rsidRPr="00146C23">
              <w:rPr>
                <w:rFonts w:cs="Times New Roman"/>
                <w:color w:val="000000"/>
                <w:sz w:val="20"/>
                <w:szCs w:val="20"/>
              </w:rPr>
              <w:t>In (zvyšuje náklady)</w:t>
            </w:r>
          </w:p>
        </w:tc>
        <w:tc>
          <w:tcPr>
            <w:tcW w:w="851" w:type="dxa"/>
            <w:tcBorders>
              <w:top w:val="nil"/>
              <w:left w:val="nil"/>
              <w:bottom w:val="single" w:sz="4" w:space="0" w:color="auto"/>
              <w:right w:val="single" w:sz="4" w:space="0" w:color="auto"/>
            </w:tcBorders>
            <w:shd w:val="clear" w:color="auto" w:fill="auto"/>
            <w:vAlign w:val="center"/>
            <w:hideMark/>
          </w:tcPr>
          <w:p w:rsidR="00146C23" w:rsidRPr="00146C23" w:rsidRDefault="00146C23" w:rsidP="00146C23">
            <w:pPr>
              <w:widowControl/>
              <w:adjustRightInd/>
              <w:jc w:val="center"/>
              <w:rPr>
                <w:rFonts w:cs="Times New Roman"/>
                <w:sz w:val="20"/>
                <w:szCs w:val="20"/>
              </w:rPr>
            </w:pPr>
            <w:r w:rsidRPr="00146C23">
              <w:rPr>
                <w:rFonts w:cs="Times New Roman"/>
                <w:sz w:val="20"/>
                <w:szCs w:val="20"/>
              </w:rPr>
              <w:t>1 070</w:t>
            </w:r>
          </w:p>
        </w:tc>
        <w:tc>
          <w:tcPr>
            <w:tcW w:w="850" w:type="dxa"/>
            <w:tcBorders>
              <w:top w:val="nil"/>
              <w:left w:val="nil"/>
              <w:bottom w:val="single" w:sz="4" w:space="0" w:color="auto"/>
              <w:right w:val="single" w:sz="4" w:space="0" w:color="auto"/>
            </w:tcBorders>
            <w:shd w:val="clear" w:color="auto" w:fill="auto"/>
            <w:vAlign w:val="center"/>
            <w:hideMark/>
          </w:tcPr>
          <w:p w:rsidR="00146C23" w:rsidRPr="00146C23" w:rsidRDefault="00146C23" w:rsidP="00146C23">
            <w:pPr>
              <w:widowControl/>
              <w:adjustRightInd/>
              <w:jc w:val="center"/>
              <w:rPr>
                <w:rFonts w:cs="Times New Roman"/>
                <w:color w:val="000000"/>
                <w:sz w:val="20"/>
                <w:szCs w:val="20"/>
              </w:rPr>
            </w:pPr>
            <w:r w:rsidRPr="00146C23">
              <w:rPr>
                <w:rFonts w:cs="Times New Roman"/>
                <w:color w:val="000000"/>
                <w:sz w:val="20"/>
                <w:szCs w:val="20"/>
              </w:rPr>
              <w:t>0</w:t>
            </w:r>
          </w:p>
        </w:tc>
      </w:tr>
    </w:tbl>
    <w:p w:rsidR="00146C23" w:rsidRPr="00146C23" w:rsidRDefault="00146C23" w:rsidP="00146C23">
      <w:pPr>
        <w:widowControl/>
        <w:adjustRightInd/>
        <w:spacing w:after="160" w:line="259" w:lineRule="auto"/>
        <w:jc w:val="both"/>
        <w:rPr>
          <w:rFonts w:eastAsia="Calibri" w:cs="Times New Roman"/>
          <w:i/>
          <w:lang w:eastAsia="en-US"/>
        </w:rPr>
      </w:pPr>
    </w:p>
    <w:p w:rsidR="00146C23" w:rsidRPr="00146C23" w:rsidRDefault="00146C23" w:rsidP="00146C23">
      <w:pPr>
        <w:widowControl/>
        <w:adjustRightInd/>
        <w:spacing w:after="160" w:line="259" w:lineRule="auto"/>
        <w:jc w:val="both"/>
        <w:rPr>
          <w:rFonts w:eastAsia="Calibri" w:cs="Times New Roman"/>
          <w:i/>
          <w:lang w:eastAsia="en-US"/>
        </w:rPr>
      </w:pPr>
    </w:p>
    <w:p w:rsidR="00146C23" w:rsidRPr="00146C23" w:rsidRDefault="00146C23" w:rsidP="00146C23">
      <w:pPr>
        <w:widowControl/>
        <w:adjustRightInd/>
        <w:spacing w:after="160" w:line="259" w:lineRule="auto"/>
        <w:jc w:val="both"/>
        <w:rPr>
          <w:rFonts w:eastAsia="Calibri" w:cs="Times New Roman"/>
          <w:i/>
          <w:lang w:eastAsia="en-US"/>
        </w:rPr>
      </w:pPr>
    </w:p>
    <w:p w:rsidR="00146C23" w:rsidRPr="00146C23" w:rsidRDefault="00146C23" w:rsidP="00146C23">
      <w:pPr>
        <w:widowControl/>
        <w:adjustRightInd/>
        <w:spacing w:after="160" w:line="259" w:lineRule="auto"/>
        <w:jc w:val="both"/>
        <w:rPr>
          <w:rFonts w:eastAsia="Calibri" w:cs="Times New Roman"/>
          <w:i/>
          <w:lang w:eastAsia="en-US"/>
        </w:rPr>
      </w:pPr>
    </w:p>
    <w:p w:rsidR="00146C23" w:rsidRPr="00146C23" w:rsidRDefault="00146C23" w:rsidP="00146C23">
      <w:pPr>
        <w:widowControl/>
        <w:adjustRightInd/>
        <w:spacing w:after="160" w:line="259" w:lineRule="auto"/>
        <w:jc w:val="both"/>
        <w:rPr>
          <w:rFonts w:eastAsia="Calibri" w:cs="Times New Roman"/>
          <w:i/>
          <w:lang w:eastAsia="en-US"/>
        </w:rPr>
      </w:pPr>
    </w:p>
    <w:p w:rsidR="00146C23" w:rsidRPr="00146C23" w:rsidRDefault="00146C23" w:rsidP="00146C23">
      <w:pPr>
        <w:widowControl/>
        <w:adjustRightInd/>
        <w:spacing w:after="160" w:line="259" w:lineRule="auto"/>
        <w:jc w:val="both"/>
        <w:rPr>
          <w:rFonts w:eastAsia="Calibri" w:cs="Times New Roman"/>
          <w:i/>
          <w:lang w:eastAsia="en-US"/>
        </w:rPr>
      </w:pPr>
    </w:p>
    <w:p w:rsidR="00146C23" w:rsidRPr="00146C23" w:rsidRDefault="00146C23" w:rsidP="00146C23">
      <w:pPr>
        <w:widowControl/>
        <w:adjustRightInd/>
        <w:spacing w:after="160" w:line="259" w:lineRule="auto"/>
        <w:jc w:val="both"/>
        <w:rPr>
          <w:rFonts w:eastAsia="Calibri" w:cs="Times New Roman"/>
          <w:i/>
          <w:lang w:eastAsia="en-US"/>
        </w:rPr>
      </w:pPr>
    </w:p>
    <w:p w:rsidR="00146C23" w:rsidRPr="00146C23" w:rsidRDefault="00146C23" w:rsidP="00146C23">
      <w:pPr>
        <w:widowControl/>
        <w:adjustRightInd/>
        <w:spacing w:after="160" w:line="259" w:lineRule="auto"/>
        <w:jc w:val="both"/>
        <w:rPr>
          <w:rFonts w:eastAsia="Calibri" w:cs="Times New Roman"/>
          <w:b/>
          <w:bCs/>
          <w:i/>
          <w:lang w:eastAsia="en-US"/>
        </w:rPr>
        <w:sectPr w:rsidR="00146C23" w:rsidRPr="00146C23" w:rsidSect="00146C23">
          <w:pgSz w:w="16838" w:h="11906" w:orient="landscape"/>
          <w:pgMar w:top="1417" w:right="1417" w:bottom="1417" w:left="1417" w:header="708" w:footer="708" w:gutter="0"/>
          <w:cols w:space="708"/>
          <w:docGrid w:linePitch="360"/>
        </w:sectPr>
      </w:pPr>
    </w:p>
    <w:p w:rsidR="00262746" w:rsidRDefault="00262746" w:rsidP="00146C23">
      <w:pPr>
        <w:widowControl/>
        <w:adjustRightInd/>
        <w:spacing w:after="160" w:line="259" w:lineRule="auto"/>
        <w:jc w:val="both"/>
        <w:rPr>
          <w:rFonts w:eastAsia="Calibri" w:cs="Times New Roman"/>
          <w:b/>
          <w:bCs/>
          <w:i/>
          <w:u w:val="single"/>
          <w:lang w:eastAsia="en-US"/>
        </w:rPr>
      </w:pPr>
    </w:p>
    <w:p w:rsidR="00262746" w:rsidRDefault="00262746" w:rsidP="00146C23">
      <w:pPr>
        <w:widowControl/>
        <w:adjustRightInd/>
        <w:spacing w:after="160" w:line="259" w:lineRule="auto"/>
        <w:jc w:val="both"/>
        <w:rPr>
          <w:rFonts w:eastAsia="Calibri" w:cs="Times New Roman"/>
          <w:b/>
          <w:bCs/>
          <w:i/>
          <w:u w:val="single"/>
          <w:lang w:eastAsia="en-US"/>
        </w:rPr>
      </w:pPr>
    </w:p>
    <w:p w:rsidR="00146C23" w:rsidRPr="00146C23" w:rsidRDefault="00146C23" w:rsidP="00146C23">
      <w:pPr>
        <w:widowControl/>
        <w:adjustRightInd/>
        <w:spacing w:after="160" w:line="259" w:lineRule="auto"/>
        <w:jc w:val="both"/>
        <w:rPr>
          <w:rFonts w:eastAsia="Calibri" w:cs="Times New Roman"/>
          <w:b/>
          <w:bCs/>
          <w:i/>
          <w:u w:val="single"/>
          <w:lang w:eastAsia="en-US"/>
        </w:rPr>
      </w:pPr>
      <w:r w:rsidRPr="00146C23">
        <w:rPr>
          <w:rFonts w:eastAsia="Calibri" w:cs="Times New Roman"/>
          <w:b/>
          <w:bCs/>
          <w:i/>
          <w:u w:val="single"/>
          <w:lang w:eastAsia="en-US"/>
        </w:rPr>
        <w:t>3.1.3 Doplňujúce informácie k spôsobu výpočtu vplyvov jednotlivých regulácií na zmenu nákladov</w:t>
      </w:r>
    </w:p>
    <w:p w:rsidR="00146C23" w:rsidRPr="00146C23" w:rsidRDefault="00146C23" w:rsidP="00146C23">
      <w:pPr>
        <w:widowControl/>
        <w:adjustRightInd/>
        <w:spacing w:after="160" w:line="259" w:lineRule="auto"/>
        <w:jc w:val="both"/>
        <w:rPr>
          <w:rFonts w:eastAsia="Calibri" w:cs="Times New Roman"/>
          <w:bCs/>
          <w:i/>
          <w:iCs/>
          <w:color w:val="000000"/>
          <w:lang w:eastAsia="en-US"/>
        </w:rPr>
      </w:pPr>
      <w:r w:rsidRPr="00146C23">
        <w:rPr>
          <w:rFonts w:eastAsia="Calibri" w:cs="Times New Roman"/>
          <w:bCs/>
          <w:i/>
          <w:iCs/>
          <w:color w:val="000000"/>
          <w:lang w:eastAsia="en-US"/>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146C23">
        <w:rPr>
          <w:rFonts w:eastAsia="Calibri" w:cs="Times New Roman"/>
          <w:bCs/>
          <w:i/>
          <w:iCs/>
          <w:color w:val="000000"/>
          <w:lang w:eastAsia="en-US"/>
        </w:rPr>
        <w:t>link</w:t>
      </w:r>
      <w:proofErr w:type="spellEnd"/>
      <w:r w:rsidRPr="00146C23">
        <w:rPr>
          <w:rFonts w:eastAsia="Calibri" w:cs="Times New Roman"/>
          <w:bCs/>
          <w:i/>
          <w:iCs/>
          <w:color w:val="000000"/>
          <w:lang w:eastAsia="en-US"/>
        </w:rPr>
        <w:t xml:space="preserve"> na konkrétne štatistiky, ak sú dostupné na internete). Jednotlivé regulácie môžu mať jeden alebo viac typov nákladov (A. Dane, odvody, clá a poplatky, ktorých cieľom je znižovať negatívne </w:t>
      </w:r>
      <w:proofErr w:type="spellStart"/>
      <w:r w:rsidRPr="00146C23">
        <w:rPr>
          <w:rFonts w:eastAsia="Calibri" w:cs="Times New Roman"/>
          <w:bCs/>
          <w:i/>
          <w:iCs/>
          <w:color w:val="000000"/>
          <w:lang w:eastAsia="en-US"/>
        </w:rPr>
        <w:t>externality</w:t>
      </w:r>
      <w:proofErr w:type="spellEnd"/>
      <w:r w:rsidRPr="00146C23">
        <w:rPr>
          <w:rFonts w:eastAsia="Calibri" w:cs="Times New Roman"/>
          <w:bCs/>
          <w:i/>
          <w:iCs/>
          <w:color w:val="000000"/>
          <w:lang w:eastAsia="en-US"/>
        </w:rPr>
        <w:t xml:space="preserve">, B. Iné poplatky, C. Sankcie, D. Nepriame finančné náklady, E. Administratívne náklady). Rozčleňte ich a vypočítajte v súlade s metodickým postupom. </w:t>
      </w:r>
    </w:p>
    <w:p w:rsidR="00146C23" w:rsidRPr="00146C23" w:rsidRDefault="00146C23" w:rsidP="00146C23">
      <w:pPr>
        <w:widowControl/>
        <w:adjustRightInd/>
        <w:spacing w:after="160" w:line="259" w:lineRule="auto"/>
        <w:jc w:val="both"/>
        <w:rPr>
          <w:rFonts w:eastAsia="Calibri" w:cs="Times New Roman"/>
          <w:bCs/>
          <w:iCs/>
          <w:color w:val="000000"/>
          <w:lang w:eastAsia="en-US"/>
        </w:rPr>
      </w:pPr>
      <w:r w:rsidRPr="00146C23">
        <w:rPr>
          <w:rFonts w:eastAsia="Calibri" w:cs="Times New Roman"/>
          <w:bCs/>
          <w:iCs/>
          <w:color w:val="000000"/>
          <w:lang w:eastAsia="en-US"/>
        </w:rPr>
        <w:t>Úrad v predkladanom návrhu identifikoval 1 reguláciu s vplyvom na podnikateľské prostredie, ktorá je predmetom kalkulačky nákladov. Jedná sa o administratívne náklady, ktoré súvisia so zavedením nového správneho poplatku za prvostupňové overenie výstupných dokumentov posudzovania zhody (ďalej len „správny poplatok“), ktorý vyplynul z aplikačnej praxe.</w:t>
      </w:r>
    </w:p>
    <w:p w:rsidR="00146C23" w:rsidRPr="00146C23" w:rsidRDefault="00146C23" w:rsidP="00146C23">
      <w:pPr>
        <w:widowControl/>
        <w:adjustRightInd/>
        <w:spacing w:after="160" w:line="259" w:lineRule="auto"/>
        <w:jc w:val="both"/>
        <w:rPr>
          <w:rFonts w:eastAsia="Calibri" w:cs="Times New Roman"/>
          <w:bCs/>
          <w:iCs/>
          <w:color w:val="000000"/>
          <w:lang w:eastAsia="en-US"/>
        </w:rPr>
      </w:pPr>
      <w:r w:rsidRPr="00146C23">
        <w:rPr>
          <w:rFonts w:eastAsia="Calibri" w:cs="Times New Roman"/>
          <w:bCs/>
          <w:iCs/>
          <w:color w:val="000000"/>
          <w:lang w:eastAsia="en-US"/>
        </w:rPr>
        <w:t xml:space="preserve">Vydávanie výstupných dokumentov posudzovania zhody je upravené v § 21 ods. 3 zákona č. 56/2018 Z. z. Výstupné dokumenty posudzovania zhody úrad prvostupňovo overuje na základe písomnej žiadosti o overenie výstupného dokumentu posudzovania zhody alebo iného dokumentu vydaného slovenskými autorizovanými alebo notifikovanými osobami (ďalej len „AO/NO“). Písomnú žiadosť o overenie podáva AO/NO alebo klient AO/NO. Klient AO/NO je subjekt, ktorému AO/NO vydala výstupný dokument posudzovania zhody. </w:t>
      </w:r>
    </w:p>
    <w:p w:rsidR="00146C23" w:rsidRPr="00146C23" w:rsidRDefault="00146C23" w:rsidP="00146C23">
      <w:pPr>
        <w:widowControl/>
        <w:adjustRightInd/>
        <w:spacing w:after="160" w:line="259" w:lineRule="auto"/>
        <w:jc w:val="both"/>
        <w:rPr>
          <w:rFonts w:eastAsia="Calibri" w:cs="Times New Roman"/>
          <w:bCs/>
          <w:iCs/>
          <w:color w:val="000000"/>
          <w:lang w:eastAsia="en-US"/>
        </w:rPr>
      </w:pPr>
      <w:r w:rsidRPr="00146C23">
        <w:rPr>
          <w:rFonts w:eastAsia="Calibri" w:cs="Times New Roman"/>
          <w:bCs/>
          <w:iCs/>
          <w:color w:val="000000"/>
          <w:lang w:eastAsia="en-US"/>
        </w:rPr>
        <w:t xml:space="preserve"> Pri identifikácii vplyvov na podnikateľské prostredie úrad vychádzal z výročnej správy za rok 2024, kedy v roku 2023 vykonal prvostupňové overenie na základe  8 podaných žiadostí a v roku 2024 na základe 11 podaných žiadostí. Správny poplatok sa bude týkať približne 30 subjektov. Počet subjektov bol stanovený z aktuálneho počtu AO/NO, ktorých je 20 s prirátaním minimálne ďalších 10 žiadateľov, ktorí sú klientmi AO/NO. Overenie výstupných dokumentov posudzovania zhody využívajú najmä AO/NO, neobvykle aj klienti AO/NO. </w:t>
      </w:r>
    </w:p>
    <w:p w:rsidR="00146C23" w:rsidRPr="00146C23" w:rsidRDefault="00146C23" w:rsidP="00146C23">
      <w:pPr>
        <w:widowControl/>
        <w:adjustRightInd/>
        <w:spacing w:after="160" w:line="259" w:lineRule="auto"/>
        <w:jc w:val="both"/>
        <w:rPr>
          <w:rFonts w:eastAsia="Calibri" w:cs="Times New Roman"/>
          <w:bCs/>
          <w:iCs/>
          <w:color w:val="000000"/>
          <w:lang w:eastAsia="en-US"/>
        </w:rPr>
      </w:pPr>
      <w:r w:rsidRPr="00146C23">
        <w:rPr>
          <w:rFonts w:eastAsia="Calibri" w:cs="Times New Roman"/>
          <w:bCs/>
          <w:iCs/>
          <w:color w:val="000000"/>
          <w:lang w:eastAsia="en-US"/>
        </w:rPr>
        <w:t xml:space="preserve">Úrad má zato, že zavedením správneho poplatku nebude enormne zaťažené podnikateľské prostredie a ani nevzniknú podnikateľským subjektom také vysoké náklady, ktoré by negatívne ovplyvnili ich podnikanie. </w:t>
      </w:r>
      <w:r w:rsidRPr="00146C23">
        <w:rPr>
          <w:rFonts w:cs="Times New Roman"/>
        </w:rPr>
        <w:t>AO/NO zvyčajne výstupný dokument posudzovania zhody transponujú aj do tretích krajín, čím sa im zvyšujú ich zisky a otvárajú nové príležitosti pre podnikanie</w:t>
      </w:r>
      <w:r w:rsidRPr="00146C23">
        <w:rPr>
          <w:rFonts w:eastAsia="Calibri" w:cs="Times New Roman"/>
          <w:bCs/>
          <w:iCs/>
          <w:color w:val="000000"/>
          <w:lang w:eastAsia="en-US"/>
        </w:rPr>
        <w:t xml:space="preserve"> v oblasti posudzovania zhody. Z uvedeného dôvodu úrad hodnotí, že stanovenie správneho poplatku je pozitívnym nákladom pre podnikateľské subjekty, pretože im otvára trhové prostredie pre ďalšiu ich obchodnú činnosť v oblasti posudzovania zhody.</w:t>
      </w:r>
    </w:p>
    <w:p w:rsidR="00146C23" w:rsidRPr="00146C23" w:rsidRDefault="00146C23" w:rsidP="00146C23">
      <w:pPr>
        <w:widowControl/>
        <w:adjustRightInd/>
        <w:spacing w:after="160" w:line="259" w:lineRule="auto"/>
        <w:jc w:val="both"/>
        <w:rPr>
          <w:rFonts w:cs="Times New Roman"/>
          <w:bCs/>
        </w:rPr>
      </w:pPr>
      <w:r w:rsidRPr="00146C23">
        <w:rPr>
          <w:rFonts w:cs="Times New Roman"/>
          <w:bCs/>
        </w:rPr>
        <w:t>Výročné správy úradu sú dostupné na webovom sídle úradu</w:t>
      </w:r>
      <w:r w:rsidRPr="00146C23">
        <w:rPr>
          <w:rFonts w:eastAsia="Calibri" w:cs="Times New Roman"/>
          <w:bCs/>
          <w:iCs/>
          <w:color w:val="000000"/>
          <w:lang w:eastAsia="en-US"/>
        </w:rPr>
        <w:t xml:space="preserve"> </w:t>
      </w:r>
      <w:hyperlink r:id="rId11" w:history="1">
        <w:r w:rsidRPr="00146C23">
          <w:rPr>
            <w:rFonts w:eastAsia="Calibri" w:cs="Times New Roman"/>
            <w:bCs/>
            <w:iCs/>
            <w:color w:val="0563C1"/>
            <w:u w:val="single"/>
            <w:lang w:eastAsia="en-US"/>
          </w:rPr>
          <w:t>https://www.normoff.gov.sk/stranka/372/vyrocne-spravy//</w:t>
        </w:r>
      </w:hyperlink>
      <w:r w:rsidRPr="00146C23">
        <w:rPr>
          <w:rFonts w:eastAsia="Calibri" w:cs="Times New Roman"/>
          <w:bCs/>
          <w:iCs/>
          <w:color w:val="000000"/>
          <w:lang w:eastAsia="en-US"/>
        </w:rPr>
        <w:t xml:space="preserve"> a prehľad AO/NO</w:t>
      </w:r>
      <w:r w:rsidRPr="00146C23">
        <w:rPr>
          <w:rFonts w:cs="Times New Roman"/>
          <w:bCs/>
        </w:rPr>
        <w:t xml:space="preserve"> je dostupný na webovom sídle úradu </w:t>
      </w:r>
      <w:hyperlink r:id="rId12" w:history="1">
        <w:r w:rsidRPr="00146C23">
          <w:rPr>
            <w:rFonts w:cs="Times New Roman"/>
            <w:bCs/>
            <w:color w:val="0563C1"/>
            <w:u w:val="single"/>
          </w:rPr>
          <w:t>https://www.normoff.gov.sk/stranka/97/slovenske-notifikovane-osoby/</w:t>
        </w:r>
      </w:hyperlink>
      <w:r w:rsidRPr="00146C23">
        <w:rPr>
          <w:rFonts w:cs="Times New Roman"/>
          <w:bCs/>
        </w:rPr>
        <w:t xml:space="preserve"> .</w:t>
      </w:r>
    </w:p>
    <w:p w:rsidR="00146C23" w:rsidRPr="00146C23" w:rsidRDefault="00146C23" w:rsidP="00146C23">
      <w:pPr>
        <w:widowControl/>
        <w:adjustRightInd/>
        <w:spacing w:after="160" w:line="259" w:lineRule="auto"/>
        <w:jc w:val="both"/>
        <w:rPr>
          <w:rFonts w:eastAsia="Calibri" w:cs="Times New Roman"/>
          <w:b/>
          <w:bCs/>
          <w:i/>
          <w:u w:val="single"/>
          <w:lang w:eastAsia="en-US"/>
        </w:rPr>
      </w:pPr>
      <w:r w:rsidRPr="00146C23">
        <w:rPr>
          <w:rFonts w:eastAsia="Calibri" w:cs="Times New Roman"/>
          <w:b/>
          <w:bCs/>
          <w:i/>
          <w:u w:val="single"/>
          <w:lang w:eastAsia="en-US"/>
        </w:rPr>
        <w:t xml:space="preserve">3.1.4 Odôvodnenie </w:t>
      </w:r>
      <w:proofErr w:type="spellStart"/>
      <w:r w:rsidRPr="00146C23">
        <w:rPr>
          <w:rFonts w:eastAsia="Calibri" w:cs="Times New Roman"/>
          <w:b/>
          <w:bCs/>
          <w:i/>
          <w:u w:val="single"/>
          <w:lang w:eastAsia="en-US"/>
        </w:rPr>
        <w:t>goldplatingu</w:t>
      </w:r>
      <w:proofErr w:type="spellEnd"/>
      <w:r w:rsidRPr="00146C23">
        <w:rPr>
          <w:rFonts w:eastAsia="Calibri" w:cs="Times New Roman"/>
          <w:b/>
          <w:bCs/>
          <w:i/>
          <w:u w:val="single"/>
          <w:lang w:eastAsia="en-US"/>
        </w:rPr>
        <w:t xml:space="preserve"> podľa bodu 4 časti III jednotnej metodiky a ďalšie doplňujúce informácie</w:t>
      </w:r>
      <w:r w:rsidRPr="00146C23">
        <w:rPr>
          <w:rFonts w:eastAsia="Calibri" w:cs="Times New Roman"/>
          <w:b/>
          <w:bCs/>
          <w:i/>
          <w:u w:val="single"/>
          <w:vertAlign w:val="superscript"/>
          <w:lang w:eastAsia="en-US"/>
        </w:rPr>
        <w:footnoteReference w:id="2"/>
      </w:r>
      <w:r w:rsidRPr="00146C23">
        <w:rPr>
          <w:rFonts w:eastAsia="Calibri" w:cs="Times New Roman"/>
          <w:b/>
          <w:bCs/>
          <w:i/>
          <w:u w:val="single"/>
          <w:lang w:eastAsia="en-US"/>
        </w:rPr>
        <w:t xml:space="preserve"> </w:t>
      </w:r>
    </w:p>
    <w:p w:rsidR="002D14AA" w:rsidRDefault="002D14AA" w:rsidP="00146C23">
      <w:pPr>
        <w:widowControl/>
        <w:adjustRightInd/>
        <w:spacing w:after="160" w:line="259" w:lineRule="auto"/>
        <w:jc w:val="both"/>
        <w:rPr>
          <w:rFonts w:eastAsia="Calibri" w:cs="Times New Roman"/>
          <w:bCs/>
          <w:i/>
          <w:iCs/>
          <w:color w:val="000000"/>
          <w:lang w:eastAsia="en-US"/>
        </w:rPr>
      </w:pPr>
    </w:p>
    <w:p w:rsidR="002D14AA" w:rsidRDefault="002D14AA" w:rsidP="00146C23">
      <w:pPr>
        <w:widowControl/>
        <w:adjustRightInd/>
        <w:spacing w:after="160" w:line="259" w:lineRule="auto"/>
        <w:jc w:val="both"/>
        <w:rPr>
          <w:rFonts w:eastAsia="Calibri" w:cs="Times New Roman"/>
          <w:bCs/>
          <w:i/>
          <w:iCs/>
          <w:color w:val="000000"/>
          <w:lang w:eastAsia="en-US"/>
        </w:rPr>
      </w:pPr>
    </w:p>
    <w:p w:rsidR="002D14AA" w:rsidRDefault="002D14AA" w:rsidP="00146C23">
      <w:pPr>
        <w:widowControl/>
        <w:adjustRightInd/>
        <w:spacing w:after="160" w:line="259" w:lineRule="auto"/>
        <w:jc w:val="both"/>
        <w:rPr>
          <w:rFonts w:eastAsia="Calibri" w:cs="Times New Roman"/>
          <w:bCs/>
          <w:i/>
          <w:iCs/>
          <w:color w:val="000000"/>
          <w:lang w:eastAsia="en-US"/>
        </w:rPr>
      </w:pPr>
    </w:p>
    <w:p w:rsidR="00146C23" w:rsidRPr="00146C23" w:rsidRDefault="00146C23" w:rsidP="00146C23">
      <w:pPr>
        <w:widowControl/>
        <w:adjustRightInd/>
        <w:spacing w:after="160" w:line="259" w:lineRule="auto"/>
        <w:jc w:val="both"/>
        <w:rPr>
          <w:rFonts w:eastAsia="Calibri" w:cs="Times New Roman"/>
          <w:bCs/>
          <w:i/>
          <w:iCs/>
          <w:color w:val="000000"/>
          <w:lang w:eastAsia="en-US"/>
        </w:rPr>
      </w:pPr>
      <w:r w:rsidRPr="00146C23">
        <w:rPr>
          <w:rFonts w:eastAsia="Calibri" w:cs="Times New Roman"/>
          <w:bCs/>
          <w:i/>
          <w:iCs/>
          <w:color w:val="000000"/>
          <w:lang w:eastAsia="en-US"/>
        </w:rPr>
        <w:t xml:space="preserve">Požadované informácie uveďte osobitne ku každému identifikovanému </w:t>
      </w:r>
      <w:proofErr w:type="spellStart"/>
      <w:r w:rsidRPr="00146C23">
        <w:rPr>
          <w:rFonts w:eastAsia="Calibri" w:cs="Times New Roman"/>
          <w:bCs/>
          <w:i/>
          <w:iCs/>
          <w:color w:val="000000"/>
          <w:lang w:eastAsia="en-US"/>
        </w:rPr>
        <w:t>goldplatingu</w:t>
      </w:r>
      <w:proofErr w:type="spellEnd"/>
      <w:r w:rsidRPr="00146C23">
        <w:rPr>
          <w:rFonts w:eastAsia="Calibri" w:cs="Times New Roman"/>
          <w:bCs/>
          <w:i/>
          <w:iCs/>
          <w:color w:val="000000"/>
          <w:lang w:eastAsia="en-US"/>
        </w:rPr>
        <w:t xml:space="preserve"> (ku každej hodnotenej regulácii s </w:t>
      </w:r>
      <w:proofErr w:type="spellStart"/>
      <w:r w:rsidRPr="00146C23">
        <w:rPr>
          <w:rFonts w:eastAsia="Calibri" w:cs="Times New Roman"/>
          <w:bCs/>
          <w:i/>
          <w:iCs/>
          <w:color w:val="000000"/>
          <w:lang w:eastAsia="en-US"/>
        </w:rPr>
        <w:t>goldplatingom</w:t>
      </w:r>
      <w:proofErr w:type="spellEnd"/>
      <w:r w:rsidRPr="00146C23">
        <w:rPr>
          <w:rFonts w:eastAsia="Calibri" w:cs="Times New Roman"/>
          <w:bCs/>
          <w:i/>
          <w:iCs/>
          <w:color w:val="000000"/>
          <w:lang w:eastAsia="en-US"/>
        </w:rPr>
        <w:t xml:space="preserve"> osobitne). </w:t>
      </w:r>
    </w:p>
    <w:p w:rsidR="00146C23" w:rsidRPr="00146C23" w:rsidRDefault="00146C23" w:rsidP="00146C23">
      <w:pPr>
        <w:widowControl/>
        <w:adjustRightInd/>
        <w:spacing w:after="160" w:line="259" w:lineRule="auto"/>
        <w:jc w:val="both"/>
        <w:rPr>
          <w:rFonts w:eastAsia="Calibri" w:cs="Times New Roman"/>
          <w:bCs/>
          <w:i/>
          <w:iCs/>
          <w:color w:val="000000"/>
          <w:lang w:eastAsia="en-US"/>
        </w:rPr>
      </w:pPr>
      <w:r w:rsidRPr="00146C23">
        <w:rPr>
          <w:rFonts w:eastAsia="Calibri" w:cs="Times New Roman"/>
          <w:bCs/>
          <w:i/>
          <w:iCs/>
          <w:color w:val="000000"/>
          <w:lang w:eastAsia="en-US"/>
        </w:rPr>
        <w:t xml:space="preserve">Uveďte odôvodnenie </w:t>
      </w:r>
      <w:proofErr w:type="spellStart"/>
      <w:r w:rsidRPr="00146C23">
        <w:rPr>
          <w:rFonts w:eastAsia="Calibri" w:cs="Times New Roman"/>
          <w:bCs/>
          <w:i/>
          <w:iCs/>
          <w:color w:val="000000"/>
          <w:lang w:eastAsia="en-US"/>
        </w:rPr>
        <w:t>goldplatingu</w:t>
      </w:r>
      <w:proofErr w:type="spellEnd"/>
      <w:r w:rsidRPr="00146C23">
        <w:rPr>
          <w:rFonts w:eastAsia="Calibri" w:cs="Times New Roman"/>
          <w:bCs/>
          <w:i/>
          <w:iCs/>
          <w:color w:val="000000"/>
          <w:lang w:eastAsia="en-US"/>
        </w:rPr>
        <w:t xml:space="preserve"> z hľadiska jeho nespochybniteľnej nevyhnutnosti. Odôvodnenie doložte dôkladným hodnotením prínosov a nákladov. Uveďte zvážené alternatívne riešenia..</w:t>
      </w:r>
    </w:p>
    <w:p w:rsidR="00146C23" w:rsidRPr="00146C23" w:rsidRDefault="00146C23" w:rsidP="00146C23">
      <w:pPr>
        <w:widowControl/>
        <w:adjustRightInd/>
        <w:spacing w:after="160" w:line="259" w:lineRule="auto"/>
        <w:jc w:val="both"/>
        <w:rPr>
          <w:rFonts w:eastAsia="Calibri" w:cs="Times New Roman"/>
          <w:bCs/>
          <w:i/>
          <w:iCs/>
          <w:color w:val="000000"/>
          <w:lang w:eastAsia="en-US"/>
        </w:rPr>
      </w:pPr>
      <w:r w:rsidRPr="00146C23">
        <w:rPr>
          <w:rFonts w:eastAsia="Calibri" w:cs="Times New Roman"/>
          <w:bCs/>
          <w:i/>
          <w:iCs/>
          <w:color w:val="000000"/>
          <w:lang w:eastAsia="en-US"/>
        </w:rPr>
        <w:t xml:space="preserve">Zároveň uveďte konkrétne informácie súvisiace s kategóriou </w:t>
      </w:r>
      <w:proofErr w:type="spellStart"/>
      <w:r w:rsidRPr="00146C23">
        <w:rPr>
          <w:rFonts w:eastAsia="Calibri" w:cs="Times New Roman"/>
          <w:bCs/>
          <w:i/>
          <w:iCs/>
          <w:color w:val="000000"/>
          <w:lang w:eastAsia="en-US"/>
        </w:rPr>
        <w:t>goldplatingu</w:t>
      </w:r>
      <w:proofErr w:type="spellEnd"/>
      <w:r w:rsidRPr="00146C23">
        <w:rPr>
          <w:rFonts w:eastAsia="Calibri" w:cs="Times New Roman"/>
          <w:bCs/>
          <w:i/>
          <w:iCs/>
          <w:color w:val="000000"/>
          <w:lang w:eastAsia="en-US"/>
        </w:rPr>
        <w:t xml:space="preserve"> podľa jednotnej metodiky,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 požiadavky. </w:t>
      </w:r>
    </w:p>
    <w:p w:rsidR="00146C23" w:rsidRPr="00146C23" w:rsidRDefault="00146C23" w:rsidP="00146C23">
      <w:pPr>
        <w:widowControl/>
        <w:adjustRightInd/>
        <w:spacing w:after="160" w:line="259" w:lineRule="auto"/>
        <w:jc w:val="both"/>
        <w:rPr>
          <w:rFonts w:eastAsia="Calibri" w:cs="Times New Roman"/>
          <w:bCs/>
          <w:i/>
          <w:iCs/>
          <w:lang w:eastAsia="en-US"/>
        </w:rPr>
      </w:pPr>
      <w:r w:rsidRPr="00146C23">
        <w:rPr>
          <w:rFonts w:eastAsia="Calibri" w:cs="Times New Roman"/>
          <w:bCs/>
          <w:i/>
          <w:iCs/>
          <w:lang w:eastAsia="en-US"/>
        </w:rPr>
        <w:t xml:space="preserve">Využitie </w:t>
      </w:r>
      <w:proofErr w:type="spellStart"/>
      <w:r w:rsidRPr="00146C23">
        <w:rPr>
          <w:rFonts w:eastAsia="Calibri" w:cs="Times New Roman"/>
          <w:bCs/>
          <w:i/>
          <w:iCs/>
          <w:lang w:eastAsia="en-US"/>
        </w:rPr>
        <w:t>goldplatingu</w:t>
      </w:r>
      <w:proofErr w:type="spellEnd"/>
      <w:r w:rsidRPr="00146C23">
        <w:rPr>
          <w:rFonts w:eastAsia="Calibri" w:cs="Times New Roman"/>
          <w:bCs/>
          <w:i/>
          <w:iCs/>
          <w:lang w:eastAsia="en-US"/>
        </w:rPr>
        <w:t xml:space="preserve"> pri transpozícii alebo implementácii legislatívy EÚ je v zásade nežiadúce, keďže takýto postup môže viesť k zníženiu konkurencieschopnosti domácich podnikov v porovnaní s podnikmi z krajín, kde právne predpisy nie sú natoľko prísne. Využitie </w:t>
      </w:r>
      <w:proofErr w:type="spellStart"/>
      <w:r w:rsidRPr="00146C23">
        <w:rPr>
          <w:rFonts w:eastAsia="Calibri" w:cs="Times New Roman"/>
          <w:bCs/>
          <w:i/>
          <w:iCs/>
          <w:lang w:eastAsia="en-US"/>
        </w:rPr>
        <w:t>goldplatingu</w:t>
      </w:r>
      <w:proofErr w:type="spellEnd"/>
      <w:r w:rsidRPr="00146C23">
        <w:rPr>
          <w:rFonts w:eastAsia="Calibri" w:cs="Times New Roman"/>
          <w:bCs/>
          <w:i/>
          <w:iCs/>
          <w:lang w:eastAsia="en-US"/>
        </w:rPr>
        <w:t xml:space="preserve">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rsidR="00146C23" w:rsidRPr="00146C23" w:rsidRDefault="00146C23" w:rsidP="00146C23">
      <w:pPr>
        <w:widowControl/>
        <w:adjustRightInd/>
        <w:spacing w:after="160" w:line="259" w:lineRule="auto"/>
        <w:jc w:val="both"/>
        <w:rPr>
          <w:rFonts w:cs="Times New Roman"/>
        </w:rPr>
      </w:pPr>
      <w:r w:rsidRPr="00146C23">
        <w:rPr>
          <w:rFonts w:eastAsia="Calibri" w:cs="Times New Roman"/>
          <w:lang w:eastAsia="en-US"/>
        </w:rPr>
        <w:t xml:space="preserve">Predkladaným návrhom nedochádza ku </w:t>
      </w:r>
      <w:proofErr w:type="spellStart"/>
      <w:r w:rsidRPr="00146C23">
        <w:rPr>
          <w:rFonts w:eastAsia="Calibri" w:cs="Times New Roman"/>
          <w:lang w:eastAsia="en-US"/>
        </w:rPr>
        <w:t>goldplatingu</w:t>
      </w:r>
      <w:proofErr w:type="spellEnd"/>
      <w:r w:rsidRPr="00146C23">
        <w:rPr>
          <w:rFonts w:eastAsia="Calibri" w:cs="Times New Roman"/>
          <w:lang w:eastAsia="en-US"/>
        </w:rPr>
        <w:t xml:space="preserve">. </w:t>
      </w:r>
      <w:r w:rsidRPr="00146C23">
        <w:rPr>
          <w:rFonts w:cs="Times New Roman"/>
        </w:rPr>
        <w:t>Úrad ako gestor implementovaných nariadení návrhom zákona upravuje nevyhnutné ustanovenia v zákone č. 56/2018 Z. z. a v súvisiacich právnych predpisoch, ktoré vyplývajú z týchto nariadení a ktorými Slovenskej republike vznikajú povinnosti.</w:t>
      </w:r>
    </w:p>
    <w:p w:rsidR="00146C23" w:rsidRPr="00146C23" w:rsidRDefault="00146C23" w:rsidP="00146C23">
      <w:pPr>
        <w:widowControl/>
        <w:adjustRightInd/>
        <w:spacing w:after="160" w:line="259" w:lineRule="auto"/>
        <w:jc w:val="both"/>
        <w:rPr>
          <w:rFonts w:cs="Times New Roman"/>
        </w:rPr>
      </w:pPr>
    </w:p>
    <w:p w:rsidR="00146C23" w:rsidRPr="00146C23" w:rsidRDefault="00146C23" w:rsidP="00146C23">
      <w:pPr>
        <w:widowControl/>
        <w:adjustRightInd/>
        <w:spacing w:after="160" w:line="259" w:lineRule="auto"/>
        <w:jc w:val="both"/>
        <w:rPr>
          <w:rFonts w:eastAsia="Calibri" w:cs="Times New Roman"/>
          <w:b/>
          <w:lang w:eastAsia="en-US"/>
        </w:rPr>
      </w:pPr>
      <w:r w:rsidRPr="00146C23">
        <w:rPr>
          <w:rFonts w:eastAsia="Calibri" w:cs="Times New Roman"/>
          <w:b/>
          <w:lang w:eastAsia="en-US"/>
        </w:rPr>
        <w:t>3.2 Vyhodnotenie konzultácií s podnikateľskými subjektmi pred predbežným pripomienkovým konaním</w:t>
      </w:r>
    </w:p>
    <w:p w:rsidR="00146C23" w:rsidRPr="00146C23" w:rsidRDefault="00146C23" w:rsidP="00146C23">
      <w:pPr>
        <w:widowControl/>
        <w:adjustRightInd/>
        <w:spacing w:line="259" w:lineRule="auto"/>
        <w:jc w:val="both"/>
        <w:rPr>
          <w:rFonts w:eastAsia="Calibri" w:cs="Times New Roman"/>
          <w:i/>
          <w:lang w:eastAsia="en-US"/>
        </w:rPr>
      </w:pPr>
      <w:r w:rsidRPr="00146C23">
        <w:rPr>
          <w:rFonts w:eastAsia="Calibri" w:cs="Times New Roman"/>
          <w:i/>
          <w:lang w:eastAsia="en-US"/>
        </w:rPr>
        <w:t xml:space="preserve">Uveďte formu konzultácií vrátane zdôvodnenia jej výberu a trvanie konzultácií, termíny stretnutí. Uveďte spôsob oslovenia dotknutých subjektov, zoznam konzultujúcich subjektov, tiež </w:t>
      </w:r>
      <w:proofErr w:type="spellStart"/>
      <w:r w:rsidRPr="00146C23">
        <w:rPr>
          <w:rFonts w:eastAsia="Calibri" w:cs="Times New Roman"/>
          <w:i/>
          <w:lang w:eastAsia="en-US"/>
        </w:rPr>
        <w:t>link</w:t>
      </w:r>
      <w:proofErr w:type="spellEnd"/>
      <w:r w:rsidRPr="00146C23">
        <w:rPr>
          <w:rFonts w:eastAsia="Calibri" w:cs="Times New Roman"/>
          <w:i/>
          <w:lang w:eastAsia="en-US"/>
        </w:rPr>
        <w:t xml:space="preserve"> na webovú stránku, na ktorej boli konzultácie zverejnené. </w:t>
      </w:r>
    </w:p>
    <w:p w:rsidR="00146C23" w:rsidRPr="00146C23" w:rsidRDefault="00146C23" w:rsidP="00146C23">
      <w:pPr>
        <w:widowControl/>
        <w:adjustRightInd/>
        <w:spacing w:line="259" w:lineRule="auto"/>
        <w:jc w:val="both"/>
        <w:rPr>
          <w:rFonts w:eastAsia="Calibri" w:cs="Times New Roman"/>
          <w:i/>
          <w:lang w:eastAsia="en-US"/>
        </w:rPr>
      </w:pPr>
      <w:r w:rsidRPr="00146C23">
        <w:rPr>
          <w:rFonts w:eastAsia="Calibri" w:cs="Times New Roman"/>
          <w:i/>
          <w:lang w:eastAsia="en-US"/>
        </w:rPr>
        <w:t xml:space="preserve">Uveďte hlavné body konzultácií a ich závery. </w:t>
      </w:r>
    </w:p>
    <w:p w:rsidR="00146C23" w:rsidRPr="00146C23" w:rsidRDefault="00146C23" w:rsidP="00146C23">
      <w:pPr>
        <w:widowControl/>
        <w:adjustRightInd/>
        <w:spacing w:line="259" w:lineRule="auto"/>
        <w:jc w:val="both"/>
        <w:rPr>
          <w:rFonts w:eastAsia="Calibri" w:cs="Times New Roman"/>
          <w:i/>
          <w:lang w:eastAsia="en-US"/>
        </w:rPr>
      </w:pPr>
      <w:r w:rsidRPr="00146C23">
        <w:rPr>
          <w:rFonts w:eastAsia="Calibri" w:cs="Times New Roman"/>
          <w:i/>
          <w:lang w:eastAsia="en-US"/>
        </w:rPr>
        <w:t xml:space="preserve">Uveďte zoznam predložených alternatívnych riešení problematiky od konzultujúcich subjektov, ako aj návrhy od konzultujúcich subjektov na zníženie nákladov regulácií na PP, ktoré neboli akceptované a dôvod neakceptovania. </w:t>
      </w:r>
    </w:p>
    <w:p w:rsidR="00146C23" w:rsidRPr="00146C23" w:rsidRDefault="00146C23" w:rsidP="00146C23">
      <w:pPr>
        <w:widowControl/>
        <w:adjustRightInd/>
        <w:spacing w:line="259" w:lineRule="auto"/>
        <w:jc w:val="both"/>
        <w:rPr>
          <w:rFonts w:eastAsia="Calibri" w:cs="Times New Roman"/>
          <w:i/>
          <w:lang w:eastAsia="en-US"/>
        </w:rPr>
      </w:pPr>
      <w:r w:rsidRPr="00146C23">
        <w:rPr>
          <w:rFonts w:eastAsia="Calibri" w:cs="Times New Roman"/>
          <w:i/>
          <w:lang w:eastAsia="en-US"/>
        </w:rPr>
        <w:t xml:space="preserve">Alternatívne namiesto vypĺňania bodu 3.2 môžete uviesť ako samostatnú prílohu tejto analýzy Záznam z konzultácií obsahujúci požadované informácie. </w:t>
      </w:r>
    </w:p>
    <w:p w:rsidR="00146C23" w:rsidRPr="00146C23" w:rsidRDefault="00146C23" w:rsidP="00146C23">
      <w:pPr>
        <w:widowControl/>
        <w:adjustRightInd/>
        <w:spacing w:line="259" w:lineRule="auto"/>
        <w:jc w:val="both"/>
        <w:rPr>
          <w:rFonts w:eastAsia="Calibri" w:cs="Times New Roman"/>
          <w:i/>
          <w:lang w:eastAsia="en-US"/>
        </w:rPr>
      </w:pPr>
    </w:p>
    <w:p w:rsidR="00146C23" w:rsidRPr="00146C23" w:rsidRDefault="00146C23" w:rsidP="00146C23">
      <w:pPr>
        <w:widowControl/>
        <w:adjustRightInd/>
        <w:spacing w:after="160" w:line="259" w:lineRule="auto"/>
        <w:jc w:val="both"/>
        <w:rPr>
          <w:rFonts w:eastAsia="Calibri" w:cs="Times New Roman"/>
          <w:lang w:eastAsia="en-US"/>
        </w:rPr>
      </w:pPr>
      <w:r w:rsidRPr="00146C23">
        <w:rPr>
          <w:rFonts w:eastAsia="Calibri" w:cs="Times New Roman"/>
          <w:lang w:eastAsia="en-US"/>
        </w:rPr>
        <w:t>Úrad vykonal z vlastnej iniciatívy konzultácie s podnikateľskými subjektmi. Dňa 31.10.2024 bola zverejnená informácia o začatí konzultácií s podnikateľskými subjektmi na webovom sídle úradu a Ministerstva hospodárstva Slovenskej republiky, ktoré trvali do 30. novembra 2024. O konzultácie neprejavili záujem žiadne podnikateľské subjekty.</w:t>
      </w:r>
    </w:p>
    <w:p w:rsidR="00146C23" w:rsidRPr="00146C23" w:rsidRDefault="00146C23" w:rsidP="00146C23">
      <w:pPr>
        <w:widowControl/>
        <w:adjustRightInd/>
        <w:spacing w:after="160" w:line="259" w:lineRule="auto"/>
        <w:jc w:val="both"/>
        <w:rPr>
          <w:rFonts w:eastAsia="Calibri" w:cs="Times New Roman"/>
          <w:i/>
          <w:lang w:eastAsia="en-US"/>
        </w:rPr>
      </w:pPr>
    </w:p>
    <w:p w:rsidR="002D14AA" w:rsidRDefault="002D14AA" w:rsidP="00146C23">
      <w:pPr>
        <w:widowControl/>
        <w:adjustRightInd/>
        <w:spacing w:after="160" w:line="259" w:lineRule="auto"/>
        <w:jc w:val="both"/>
        <w:rPr>
          <w:rFonts w:eastAsia="Calibri" w:cs="Times New Roman"/>
          <w:b/>
          <w:lang w:eastAsia="en-US"/>
        </w:rPr>
      </w:pPr>
      <w:bookmarkStart w:id="0" w:name="_Hlk47698091"/>
    </w:p>
    <w:p w:rsidR="002D14AA" w:rsidRDefault="002D14AA" w:rsidP="00146C23">
      <w:pPr>
        <w:widowControl/>
        <w:adjustRightInd/>
        <w:spacing w:after="160" w:line="259" w:lineRule="auto"/>
        <w:jc w:val="both"/>
        <w:rPr>
          <w:rFonts w:eastAsia="Calibri" w:cs="Times New Roman"/>
          <w:b/>
          <w:lang w:eastAsia="en-US"/>
        </w:rPr>
      </w:pPr>
    </w:p>
    <w:p w:rsidR="002D14AA" w:rsidRDefault="002D14AA" w:rsidP="00146C23">
      <w:pPr>
        <w:widowControl/>
        <w:adjustRightInd/>
        <w:spacing w:after="160" w:line="259" w:lineRule="auto"/>
        <w:jc w:val="both"/>
        <w:rPr>
          <w:rFonts w:eastAsia="Calibri" w:cs="Times New Roman"/>
          <w:b/>
          <w:lang w:eastAsia="en-US"/>
        </w:rPr>
      </w:pPr>
    </w:p>
    <w:p w:rsidR="00146C23" w:rsidRPr="00146C23" w:rsidRDefault="00146C23" w:rsidP="00146C23">
      <w:pPr>
        <w:widowControl/>
        <w:adjustRightInd/>
        <w:spacing w:after="160" w:line="259" w:lineRule="auto"/>
        <w:jc w:val="both"/>
        <w:rPr>
          <w:rFonts w:eastAsia="Calibri" w:cs="Times New Roman"/>
          <w:b/>
          <w:lang w:eastAsia="en-US"/>
        </w:rPr>
      </w:pPr>
      <w:r w:rsidRPr="00146C23">
        <w:rPr>
          <w:rFonts w:eastAsia="Calibri" w:cs="Times New Roman"/>
          <w:b/>
          <w:lang w:eastAsia="en-US"/>
        </w:rPr>
        <w:t>3.3 Vplyvy na konkurencieschopnosť a produktivitu</w:t>
      </w:r>
    </w:p>
    <w:bookmarkEnd w:id="0"/>
    <w:p w:rsidR="00146C23" w:rsidRPr="00146C23" w:rsidRDefault="00146C23" w:rsidP="00146C23">
      <w:pPr>
        <w:widowControl/>
        <w:adjustRightInd/>
        <w:spacing w:line="259" w:lineRule="auto"/>
        <w:jc w:val="both"/>
        <w:rPr>
          <w:rFonts w:eastAsia="Calibri" w:cs="Times New Roman"/>
          <w:i/>
          <w:lang w:eastAsia="en-US"/>
        </w:rPr>
      </w:pPr>
      <w:r w:rsidRPr="00146C23">
        <w:rPr>
          <w:rFonts w:eastAsia="Calibri" w:cs="Times New Roman"/>
          <w:i/>
          <w:lang w:eastAsia="en-US"/>
        </w:rPr>
        <w:t xml:space="preserve">Dochádza k vytvoreniu resp. k zmene bariér na trhu? </w:t>
      </w:r>
    </w:p>
    <w:p w:rsidR="00146C23" w:rsidRPr="00146C23" w:rsidRDefault="00146C23" w:rsidP="00146C23">
      <w:pPr>
        <w:widowControl/>
        <w:adjustRightInd/>
        <w:spacing w:line="259" w:lineRule="auto"/>
        <w:jc w:val="both"/>
        <w:rPr>
          <w:rFonts w:eastAsia="Calibri" w:cs="Times New Roman"/>
          <w:lang w:eastAsia="en-US"/>
        </w:rPr>
      </w:pPr>
      <w:r w:rsidRPr="00146C23">
        <w:rPr>
          <w:rFonts w:eastAsia="Calibri" w:cs="Times New Roman"/>
          <w:lang w:eastAsia="en-US"/>
        </w:rPr>
        <w:t>Nie, nedochádza.</w:t>
      </w:r>
    </w:p>
    <w:p w:rsidR="00146C23" w:rsidRPr="00146C23" w:rsidRDefault="00146C23" w:rsidP="00146C23">
      <w:pPr>
        <w:widowControl/>
        <w:adjustRightInd/>
        <w:spacing w:before="120" w:line="259" w:lineRule="auto"/>
        <w:jc w:val="both"/>
        <w:rPr>
          <w:rFonts w:eastAsia="Calibri" w:cs="Times New Roman"/>
          <w:i/>
          <w:lang w:eastAsia="en-US"/>
        </w:rPr>
      </w:pPr>
      <w:r w:rsidRPr="00146C23">
        <w:rPr>
          <w:rFonts w:eastAsia="Calibri" w:cs="Times New Roman"/>
          <w:i/>
          <w:lang w:eastAsia="en-US"/>
        </w:rPr>
        <w:t xml:space="preserve">Bude sa s niektorými podnikmi alebo produktmi zaobchádzať v porovnateľnej situácii rôzne (napr. špeciálne režimy pre </w:t>
      </w:r>
      <w:proofErr w:type="spellStart"/>
      <w:r w:rsidRPr="00146C23">
        <w:rPr>
          <w:rFonts w:eastAsia="Calibri" w:cs="Times New Roman"/>
          <w:i/>
          <w:lang w:eastAsia="en-US"/>
        </w:rPr>
        <w:t>mikro</w:t>
      </w:r>
      <w:proofErr w:type="spellEnd"/>
      <w:r w:rsidRPr="00146C23">
        <w:rPr>
          <w:rFonts w:eastAsia="Calibri" w:cs="Times New Roman"/>
          <w:i/>
          <w:lang w:eastAsia="en-US"/>
        </w:rPr>
        <w:t xml:space="preserve">, malé a stredné podniky tzv. MSP)? </w:t>
      </w:r>
    </w:p>
    <w:p w:rsidR="00146C23" w:rsidRPr="00146C23" w:rsidRDefault="00146C23" w:rsidP="00146C23">
      <w:pPr>
        <w:widowControl/>
        <w:adjustRightInd/>
        <w:spacing w:line="259" w:lineRule="auto"/>
        <w:jc w:val="both"/>
        <w:rPr>
          <w:rFonts w:eastAsia="Calibri" w:cs="Times New Roman"/>
          <w:lang w:eastAsia="en-US"/>
        </w:rPr>
      </w:pPr>
      <w:r w:rsidRPr="00146C23">
        <w:rPr>
          <w:rFonts w:eastAsia="Calibri" w:cs="Times New Roman"/>
          <w:lang w:eastAsia="en-US"/>
        </w:rPr>
        <w:t>Nie, nebude.  Budú sa aplikovať rovnaké podmienky pre všetkých bez ohľadu na veľkosť podniku.</w:t>
      </w:r>
    </w:p>
    <w:p w:rsidR="00146C23" w:rsidRPr="00146C23" w:rsidRDefault="00146C23" w:rsidP="00146C23">
      <w:pPr>
        <w:widowControl/>
        <w:adjustRightInd/>
        <w:spacing w:before="120" w:line="259" w:lineRule="auto"/>
        <w:jc w:val="both"/>
        <w:rPr>
          <w:rFonts w:eastAsia="Calibri" w:cs="Times New Roman"/>
          <w:i/>
          <w:lang w:eastAsia="en-US"/>
        </w:rPr>
      </w:pPr>
      <w:r w:rsidRPr="00146C23">
        <w:rPr>
          <w:rFonts w:eastAsia="Calibri" w:cs="Times New Roman"/>
          <w:i/>
          <w:lang w:eastAsia="en-US"/>
        </w:rPr>
        <w:t>Ovplyvňuje zmena regulácie cezhraničné investície (príliv/odliv zahraničných investícií resp. uplatnenie slovenských podnikov na zahraničných trhoch)?</w:t>
      </w:r>
    </w:p>
    <w:p w:rsidR="00146C23" w:rsidRPr="00146C23" w:rsidRDefault="00146C23" w:rsidP="00146C23">
      <w:pPr>
        <w:widowControl/>
        <w:adjustRightInd/>
        <w:spacing w:line="259" w:lineRule="auto"/>
        <w:jc w:val="both"/>
        <w:rPr>
          <w:rFonts w:eastAsia="Calibri" w:cs="Times New Roman"/>
          <w:i/>
          <w:lang w:eastAsia="en-US"/>
        </w:rPr>
      </w:pPr>
      <w:r w:rsidRPr="00146C23">
        <w:rPr>
          <w:rFonts w:eastAsia="Calibri" w:cs="Times New Roman"/>
          <w:lang w:eastAsia="en-US"/>
        </w:rPr>
        <w:t>Ovplyvňuje pozitívne, pretože vznikajú nové príležitosti pre všetky podnikateľské subjekty.</w:t>
      </w:r>
      <w:r w:rsidRPr="00146C23">
        <w:rPr>
          <w:rFonts w:eastAsia="Calibri" w:cs="Times New Roman"/>
          <w:i/>
          <w:lang w:eastAsia="en-US"/>
        </w:rPr>
        <w:t xml:space="preserve"> </w:t>
      </w:r>
    </w:p>
    <w:p w:rsidR="00146C23" w:rsidRPr="00146C23" w:rsidRDefault="00146C23" w:rsidP="00146C23">
      <w:pPr>
        <w:widowControl/>
        <w:adjustRightInd/>
        <w:spacing w:before="120" w:line="259" w:lineRule="auto"/>
        <w:jc w:val="both"/>
        <w:rPr>
          <w:rFonts w:eastAsia="Calibri" w:cs="Times New Roman"/>
          <w:i/>
          <w:lang w:eastAsia="en-US"/>
        </w:rPr>
      </w:pPr>
      <w:r w:rsidRPr="00146C23">
        <w:rPr>
          <w:rFonts w:eastAsia="Calibri" w:cs="Times New Roman"/>
          <w:i/>
          <w:lang w:eastAsia="en-US"/>
        </w:rPr>
        <w:t xml:space="preserve">Ovplyvní dostupnosť základných zdrojov (financie, pracovná sila, suroviny, mechanizmy, energie atď.)? </w:t>
      </w:r>
    </w:p>
    <w:p w:rsidR="00146C23" w:rsidRPr="00146C23" w:rsidRDefault="00146C23" w:rsidP="00146C23">
      <w:pPr>
        <w:widowControl/>
        <w:adjustRightInd/>
        <w:spacing w:line="259" w:lineRule="auto"/>
        <w:jc w:val="both"/>
        <w:rPr>
          <w:rFonts w:eastAsia="Calibri" w:cs="Times New Roman"/>
          <w:lang w:eastAsia="en-US"/>
        </w:rPr>
      </w:pPr>
      <w:r w:rsidRPr="00146C23">
        <w:rPr>
          <w:rFonts w:eastAsia="Calibri" w:cs="Times New Roman"/>
          <w:lang w:eastAsia="en-US"/>
        </w:rPr>
        <w:t>Nie, neovplyvňuje.</w:t>
      </w:r>
    </w:p>
    <w:p w:rsidR="00146C23" w:rsidRPr="00146C23" w:rsidRDefault="00146C23" w:rsidP="00146C23">
      <w:pPr>
        <w:widowControl/>
        <w:adjustRightInd/>
        <w:spacing w:before="120" w:line="259" w:lineRule="auto"/>
        <w:jc w:val="both"/>
        <w:rPr>
          <w:rFonts w:eastAsia="Calibri" w:cs="Times New Roman"/>
          <w:i/>
          <w:lang w:eastAsia="en-US"/>
        </w:rPr>
      </w:pPr>
      <w:r w:rsidRPr="00146C23">
        <w:rPr>
          <w:rFonts w:eastAsia="Calibri" w:cs="Times New Roman"/>
          <w:i/>
          <w:lang w:eastAsia="en-US"/>
        </w:rPr>
        <w:t>Ovplyvňuje zmena regulácie inovácie, vedu a výskum?</w:t>
      </w:r>
    </w:p>
    <w:p w:rsidR="00146C23" w:rsidRPr="00146C23" w:rsidRDefault="00146C23" w:rsidP="00146C23">
      <w:pPr>
        <w:widowControl/>
        <w:adjustRightInd/>
        <w:spacing w:line="259" w:lineRule="auto"/>
        <w:jc w:val="both"/>
        <w:rPr>
          <w:rFonts w:eastAsia="Calibri" w:cs="Times New Roman"/>
          <w:lang w:eastAsia="en-US"/>
        </w:rPr>
      </w:pPr>
      <w:r w:rsidRPr="00146C23">
        <w:rPr>
          <w:rFonts w:eastAsia="Calibri" w:cs="Times New Roman"/>
          <w:lang w:eastAsia="en-US"/>
        </w:rPr>
        <w:t>Nie, neovplyvňuje.</w:t>
      </w:r>
    </w:p>
    <w:p w:rsidR="00146C23" w:rsidRPr="00146C23" w:rsidRDefault="00146C23" w:rsidP="00146C23">
      <w:pPr>
        <w:widowControl/>
        <w:adjustRightInd/>
        <w:spacing w:before="120" w:line="259" w:lineRule="auto"/>
        <w:jc w:val="both"/>
        <w:rPr>
          <w:rFonts w:eastAsia="Calibri" w:cs="Times New Roman"/>
          <w:i/>
          <w:lang w:eastAsia="en-US"/>
        </w:rPr>
      </w:pPr>
      <w:r w:rsidRPr="00146C23">
        <w:rPr>
          <w:rFonts w:eastAsia="Calibri" w:cs="Times New Roman"/>
          <w:i/>
          <w:lang w:eastAsia="en-US"/>
        </w:rPr>
        <w:t>Ak bol identifikovaný goldplating, prispieva k zníženiu konkurencieschopnosti a produktivity? Akým spôsobom?</w:t>
      </w:r>
    </w:p>
    <w:p w:rsidR="00146C23" w:rsidRPr="00146C23" w:rsidRDefault="00146C23" w:rsidP="00146C23">
      <w:pPr>
        <w:widowControl/>
        <w:adjustRightInd/>
        <w:spacing w:line="259" w:lineRule="auto"/>
        <w:jc w:val="both"/>
        <w:rPr>
          <w:rFonts w:eastAsia="Calibri" w:cs="Times New Roman"/>
          <w:lang w:eastAsia="en-US"/>
        </w:rPr>
      </w:pPr>
      <w:r w:rsidRPr="00146C23">
        <w:rPr>
          <w:rFonts w:eastAsia="Calibri" w:cs="Times New Roman"/>
          <w:lang w:eastAsia="en-US"/>
        </w:rPr>
        <w:t xml:space="preserve">Nie, goldplating nebol identifikovaný. </w:t>
      </w:r>
    </w:p>
    <w:p w:rsidR="00146C23" w:rsidRPr="00146C23" w:rsidRDefault="00146C23" w:rsidP="00146C23">
      <w:pPr>
        <w:widowControl/>
        <w:adjustRightInd/>
        <w:spacing w:before="120" w:line="259" w:lineRule="auto"/>
        <w:jc w:val="both"/>
        <w:rPr>
          <w:rFonts w:eastAsia="Calibri" w:cs="Times New Roman"/>
          <w:i/>
          <w:iCs/>
          <w:lang w:eastAsia="en-US"/>
        </w:rPr>
      </w:pPr>
      <w:r w:rsidRPr="00146C23">
        <w:rPr>
          <w:rFonts w:eastAsia="Calibri" w:cs="Times New Roman"/>
          <w:i/>
          <w:iCs/>
          <w:lang w:eastAsia="en-US"/>
        </w:rPr>
        <w:t>Ako prispieva zmena regulácie k cieľu Slovenska mať najlepšie podnikateľské prostredie spomedzi susediacich krajín EÚ?</w:t>
      </w:r>
    </w:p>
    <w:p w:rsidR="00146C23" w:rsidRPr="00146C23" w:rsidRDefault="00146C23" w:rsidP="00146C23">
      <w:pPr>
        <w:widowControl/>
        <w:adjustRightInd/>
        <w:spacing w:line="259" w:lineRule="auto"/>
        <w:jc w:val="both"/>
        <w:rPr>
          <w:rFonts w:eastAsia="Calibri" w:cs="Times New Roman"/>
          <w:lang w:eastAsia="en-US"/>
        </w:rPr>
      </w:pPr>
      <w:r w:rsidRPr="00146C23">
        <w:rPr>
          <w:rFonts w:eastAsia="Calibri" w:cs="Times New Roman"/>
          <w:lang w:eastAsia="en-US"/>
        </w:rPr>
        <w:t>Implementáciou právnych predpisov EÚ sa podporuje inovácia, zvyšuje transparentnosť a zabezpečuje právna istota, pričom sa vytvárajú rovnaké podmienky pre všetkých podnikateľov. Prijatím návrhu zákona, ktorý zabezpečuje súlad s európskymi právnymi predpismi, sa môže Slovensko stať rovnocenným lídrom v porovnaní so susediacimi krajinami EÚ. V nadväznosti na implementáciu právnych predpisov EÚ sa predpokladá lepšie podnikateľské prostredie a možnosti obchodovania na vnútornom trhu EÚ.</w:t>
      </w:r>
    </w:p>
    <w:p w:rsidR="00146C23" w:rsidRPr="00146C23" w:rsidRDefault="00146C23" w:rsidP="00146C23">
      <w:pPr>
        <w:widowControl/>
        <w:adjustRightInd/>
        <w:spacing w:line="259" w:lineRule="auto"/>
        <w:jc w:val="both"/>
        <w:rPr>
          <w:rFonts w:eastAsia="Calibri" w:cs="Times New Roman"/>
          <w:i/>
          <w:lang w:eastAsia="en-US"/>
        </w:rPr>
      </w:pPr>
    </w:p>
    <w:p w:rsidR="00146C23" w:rsidRPr="00146C23" w:rsidRDefault="00146C23" w:rsidP="00146C23">
      <w:pPr>
        <w:widowControl/>
        <w:adjustRightInd/>
        <w:spacing w:line="259" w:lineRule="auto"/>
        <w:jc w:val="both"/>
        <w:rPr>
          <w:rFonts w:eastAsia="Calibri" w:cs="Times New Roman"/>
          <w:b/>
          <w:i/>
          <w:lang w:eastAsia="en-US"/>
        </w:rPr>
      </w:pPr>
      <w:r w:rsidRPr="00146C23">
        <w:rPr>
          <w:rFonts w:eastAsia="Calibri" w:cs="Times New Roman"/>
          <w:b/>
          <w:i/>
          <w:lang w:eastAsia="en-US"/>
        </w:rPr>
        <w:t>Konkurencieschopnosť:</w:t>
      </w:r>
    </w:p>
    <w:p w:rsidR="00146C23" w:rsidRPr="00146C23" w:rsidRDefault="00146C23" w:rsidP="00146C23">
      <w:pPr>
        <w:widowControl/>
        <w:adjustRightInd/>
        <w:spacing w:line="259" w:lineRule="auto"/>
        <w:jc w:val="both"/>
        <w:rPr>
          <w:rFonts w:eastAsia="Calibri" w:cs="Times New Roman"/>
          <w:i/>
          <w:lang w:eastAsia="en-US"/>
        </w:rPr>
      </w:pPr>
      <w:r w:rsidRPr="00146C23">
        <w:rPr>
          <w:rFonts w:eastAsia="Calibri" w:cs="Times New Roman"/>
          <w:i/>
          <w:lang w:eastAsia="en-US"/>
        </w:rPr>
        <w:t>Na základe uvedených odpovedí zaškrtnite a popíšte, či materiál konkurencieschopnosť:</w:t>
      </w:r>
    </w:p>
    <w:p w:rsidR="00146C23" w:rsidRPr="00146C23" w:rsidRDefault="00D22762" w:rsidP="00146C23">
      <w:pPr>
        <w:widowControl/>
        <w:adjustRightInd/>
        <w:spacing w:line="259" w:lineRule="auto"/>
        <w:jc w:val="both"/>
        <w:rPr>
          <w:rFonts w:eastAsia="Calibri" w:cs="Times New Roman"/>
          <w:i/>
          <w:lang w:eastAsia="en-US"/>
        </w:rPr>
      </w:pPr>
      <w:sdt>
        <w:sdtPr>
          <w:rPr>
            <w:rFonts w:eastAsia="Calibri" w:cs="Times New Roman"/>
            <w:i/>
            <w:lang w:eastAsia="en-US"/>
          </w:rPr>
          <w:id w:val="798576880"/>
        </w:sdtPr>
        <w:sdtEndPr/>
        <w:sdtContent>
          <w:sdt>
            <w:sdtPr>
              <w:rPr>
                <w:rFonts w:eastAsia="Calibri" w:cs="Times New Roman"/>
                <w:i/>
                <w:lang w:eastAsia="en-US"/>
              </w:rPr>
              <w:id w:val="1729873660"/>
            </w:sdtPr>
            <w:sdtEndPr/>
            <w:sdtContent>
              <w:r w:rsidR="00146C23" w:rsidRPr="00146C23">
                <w:rPr>
                  <w:rFonts w:ascii="Segoe UI Symbol" w:eastAsia="Calibri" w:hAnsi="Segoe UI Symbol" w:cs="Segoe UI Symbol"/>
                  <w:i/>
                  <w:lang w:eastAsia="en-US"/>
                </w:rPr>
                <w:t>☐</w:t>
              </w:r>
            </w:sdtContent>
          </w:sdt>
        </w:sdtContent>
      </w:sdt>
      <w:r w:rsidR="00146C23" w:rsidRPr="00146C23">
        <w:rPr>
          <w:rFonts w:eastAsia="Calibri" w:cs="Times New Roman"/>
          <w:i/>
          <w:lang w:eastAsia="en-US"/>
        </w:rPr>
        <w:t xml:space="preserve"> zvyšuje  </w:t>
      </w:r>
      <w:r w:rsidR="00146C23" w:rsidRPr="00146C23">
        <w:rPr>
          <w:rFonts w:eastAsia="Calibri" w:cs="Times New Roman"/>
          <w:i/>
          <w:lang w:eastAsia="en-US"/>
        </w:rPr>
        <w:tab/>
      </w:r>
      <w:sdt>
        <w:sdtPr>
          <w:rPr>
            <w:rFonts w:eastAsia="Calibri" w:cs="Times New Roman"/>
            <w:i/>
            <w:lang w:eastAsia="en-US"/>
          </w:rPr>
          <w:id w:val="410579887"/>
        </w:sdtPr>
        <w:sdtEndPr/>
        <w:sdtContent>
          <w:sdt>
            <w:sdtPr>
              <w:rPr>
                <w:rFonts w:eastAsia="Calibri" w:cs="Times New Roman"/>
                <w:i/>
                <w:lang w:eastAsia="en-US"/>
              </w:rPr>
              <w:id w:val="-80300261"/>
            </w:sdtPr>
            <w:sdtEndPr/>
            <w:sdtContent>
              <w:r w:rsidR="00146C23" w:rsidRPr="00146C23">
                <w:rPr>
                  <w:rFonts w:ascii="Segoe UI Symbol" w:eastAsia="Calibri" w:hAnsi="Segoe UI Symbol" w:cs="Segoe UI Symbol"/>
                  <w:i/>
                  <w:lang w:eastAsia="en-US"/>
                </w:rPr>
                <w:t>X</w:t>
              </w:r>
            </w:sdtContent>
          </w:sdt>
        </w:sdtContent>
      </w:sdt>
      <w:r w:rsidR="00146C23" w:rsidRPr="00146C23">
        <w:rPr>
          <w:rFonts w:eastAsia="Calibri" w:cs="Times New Roman"/>
          <w:i/>
          <w:lang w:eastAsia="en-US"/>
        </w:rPr>
        <w:t xml:space="preserve"> nemení</w:t>
      </w:r>
      <w:r w:rsidR="00146C23" w:rsidRPr="00146C23">
        <w:rPr>
          <w:rFonts w:eastAsia="Calibri" w:cs="Times New Roman"/>
          <w:i/>
          <w:lang w:eastAsia="en-US"/>
        </w:rPr>
        <w:tab/>
      </w:r>
      <w:sdt>
        <w:sdtPr>
          <w:rPr>
            <w:rFonts w:eastAsia="Calibri" w:cs="Times New Roman"/>
            <w:i/>
            <w:lang w:eastAsia="en-US"/>
          </w:rPr>
          <w:id w:val="-474604883"/>
        </w:sdtPr>
        <w:sdtEndPr/>
        <w:sdtContent>
          <w:sdt>
            <w:sdtPr>
              <w:rPr>
                <w:rFonts w:eastAsia="Calibri" w:cs="Times New Roman"/>
                <w:i/>
                <w:lang w:eastAsia="en-US"/>
              </w:rPr>
              <w:id w:val="-1706551548"/>
            </w:sdtPr>
            <w:sdtEndPr/>
            <w:sdtContent>
              <w:r w:rsidR="00146C23" w:rsidRPr="00146C23">
                <w:rPr>
                  <w:rFonts w:ascii="Segoe UI Symbol" w:eastAsia="Calibri" w:hAnsi="Segoe UI Symbol" w:cs="Segoe UI Symbol"/>
                  <w:i/>
                  <w:lang w:eastAsia="en-US"/>
                </w:rPr>
                <w:t>☐</w:t>
              </w:r>
            </w:sdtContent>
          </w:sdt>
        </w:sdtContent>
      </w:sdt>
      <w:r w:rsidR="00146C23" w:rsidRPr="00146C23">
        <w:rPr>
          <w:rFonts w:eastAsia="Calibri" w:cs="Times New Roman"/>
          <w:i/>
          <w:lang w:eastAsia="en-US"/>
        </w:rPr>
        <w:t xml:space="preserve"> znižuje</w:t>
      </w:r>
    </w:p>
    <w:p w:rsidR="00146C23" w:rsidRPr="00146C23" w:rsidRDefault="00146C23" w:rsidP="00146C23">
      <w:pPr>
        <w:widowControl/>
        <w:adjustRightInd/>
        <w:spacing w:line="259" w:lineRule="auto"/>
        <w:jc w:val="both"/>
        <w:rPr>
          <w:rFonts w:eastAsia="Calibri" w:cs="Times New Roman"/>
          <w:i/>
          <w:lang w:eastAsia="en-US"/>
        </w:rPr>
      </w:pPr>
    </w:p>
    <w:p w:rsidR="00146C23" w:rsidRPr="00146C23" w:rsidRDefault="00146C23" w:rsidP="00146C23">
      <w:pPr>
        <w:widowControl/>
        <w:adjustRightInd/>
        <w:spacing w:line="259" w:lineRule="auto"/>
        <w:jc w:val="both"/>
        <w:rPr>
          <w:rFonts w:eastAsia="Calibri" w:cs="Times New Roman"/>
          <w:b/>
          <w:i/>
          <w:lang w:eastAsia="en-US"/>
        </w:rPr>
      </w:pPr>
      <w:r w:rsidRPr="00146C23">
        <w:rPr>
          <w:rFonts w:eastAsia="Calibri" w:cs="Times New Roman"/>
          <w:b/>
          <w:i/>
          <w:lang w:eastAsia="en-US"/>
        </w:rPr>
        <w:t>Produktivita:</w:t>
      </w:r>
    </w:p>
    <w:p w:rsidR="00146C23" w:rsidRPr="00146C23" w:rsidRDefault="00146C23" w:rsidP="00146C23">
      <w:pPr>
        <w:widowControl/>
        <w:adjustRightInd/>
        <w:spacing w:line="259" w:lineRule="auto"/>
        <w:jc w:val="both"/>
        <w:rPr>
          <w:rFonts w:eastAsia="Calibri" w:cs="Times New Roman"/>
          <w:i/>
          <w:lang w:eastAsia="en-US"/>
        </w:rPr>
      </w:pPr>
      <w:r w:rsidRPr="00146C23">
        <w:rPr>
          <w:rFonts w:eastAsia="Calibri" w:cs="Times New Roman"/>
          <w:i/>
          <w:lang w:eastAsia="en-US"/>
        </w:rPr>
        <w:t xml:space="preserve">Aký má materiál vplyv na zmenu pomeru medzi produkciou podnikov a ich nákladmi? </w:t>
      </w:r>
    </w:p>
    <w:p w:rsidR="00146C23" w:rsidRPr="00146C23" w:rsidRDefault="00146C23" w:rsidP="00146C23">
      <w:pPr>
        <w:widowControl/>
        <w:adjustRightInd/>
        <w:spacing w:line="259" w:lineRule="auto"/>
        <w:jc w:val="both"/>
        <w:rPr>
          <w:rFonts w:eastAsia="Calibri" w:cs="Times New Roman"/>
          <w:i/>
          <w:lang w:eastAsia="en-US"/>
        </w:rPr>
      </w:pPr>
    </w:p>
    <w:p w:rsidR="00146C23" w:rsidRPr="00146C23" w:rsidRDefault="00146C23" w:rsidP="00146C23">
      <w:pPr>
        <w:widowControl/>
        <w:adjustRightInd/>
        <w:spacing w:line="259" w:lineRule="auto"/>
        <w:jc w:val="both"/>
        <w:rPr>
          <w:rFonts w:eastAsia="Calibri" w:cs="Times New Roman"/>
          <w:i/>
          <w:lang w:eastAsia="en-US"/>
        </w:rPr>
      </w:pPr>
      <w:r w:rsidRPr="00146C23">
        <w:rPr>
          <w:rFonts w:eastAsia="Calibri" w:cs="Times New Roman"/>
          <w:i/>
          <w:lang w:eastAsia="en-US"/>
        </w:rPr>
        <w:t>Na základe uvedenej odpovede zaškrtnite a popíšte, či materiál produktivitu:</w:t>
      </w:r>
    </w:p>
    <w:p w:rsidR="00146C23" w:rsidRPr="00146C23" w:rsidRDefault="00D22762" w:rsidP="00146C23">
      <w:pPr>
        <w:widowControl/>
        <w:adjustRightInd/>
        <w:spacing w:line="259" w:lineRule="auto"/>
        <w:jc w:val="both"/>
        <w:rPr>
          <w:rFonts w:eastAsia="Calibri" w:cs="Times New Roman"/>
          <w:i/>
          <w:lang w:eastAsia="en-US"/>
        </w:rPr>
      </w:pPr>
      <w:sdt>
        <w:sdtPr>
          <w:rPr>
            <w:rFonts w:eastAsia="Calibri" w:cs="Times New Roman"/>
            <w:i/>
            <w:lang w:eastAsia="en-US"/>
          </w:rPr>
          <w:id w:val="-1545903528"/>
        </w:sdtPr>
        <w:sdtEndPr/>
        <w:sdtContent>
          <w:sdt>
            <w:sdtPr>
              <w:rPr>
                <w:rFonts w:eastAsia="Calibri" w:cs="Times New Roman"/>
                <w:i/>
                <w:lang w:eastAsia="en-US"/>
              </w:rPr>
              <w:id w:val="825715010"/>
            </w:sdtPr>
            <w:sdtEndPr/>
            <w:sdtContent>
              <w:r w:rsidR="00146C23" w:rsidRPr="00146C23">
                <w:rPr>
                  <w:rFonts w:ascii="Segoe UI Symbol" w:eastAsia="Calibri" w:hAnsi="Segoe UI Symbol" w:cs="Segoe UI Symbol"/>
                  <w:i/>
                  <w:lang w:eastAsia="en-US"/>
                </w:rPr>
                <w:t>☐</w:t>
              </w:r>
            </w:sdtContent>
          </w:sdt>
        </w:sdtContent>
      </w:sdt>
      <w:r w:rsidR="00146C23" w:rsidRPr="00146C23">
        <w:rPr>
          <w:rFonts w:eastAsia="Calibri" w:cs="Times New Roman"/>
          <w:i/>
          <w:lang w:eastAsia="en-US"/>
        </w:rPr>
        <w:t xml:space="preserve"> zvyšuje  </w:t>
      </w:r>
      <w:r w:rsidR="00146C23" w:rsidRPr="00146C23">
        <w:rPr>
          <w:rFonts w:eastAsia="Calibri" w:cs="Times New Roman"/>
          <w:i/>
          <w:lang w:eastAsia="en-US"/>
        </w:rPr>
        <w:tab/>
      </w:r>
      <w:sdt>
        <w:sdtPr>
          <w:rPr>
            <w:rFonts w:eastAsia="Calibri" w:cs="Times New Roman"/>
            <w:i/>
            <w:lang w:eastAsia="en-US"/>
          </w:rPr>
          <w:id w:val="-353966921"/>
        </w:sdtPr>
        <w:sdtEndPr/>
        <w:sdtContent>
          <w:sdt>
            <w:sdtPr>
              <w:rPr>
                <w:rFonts w:eastAsia="Calibri" w:cs="Times New Roman"/>
                <w:i/>
                <w:lang w:eastAsia="en-US"/>
              </w:rPr>
              <w:id w:val="-1222205104"/>
            </w:sdtPr>
            <w:sdtEndPr/>
            <w:sdtContent>
              <w:r w:rsidR="00146C23" w:rsidRPr="00146C23">
                <w:rPr>
                  <w:rFonts w:eastAsia="Calibri" w:cs="Times New Roman"/>
                  <w:i/>
                  <w:lang w:eastAsia="en-US"/>
                </w:rPr>
                <w:t>X</w:t>
              </w:r>
            </w:sdtContent>
          </w:sdt>
        </w:sdtContent>
      </w:sdt>
      <w:r w:rsidR="00146C23" w:rsidRPr="00146C23">
        <w:rPr>
          <w:rFonts w:eastAsia="Calibri" w:cs="Times New Roman"/>
          <w:i/>
          <w:lang w:eastAsia="en-US"/>
        </w:rPr>
        <w:t xml:space="preserve"> nemení</w:t>
      </w:r>
      <w:r w:rsidR="00146C23" w:rsidRPr="00146C23">
        <w:rPr>
          <w:rFonts w:eastAsia="Calibri" w:cs="Times New Roman"/>
          <w:i/>
          <w:lang w:eastAsia="en-US"/>
        </w:rPr>
        <w:tab/>
      </w:r>
      <w:sdt>
        <w:sdtPr>
          <w:rPr>
            <w:rFonts w:eastAsia="Calibri" w:cs="Times New Roman"/>
            <w:i/>
            <w:lang w:eastAsia="en-US"/>
          </w:rPr>
          <w:id w:val="-1457723544"/>
        </w:sdtPr>
        <w:sdtEndPr/>
        <w:sdtContent>
          <w:sdt>
            <w:sdtPr>
              <w:rPr>
                <w:rFonts w:eastAsia="Calibri" w:cs="Times New Roman"/>
                <w:i/>
                <w:lang w:eastAsia="en-US"/>
              </w:rPr>
              <w:id w:val="-623767955"/>
            </w:sdtPr>
            <w:sdtEndPr/>
            <w:sdtContent>
              <w:r w:rsidR="00146C23" w:rsidRPr="00146C23">
                <w:rPr>
                  <w:rFonts w:ascii="Segoe UI Symbol" w:eastAsia="Calibri" w:hAnsi="Segoe UI Symbol" w:cs="Segoe UI Symbol"/>
                  <w:i/>
                  <w:lang w:eastAsia="en-US"/>
                </w:rPr>
                <w:t>☐</w:t>
              </w:r>
            </w:sdtContent>
          </w:sdt>
        </w:sdtContent>
      </w:sdt>
      <w:r w:rsidR="00146C23" w:rsidRPr="00146C23">
        <w:rPr>
          <w:rFonts w:eastAsia="Calibri" w:cs="Times New Roman"/>
          <w:i/>
          <w:lang w:eastAsia="en-US"/>
        </w:rPr>
        <w:t xml:space="preserve"> znižuje</w:t>
      </w:r>
    </w:p>
    <w:p w:rsidR="00146C23" w:rsidRPr="00146C23" w:rsidRDefault="00146C23" w:rsidP="00146C23">
      <w:pPr>
        <w:widowControl/>
        <w:adjustRightInd/>
        <w:spacing w:line="259" w:lineRule="auto"/>
        <w:jc w:val="both"/>
        <w:rPr>
          <w:rFonts w:eastAsia="Calibri" w:cs="Times New Roman"/>
          <w:i/>
          <w:lang w:eastAsia="en-US"/>
        </w:rPr>
      </w:pPr>
    </w:p>
    <w:p w:rsidR="00146C23" w:rsidRPr="00146C23" w:rsidRDefault="00146C23" w:rsidP="00146C23">
      <w:pPr>
        <w:widowControl/>
        <w:adjustRightInd/>
        <w:spacing w:after="160" w:line="259" w:lineRule="auto"/>
        <w:jc w:val="both"/>
        <w:rPr>
          <w:rFonts w:eastAsia="Calibri" w:cs="Times New Roman"/>
          <w:b/>
          <w:lang w:eastAsia="en-US"/>
        </w:rPr>
      </w:pPr>
      <w:r w:rsidRPr="00146C23">
        <w:rPr>
          <w:rFonts w:eastAsia="Calibri" w:cs="Times New Roman"/>
          <w:b/>
          <w:lang w:eastAsia="en-US"/>
        </w:rPr>
        <w:t xml:space="preserve">3.4  Iné vplyvy na podnikateľské prostredie </w:t>
      </w:r>
    </w:p>
    <w:p w:rsidR="00146C23" w:rsidRPr="00146C23" w:rsidRDefault="00146C23" w:rsidP="00146C23">
      <w:pPr>
        <w:widowControl/>
        <w:adjustRightInd/>
        <w:spacing w:after="160" w:line="259" w:lineRule="auto"/>
        <w:jc w:val="both"/>
        <w:rPr>
          <w:rFonts w:eastAsia="Calibri" w:cs="Times New Roman"/>
          <w:lang w:eastAsia="en-US"/>
        </w:rPr>
      </w:pPr>
      <w:r w:rsidRPr="00146C23">
        <w:rPr>
          <w:rFonts w:eastAsia="Calibri" w:cs="Times New Roman"/>
          <w:bCs/>
          <w:iCs/>
          <w:lang w:eastAsia="en-US"/>
        </w:rPr>
        <w:t>Návrh zákona implementuje alebo čiastočne implementuje viaceré európske právne predpisy</w:t>
      </w:r>
      <w:r w:rsidRPr="00146C23">
        <w:rPr>
          <w:rFonts w:eastAsia="Calibri" w:cs="Times New Roman"/>
          <w:lang w:eastAsia="en-US"/>
        </w:rPr>
        <w:t>, pričom sa obmedzuje len na implementáciu v rozsahu doplnenia nevyhnutnej právnej úpravy pre aplikovateľnosť a vymáhateľnosť nariadení. Práva o povinnosti hospodárskych subjektov sú obsiahnuté priamo v nariadeniach EÚ.</w:t>
      </w:r>
    </w:p>
    <w:p w:rsidR="002D14AA" w:rsidRDefault="002D14AA" w:rsidP="00146C23">
      <w:pPr>
        <w:widowControl/>
        <w:adjustRightInd/>
        <w:spacing w:after="160" w:line="259" w:lineRule="auto"/>
        <w:jc w:val="both"/>
        <w:rPr>
          <w:rFonts w:eastAsia="Calibri" w:cs="Times New Roman"/>
          <w:lang w:eastAsia="en-US"/>
        </w:rPr>
      </w:pPr>
    </w:p>
    <w:p w:rsidR="002D14AA" w:rsidRDefault="002D14AA" w:rsidP="00146C23">
      <w:pPr>
        <w:widowControl/>
        <w:adjustRightInd/>
        <w:spacing w:after="160" w:line="259" w:lineRule="auto"/>
        <w:jc w:val="both"/>
        <w:rPr>
          <w:rFonts w:eastAsia="Calibri" w:cs="Times New Roman"/>
          <w:lang w:eastAsia="en-US"/>
        </w:rPr>
      </w:pPr>
    </w:p>
    <w:p w:rsidR="00146C23" w:rsidRPr="00146C23" w:rsidRDefault="00146C23" w:rsidP="00146C23">
      <w:pPr>
        <w:widowControl/>
        <w:adjustRightInd/>
        <w:spacing w:after="160" w:line="259" w:lineRule="auto"/>
        <w:jc w:val="both"/>
        <w:rPr>
          <w:rFonts w:eastAsia="Calibri" w:cs="Times New Roman"/>
          <w:lang w:eastAsia="en-US"/>
        </w:rPr>
      </w:pPr>
      <w:r w:rsidRPr="00146C23">
        <w:rPr>
          <w:rFonts w:eastAsia="Calibri" w:cs="Times New Roman"/>
          <w:lang w:eastAsia="en-US"/>
        </w:rPr>
        <w:t>Návrh zákona v časti týkajúcej sa implementácie nariadenia (EÚ) 2023/1542 v platnom znení bude mať pozitívny vplyv na hospodárske subjekty,  ktoré sa zaoberajú výrobou, distribúciou a dovozom batérií. Úrad taktiež očakáva pozitívny vplyv smerom k činnosti AO/NO v oblasti  posudzovania zhody batérií, a to rozšíreným podnikateľského portfólia vo vzťahu k existujúcim AO/NO ale aj vo vzťahu k založeniu nových AO/NO, ktoré budú vykonávať posúdenie zhody v tejto oblasti. V súčasnosti nie je možné aktuálne kvantitatívne vymedziť presný počet podnikateľských subjektov, na ktoré bude mať implementácia nariadenia pozitívny vplyv, nakoľko ide o široké spektrum podnikateľských subjektov a jasné určenie by mohlo spôsobiť skreslenie výsledkov. Jednotlivé ustanovenia nariadenia sa budú uplatňovať postupne podľa účinnosti uvedenej v článku 96 nariadenia 2023/1542 v platnom znení, pričom vyhodnotenie výsledkov bude možné identifikovať až zavedením do praxe. Návrhom zákona sa neimplementuje časť, ktorá sa tyká zberu a spracovania použitých batérií, preto v tomto prípade neboli identifikované žiadne vplyvy na podnikateľské prostredie v tejto časti.</w:t>
      </w:r>
    </w:p>
    <w:p w:rsidR="00146C23" w:rsidRPr="00146C23" w:rsidRDefault="00146C23" w:rsidP="00146C23">
      <w:pPr>
        <w:widowControl/>
        <w:adjustRightInd/>
        <w:spacing w:after="160" w:line="259" w:lineRule="auto"/>
        <w:jc w:val="both"/>
        <w:rPr>
          <w:rFonts w:cs="Times New Roman"/>
        </w:rPr>
      </w:pPr>
      <w:r w:rsidRPr="00146C23">
        <w:rPr>
          <w:rFonts w:eastAsia="Calibri" w:cs="Times New Roman"/>
          <w:lang w:eastAsia="en-US"/>
        </w:rPr>
        <w:t xml:space="preserve">V prípade implementácie nariadenia (EÚ) 2023/1230 v platnom znení cez návrh zákona </w:t>
      </w:r>
      <w:r w:rsidRPr="00146C23">
        <w:rPr>
          <w:rFonts w:cs="Times New Roman"/>
        </w:rPr>
        <w:t xml:space="preserve">sa očakávajú pozitívne aj negatívne vplyvy na podnikateľské prostredie. Pozitívne vplyvy sa očakávajú vo vzťahu k hospodárskym subjektom, ktoré vyrábajú strojové zariadenia a vo vzťahu k AO/NO, ktoré sa podieľajú na výkone posúdenia zhody. </w:t>
      </w:r>
      <w:r w:rsidRPr="00146C23">
        <w:rPr>
          <w:rFonts w:eastAsia="Calibri" w:cs="Times New Roman"/>
          <w:lang w:eastAsia="en-US"/>
        </w:rPr>
        <w:t>V prípade hospodárskych subjektov sa konkrétne predpokladá zníženie nákladov na tlač v prípade digitálnej dokumentácie a v prípade AO/NO sa predpokladá zníženie nákladov na uchovávanie príručiek, zvýšenie obratu v prípade portfólia strojových zariadení podľa prílohy IV, ktoré sa v súčasnosti posudzujú prostredníctvom vnútorných kontrol.</w:t>
      </w:r>
      <w:r w:rsidRPr="00146C23">
        <w:rPr>
          <w:rFonts w:cs="Times New Roman"/>
        </w:rPr>
        <w:t xml:space="preserve"> Konkrétny výpočet však nie je možné vykonať, pretože nie možné vyhodnotiť, koľko podnikateľských subjektov sa rozhodne vykonávať túto činnosť a výsledky by neodzrkadľovali aktuálny stav. Presne výpočty bude možné uskutočniť až zavedením do aplikačnej praxe. Všetky AO/NO členských štátov budú disponovať rovnakým výkladom nariadenia (EU) 2023/1230 v platnom znení, čo bude mať pozitívny vplyv pre vytvorenie rovnakých trhových podmienok, čo prispeje k stabilite trhu pre všetky AO/NO na území EÚ. Negatívne vplyvy možno vyhodnotiť len čiastočne, a to vo vzťahu k hospodárskym subjektom, kde sa očakávajú len menšie jednorazové náklady pri zapracovaní nových pravidiel posudzovania zhody, náklady na údržbu servisu a iné menšie náklady, ktoré sú v porovnaní s pozitívnymi vplyvmi na podnikateľské prostredie zanedbateľné. Tieto náklady bude možne kvalifikovať až po uplatnení v aplikačnej praxi.</w:t>
      </w:r>
    </w:p>
    <w:p w:rsidR="002D14AA" w:rsidRDefault="00146C23" w:rsidP="00146C23">
      <w:pPr>
        <w:widowControl/>
        <w:adjustRightInd/>
        <w:spacing w:after="160" w:line="259" w:lineRule="auto"/>
        <w:jc w:val="both"/>
        <w:rPr>
          <w:rFonts w:eastAsia="Calibri" w:cs="Times New Roman"/>
          <w:lang w:eastAsia="en-US"/>
        </w:rPr>
      </w:pPr>
      <w:r w:rsidRPr="00146C23">
        <w:rPr>
          <w:rFonts w:eastAsia="Calibri" w:cs="Times New Roman"/>
          <w:lang w:eastAsia="en-US"/>
        </w:rPr>
        <w:t>V prípade implementácie nariadenia (EÚ) 2024/1252 sa implementuje len časť týkajúca sa permanentných magnetov a analýza vplyvov sa zaoberá len touto časťou. Čiastočnou implementáciou nariadenia (EÚ) 2024/1252 sa očakáva, že bude mať pozitívne vplyvy na podnikateľské prostredie, pretože hlavným cieľom je vytvorenie priaznivých podmienok pre zabezpečenie bežných a udržateľných dodávok kritických surovín. Cieľom je vytvoriť priaznivé podmienky pre podnikateľské subjekty zapojené do dodávateľských reťazcov v oblastiach ťažby, spracovania a recyklácie definovaných kritických a strategických surovín. Rámec podporuje rozvoj surovín kľúčových pre zelenú a digitálnu transformáciu. Zameraním na diverzifikáciu dodávok týchto surovín sa znižuje závislosť EÚ od dovozu z tretích krajín a zároveň sa vytvárajú nové príležitosti pre podnikateľské subjekty. Tento prístup podporuje udržateľný rast, inovácie a stabilitu trhu, čím prispieva k vytváraniu priaznivého podnikateľského prostredia v kľúčových sektoroch. Pozitívny vplyv sa očakáva na rast hospodárstva a zníženie strategickej závislosti, pričom vzniká priestor pre nové podnikateľské príležitosti, najmä v oblasti trhu s kritickými surovinami, ako sú permanentné magnety. Tieto zmeny podporia vznik a rozvoj nových podnikateľských subjektov, ktoré sa budú môcť zapojiť</w:t>
      </w:r>
    </w:p>
    <w:p w:rsidR="00D22762" w:rsidRDefault="00146C23" w:rsidP="00146C23">
      <w:pPr>
        <w:widowControl/>
        <w:adjustRightInd/>
        <w:spacing w:after="160" w:line="259" w:lineRule="auto"/>
        <w:jc w:val="both"/>
        <w:rPr>
          <w:rFonts w:eastAsia="Calibri" w:cs="Times New Roman"/>
          <w:lang w:eastAsia="en-US"/>
        </w:rPr>
      </w:pPr>
      <w:r w:rsidRPr="00146C23">
        <w:rPr>
          <w:rFonts w:eastAsia="Calibri" w:cs="Times New Roman"/>
          <w:lang w:eastAsia="en-US"/>
        </w:rPr>
        <w:t xml:space="preserve"> </w:t>
      </w:r>
    </w:p>
    <w:p w:rsidR="00D22762" w:rsidRDefault="00D22762" w:rsidP="00146C23">
      <w:pPr>
        <w:widowControl/>
        <w:adjustRightInd/>
        <w:spacing w:after="160" w:line="259" w:lineRule="auto"/>
        <w:jc w:val="both"/>
        <w:rPr>
          <w:rFonts w:eastAsia="Calibri" w:cs="Times New Roman"/>
          <w:lang w:eastAsia="en-US"/>
        </w:rPr>
      </w:pPr>
    </w:p>
    <w:p w:rsidR="00146C23" w:rsidRPr="00146C23" w:rsidRDefault="00146C23" w:rsidP="00D22762">
      <w:pPr>
        <w:widowControl/>
        <w:adjustRightInd/>
        <w:spacing w:line="259" w:lineRule="auto"/>
        <w:jc w:val="both"/>
        <w:rPr>
          <w:rFonts w:eastAsia="Calibri" w:cs="Times New Roman"/>
          <w:lang w:eastAsia="en-US"/>
        </w:rPr>
      </w:pPr>
      <w:r w:rsidRPr="00146C23">
        <w:rPr>
          <w:rFonts w:eastAsia="Calibri" w:cs="Times New Roman"/>
          <w:lang w:eastAsia="en-US"/>
        </w:rPr>
        <w:t>do spracovania a recyklácie permanentných magnetov, čím sa vytvoria príležitosti v</w:t>
      </w:r>
      <w:r w:rsidR="00D22762">
        <w:rPr>
          <w:rFonts w:eastAsia="Calibri" w:cs="Times New Roman"/>
          <w:lang w:eastAsia="en-US"/>
        </w:rPr>
        <w:t> </w:t>
      </w:r>
      <w:r w:rsidRPr="00146C23">
        <w:rPr>
          <w:rFonts w:eastAsia="Calibri" w:cs="Times New Roman"/>
          <w:lang w:eastAsia="en-US"/>
        </w:rPr>
        <w:t>oblasti</w:t>
      </w:r>
      <w:r w:rsidR="00D22762">
        <w:rPr>
          <w:rFonts w:eastAsia="Calibri" w:cs="Times New Roman"/>
          <w:lang w:eastAsia="en-US"/>
        </w:rPr>
        <w:t xml:space="preserve"> </w:t>
      </w:r>
      <w:r w:rsidRPr="00146C23">
        <w:rPr>
          <w:rFonts w:eastAsia="Calibri" w:cs="Times New Roman"/>
          <w:lang w:eastAsia="en-US"/>
        </w:rPr>
        <w:t xml:space="preserve">vytvorenia malých a stredných podnikov, zároveň sa podporia už existujúce malé a stredné podniky. Bližšie výpočty bude možné vyhodnotiť až sledovaním vývoja po zavedení do praxe. Z hľadiska negatívnych vplyvov sa očakáva vyššie administratívne zaťaženie pre podnikateľské prostredie v súvislosti s povinnosťou poskytovať informácie Európskej komisii. Rovnako sa predpokladajú nižšie náklady spojené so zabezpečením požadovaných označení a poskytovaním informácií o obsahu permanentných magnetov. Zvýšenie nákladov sa predpokladá u fyzických a právnických osôb, ktoré uvádzajú na trh zariadenia využívajúce permanentné magnety. Tieto povinnosti sa týkajú širokého spektra produktov, ako sú napr. zariadenia na zobrazovanie magnetickou rezonanciou, zariadenia na výrobu veternej energie, priemyselné roboty, motorové vozidlá, ľahké dopravné prostriedky, chladiace zariadenia, tepelné čerpadlá, atď. Napriek tomu, že sa zavedú povinnosti, ktoré o nezanedbateľné množstvo zvýšia náklady podnikateľským subjektom (ktoré ešte nie je možné identifikovať), tak sa zároveň pozitívne zvýši podnikateľský zisk z hľadiska aplikácie obchodných činností v tejto oblasti, pretože náklady na tieto povinnosti sú relatívne nízke a prispievajú k transparentnosti a udržateľnosti výrobkov na trhu. Čo sa týka negatívneho vplyvu na podnikateľské prostredie možno hypotetický predpokladať, že pôjde o zavedenie nových povinností, ktoré predstavujú aj zvýšenie administratívnej záťaže pre podniky, ktoré budú musieť zabezpečiť označenie s presne definovanými informáciami o obsahu permanentných magnetov, a taktiež povinnosť zverejniť podiel </w:t>
      </w:r>
      <w:proofErr w:type="spellStart"/>
      <w:r w:rsidRPr="00146C23">
        <w:rPr>
          <w:rFonts w:eastAsia="Calibri" w:cs="Times New Roman"/>
          <w:lang w:eastAsia="en-US"/>
        </w:rPr>
        <w:t>neodýmu</w:t>
      </w:r>
      <w:proofErr w:type="spellEnd"/>
      <w:r w:rsidRPr="00146C23">
        <w:rPr>
          <w:rFonts w:eastAsia="Calibri" w:cs="Times New Roman"/>
          <w:lang w:eastAsia="en-US"/>
        </w:rPr>
        <w:t xml:space="preserve">, </w:t>
      </w:r>
      <w:proofErr w:type="spellStart"/>
      <w:r w:rsidRPr="00146C23">
        <w:rPr>
          <w:rFonts w:eastAsia="Calibri" w:cs="Times New Roman"/>
          <w:lang w:eastAsia="en-US"/>
        </w:rPr>
        <w:t>dysprózia</w:t>
      </w:r>
      <w:proofErr w:type="spellEnd"/>
      <w:r w:rsidRPr="00146C23">
        <w:rPr>
          <w:rFonts w:eastAsia="Calibri" w:cs="Times New Roman"/>
          <w:lang w:eastAsia="en-US"/>
        </w:rPr>
        <w:t xml:space="preserve">, </w:t>
      </w:r>
      <w:proofErr w:type="spellStart"/>
      <w:r w:rsidRPr="00146C23">
        <w:rPr>
          <w:rFonts w:eastAsia="Calibri" w:cs="Times New Roman"/>
          <w:lang w:eastAsia="en-US"/>
        </w:rPr>
        <w:t>prazeodýmu</w:t>
      </w:r>
      <w:proofErr w:type="spellEnd"/>
      <w:r w:rsidRPr="00146C23">
        <w:rPr>
          <w:rFonts w:eastAsia="Calibri" w:cs="Times New Roman"/>
          <w:lang w:eastAsia="en-US"/>
        </w:rPr>
        <w:t xml:space="preserve">, </w:t>
      </w:r>
      <w:proofErr w:type="spellStart"/>
      <w:r w:rsidRPr="00146C23">
        <w:rPr>
          <w:rFonts w:eastAsia="Calibri" w:cs="Times New Roman"/>
          <w:lang w:eastAsia="en-US"/>
        </w:rPr>
        <w:t>terbia</w:t>
      </w:r>
      <w:proofErr w:type="spellEnd"/>
      <w:r w:rsidRPr="00146C23">
        <w:rPr>
          <w:rFonts w:eastAsia="Calibri" w:cs="Times New Roman"/>
          <w:lang w:eastAsia="en-US"/>
        </w:rPr>
        <w:t xml:space="preserve">, bóru, </w:t>
      </w:r>
      <w:proofErr w:type="spellStart"/>
      <w:r w:rsidRPr="00146C23">
        <w:rPr>
          <w:rFonts w:eastAsia="Calibri" w:cs="Times New Roman"/>
          <w:lang w:eastAsia="en-US"/>
        </w:rPr>
        <w:t>samária</w:t>
      </w:r>
      <w:proofErr w:type="spellEnd"/>
      <w:r w:rsidRPr="00146C23">
        <w:rPr>
          <w:rFonts w:eastAsia="Calibri" w:cs="Times New Roman"/>
          <w:lang w:eastAsia="en-US"/>
        </w:rPr>
        <w:t>, niklu a kobaltu spätne získaného zo spotrebiteľského odpadu, ktorý je prítomný v permanentných magnetoch obsiahnutých vo výrobku. Vzhľadom na aktuálnu situáciu nie je možné presne určiť, koľkých podnikateľských subjektov sa tieto povinnosti dotknú, nakoľko to bude závisieť od počtu subjektov zapojených do dodávateľských reťazcov kritických surovín, v tomto príde permanentných magnetov. Pozitívny vplyv sa očakáva na konkurencieschopnosť a rast hospodárstva, zníženie strategickej závislosti a zabezpečenie rozvoja trhu s druhotnými surovinami – permanentné magnety, čím sa v tejto časti vytvára aj priestor pre nové podnikateľské príležitosti.</w:t>
      </w:r>
      <w:r w:rsidRPr="00146C23">
        <w:rPr>
          <w:rFonts w:eastAsia="Calibri" w:cs="Times New Roman"/>
          <w:b/>
          <w:lang w:eastAsia="en-US"/>
        </w:rPr>
        <w:t xml:space="preserve"> </w:t>
      </w:r>
    </w:p>
    <w:p w:rsidR="00146C23" w:rsidRDefault="00146C23" w:rsidP="00D22762">
      <w:pPr>
        <w:widowControl/>
        <w:adjustRightInd/>
        <w:spacing w:after="160" w:line="259" w:lineRule="auto"/>
        <w:jc w:val="both"/>
        <w:rPr>
          <w:rFonts w:eastAsia="Calibri" w:cs="Times New Roman"/>
          <w:lang w:eastAsia="en-US"/>
        </w:rPr>
      </w:pPr>
      <w:r w:rsidRPr="00146C23">
        <w:rPr>
          <w:rFonts w:eastAsia="Calibri" w:cs="Times New Roman"/>
          <w:lang w:eastAsia="en-US"/>
        </w:rPr>
        <w:t>V súvislosti s čiastočnou implementáciou aktu</w:t>
      </w:r>
      <w:bookmarkStart w:id="1" w:name="_GoBack"/>
      <w:bookmarkEnd w:id="1"/>
      <w:r w:rsidRPr="00146C23">
        <w:rPr>
          <w:rFonts w:eastAsia="Calibri" w:cs="Times New Roman"/>
          <w:lang w:eastAsia="en-US"/>
        </w:rPr>
        <w:t xml:space="preserve"> o kybernetickej odolnosti a aktu o umelej inteligencii</w:t>
      </w:r>
      <w:r w:rsidRPr="00146C23" w:rsidDel="00A53813">
        <w:rPr>
          <w:rFonts w:cs="Times New Roman"/>
        </w:rPr>
        <w:t xml:space="preserve"> </w:t>
      </w:r>
      <w:r w:rsidRPr="00146C23">
        <w:rPr>
          <w:rFonts w:eastAsia="Calibri" w:cs="Times New Roman"/>
          <w:lang w:eastAsia="en-US"/>
        </w:rPr>
        <w:t>úrad očakáva pozitívne vplyvy na podnikateľské prostredie, a to rozšírením podnikateľského portfólia vo vzťahu k existujúcim NO, ale aj vo vzťahu k založeniu nových NO, ktoré budú vykonať posúdenie zhody v tejto oblasti. Napriek tomu úrad tieto pozitívne vplyvy nevie výpočtom kvalifikovať, pretože pôjde o proces posúdenia zhody, ktorý bude nový z hľadiska inovácii a úrad nevie vyhodnotiť, ktoré AO/NO budú mať dostatočné odborné, personálne a finančné zabezpečenie na výkon posúdenia zhody v tejto oblasti. V ostatných častiach aktu o umelej inteligencii má byť implementácia zabezpečená prostredníctvom legislatívy, ktorú bude pripravovať Ministerstvo investícii regionálneho rozvoja a informatizácie Slovenskej republiky, ktoré je ďalším gestorom tohto predpisu a v prípade aktu o kybernetickej odolnosti má  byť implementácia zabezpečená prostredníctvom legislatívy, ktorú bude pripravovať</w:t>
      </w:r>
      <w:r w:rsidRPr="00146C23" w:rsidDel="00F1147A">
        <w:rPr>
          <w:rFonts w:eastAsia="Calibri" w:cs="Times New Roman"/>
          <w:lang w:eastAsia="en-US"/>
        </w:rPr>
        <w:t xml:space="preserve"> </w:t>
      </w:r>
      <w:r w:rsidRPr="00146C23">
        <w:rPr>
          <w:rFonts w:eastAsia="Calibri" w:cs="Times New Roman"/>
          <w:lang w:eastAsia="en-US"/>
        </w:rPr>
        <w:t>Národný bezpečnostný úrad, ktorý je ďalším gestorom tohto predpisu a preto v tomto prípade neboli identifikované  žiadne ďalšie vplyvy na podnikateľské prostredie.</w:t>
      </w:r>
    </w:p>
    <w:p w:rsidR="00146C23" w:rsidRDefault="00146C23" w:rsidP="00146C23">
      <w:pPr>
        <w:widowControl/>
        <w:adjustRightInd/>
        <w:spacing w:after="160" w:line="259" w:lineRule="auto"/>
        <w:jc w:val="both"/>
        <w:rPr>
          <w:rFonts w:eastAsia="Calibri" w:cs="Times New Roman"/>
          <w:lang w:eastAsia="en-US"/>
        </w:rPr>
      </w:pPr>
    </w:p>
    <w:p w:rsidR="00146C23" w:rsidRDefault="00146C23">
      <w:pPr>
        <w:widowControl/>
        <w:adjustRightInd/>
        <w:rPr>
          <w:rFonts w:eastAsia="Calibri" w:cs="Times New Roman"/>
          <w:lang w:eastAsia="en-US"/>
        </w:rPr>
      </w:pPr>
      <w:r>
        <w:rPr>
          <w:rFonts w:eastAsia="Calibri" w:cs="Times New Roman"/>
          <w:lang w:eastAsia="en-US"/>
        </w:rPr>
        <w:br w:type="page"/>
      </w:r>
    </w:p>
    <w:p w:rsidR="002D14AA" w:rsidRDefault="002D14AA" w:rsidP="00146C23">
      <w:pPr>
        <w:widowControl/>
        <w:adjustRightInd/>
        <w:jc w:val="center"/>
        <w:rPr>
          <w:rFonts w:cs="Times New Roman"/>
          <w:b/>
          <w:bCs/>
          <w:sz w:val="28"/>
          <w:szCs w:val="28"/>
        </w:rPr>
      </w:pPr>
    </w:p>
    <w:p w:rsidR="002D14AA" w:rsidRDefault="002D14AA" w:rsidP="00146C23">
      <w:pPr>
        <w:widowControl/>
        <w:adjustRightInd/>
        <w:jc w:val="center"/>
        <w:rPr>
          <w:rFonts w:cs="Times New Roman"/>
          <w:b/>
          <w:bCs/>
          <w:sz w:val="28"/>
          <w:szCs w:val="28"/>
        </w:rPr>
      </w:pPr>
    </w:p>
    <w:p w:rsidR="00146C23" w:rsidRPr="00146C23" w:rsidRDefault="00146C23" w:rsidP="00146C23">
      <w:pPr>
        <w:widowControl/>
        <w:adjustRightInd/>
        <w:jc w:val="center"/>
        <w:rPr>
          <w:rFonts w:cs="Times New Roman"/>
          <w:b/>
          <w:bCs/>
          <w:sz w:val="28"/>
          <w:szCs w:val="28"/>
        </w:rPr>
      </w:pPr>
      <w:r w:rsidRPr="00146C23">
        <w:rPr>
          <w:rFonts w:cs="Times New Roman"/>
          <w:b/>
          <w:bCs/>
          <w:sz w:val="28"/>
          <w:szCs w:val="28"/>
        </w:rPr>
        <w:t>Analýza vplyvov na rozpočet verejnej správy,</w:t>
      </w:r>
    </w:p>
    <w:p w:rsidR="00146C23" w:rsidRPr="00146C23" w:rsidRDefault="00146C23" w:rsidP="00146C23">
      <w:pPr>
        <w:widowControl/>
        <w:adjustRightInd/>
        <w:jc w:val="center"/>
        <w:rPr>
          <w:rFonts w:cs="Times New Roman"/>
          <w:b/>
          <w:bCs/>
          <w:sz w:val="28"/>
          <w:szCs w:val="28"/>
        </w:rPr>
      </w:pPr>
      <w:r w:rsidRPr="00146C23">
        <w:rPr>
          <w:rFonts w:cs="Times New Roman"/>
          <w:b/>
          <w:bCs/>
          <w:sz w:val="28"/>
          <w:szCs w:val="28"/>
        </w:rPr>
        <w:t>na zamestnanosť vo verejnej správe a financovanie návrhu</w:t>
      </w:r>
    </w:p>
    <w:p w:rsidR="00146C23" w:rsidRPr="00146C23" w:rsidRDefault="00146C23" w:rsidP="00146C23">
      <w:pPr>
        <w:widowControl/>
        <w:adjustRightInd/>
        <w:rPr>
          <w:rFonts w:cs="Times New Roman"/>
          <w:b/>
          <w:bCs/>
        </w:rPr>
      </w:pPr>
    </w:p>
    <w:p w:rsidR="00146C23" w:rsidRPr="00146C23" w:rsidRDefault="00146C23" w:rsidP="00146C23">
      <w:pPr>
        <w:widowControl/>
        <w:adjustRightInd/>
        <w:rPr>
          <w:rFonts w:cs="Times New Roman"/>
          <w:b/>
          <w:bCs/>
        </w:rPr>
      </w:pPr>
      <w:r w:rsidRPr="00146C23">
        <w:rPr>
          <w:rFonts w:cs="Times New Roman"/>
          <w:b/>
          <w:bCs/>
        </w:rPr>
        <w:t>2.1 Zhrnutie vplyvov na rozpočet verejnej správy v návrhu</w:t>
      </w:r>
    </w:p>
    <w:p w:rsidR="00146C23" w:rsidRPr="00146C23" w:rsidRDefault="00146C23" w:rsidP="00146C23">
      <w:pPr>
        <w:widowControl/>
        <w:adjustRightInd/>
        <w:rPr>
          <w:rFonts w:cs="Times New Roman"/>
          <w:b/>
          <w:bCs/>
        </w:rPr>
      </w:pPr>
    </w:p>
    <w:p w:rsidR="00146C23" w:rsidRPr="00146C23" w:rsidRDefault="00146C23" w:rsidP="00146C23">
      <w:pPr>
        <w:widowControl/>
        <w:adjustRightInd/>
        <w:rPr>
          <w:rFonts w:cs="Times New Roman"/>
          <w:sz w:val="20"/>
          <w:szCs w:val="20"/>
        </w:rPr>
      </w:pPr>
      <w:r w:rsidRPr="00146C23">
        <w:rPr>
          <w:rFonts w:cs="Times New Roman"/>
          <w:sz w:val="20"/>
          <w:szCs w:val="20"/>
        </w:rPr>
        <w:t xml:space="preserve">Tabuľka č. 1/A </w:t>
      </w:r>
    </w:p>
    <w:p w:rsidR="002D14AA" w:rsidRPr="00146C23" w:rsidRDefault="002D14AA" w:rsidP="00146C23">
      <w:pPr>
        <w:widowControl/>
        <w:adjustRightInd/>
        <w:rPr>
          <w:rFonts w:cs="Times New Roman"/>
          <w:sz w:val="20"/>
          <w:szCs w:val="20"/>
        </w:rPr>
      </w:pPr>
    </w:p>
    <w:tbl>
      <w:tblPr>
        <w:tblW w:w="10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76"/>
        <w:gridCol w:w="1162"/>
        <w:gridCol w:w="1795"/>
        <w:gridCol w:w="1795"/>
        <w:gridCol w:w="1796"/>
      </w:tblGrid>
      <w:tr w:rsidR="00146C23" w:rsidRPr="00146C23" w:rsidTr="00146C23">
        <w:trPr>
          <w:cantSplit/>
          <w:trHeight w:val="172"/>
          <w:jc w:val="center"/>
        </w:trPr>
        <w:tc>
          <w:tcPr>
            <w:tcW w:w="4276" w:type="dxa"/>
            <w:vMerge w:val="restart"/>
            <w:shd w:val="clear" w:color="auto" w:fill="BFBFBF" w:themeFill="background1" w:themeFillShade="BF"/>
            <w:vAlign w:val="center"/>
          </w:tcPr>
          <w:p w:rsidR="00146C23" w:rsidRPr="00146C23" w:rsidRDefault="00146C23" w:rsidP="00146C23">
            <w:pPr>
              <w:widowControl/>
              <w:adjustRightInd/>
              <w:jc w:val="center"/>
              <w:rPr>
                <w:rFonts w:cs="Times New Roman"/>
                <w:b/>
                <w:bCs/>
              </w:rPr>
            </w:pPr>
            <w:bookmarkStart w:id="2" w:name="OLE_LINK1"/>
            <w:r w:rsidRPr="00146C23">
              <w:rPr>
                <w:rFonts w:cs="Times New Roman"/>
                <w:b/>
                <w:bCs/>
              </w:rPr>
              <w:t>Vplyvy na rozpočet verejnej správy</w:t>
            </w:r>
          </w:p>
        </w:tc>
        <w:tc>
          <w:tcPr>
            <w:tcW w:w="6548" w:type="dxa"/>
            <w:gridSpan w:val="4"/>
            <w:shd w:val="clear" w:color="auto" w:fill="BFBFBF" w:themeFill="background1" w:themeFillShade="BF"/>
            <w:vAlign w:val="center"/>
          </w:tcPr>
          <w:p w:rsidR="00146C23" w:rsidRPr="00146C23" w:rsidRDefault="00146C23" w:rsidP="00146C23">
            <w:pPr>
              <w:widowControl/>
              <w:adjustRightInd/>
              <w:jc w:val="center"/>
              <w:rPr>
                <w:rFonts w:cs="Times New Roman"/>
                <w:b/>
                <w:bCs/>
              </w:rPr>
            </w:pPr>
            <w:r w:rsidRPr="00146C23">
              <w:rPr>
                <w:rFonts w:cs="Times New Roman"/>
                <w:b/>
                <w:bCs/>
              </w:rPr>
              <w:t>Vplyv na rozpočet verejnej správy (v eurách)</w:t>
            </w:r>
          </w:p>
        </w:tc>
      </w:tr>
      <w:tr w:rsidR="00146C23" w:rsidRPr="00146C23" w:rsidTr="00146C23">
        <w:trPr>
          <w:cantSplit/>
          <w:trHeight w:val="62"/>
          <w:jc w:val="center"/>
        </w:trPr>
        <w:tc>
          <w:tcPr>
            <w:tcW w:w="4276" w:type="dxa"/>
            <w:vMerge/>
            <w:shd w:val="clear" w:color="auto" w:fill="BFBFBF" w:themeFill="background1" w:themeFillShade="BF"/>
            <w:vAlign w:val="center"/>
          </w:tcPr>
          <w:p w:rsidR="00146C23" w:rsidRPr="00146C23" w:rsidRDefault="00146C23" w:rsidP="00146C23">
            <w:pPr>
              <w:widowControl/>
              <w:adjustRightInd/>
              <w:jc w:val="center"/>
              <w:rPr>
                <w:rFonts w:cs="Times New Roman"/>
                <w:b/>
                <w:bCs/>
              </w:rPr>
            </w:pPr>
          </w:p>
        </w:tc>
        <w:tc>
          <w:tcPr>
            <w:tcW w:w="1162" w:type="dxa"/>
            <w:shd w:val="clear" w:color="auto" w:fill="BFBFBF" w:themeFill="background1" w:themeFillShade="BF"/>
            <w:vAlign w:val="center"/>
          </w:tcPr>
          <w:p w:rsidR="00146C23" w:rsidRPr="00146C23" w:rsidRDefault="00146C23" w:rsidP="00146C23">
            <w:pPr>
              <w:widowControl/>
              <w:adjustRightInd/>
              <w:jc w:val="center"/>
              <w:rPr>
                <w:rFonts w:cs="Times New Roman"/>
                <w:b/>
                <w:bCs/>
              </w:rPr>
            </w:pPr>
            <w:r w:rsidRPr="00146C23">
              <w:rPr>
                <w:rFonts w:cs="Times New Roman"/>
                <w:b/>
                <w:bCs/>
              </w:rPr>
              <w:t>2025</w:t>
            </w:r>
          </w:p>
        </w:tc>
        <w:tc>
          <w:tcPr>
            <w:tcW w:w="1795" w:type="dxa"/>
            <w:shd w:val="clear" w:color="auto" w:fill="BFBFBF" w:themeFill="background1" w:themeFillShade="BF"/>
            <w:vAlign w:val="center"/>
          </w:tcPr>
          <w:p w:rsidR="00146C23" w:rsidRPr="00146C23" w:rsidRDefault="00146C23" w:rsidP="00146C23">
            <w:pPr>
              <w:widowControl/>
              <w:adjustRightInd/>
              <w:jc w:val="center"/>
              <w:rPr>
                <w:rFonts w:cs="Times New Roman"/>
                <w:b/>
                <w:bCs/>
              </w:rPr>
            </w:pPr>
            <w:r w:rsidRPr="00146C23">
              <w:rPr>
                <w:rFonts w:cs="Times New Roman"/>
                <w:b/>
                <w:bCs/>
              </w:rPr>
              <w:t>2026</w:t>
            </w:r>
          </w:p>
        </w:tc>
        <w:tc>
          <w:tcPr>
            <w:tcW w:w="1795" w:type="dxa"/>
            <w:shd w:val="clear" w:color="auto" w:fill="BFBFBF" w:themeFill="background1" w:themeFillShade="BF"/>
            <w:vAlign w:val="center"/>
          </w:tcPr>
          <w:p w:rsidR="00146C23" w:rsidRPr="00146C23" w:rsidRDefault="00146C23" w:rsidP="00146C23">
            <w:pPr>
              <w:widowControl/>
              <w:adjustRightInd/>
              <w:jc w:val="center"/>
              <w:rPr>
                <w:rFonts w:cs="Times New Roman"/>
                <w:b/>
                <w:bCs/>
              </w:rPr>
            </w:pPr>
            <w:r w:rsidRPr="00146C23">
              <w:rPr>
                <w:rFonts w:cs="Times New Roman"/>
                <w:b/>
                <w:bCs/>
              </w:rPr>
              <w:t>2027</w:t>
            </w:r>
          </w:p>
        </w:tc>
        <w:tc>
          <w:tcPr>
            <w:tcW w:w="1795" w:type="dxa"/>
            <w:shd w:val="clear" w:color="auto" w:fill="BFBFBF" w:themeFill="background1" w:themeFillShade="BF"/>
            <w:vAlign w:val="center"/>
          </w:tcPr>
          <w:p w:rsidR="00146C23" w:rsidRPr="00146C23" w:rsidRDefault="00146C23" w:rsidP="00146C23">
            <w:pPr>
              <w:widowControl/>
              <w:adjustRightInd/>
              <w:jc w:val="center"/>
              <w:rPr>
                <w:rFonts w:cs="Times New Roman"/>
                <w:b/>
                <w:bCs/>
              </w:rPr>
            </w:pPr>
            <w:r w:rsidRPr="00146C23">
              <w:rPr>
                <w:rFonts w:cs="Times New Roman"/>
                <w:b/>
                <w:bCs/>
              </w:rPr>
              <w:t>2028</w:t>
            </w:r>
          </w:p>
        </w:tc>
      </w:tr>
      <w:tr w:rsidR="00146C23" w:rsidRPr="00146C23" w:rsidTr="00146C23">
        <w:trPr>
          <w:trHeight w:val="62"/>
          <w:jc w:val="center"/>
        </w:trPr>
        <w:tc>
          <w:tcPr>
            <w:tcW w:w="4276" w:type="dxa"/>
            <w:shd w:val="clear" w:color="auto" w:fill="C0C0C0"/>
            <w:noWrap/>
            <w:vAlign w:val="center"/>
          </w:tcPr>
          <w:p w:rsidR="00146C23" w:rsidRPr="00146C23" w:rsidRDefault="00146C23" w:rsidP="00146C23">
            <w:pPr>
              <w:widowControl/>
              <w:adjustRightInd/>
              <w:rPr>
                <w:rFonts w:cs="Times New Roman"/>
              </w:rPr>
            </w:pPr>
            <w:r w:rsidRPr="00146C23">
              <w:rPr>
                <w:rFonts w:cs="Times New Roman"/>
                <w:b/>
                <w:bCs/>
              </w:rPr>
              <w:t>Príjmy verejnej správy celkom</w:t>
            </w:r>
          </w:p>
        </w:tc>
        <w:tc>
          <w:tcPr>
            <w:tcW w:w="1162" w:type="dxa"/>
            <w:shd w:val="clear" w:color="auto" w:fill="C0C0C0"/>
            <w:vAlign w:val="center"/>
          </w:tcPr>
          <w:p w:rsidR="00146C23" w:rsidRPr="00146C23" w:rsidRDefault="00146C23" w:rsidP="00146C23">
            <w:pPr>
              <w:widowControl/>
              <w:adjustRightInd/>
              <w:jc w:val="right"/>
              <w:rPr>
                <w:rFonts w:cs="Times New Roman"/>
                <w:b/>
                <w:bCs/>
              </w:rPr>
            </w:pPr>
            <w:r w:rsidRPr="00146C23">
              <w:rPr>
                <w:rFonts w:cs="Times New Roman"/>
                <w:b/>
                <w:bCs/>
              </w:rPr>
              <w:t>0</w:t>
            </w:r>
          </w:p>
        </w:tc>
        <w:tc>
          <w:tcPr>
            <w:tcW w:w="1795" w:type="dxa"/>
            <w:shd w:val="clear" w:color="auto" w:fill="C0C0C0"/>
            <w:vAlign w:val="center"/>
          </w:tcPr>
          <w:p w:rsidR="00146C23" w:rsidRPr="00146C23" w:rsidRDefault="00146C23" w:rsidP="00146C23">
            <w:pPr>
              <w:widowControl/>
              <w:adjustRightInd/>
              <w:jc w:val="right"/>
              <w:rPr>
                <w:rFonts w:cs="Times New Roman"/>
                <w:b/>
                <w:bCs/>
              </w:rPr>
            </w:pPr>
            <w:r w:rsidRPr="00146C23">
              <w:rPr>
                <w:rFonts w:cs="Times New Roman"/>
                <w:b/>
                <w:bCs/>
                <w:iCs/>
              </w:rPr>
              <w:t>+300</w:t>
            </w:r>
          </w:p>
        </w:tc>
        <w:tc>
          <w:tcPr>
            <w:tcW w:w="1795" w:type="dxa"/>
            <w:shd w:val="clear" w:color="auto" w:fill="C0C0C0"/>
            <w:vAlign w:val="center"/>
          </w:tcPr>
          <w:p w:rsidR="00146C23" w:rsidRPr="00146C23" w:rsidRDefault="00146C23" w:rsidP="00146C23">
            <w:pPr>
              <w:widowControl/>
              <w:adjustRightInd/>
              <w:jc w:val="right"/>
              <w:rPr>
                <w:rFonts w:cs="Times New Roman"/>
                <w:b/>
                <w:bCs/>
              </w:rPr>
            </w:pPr>
            <w:r w:rsidRPr="00146C23">
              <w:rPr>
                <w:rFonts w:cs="Times New Roman"/>
                <w:b/>
                <w:bCs/>
                <w:iCs/>
              </w:rPr>
              <w:t>+300</w:t>
            </w:r>
          </w:p>
        </w:tc>
        <w:tc>
          <w:tcPr>
            <w:tcW w:w="1795" w:type="dxa"/>
            <w:shd w:val="clear" w:color="auto" w:fill="C0C0C0"/>
            <w:vAlign w:val="center"/>
          </w:tcPr>
          <w:p w:rsidR="00146C23" w:rsidRPr="00146C23" w:rsidRDefault="00146C23" w:rsidP="00146C23">
            <w:pPr>
              <w:widowControl/>
              <w:adjustRightInd/>
              <w:jc w:val="right"/>
              <w:rPr>
                <w:rFonts w:cs="Times New Roman"/>
                <w:b/>
                <w:bCs/>
              </w:rPr>
            </w:pPr>
            <w:r w:rsidRPr="00146C23">
              <w:rPr>
                <w:rFonts w:cs="Times New Roman"/>
                <w:b/>
                <w:bCs/>
                <w:iCs/>
              </w:rPr>
              <w:t>+300</w:t>
            </w:r>
          </w:p>
        </w:tc>
      </w:tr>
      <w:tr w:rsidR="00146C23" w:rsidRPr="00146C23" w:rsidTr="00146C23">
        <w:trPr>
          <w:trHeight w:val="117"/>
          <w:jc w:val="center"/>
        </w:trPr>
        <w:tc>
          <w:tcPr>
            <w:tcW w:w="4276" w:type="dxa"/>
            <w:noWrap/>
            <w:vAlign w:val="center"/>
          </w:tcPr>
          <w:p w:rsidR="00146C23" w:rsidRPr="00146C23" w:rsidRDefault="00146C23" w:rsidP="00146C23">
            <w:pPr>
              <w:widowControl/>
              <w:adjustRightInd/>
              <w:rPr>
                <w:rFonts w:cs="Times New Roman"/>
              </w:rPr>
            </w:pPr>
            <w:r w:rsidRPr="00146C23">
              <w:rPr>
                <w:rFonts w:cs="Times New Roman"/>
              </w:rPr>
              <w:t>v tom: za  Úrad pre normalizáciu, metrológiu a skúšobníctvo Slovenskej republiky</w:t>
            </w:r>
          </w:p>
        </w:tc>
        <w:tc>
          <w:tcPr>
            <w:tcW w:w="1162" w:type="dxa"/>
            <w:noWrap/>
            <w:vAlign w:val="center"/>
          </w:tcPr>
          <w:p w:rsidR="00146C23" w:rsidRPr="00146C23" w:rsidRDefault="00146C23" w:rsidP="00146C23">
            <w:pPr>
              <w:widowControl/>
              <w:adjustRightInd/>
              <w:jc w:val="right"/>
              <w:rPr>
                <w:rFonts w:cs="Times New Roman"/>
              </w:rPr>
            </w:pPr>
            <w:r w:rsidRPr="00146C23">
              <w:rPr>
                <w:rFonts w:cs="Times New Roman"/>
              </w:rPr>
              <w:t>0</w:t>
            </w:r>
          </w:p>
        </w:tc>
        <w:tc>
          <w:tcPr>
            <w:tcW w:w="1795" w:type="dxa"/>
            <w:noWrap/>
            <w:vAlign w:val="center"/>
          </w:tcPr>
          <w:p w:rsidR="00146C23" w:rsidRPr="00146C23" w:rsidRDefault="00146C23" w:rsidP="00146C23">
            <w:pPr>
              <w:widowControl/>
              <w:adjustRightInd/>
              <w:jc w:val="right"/>
              <w:rPr>
                <w:rFonts w:cs="Times New Roman"/>
              </w:rPr>
            </w:pPr>
            <w:r w:rsidRPr="00146C23">
              <w:rPr>
                <w:rFonts w:cs="Times New Roman"/>
                <w:b/>
                <w:bCs/>
                <w:iCs/>
              </w:rPr>
              <w:t>+300</w:t>
            </w:r>
          </w:p>
        </w:tc>
        <w:tc>
          <w:tcPr>
            <w:tcW w:w="1795" w:type="dxa"/>
            <w:noWrap/>
            <w:vAlign w:val="center"/>
          </w:tcPr>
          <w:p w:rsidR="00146C23" w:rsidRPr="00146C23" w:rsidRDefault="00146C23" w:rsidP="00146C23">
            <w:pPr>
              <w:widowControl/>
              <w:adjustRightInd/>
              <w:jc w:val="right"/>
              <w:rPr>
                <w:rFonts w:cs="Times New Roman"/>
              </w:rPr>
            </w:pPr>
            <w:r w:rsidRPr="00146C23">
              <w:rPr>
                <w:rFonts w:cs="Times New Roman"/>
                <w:b/>
                <w:bCs/>
                <w:iCs/>
              </w:rPr>
              <w:t>+300</w:t>
            </w:r>
          </w:p>
        </w:tc>
        <w:tc>
          <w:tcPr>
            <w:tcW w:w="1795" w:type="dxa"/>
            <w:noWrap/>
            <w:vAlign w:val="center"/>
          </w:tcPr>
          <w:p w:rsidR="00146C23" w:rsidRPr="00146C23" w:rsidRDefault="00146C23" w:rsidP="00146C23">
            <w:pPr>
              <w:widowControl/>
              <w:adjustRightInd/>
              <w:jc w:val="right"/>
              <w:rPr>
                <w:rFonts w:cs="Times New Roman"/>
              </w:rPr>
            </w:pPr>
            <w:r w:rsidRPr="00146C23">
              <w:rPr>
                <w:rFonts w:cs="Times New Roman"/>
                <w:b/>
                <w:bCs/>
                <w:iCs/>
              </w:rPr>
              <w:t>+300</w:t>
            </w:r>
          </w:p>
        </w:tc>
      </w:tr>
      <w:tr w:rsidR="00146C23" w:rsidRPr="00146C23" w:rsidTr="00146C23">
        <w:trPr>
          <w:trHeight w:val="62"/>
          <w:jc w:val="center"/>
        </w:trPr>
        <w:tc>
          <w:tcPr>
            <w:tcW w:w="4276" w:type="dxa"/>
            <w:noWrap/>
            <w:vAlign w:val="center"/>
          </w:tcPr>
          <w:p w:rsidR="00146C23" w:rsidRPr="00146C23" w:rsidRDefault="00146C23" w:rsidP="00146C23">
            <w:pPr>
              <w:widowControl/>
              <w:adjustRightInd/>
              <w:rPr>
                <w:rFonts w:cs="Times New Roman"/>
                <w:b/>
                <w:bCs/>
                <w:i/>
                <w:iCs/>
              </w:rPr>
            </w:pPr>
            <w:r w:rsidRPr="00146C23">
              <w:rPr>
                <w:rFonts w:cs="Times New Roman"/>
                <w:b/>
                <w:bCs/>
                <w:i/>
                <w:iCs/>
              </w:rPr>
              <w:t xml:space="preserve">z toho:  </w:t>
            </w:r>
          </w:p>
        </w:tc>
        <w:tc>
          <w:tcPr>
            <w:tcW w:w="1162" w:type="dxa"/>
            <w:noWrap/>
            <w:vAlign w:val="center"/>
          </w:tcPr>
          <w:p w:rsidR="00146C23" w:rsidRPr="00146C23" w:rsidRDefault="00146C23" w:rsidP="00146C23">
            <w:pPr>
              <w:widowControl/>
              <w:adjustRightInd/>
              <w:jc w:val="right"/>
              <w:rPr>
                <w:rFonts w:cs="Times New Roman"/>
                <w:b/>
                <w:bCs/>
                <w:iCs/>
              </w:rPr>
            </w:pPr>
          </w:p>
        </w:tc>
        <w:tc>
          <w:tcPr>
            <w:tcW w:w="1795" w:type="dxa"/>
            <w:noWrap/>
            <w:vAlign w:val="center"/>
          </w:tcPr>
          <w:p w:rsidR="00146C23" w:rsidRPr="00146C23" w:rsidRDefault="00146C23" w:rsidP="00146C23">
            <w:pPr>
              <w:widowControl/>
              <w:adjustRightInd/>
              <w:jc w:val="right"/>
              <w:rPr>
                <w:rFonts w:cs="Times New Roman"/>
                <w:b/>
                <w:bCs/>
                <w:iCs/>
              </w:rPr>
            </w:pPr>
          </w:p>
        </w:tc>
        <w:tc>
          <w:tcPr>
            <w:tcW w:w="1795" w:type="dxa"/>
            <w:noWrap/>
            <w:vAlign w:val="center"/>
          </w:tcPr>
          <w:p w:rsidR="00146C23" w:rsidRPr="00146C23" w:rsidRDefault="00146C23" w:rsidP="00146C23">
            <w:pPr>
              <w:widowControl/>
              <w:adjustRightInd/>
              <w:jc w:val="right"/>
              <w:rPr>
                <w:rFonts w:cs="Times New Roman"/>
                <w:b/>
                <w:bCs/>
                <w:iCs/>
              </w:rPr>
            </w:pPr>
          </w:p>
        </w:tc>
        <w:tc>
          <w:tcPr>
            <w:tcW w:w="1795" w:type="dxa"/>
            <w:noWrap/>
            <w:vAlign w:val="center"/>
          </w:tcPr>
          <w:p w:rsidR="00146C23" w:rsidRPr="00146C23" w:rsidRDefault="00146C23" w:rsidP="00146C23">
            <w:pPr>
              <w:widowControl/>
              <w:adjustRightInd/>
              <w:jc w:val="right"/>
              <w:rPr>
                <w:rFonts w:cs="Times New Roman"/>
                <w:b/>
                <w:bCs/>
                <w:iCs/>
              </w:rPr>
            </w:pPr>
          </w:p>
        </w:tc>
      </w:tr>
      <w:tr w:rsidR="00146C23" w:rsidRPr="00146C23" w:rsidTr="00146C23">
        <w:trPr>
          <w:trHeight w:val="110"/>
          <w:jc w:val="center"/>
        </w:trPr>
        <w:tc>
          <w:tcPr>
            <w:tcW w:w="4276" w:type="dxa"/>
            <w:noWrap/>
            <w:vAlign w:val="center"/>
          </w:tcPr>
          <w:p w:rsidR="00146C23" w:rsidRPr="00146C23" w:rsidRDefault="00146C23" w:rsidP="00146C23">
            <w:pPr>
              <w:widowControl/>
              <w:adjustRightInd/>
              <w:rPr>
                <w:rFonts w:cs="Times New Roman"/>
                <w:b/>
                <w:bCs/>
                <w:i/>
                <w:iCs/>
              </w:rPr>
            </w:pPr>
            <w:r w:rsidRPr="00146C23">
              <w:rPr>
                <w:rFonts w:cs="Times New Roman"/>
                <w:b/>
                <w:bCs/>
                <w:i/>
                <w:iCs/>
              </w:rPr>
              <w:t>- vplyv na ŠR</w:t>
            </w:r>
          </w:p>
        </w:tc>
        <w:tc>
          <w:tcPr>
            <w:tcW w:w="1162"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+300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+300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+300</w:t>
            </w:r>
          </w:p>
        </w:tc>
      </w:tr>
      <w:tr w:rsidR="00146C23" w:rsidRPr="00146C23" w:rsidTr="00146C23">
        <w:trPr>
          <w:trHeight w:val="110"/>
          <w:jc w:val="center"/>
        </w:trPr>
        <w:tc>
          <w:tcPr>
            <w:tcW w:w="4276" w:type="dxa"/>
            <w:noWrap/>
            <w:vAlign w:val="center"/>
          </w:tcPr>
          <w:p w:rsidR="00146C23" w:rsidRPr="00146C23" w:rsidRDefault="00146C23" w:rsidP="00146C23">
            <w:pPr>
              <w:widowControl/>
              <w:adjustRightInd/>
              <w:rPr>
                <w:rFonts w:cs="Times New Roman"/>
                <w:b/>
                <w:bCs/>
                <w:i/>
                <w:iCs/>
              </w:rPr>
            </w:pPr>
            <w:r w:rsidRPr="00146C23">
              <w:rPr>
                <w:rFonts w:cs="Times New Roman"/>
                <w:bCs/>
                <w:i/>
                <w:iCs/>
              </w:rPr>
              <w:t>Rozpočtové prostriedky</w:t>
            </w:r>
          </w:p>
        </w:tc>
        <w:tc>
          <w:tcPr>
            <w:tcW w:w="1162"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+300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+300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+300</w:t>
            </w:r>
          </w:p>
        </w:tc>
      </w:tr>
      <w:tr w:rsidR="00146C23" w:rsidRPr="00146C23" w:rsidTr="00146C23">
        <w:trPr>
          <w:trHeight w:val="110"/>
          <w:jc w:val="center"/>
        </w:trPr>
        <w:tc>
          <w:tcPr>
            <w:tcW w:w="4276" w:type="dxa"/>
            <w:noWrap/>
            <w:vAlign w:val="center"/>
          </w:tcPr>
          <w:p w:rsidR="00146C23" w:rsidRPr="00146C23" w:rsidRDefault="00146C23" w:rsidP="00146C23">
            <w:pPr>
              <w:widowControl/>
              <w:adjustRightInd/>
              <w:rPr>
                <w:rFonts w:cs="Times New Roman"/>
                <w:bCs/>
                <w:i/>
                <w:iCs/>
              </w:rPr>
            </w:pPr>
            <w:r w:rsidRPr="00146C23">
              <w:rPr>
                <w:rFonts w:cs="Times New Roman"/>
                <w:bCs/>
                <w:i/>
                <w:iCs/>
              </w:rPr>
              <w:t>EÚ zdroje</w:t>
            </w:r>
          </w:p>
        </w:tc>
        <w:tc>
          <w:tcPr>
            <w:tcW w:w="1162" w:type="dxa"/>
            <w:noWrap/>
            <w:vAlign w:val="center"/>
          </w:tcPr>
          <w:p w:rsidR="00146C23" w:rsidRPr="00146C23" w:rsidRDefault="00146C23" w:rsidP="00146C23">
            <w:pPr>
              <w:widowControl/>
              <w:adjustRightInd/>
              <w:jc w:val="right"/>
              <w:rPr>
                <w:rFonts w:cs="Times New Roman"/>
              </w:rPr>
            </w:pPr>
            <w:r w:rsidRPr="00146C23">
              <w:rPr>
                <w:rFonts w:cs="Times New Roman"/>
              </w:rPr>
              <w:t>0</w:t>
            </w:r>
          </w:p>
        </w:tc>
        <w:tc>
          <w:tcPr>
            <w:tcW w:w="1795" w:type="dxa"/>
            <w:noWrap/>
            <w:vAlign w:val="center"/>
          </w:tcPr>
          <w:p w:rsidR="00146C23" w:rsidRPr="00146C23" w:rsidRDefault="00146C23" w:rsidP="00146C23">
            <w:pPr>
              <w:widowControl/>
              <w:adjustRightInd/>
              <w:jc w:val="right"/>
              <w:rPr>
                <w:rFonts w:cs="Times New Roman"/>
              </w:rPr>
            </w:pPr>
            <w:r w:rsidRPr="00146C23">
              <w:rPr>
                <w:rFonts w:cs="Times New Roman"/>
              </w:rPr>
              <w:t>0</w:t>
            </w:r>
          </w:p>
        </w:tc>
        <w:tc>
          <w:tcPr>
            <w:tcW w:w="1795" w:type="dxa"/>
            <w:noWrap/>
            <w:vAlign w:val="center"/>
          </w:tcPr>
          <w:p w:rsidR="00146C23" w:rsidRPr="00146C23" w:rsidRDefault="00146C23" w:rsidP="00146C23">
            <w:pPr>
              <w:widowControl/>
              <w:adjustRightInd/>
              <w:jc w:val="right"/>
              <w:rPr>
                <w:rFonts w:cs="Times New Roman"/>
              </w:rPr>
            </w:pPr>
            <w:r w:rsidRPr="00146C23">
              <w:rPr>
                <w:rFonts w:cs="Times New Roman"/>
              </w:rPr>
              <w:t>0</w:t>
            </w:r>
          </w:p>
        </w:tc>
        <w:tc>
          <w:tcPr>
            <w:tcW w:w="1795" w:type="dxa"/>
            <w:noWrap/>
            <w:vAlign w:val="center"/>
          </w:tcPr>
          <w:p w:rsidR="00146C23" w:rsidRPr="00146C23" w:rsidRDefault="00146C23" w:rsidP="00146C23">
            <w:pPr>
              <w:widowControl/>
              <w:adjustRightInd/>
              <w:jc w:val="right"/>
              <w:rPr>
                <w:rFonts w:cs="Times New Roman"/>
              </w:rPr>
            </w:pPr>
            <w:r w:rsidRPr="00146C23">
              <w:rPr>
                <w:rFonts w:cs="Times New Roman"/>
              </w:rPr>
              <w:t>0</w:t>
            </w:r>
          </w:p>
        </w:tc>
      </w:tr>
      <w:tr w:rsidR="00146C23" w:rsidRPr="00146C23" w:rsidTr="00146C23">
        <w:trPr>
          <w:trHeight w:val="110"/>
          <w:jc w:val="center"/>
        </w:trPr>
        <w:tc>
          <w:tcPr>
            <w:tcW w:w="4276" w:type="dxa"/>
            <w:noWrap/>
            <w:vAlign w:val="center"/>
          </w:tcPr>
          <w:p w:rsidR="00146C23" w:rsidRPr="00146C23" w:rsidRDefault="00146C23" w:rsidP="00146C23">
            <w:pPr>
              <w:widowControl/>
              <w:adjustRightInd/>
              <w:rPr>
                <w:rFonts w:cs="Times New Roman"/>
                <w:b/>
                <w:bCs/>
                <w:i/>
                <w:iCs/>
              </w:rPr>
            </w:pPr>
            <w:r w:rsidRPr="00146C23">
              <w:rPr>
                <w:rFonts w:cs="Times New Roman"/>
                <w:b/>
                <w:bCs/>
                <w:i/>
                <w:iCs/>
              </w:rPr>
              <w:t>- vplyv na obce</w:t>
            </w:r>
          </w:p>
        </w:tc>
        <w:tc>
          <w:tcPr>
            <w:tcW w:w="1162"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r>
      <w:tr w:rsidR="00146C23" w:rsidRPr="00146C23" w:rsidTr="00146C23">
        <w:trPr>
          <w:trHeight w:val="110"/>
          <w:jc w:val="center"/>
        </w:trPr>
        <w:tc>
          <w:tcPr>
            <w:tcW w:w="4276" w:type="dxa"/>
            <w:noWrap/>
            <w:vAlign w:val="center"/>
          </w:tcPr>
          <w:p w:rsidR="00146C23" w:rsidRPr="00146C23" w:rsidRDefault="00146C23" w:rsidP="00146C23">
            <w:pPr>
              <w:widowControl/>
              <w:adjustRightInd/>
              <w:rPr>
                <w:rFonts w:cs="Times New Roman"/>
                <w:b/>
                <w:bCs/>
                <w:i/>
                <w:iCs/>
              </w:rPr>
            </w:pPr>
            <w:r w:rsidRPr="00146C23">
              <w:rPr>
                <w:rFonts w:cs="Times New Roman"/>
                <w:b/>
                <w:bCs/>
                <w:i/>
                <w:iCs/>
              </w:rPr>
              <w:t>- vplyv na vyššie územné celky</w:t>
            </w:r>
          </w:p>
        </w:tc>
        <w:tc>
          <w:tcPr>
            <w:tcW w:w="1162"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r>
      <w:tr w:rsidR="00146C23" w:rsidRPr="00146C23" w:rsidTr="00146C23">
        <w:trPr>
          <w:trHeight w:val="110"/>
          <w:jc w:val="center"/>
        </w:trPr>
        <w:tc>
          <w:tcPr>
            <w:tcW w:w="4276" w:type="dxa"/>
            <w:noWrap/>
            <w:vAlign w:val="center"/>
          </w:tcPr>
          <w:p w:rsidR="00146C23" w:rsidRPr="00146C23" w:rsidRDefault="00146C23" w:rsidP="00146C23">
            <w:pPr>
              <w:widowControl/>
              <w:adjustRightInd/>
              <w:rPr>
                <w:rFonts w:cs="Times New Roman"/>
                <w:b/>
                <w:bCs/>
                <w:i/>
                <w:iCs/>
              </w:rPr>
            </w:pPr>
            <w:r w:rsidRPr="00146C23">
              <w:rPr>
                <w:rFonts w:cs="Times New Roman"/>
                <w:b/>
                <w:bCs/>
                <w:i/>
                <w:iCs/>
              </w:rPr>
              <w:t>- vplyv na ostatné subjekty verejnej správy</w:t>
            </w:r>
          </w:p>
        </w:tc>
        <w:tc>
          <w:tcPr>
            <w:tcW w:w="1162"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r>
      <w:tr w:rsidR="00146C23" w:rsidRPr="00146C23" w:rsidTr="00146C23">
        <w:trPr>
          <w:trHeight w:val="110"/>
          <w:jc w:val="center"/>
        </w:trPr>
        <w:tc>
          <w:tcPr>
            <w:tcW w:w="4276" w:type="dxa"/>
            <w:shd w:val="clear" w:color="auto" w:fill="C0C0C0"/>
            <w:noWrap/>
            <w:vAlign w:val="center"/>
          </w:tcPr>
          <w:p w:rsidR="00146C23" w:rsidRPr="00146C23" w:rsidRDefault="00146C23" w:rsidP="00146C23">
            <w:pPr>
              <w:widowControl/>
              <w:adjustRightInd/>
              <w:rPr>
                <w:rFonts w:cs="Times New Roman"/>
                <w:b/>
                <w:bCs/>
              </w:rPr>
            </w:pPr>
            <w:r w:rsidRPr="00146C23">
              <w:rPr>
                <w:rFonts w:cs="Times New Roman"/>
                <w:b/>
                <w:bCs/>
              </w:rPr>
              <w:t>Výdavky verejnej správy celkom</w:t>
            </w:r>
          </w:p>
        </w:tc>
        <w:tc>
          <w:tcPr>
            <w:tcW w:w="1162" w:type="dxa"/>
            <w:shd w:val="clear" w:color="auto" w:fill="C0C0C0"/>
            <w:noWrap/>
            <w:vAlign w:val="center"/>
          </w:tcPr>
          <w:p w:rsidR="00146C23" w:rsidRPr="00146C23" w:rsidRDefault="00146C23" w:rsidP="00146C23">
            <w:pPr>
              <w:widowControl/>
              <w:adjustRightInd/>
              <w:jc w:val="right"/>
              <w:rPr>
                <w:rFonts w:cs="Times New Roman"/>
                <w:b/>
                <w:bCs/>
              </w:rPr>
            </w:pPr>
            <w:r w:rsidRPr="00146C23">
              <w:rPr>
                <w:rFonts w:cs="Times New Roman"/>
                <w:b/>
                <w:bCs/>
              </w:rPr>
              <w:t>0</w:t>
            </w:r>
          </w:p>
        </w:tc>
        <w:tc>
          <w:tcPr>
            <w:tcW w:w="1795" w:type="dxa"/>
            <w:shd w:val="clear" w:color="auto" w:fill="C0C0C0"/>
            <w:noWrap/>
            <w:vAlign w:val="center"/>
          </w:tcPr>
          <w:p w:rsidR="00146C23" w:rsidRPr="00146C23" w:rsidRDefault="00146C23" w:rsidP="00146C23">
            <w:pPr>
              <w:widowControl/>
              <w:adjustRightInd/>
              <w:jc w:val="right"/>
              <w:rPr>
                <w:rFonts w:cs="Times New Roman"/>
                <w:b/>
                <w:bCs/>
              </w:rPr>
            </w:pPr>
            <w:r w:rsidRPr="00146C23">
              <w:rPr>
                <w:rFonts w:cs="Times New Roman"/>
                <w:b/>
                <w:bCs/>
              </w:rPr>
              <w:t>+465 368</w:t>
            </w:r>
          </w:p>
        </w:tc>
        <w:tc>
          <w:tcPr>
            <w:tcW w:w="1795" w:type="dxa"/>
            <w:shd w:val="clear" w:color="auto" w:fill="C0C0C0"/>
            <w:noWrap/>
            <w:vAlign w:val="center"/>
          </w:tcPr>
          <w:p w:rsidR="00146C23" w:rsidRPr="00146C23" w:rsidRDefault="00146C23" w:rsidP="00146C23">
            <w:pPr>
              <w:widowControl/>
              <w:adjustRightInd/>
              <w:jc w:val="right"/>
              <w:rPr>
                <w:rFonts w:cs="Times New Roman"/>
                <w:b/>
                <w:bCs/>
              </w:rPr>
            </w:pPr>
            <w:r w:rsidRPr="00146C23">
              <w:rPr>
                <w:rFonts w:cs="Times New Roman"/>
                <w:b/>
                <w:bCs/>
              </w:rPr>
              <w:t>+451 368</w:t>
            </w:r>
          </w:p>
        </w:tc>
        <w:tc>
          <w:tcPr>
            <w:tcW w:w="1795" w:type="dxa"/>
            <w:shd w:val="clear" w:color="auto" w:fill="C0C0C0"/>
            <w:noWrap/>
            <w:vAlign w:val="center"/>
          </w:tcPr>
          <w:p w:rsidR="00146C23" w:rsidRPr="00146C23" w:rsidRDefault="00146C23" w:rsidP="00146C23">
            <w:pPr>
              <w:widowControl/>
              <w:adjustRightInd/>
              <w:jc w:val="right"/>
              <w:rPr>
                <w:rFonts w:cs="Times New Roman"/>
                <w:b/>
                <w:bCs/>
              </w:rPr>
            </w:pPr>
            <w:r w:rsidRPr="00146C23">
              <w:rPr>
                <w:rFonts w:cs="Times New Roman"/>
                <w:b/>
                <w:bCs/>
              </w:rPr>
              <w:t>+451 368</w:t>
            </w:r>
          </w:p>
        </w:tc>
      </w:tr>
      <w:tr w:rsidR="00146C23" w:rsidRPr="00146C23" w:rsidTr="00146C23">
        <w:trPr>
          <w:trHeight w:val="62"/>
          <w:jc w:val="center"/>
        </w:trPr>
        <w:tc>
          <w:tcPr>
            <w:tcW w:w="4276" w:type="dxa"/>
            <w:noWrap/>
            <w:vAlign w:val="center"/>
          </w:tcPr>
          <w:p w:rsidR="00146C23" w:rsidRPr="00146C23" w:rsidRDefault="00146C23" w:rsidP="00146C23">
            <w:pPr>
              <w:widowControl/>
              <w:adjustRightInd/>
              <w:rPr>
                <w:rFonts w:cs="Times New Roman"/>
              </w:rPr>
            </w:pPr>
            <w:r w:rsidRPr="00146C23">
              <w:rPr>
                <w:rFonts w:cs="Times New Roman"/>
              </w:rPr>
              <w:t xml:space="preserve">v tom: kapitola 26 - Ministerstvo hospodárstva Slovenskej republiky </w:t>
            </w:r>
          </w:p>
        </w:tc>
        <w:tc>
          <w:tcPr>
            <w:tcW w:w="1162" w:type="dxa"/>
            <w:noWrap/>
            <w:vAlign w:val="center"/>
          </w:tcPr>
          <w:p w:rsidR="00146C23" w:rsidRPr="00146C23" w:rsidRDefault="00146C23" w:rsidP="00146C23">
            <w:pPr>
              <w:widowControl/>
              <w:adjustRightInd/>
              <w:jc w:val="right"/>
              <w:rPr>
                <w:rFonts w:cs="Times New Roman"/>
              </w:rPr>
            </w:pPr>
            <w:r w:rsidRPr="00146C23">
              <w:rPr>
                <w:rFonts w:cs="Times New Roman"/>
              </w:rPr>
              <w:t>0</w:t>
            </w:r>
          </w:p>
        </w:tc>
        <w:tc>
          <w:tcPr>
            <w:tcW w:w="1795" w:type="dxa"/>
            <w:noWrap/>
            <w:vAlign w:val="center"/>
          </w:tcPr>
          <w:p w:rsidR="00146C23" w:rsidRPr="00146C23" w:rsidRDefault="00146C23" w:rsidP="00146C23">
            <w:pPr>
              <w:widowControl/>
              <w:adjustRightInd/>
              <w:jc w:val="right"/>
              <w:rPr>
                <w:rFonts w:cs="Times New Roman"/>
              </w:rPr>
            </w:pPr>
            <w:r w:rsidRPr="00146C23">
              <w:rPr>
                <w:rFonts w:cs="Times New Roman"/>
                <w:b/>
                <w:bCs/>
              </w:rPr>
              <w:t>+465 368</w:t>
            </w:r>
          </w:p>
        </w:tc>
        <w:tc>
          <w:tcPr>
            <w:tcW w:w="1795" w:type="dxa"/>
            <w:noWrap/>
            <w:vAlign w:val="center"/>
          </w:tcPr>
          <w:p w:rsidR="00146C23" w:rsidRPr="00146C23" w:rsidRDefault="00146C23" w:rsidP="00146C23">
            <w:pPr>
              <w:widowControl/>
              <w:adjustRightInd/>
              <w:jc w:val="right"/>
              <w:rPr>
                <w:rFonts w:cs="Times New Roman"/>
              </w:rPr>
            </w:pPr>
            <w:r w:rsidRPr="00146C23">
              <w:rPr>
                <w:rFonts w:cs="Times New Roman"/>
                <w:b/>
                <w:bCs/>
              </w:rPr>
              <w:t>+451 368</w:t>
            </w:r>
          </w:p>
        </w:tc>
        <w:tc>
          <w:tcPr>
            <w:tcW w:w="1795" w:type="dxa"/>
            <w:noWrap/>
            <w:vAlign w:val="center"/>
          </w:tcPr>
          <w:p w:rsidR="00146C23" w:rsidRPr="00146C23" w:rsidRDefault="00146C23" w:rsidP="00146C23">
            <w:pPr>
              <w:widowControl/>
              <w:adjustRightInd/>
              <w:jc w:val="right"/>
              <w:rPr>
                <w:rFonts w:cs="Times New Roman"/>
              </w:rPr>
            </w:pPr>
            <w:r w:rsidRPr="00146C23">
              <w:rPr>
                <w:rFonts w:cs="Times New Roman"/>
                <w:b/>
                <w:bCs/>
              </w:rPr>
              <w:t>+451 368</w:t>
            </w:r>
          </w:p>
        </w:tc>
      </w:tr>
      <w:tr w:rsidR="00146C23" w:rsidRPr="00146C23" w:rsidTr="00146C23">
        <w:trPr>
          <w:trHeight w:val="62"/>
          <w:jc w:val="center"/>
        </w:trPr>
        <w:tc>
          <w:tcPr>
            <w:tcW w:w="4276" w:type="dxa"/>
            <w:noWrap/>
            <w:vAlign w:val="center"/>
          </w:tcPr>
          <w:p w:rsidR="00146C23" w:rsidRPr="00146C23" w:rsidRDefault="00146C23" w:rsidP="00146C23">
            <w:pPr>
              <w:widowControl/>
              <w:adjustRightInd/>
              <w:rPr>
                <w:rFonts w:cs="Times New Roman"/>
                <w:b/>
                <w:bCs/>
                <w:i/>
                <w:iCs/>
              </w:rPr>
            </w:pPr>
            <w:r w:rsidRPr="00146C23">
              <w:rPr>
                <w:rFonts w:cs="Times New Roman"/>
                <w:b/>
                <w:bCs/>
                <w:i/>
                <w:iCs/>
              </w:rPr>
              <w:t xml:space="preserve">z toho: </w:t>
            </w:r>
          </w:p>
        </w:tc>
        <w:tc>
          <w:tcPr>
            <w:tcW w:w="1162" w:type="dxa"/>
            <w:noWrap/>
            <w:vAlign w:val="center"/>
          </w:tcPr>
          <w:p w:rsidR="00146C23" w:rsidRPr="00146C23" w:rsidRDefault="00146C23" w:rsidP="00146C23">
            <w:pPr>
              <w:widowControl/>
              <w:adjustRightInd/>
              <w:jc w:val="right"/>
              <w:rPr>
                <w:rFonts w:cs="Times New Roman"/>
                <w:b/>
                <w:bCs/>
                <w:iCs/>
              </w:rPr>
            </w:pPr>
          </w:p>
        </w:tc>
        <w:tc>
          <w:tcPr>
            <w:tcW w:w="1795" w:type="dxa"/>
            <w:noWrap/>
            <w:vAlign w:val="center"/>
          </w:tcPr>
          <w:p w:rsidR="00146C23" w:rsidRPr="00146C23" w:rsidRDefault="00146C23" w:rsidP="00146C23">
            <w:pPr>
              <w:widowControl/>
              <w:adjustRightInd/>
              <w:jc w:val="right"/>
              <w:rPr>
                <w:rFonts w:cs="Times New Roman"/>
                <w:b/>
                <w:bCs/>
                <w:iCs/>
              </w:rPr>
            </w:pPr>
          </w:p>
        </w:tc>
        <w:tc>
          <w:tcPr>
            <w:tcW w:w="1795" w:type="dxa"/>
            <w:noWrap/>
            <w:vAlign w:val="center"/>
          </w:tcPr>
          <w:p w:rsidR="00146C23" w:rsidRPr="00146C23" w:rsidRDefault="00146C23" w:rsidP="00146C23">
            <w:pPr>
              <w:widowControl/>
              <w:adjustRightInd/>
              <w:jc w:val="right"/>
              <w:rPr>
                <w:rFonts w:cs="Times New Roman"/>
                <w:b/>
                <w:bCs/>
                <w:iCs/>
              </w:rPr>
            </w:pPr>
          </w:p>
        </w:tc>
        <w:tc>
          <w:tcPr>
            <w:tcW w:w="1795" w:type="dxa"/>
            <w:noWrap/>
            <w:vAlign w:val="center"/>
          </w:tcPr>
          <w:p w:rsidR="00146C23" w:rsidRPr="00146C23" w:rsidRDefault="00146C23" w:rsidP="00146C23">
            <w:pPr>
              <w:widowControl/>
              <w:adjustRightInd/>
              <w:jc w:val="right"/>
              <w:rPr>
                <w:rFonts w:cs="Times New Roman"/>
                <w:b/>
                <w:bCs/>
                <w:iCs/>
              </w:rPr>
            </w:pPr>
          </w:p>
        </w:tc>
      </w:tr>
      <w:tr w:rsidR="00146C23" w:rsidRPr="00146C23" w:rsidTr="00146C23">
        <w:trPr>
          <w:trHeight w:val="62"/>
          <w:jc w:val="center"/>
        </w:trPr>
        <w:tc>
          <w:tcPr>
            <w:tcW w:w="4276" w:type="dxa"/>
            <w:noWrap/>
            <w:vAlign w:val="center"/>
          </w:tcPr>
          <w:p w:rsidR="00146C23" w:rsidRPr="00146C23" w:rsidRDefault="00146C23" w:rsidP="00146C23">
            <w:pPr>
              <w:widowControl/>
              <w:adjustRightInd/>
              <w:rPr>
                <w:rFonts w:cs="Times New Roman"/>
                <w:b/>
                <w:bCs/>
                <w:i/>
                <w:iCs/>
              </w:rPr>
            </w:pPr>
            <w:r w:rsidRPr="00146C23">
              <w:rPr>
                <w:rFonts w:cs="Times New Roman"/>
                <w:b/>
                <w:bCs/>
                <w:i/>
                <w:iCs/>
              </w:rPr>
              <w:t>- vplyv na ŠR</w:t>
            </w:r>
          </w:p>
        </w:tc>
        <w:tc>
          <w:tcPr>
            <w:tcW w:w="1162"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c>
          <w:tcPr>
            <w:tcW w:w="1795" w:type="dxa"/>
            <w:noWrap/>
            <w:vAlign w:val="center"/>
          </w:tcPr>
          <w:p w:rsidR="00146C23" w:rsidRPr="00146C23" w:rsidRDefault="00146C23" w:rsidP="00146C23">
            <w:pPr>
              <w:widowControl/>
              <w:adjustRightInd/>
              <w:jc w:val="right"/>
              <w:rPr>
                <w:rFonts w:cs="Times New Roman"/>
                <w:b/>
                <w:bCs/>
              </w:rPr>
            </w:pPr>
            <w:r w:rsidRPr="00146C23">
              <w:rPr>
                <w:rFonts w:cs="Times New Roman"/>
                <w:b/>
                <w:bCs/>
              </w:rPr>
              <w:t>+465 368</w:t>
            </w:r>
          </w:p>
        </w:tc>
        <w:tc>
          <w:tcPr>
            <w:tcW w:w="1795" w:type="dxa"/>
            <w:noWrap/>
            <w:vAlign w:val="center"/>
          </w:tcPr>
          <w:p w:rsidR="00146C23" w:rsidRPr="00146C23" w:rsidRDefault="00146C23" w:rsidP="00146C23">
            <w:pPr>
              <w:widowControl/>
              <w:adjustRightInd/>
              <w:jc w:val="right"/>
              <w:rPr>
                <w:rFonts w:cs="Times New Roman"/>
                <w:b/>
                <w:bCs/>
              </w:rPr>
            </w:pPr>
            <w:r w:rsidRPr="00146C23">
              <w:rPr>
                <w:rFonts w:cs="Times New Roman"/>
                <w:b/>
                <w:bCs/>
              </w:rPr>
              <w:t>+451 368</w:t>
            </w:r>
          </w:p>
        </w:tc>
        <w:tc>
          <w:tcPr>
            <w:tcW w:w="1795" w:type="dxa"/>
            <w:noWrap/>
            <w:vAlign w:val="center"/>
          </w:tcPr>
          <w:p w:rsidR="00146C23" w:rsidRPr="00146C23" w:rsidRDefault="00146C23" w:rsidP="00146C23">
            <w:pPr>
              <w:widowControl/>
              <w:adjustRightInd/>
              <w:jc w:val="right"/>
              <w:rPr>
                <w:rFonts w:cs="Times New Roman"/>
                <w:b/>
                <w:bCs/>
              </w:rPr>
            </w:pPr>
            <w:r w:rsidRPr="00146C23">
              <w:rPr>
                <w:rFonts w:cs="Times New Roman"/>
                <w:b/>
                <w:bCs/>
              </w:rPr>
              <w:t>+451 368</w:t>
            </w:r>
          </w:p>
        </w:tc>
      </w:tr>
      <w:tr w:rsidR="00146C23" w:rsidRPr="00146C23" w:rsidTr="00146C23">
        <w:trPr>
          <w:trHeight w:val="62"/>
          <w:jc w:val="center"/>
        </w:trPr>
        <w:tc>
          <w:tcPr>
            <w:tcW w:w="4276" w:type="dxa"/>
            <w:noWrap/>
            <w:vAlign w:val="center"/>
          </w:tcPr>
          <w:p w:rsidR="00146C23" w:rsidRPr="00146C23" w:rsidRDefault="00146C23" w:rsidP="00146C23">
            <w:pPr>
              <w:widowControl/>
              <w:adjustRightInd/>
              <w:rPr>
                <w:rFonts w:cs="Times New Roman"/>
                <w:b/>
                <w:bCs/>
                <w:i/>
                <w:iCs/>
              </w:rPr>
            </w:pPr>
            <w:r w:rsidRPr="00146C23">
              <w:rPr>
                <w:rFonts w:cs="Times New Roman"/>
                <w:bCs/>
                <w:i/>
                <w:iCs/>
              </w:rPr>
              <w:t>Rozpočtové prostriedky</w:t>
            </w:r>
          </w:p>
        </w:tc>
        <w:tc>
          <w:tcPr>
            <w:tcW w:w="1162"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c>
          <w:tcPr>
            <w:tcW w:w="1795" w:type="dxa"/>
            <w:noWrap/>
            <w:vAlign w:val="center"/>
          </w:tcPr>
          <w:p w:rsidR="00146C23" w:rsidRPr="00146C23" w:rsidRDefault="00146C23" w:rsidP="00146C23">
            <w:pPr>
              <w:widowControl/>
              <w:adjustRightInd/>
              <w:jc w:val="right"/>
              <w:rPr>
                <w:rFonts w:cs="Times New Roman"/>
                <w:b/>
                <w:bCs/>
              </w:rPr>
            </w:pPr>
            <w:r w:rsidRPr="00146C23">
              <w:rPr>
                <w:rFonts w:cs="Times New Roman"/>
                <w:b/>
                <w:bCs/>
              </w:rPr>
              <w:t>+465 368</w:t>
            </w:r>
          </w:p>
        </w:tc>
        <w:tc>
          <w:tcPr>
            <w:tcW w:w="1795" w:type="dxa"/>
            <w:noWrap/>
            <w:vAlign w:val="center"/>
          </w:tcPr>
          <w:p w:rsidR="00146C23" w:rsidRPr="00146C23" w:rsidRDefault="00146C23" w:rsidP="00146C23">
            <w:pPr>
              <w:widowControl/>
              <w:adjustRightInd/>
              <w:jc w:val="right"/>
              <w:rPr>
                <w:rFonts w:cs="Times New Roman"/>
                <w:b/>
                <w:bCs/>
              </w:rPr>
            </w:pPr>
            <w:r w:rsidRPr="00146C23">
              <w:rPr>
                <w:rFonts w:cs="Times New Roman"/>
                <w:b/>
                <w:bCs/>
              </w:rPr>
              <w:t>+451 368</w:t>
            </w:r>
          </w:p>
        </w:tc>
        <w:tc>
          <w:tcPr>
            <w:tcW w:w="1795" w:type="dxa"/>
            <w:noWrap/>
            <w:vAlign w:val="center"/>
          </w:tcPr>
          <w:p w:rsidR="00146C23" w:rsidRPr="00146C23" w:rsidRDefault="00146C23" w:rsidP="00146C23">
            <w:pPr>
              <w:widowControl/>
              <w:adjustRightInd/>
              <w:jc w:val="right"/>
              <w:rPr>
                <w:rFonts w:cs="Times New Roman"/>
                <w:b/>
                <w:bCs/>
              </w:rPr>
            </w:pPr>
            <w:r w:rsidRPr="00146C23">
              <w:rPr>
                <w:rFonts w:cs="Times New Roman"/>
                <w:b/>
                <w:bCs/>
              </w:rPr>
              <w:t>+451 368</w:t>
            </w:r>
          </w:p>
        </w:tc>
      </w:tr>
      <w:tr w:rsidR="00146C23" w:rsidRPr="00146C23" w:rsidTr="00146C23">
        <w:trPr>
          <w:trHeight w:val="62"/>
          <w:jc w:val="center"/>
        </w:trPr>
        <w:tc>
          <w:tcPr>
            <w:tcW w:w="4276" w:type="dxa"/>
            <w:noWrap/>
            <w:vAlign w:val="center"/>
          </w:tcPr>
          <w:p w:rsidR="00146C23" w:rsidRPr="00146C23" w:rsidRDefault="00146C23" w:rsidP="00146C23">
            <w:pPr>
              <w:widowControl/>
              <w:adjustRightInd/>
              <w:rPr>
                <w:rFonts w:cs="Times New Roman"/>
                <w:bCs/>
                <w:i/>
                <w:iCs/>
              </w:rPr>
            </w:pPr>
            <w:r w:rsidRPr="00146C23">
              <w:rPr>
                <w:rFonts w:cs="Times New Roman"/>
                <w:bCs/>
                <w:i/>
                <w:iCs/>
              </w:rPr>
              <w:t xml:space="preserve">    EÚ zdroje</w:t>
            </w:r>
          </w:p>
        </w:tc>
        <w:tc>
          <w:tcPr>
            <w:tcW w:w="1162" w:type="dxa"/>
            <w:noWrap/>
            <w:vAlign w:val="center"/>
          </w:tcPr>
          <w:p w:rsidR="00146C23" w:rsidRPr="00146C23" w:rsidRDefault="00146C23" w:rsidP="00146C23">
            <w:pPr>
              <w:widowControl/>
              <w:adjustRightInd/>
              <w:jc w:val="right"/>
              <w:rPr>
                <w:rFonts w:cs="Times New Roman"/>
              </w:rPr>
            </w:pPr>
            <w:r w:rsidRPr="00146C23">
              <w:rPr>
                <w:rFonts w:cs="Times New Roman"/>
              </w:rPr>
              <w:t>0</w:t>
            </w:r>
          </w:p>
        </w:tc>
        <w:tc>
          <w:tcPr>
            <w:tcW w:w="1795" w:type="dxa"/>
            <w:noWrap/>
            <w:vAlign w:val="center"/>
          </w:tcPr>
          <w:p w:rsidR="00146C23" w:rsidRPr="00146C23" w:rsidRDefault="00146C23" w:rsidP="00146C23">
            <w:pPr>
              <w:widowControl/>
              <w:adjustRightInd/>
              <w:jc w:val="right"/>
              <w:rPr>
                <w:rFonts w:cs="Times New Roman"/>
              </w:rPr>
            </w:pPr>
            <w:r w:rsidRPr="00146C23">
              <w:rPr>
                <w:rFonts w:cs="Times New Roman"/>
              </w:rPr>
              <w:t>0</w:t>
            </w:r>
          </w:p>
        </w:tc>
        <w:tc>
          <w:tcPr>
            <w:tcW w:w="1795" w:type="dxa"/>
            <w:noWrap/>
            <w:vAlign w:val="center"/>
          </w:tcPr>
          <w:p w:rsidR="00146C23" w:rsidRPr="00146C23" w:rsidRDefault="00146C23" w:rsidP="00146C23">
            <w:pPr>
              <w:widowControl/>
              <w:adjustRightInd/>
              <w:jc w:val="right"/>
              <w:rPr>
                <w:rFonts w:cs="Times New Roman"/>
              </w:rPr>
            </w:pPr>
            <w:r w:rsidRPr="00146C23">
              <w:rPr>
                <w:rFonts w:cs="Times New Roman"/>
              </w:rPr>
              <w:t>0</w:t>
            </w:r>
          </w:p>
        </w:tc>
        <w:tc>
          <w:tcPr>
            <w:tcW w:w="1795" w:type="dxa"/>
            <w:noWrap/>
            <w:vAlign w:val="center"/>
          </w:tcPr>
          <w:p w:rsidR="00146C23" w:rsidRPr="00146C23" w:rsidRDefault="00146C23" w:rsidP="00146C23">
            <w:pPr>
              <w:widowControl/>
              <w:adjustRightInd/>
              <w:jc w:val="right"/>
              <w:rPr>
                <w:rFonts w:cs="Times New Roman"/>
              </w:rPr>
            </w:pPr>
            <w:r w:rsidRPr="00146C23">
              <w:rPr>
                <w:rFonts w:cs="Times New Roman"/>
              </w:rPr>
              <w:t>0</w:t>
            </w:r>
          </w:p>
        </w:tc>
      </w:tr>
      <w:tr w:rsidR="00146C23" w:rsidRPr="00146C23" w:rsidTr="00146C23">
        <w:trPr>
          <w:trHeight w:val="62"/>
          <w:jc w:val="center"/>
        </w:trPr>
        <w:tc>
          <w:tcPr>
            <w:tcW w:w="4276" w:type="dxa"/>
            <w:noWrap/>
            <w:vAlign w:val="center"/>
          </w:tcPr>
          <w:p w:rsidR="00146C23" w:rsidRPr="00146C23" w:rsidRDefault="00146C23" w:rsidP="00146C23">
            <w:pPr>
              <w:widowControl/>
              <w:adjustRightInd/>
              <w:rPr>
                <w:rFonts w:cs="Times New Roman"/>
                <w:bCs/>
                <w:i/>
                <w:iCs/>
              </w:rPr>
            </w:pPr>
            <w:r w:rsidRPr="00146C23">
              <w:rPr>
                <w:rFonts w:cs="Times New Roman"/>
                <w:bCs/>
                <w:i/>
                <w:iCs/>
              </w:rPr>
              <w:t xml:space="preserve">    spolufinancovanie</w:t>
            </w:r>
          </w:p>
        </w:tc>
        <w:tc>
          <w:tcPr>
            <w:tcW w:w="1162" w:type="dxa"/>
            <w:noWrap/>
            <w:vAlign w:val="center"/>
          </w:tcPr>
          <w:p w:rsidR="00146C23" w:rsidRPr="00146C23" w:rsidRDefault="00146C23" w:rsidP="00146C23">
            <w:pPr>
              <w:widowControl/>
              <w:adjustRightInd/>
              <w:jc w:val="right"/>
              <w:rPr>
                <w:rFonts w:cs="Times New Roman"/>
              </w:rPr>
            </w:pPr>
            <w:r w:rsidRPr="00146C23">
              <w:rPr>
                <w:rFonts w:cs="Times New Roman"/>
              </w:rPr>
              <w:t>0</w:t>
            </w:r>
          </w:p>
        </w:tc>
        <w:tc>
          <w:tcPr>
            <w:tcW w:w="1795" w:type="dxa"/>
            <w:noWrap/>
            <w:vAlign w:val="center"/>
          </w:tcPr>
          <w:p w:rsidR="00146C23" w:rsidRPr="00146C23" w:rsidRDefault="00146C23" w:rsidP="00146C23">
            <w:pPr>
              <w:widowControl/>
              <w:adjustRightInd/>
              <w:jc w:val="right"/>
              <w:rPr>
                <w:rFonts w:cs="Times New Roman"/>
              </w:rPr>
            </w:pPr>
            <w:r w:rsidRPr="00146C23">
              <w:rPr>
                <w:rFonts w:cs="Times New Roman"/>
              </w:rPr>
              <w:t>0</w:t>
            </w:r>
          </w:p>
        </w:tc>
        <w:tc>
          <w:tcPr>
            <w:tcW w:w="1795" w:type="dxa"/>
            <w:noWrap/>
            <w:vAlign w:val="center"/>
          </w:tcPr>
          <w:p w:rsidR="00146C23" w:rsidRPr="00146C23" w:rsidRDefault="00146C23" w:rsidP="00146C23">
            <w:pPr>
              <w:widowControl/>
              <w:adjustRightInd/>
              <w:jc w:val="right"/>
              <w:rPr>
                <w:rFonts w:cs="Times New Roman"/>
              </w:rPr>
            </w:pPr>
            <w:r w:rsidRPr="00146C23">
              <w:rPr>
                <w:rFonts w:cs="Times New Roman"/>
              </w:rPr>
              <w:t>0</w:t>
            </w:r>
          </w:p>
        </w:tc>
        <w:tc>
          <w:tcPr>
            <w:tcW w:w="1795" w:type="dxa"/>
            <w:noWrap/>
            <w:vAlign w:val="center"/>
          </w:tcPr>
          <w:p w:rsidR="00146C23" w:rsidRPr="00146C23" w:rsidRDefault="00146C23" w:rsidP="00146C23">
            <w:pPr>
              <w:widowControl/>
              <w:adjustRightInd/>
              <w:jc w:val="right"/>
              <w:rPr>
                <w:rFonts w:cs="Times New Roman"/>
              </w:rPr>
            </w:pPr>
            <w:r w:rsidRPr="00146C23">
              <w:rPr>
                <w:rFonts w:cs="Times New Roman"/>
              </w:rPr>
              <w:t>0</w:t>
            </w:r>
          </w:p>
        </w:tc>
      </w:tr>
      <w:tr w:rsidR="00146C23" w:rsidRPr="00146C23" w:rsidTr="00146C23">
        <w:trPr>
          <w:trHeight w:val="110"/>
          <w:jc w:val="center"/>
        </w:trPr>
        <w:tc>
          <w:tcPr>
            <w:tcW w:w="4276" w:type="dxa"/>
            <w:noWrap/>
            <w:vAlign w:val="center"/>
          </w:tcPr>
          <w:p w:rsidR="00146C23" w:rsidRPr="00146C23" w:rsidRDefault="00146C23" w:rsidP="00146C23">
            <w:pPr>
              <w:widowControl/>
              <w:adjustRightInd/>
              <w:rPr>
                <w:rFonts w:cs="Times New Roman"/>
                <w:b/>
                <w:bCs/>
                <w:i/>
                <w:iCs/>
              </w:rPr>
            </w:pPr>
            <w:r w:rsidRPr="00146C23">
              <w:rPr>
                <w:rFonts w:cs="Times New Roman"/>
                <w:b/>
                <w:bCs/>
                <w:i/>
                <w:iCs/>
              </w:rPr>
              <w:t>- vplyv na obce</w:t>
            </w:r>
          </w:p>
        </w:tc>
        <w:tc>
          <w:tcPr>
            <w:tcW w:w="1162"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r>
      <w:tr w:rsidR="00146C23" w:rsidRPr="00146C23" w:rsidTr="00146C23">
        <w:trPr>
          <w:trHeight w:val="110"/>
          <w:jc w:val="center"/>
        </w:trPr>
        <w:tc>
          <w:tcPr>
            <w:tcW w:w="4276" w:type="dxa"/>
            <w:noWrap/>
            <w:vAlign w:val="center"/>
          </w:tcPr>
          <w:p w:rsidR="00146C23" w:rsidRPr="00146C23" w:rsidRDefault="00146C23" w:rsidP="00146C23">
            <w:pPr>
              <w:widowControl/>
              <w:adjustRightInd/>
              <w:rPr>
                <w:rFonts w:cs="Times New Roman"/>
                <w:bCs/>
                <w:i/>
                <w:iCs/>
              </w:rPr>
            </w:pPr>
            <w:r w:rsidRPr="00146C23">
              <w:rPr>
                <w:rFonts w:cs="Times New Roman"/>
                <w:bCs/>
                <w:i/>
                <w:iCs/>
              </w:rPr>
              <w:t>z toho vplyv nových úloh v zmysle ods. 2 Čl. 6 ústavného zákona č. 493/2011 Z. z. o rozpočtovej zodpovednosti</w:t>
            </w:r>
          </w:p>
        </w:tc>
        <w:tc>
          <w:tcPr>
            <w:tcW w:w="1162" w:type="dxa"/>
            <w:noWrap/>
            <w:vAlign w:val="center"/>
          </w:tcPr>
          <w:p w:rsidR="00146C23" w:rsidRPr="00146C23" w:rsidRDefault="00146C23" w:rsidP="00146C23">
            <w:pPr>
              <w:widowControl/>
              <w:adjustRightInd/>
              <w:jc w:val="right"/>
              <w:rPr>
                <w:rFonts w:cs="Times New Roman"/>
                <w:bCs/>
                <w:iCs/>
              </w:rPr>
            </w:pPr>
            <w:r w:rsidRPr="00146C23">
              <w:rPr>
                <w:rFonts w:cs="Times New Roman"/>
                <w:bCs/>
                <w:iCs/>
              </w:rPr>
              <w:t>0</w:t>
            </w:r>
          </w:p>
        </w:tc>
        <w:tc>
          <w:tcPr>
            <w:tcW w:w="1795" w:type="dxa"/>
            <w:noWrap/>
            <w:vAlign w:val="center"/>
          </w:tcPr>
          <w:p w:rsidR="00146C23" w:rsidRPr="00146C23" w:rsidRDefault="00146C23" w:rsidP="00146C23">
            <w:pPr>
              <w:widowControl/>
              <w:adjustRightInd/>
              <w:jc w:val="right"/>
              <w:rPr>
                <w:rFonts w:cs="Times New Roman"/>
                <w:bCs/>
                <w:iCs/>
              </w:rPr>
            </w:pPr>
            <w:r w:rsidRPr="00146C23">
              <w:rPr>
                <w:rFonts w:cs="Times New Roman"/>
                <w:bCs/>
                <w:iCs/>
              </w:rPr>
              <w:t>0</w:t>
            </w:r>
          </w:p>
        </w:tc>
        <w:tc>
          <w:tcPr>
            <w:tcW w:w="1795" w:type="dxa"/>
            <w:noWrap/>
            <w:vAlign w:val="center"/>
          </w:tcPr>
          <w:p w:rsidR="00146C23" w:rsidRPr="00146C23" w:rsidRDefault="00146C23" w:rsidP="00146C23">
            <w:pPr>
              <w:widowControl/>
              <w:adjustRightInd/>
              <w:jc w:val="right"/>
              <w:rPr>
                <w:rFonts w:cs="Times New Roman"/>
                <w:bCs/>
                <w:iCs/>
              </w:rPr>
            </w:pPr>
            <w:r w:rsidRPr="00146C23">
              <w:rPr>
                <w:rFonts w:cs="Times New Roman"/>
                <w:bCs/>
                <w:iCs/>
              </w:rPr>
              <w:t>0</w:t>
            </w:r>
          </w:p>
        </w:tc>
        <w:tc>
          <w:tcPr>
            <w:tcW w:w="1795" w:type="dxa"/>
            <w:noWrap/>
            <w:vAlign w:val="center"/>
          </w:tcPr>
          <w:p w:rsidR="00146C23" w:rsidRPr="00146C23" w:rsidRDefault="00146C23" w:rsidP="00146C23">
            <w:pPr>
              <w:widowControl/>
              <w:adjustRightInd/>
              <w:jc w:val="right"/>
              <w:rPr>
                <w:rFonts w:cs="Times New Roman"/>
                <w:bCs/>
                <w:iCs/>
              </w:rPr>
            </w:pPr>
            <w:r w:rsidRPr="00146C23">
              <w:rPr>
                <w:rFonts w:cs="Times New Roman"/>
                <w:bCs/>
                <w:iCs/>
              </w:rPr>
              <w:t>0</w:t>
            </w:r>
          </w:p>
        </w:tc>
      </w:tr>
      <w:tr w:rsidR="00146C23" w:rsidRPr="00146C23" w:rsidTr="00146C23">
        <w:trPr>
          <w:trHeight w:val="110"/>
          <w:jc w:val="center"/>
        </w:trPr>
        <w:tc>
          <w:tcPr>
            <w:tcW w:w="4276" w:type="dxa"/>
            <w:noWrap/>
            <w:vAlign w:val="center"/>
          </w:tcPr>
          <w:p w:rsidR="00146C23" w:rsidRPr="00146C23" w:rsidRDefault="00146C23" w:rsidP="00146C23">
            <w:pPr>
              <w:widowControl/>
              <w:adjustRightInd/>
              <w:rPr>
                <w:rFonts w:cs="Times New Roman"/>
                <w:b/>
                <w:bCs/>
                <w:i/>
                <w:iCs/>
              </w:rPr>
            </w:pPr>
            <w:r w:rsidRPr="00146C23">
              <w:rPr>
                <w:rFonts w:cs="Times New Roman"/>
                <w:b/>
                <w:bCs/>
                <w:i/>
                <w:iCs/>
              </w:rPr>
              <w:t>- vplyv na vyššie územné celky</w:t>
            </w:r>
          </w:p>
        </w:tc>
        <w:tc>
          <w:tcPr>
            <w:tcW w:w="1162"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r>
      <w:tr w:rsidR="00146C23" w:rsidRPr="00146C23" w:rsidTr="00146C23">
        <w:trPr>
          <w:trHeight w:val="110"/>
          <w:jc w:val="center"/>
        </w:trPr>
        <w:tc>
          <w:tcPr>
            <w:tcW w:w="4276" w:type="dxa"/>
            <w:noWrap/>
            <w:vAlign w:val="center"/>
          </w:tcPr>
          <w:p w:rsidR="00146C23" w:rsidRPr="00146C23" w:rsidRDefault="00146C23" w:rsidP="00146C23">
            <w:pPr>
              <w:widowControl/>
              <w:adjustRightInd/>
              <w:rPr>
                <w:rFonts w:cs="Times New Roman"/>
                <w:b/>
                <w:bCs/>
                <w:i/>
                <w:iCs/>
              </w:rPr>
            </w:pPr>
            <w:r w:rsidRPr="00146C23">
              <w:rPr>
                <w:rFonts w:cs="Times New Roman"/>
                <w:bCs/>
                <w:i/>
                <w:iCs/>
              </w:rPr>
              <w:t>z toho vplyv nových úloh v zmysle ods. 2 Čl. 6 ústavného zákona č. 493/2011 Z. z. o rozpočtovej zodpovednosti</w:t>
            </w:r>
          </w:p>
        </w:tc>
        <w:tc>
          <w:tcPr>
            <w:tcW w:w="1162" w:type="dxa"/>
            <w:noWrap/>
            <w:vAlign w:val="center"/>
          </w:tcPr>
          <w:p w:rsidR="00146C23" w:rsidRPr="00146C23" w:rsidRDefault="00146C23" w:rsidP="00146C23">
            <w:pPr>
              <w:widowControl/>
              <w:adjustRightInd/>
              <w:jc w:val="right"/>
              <w:rPr>
                <w:rFonts w:cs="Times New Roman"/>
                <w:b/>
                <w:bCs/>
                <w:iCs/>
              </w:rPr>
            </w:pPr>
            <w:r w:rsidRPr="00146C23">
              <w:rPr>
                <w:rFonts w:cs="Times New Roman"/>
                <w:bCs/>
                <w:iCs/>
              </w:rPr>
              <w:t>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Cs/>
                <w:iCs/>
              </w:rPr>
              <w:t>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Cs/>
                <w:iCs/>
              </w:rPr>
              <w:t>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Cs/>
                <w:iCs/>
              </w:rPr>
              <w:t>0</w:t>
            </w:r>
          </w:p>
        </w:tc>
      </w:tr>
      <w:tr w:rsidR="00146C23" w:rsidRPr="00146C23" w:rsidTr="00146C23">
        <w:trPr>
          <w:trHeight w:val="62"/>
          <w:jc w:val="center"/>
        </w:trPr>
        <w:tc>
          <w:tcPr>
            <w:tcW w:w="4276" w:type="dxa"/>
            <w:noWrap/>
            <w:vAlign w:val="center"/>
          </w:tcPr>
          <w:p w:rsidR="00146C23" w:rsidRPr="00146C23" w:rsidRDefault="00146C23" w:rsidP="00146C23">
            <w:pPr>
              <w:widowControl/>
              <w:adjustRightInd/>
              <w:rPr>
                <w:rFonts w:cs="Times New Roman"/>
                <w:b/>
                <w:bCs/>
              </w:rPr>
            </w:pPr>
            <w:r w:rsidRPr="00146C23">
              <w:rPr>
                <w:rFonts w:cs="Times New Roman"/>
                <w:b/>
                <w:bCs/>
                <w:i/>
                <w:iCs/>
              </w:rPr>
              <w:t>- vplyv na ostatné subjekty verejnej správy</w:t>
            </w:r>
          </w:p>
        </w:tc>
        <w:tc>
          <w:tcPr>
            <w:tcW w:w="1162"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r>
      <w:tr w:rsidR="00146C23" w:rsidRPr="00146C23" w:rsidTr="00146C23">
        <w:trPr>
          <w:trHeight w:val="62"/>
          <w:jc w:val="center"/>
        </w:trPr>
        <w:tc>
          <w:tcPr>
            <w:tcW w:w="4276" w:type="dxa"/>
            <w:shd w:val="clear" w:color="auto" w:fill="BFBFBF" w:themeFill="background1" w:themeFillShade="BF"/>
            <w:noWrap/>
            <w:vAlign w:val="center"/>
          </w:tcPr>
          <w:p w:rsidR="00146C23" w:rsidRPr="00146C23" w:rsidRDefault="00146C23" w:rsidP="00146C23">
            <w:pPr>
              <w:widowControl/>
              <w:adjustRightInd/>
              <w:rPr>
                <w:rFonts w:cs="Times New Roman"/>
                <w:b/>
                <w:bCs/>
              </w:rPr>
            </w:pPr>
            <w:r w:rsidRPr="00146C23">
              <w:rPr>
                <w:rFonts w:cs="Times New Roman"/>
                <w:b/>
                <w:bCs/>
              </w:rPr>
              <w:t xml:space="preserve">Vplyv na počet zamestnancov </w:t>
            </w:r>
          </w:p>
        </w:tc>
        <w:tc>
          <w:tcPr>
            <w:tcW w:w="1162" w:type="dxa"/>
            <w:shd w:val="clear" w:color="auto" w:fill="BFBFBF" w:themeFill="background1" w:themeFillShade="BF"/>
            <w:noWrap/>
            <w:vAlign w:val="center"/>
          </w:tcPr>
          <w:p w:rsidR="00146C23" w:rsidRPr="00146C23" w:rsidRDefault="00146C23" w:rsidP="00146C23">
            <w:pPr>
              <w:widowControl/>
              <w:adjustRightInd/>
              <w:jc w:val="right"/>
              <w:rPr>
                <w:rFonts w:cs="Times New Roman"/>
                <w:b/>
                <w:bCs/>
              </w:rPr>
            </w:pPr>
            <w:r w:rsidRPr="00146C23">
              <w:rPr>
                <w:rFonts w:cs="Times New Roman"/>
                <w:b/>
                <w:bCs/>
              </w:rPr>
              <w:t>0</w:t>
            </w:r>
          </w:p>
        </w:tc>
        <w:tc>
          <w:tcPr>
            <w:tcW w:w="1795" w:type="dxa"/>
            <w:shd w:val="clear" w:color="auto" w:fill="BFBFBF" w:themeFill="background1" w:themeFillShade="BF"/>
            <w:noWrap/>
            <w:vAlign w:val="center"/>
          </w:tcPr>
          <w:p w:rsidR="00146C23" w:rsidRPr="00146C23" w:rsidRDefault="00146C23" w:rsidP="00146C23">
            <w:pPr>
              <w:widowControl/>
              <w:adjustRightInd/>
              <w:jc w:val="right"/>
              <w:rPr>
                <w:rFonts w:cs="Times New Roman"/>
                <w:b/>
                <w:bCs/>
              </w:rPr>
            </w:pPr>
            <w:r w:rsidRPr="00146C23">
              <w:rPr>
                <w:rFonts w:cs="Times New Roman"/>
                <w:b/>
                <w:bCs/>
              </w:rPr>
              <w:t>+12</w:t>
            </w:r>
          </w:p>
        </w:tc>
        <w:tc>
          <w:tcPr>
            <w:tcW w:w="1795" w:type="dxa"/>
            <w:shd w:val="clear" w:color="auto" w:fill="BFBFBF" w:themeFill="background1" w:themeFillShade="BF"/>
            <w:noWrap/>
            <w:vAlign w:val="center"/>
          </w:tcPr>
          <w:p w:rsidR="00146C23" w:rsidRPr="00146C23" w:rsidRDefault="00146C23" w:rsidP="00146C23">
            <w:pPr>
              <w:widowControl/>
              <w:adjustRightInd/>
              <w:jc w:val="right"/>
              <w:rPr>
                <w:rFonts w:cs="Times New Roman"/>
                <w:b/>
                <w:bCs/>
              </w:rPr>
            </w:pPr>
            <w:r w:rsidRPr="00146C23">
              <w:rPr>
                <w:rFonts w:cs="Times New Roman"/>
                <w:b/>
                <w:bCs/>
              </w:rPr>
              <w:t>+12</w:t>
            </w:r>
          </w:p>
        </w:tc>
        <w:tc>
          <w:tcPr>
            <w:tcW w:w="1795" w:type="dxa"/>
            <w:shd w:val="clear" w:color="auto" w:fill="BFBFBF" w:themeFill="background1" w:themeFillShade="BF"/>
            <w:noWrap/>
            <w:vAlign w:val="center"/>
          </w:tcPr>
          <w:p w:rsidR="00146C23" w:rsidRPr="00146C23" w:rsidRDefault="00146C23" w:rsidP="00146C23">
            <w:pPr>
              <w:widowControl/>
              <w:adjustRightInd/>
              <w:jc w:val="right"/>
              <w:rPr>
                <w:rFonts w:cs="Times New Roman"/>
                <w:b/>
                <w:bCs/>
              </w:rPr>
            </w:pPr>
            <w:r w:rsidRPr="00146C23">
              <w:rPr>
                <w:rFonts w:cs="Times New Roman"/>
                <w:b/>
                <w:bCs/>
              </w:rPr>
              <w:t>+12</w:t>
            </w:r>
          </w:p>
        </w:tc>
      </w:tr>
      <w:tr w:rsidR="00146C23" w:rsidRPr="00146C23" w:rsidTr="00146C23">
        <w:trPr>
          <w:trHeight w:val="62"/>
          <w:jc w:val="center"/>
        </w:trPr>
        <w:tc>
          <w:tcPr>
            <w:tcW w:w="4276" w:type="dxa"/>
            <w:noWrap/>
            <w:vAlign w:val="center"/>
          </w:tcPr>
          <w:p w:rsidR="00146C23" w:rsidRPr="00146C23" w:rsidRDefault="00146C23" w:rsidP="00146C23">
            <w:pPr>
              <w:widowControl/>
              <w:adjustRightInd/>
              <w:rPr>
                <w:rFonts w:cs="Times New Roman"/>
                <w:b/>
                <w:bCs/>
                <w:i/>
                <w:iCs/>
              </w:rPr>
            </w:pPr>
            <w:r w:rsidRPr="00146C23">
              <w:rPr>
                <w:rFonts w:cs="Times New Roman"/>
                <w:b/>
                <w:bCs/>
                <w:i/>
                <w:iCs/>
              </w:rPr>
              <w:t>- vplyv na ŠR</w:t>
            </w:r>
          </w:p>
        </w:tc>
        <w:tc>
          <w:tcPr>
            <w:tcW w:w="1162"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+12</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rPr>
              <w:t>+12</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rPr>
              <w:t>+12</w:t>
            </w:r>
          </w:p>
        </w:tc>
      </w:tr>
      <w:tr w:rsidR="00146C23" w:rsidRPr="00146C23" w:rsidTr="00146C23">
        <w:trPr>
          <w:trHeight w:val="62"/>
          <w:jc w:val="center"/>
        </w:trPr>
        <w:tc>
          <w:tcPr>
            <w:tcW w:w="4276" w:type="dxa"/>
            <w:noWrap/>
            <w:vAlign w:val="center"/>
          </w:tcPr>
          <w:p w:rsidR="00146C23" w:rsidRPr="00146C23" w:rsidRDefault="00146C23" w:rsidP="00146C23">
            <w:pPr>
              <w:widowControl/>
              <w:adjustRightInd/>
              <w:rPr>
                <w:rFonts w:cs="Times New Roman"/>
                <w:b/>
                <w:bCs/>
                <w:i/>
                <w:iCs/>
              </w:rPr>
            </w:pPr>
            <w:r w:rsidRPr="00146C23">
              <w:rPr>
                <w:rFonts w:cs="Times New Roman"/>
                <w:b/>
                <w:bCs/>
                <w:i/>
                <w:iCs/>
              </w:rPr>
              <w:t>- vplyv na obce</w:t>
            </w:r>
          </w:p>
        </w:tc>
        <w:tc>
          <w:tcPr>
            <w:tcW w:w="1162"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r>
      <w:tr w:rsidR="00146C23" w:rsidRPr="00146C23" w:rsidTr="00146C23">
        <w:trPr>
          <w:trHeight w:val="62"/>
          <w:jc w:val="center"/>
        </w:trPr>
        <w:tc>
          <w:tcPr>
            <w:tcW w:w="4276" w:type="dxa"/>
            <w:noWrap/>
            <w:vAlign w:val="center"/>
          </w:tcPr>
          <w:p w:rsidR="00146C23" w:rsidRPr="00146C23" w:rsidRDefault="00146C23" w:rsidP="00146C23">
            <w:pPr>
              <w:widowControl/>
              <w:adjustRightInd/>
              <w:rPr>
                <w:rFonts w:cs="Times New Roman"/>
                <w:b/>
                <w:bCs/>
                <w:i/>
                <w:iCs/>
              </w:rPr>
            </w:pPr>
            <w:r w:rsidRPr="00146C23">
              <w:rPr>
                <w:rFonts w:cs="Times New Roman"/>
                <w:b/>
                <w:bCs/>
                <w:i/>
                <w:iCs/>
              </w:rPr>
              <w:t>- vplyv na vyššie územné celky</w:t>
            </w:r>
          </w:p>
        </w:tc>
        <w:tc>
          <w:tcPr>
            <w:tcW w:w="1162"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r>
      <w:tr w:rsidR="00146C23" w:rsidRPr="00146C23" w:rsidTr="00146C23">
        <w:trPr>
          <w:trHeight w:val="62"/>
          <w:jc w:val="center"/>
        </w:trPr>
        <w:tc>
          <w:tcPr>
            <w:tcW w:w="4276" w:type="dxa"/>
            <w:noWrap/>
            <w:vAlign w:val="center"/>
          </w:tcPr>
          <w:p w:rsidR="00146C23" w:rsidRPr="00146C23" w:rsidRDefault="00146C23" w:rsidP="00146C23">
            <w:pPr>
              <w:widowControl/>
              <w:adjustRightInd/>
              <w:rPr>
                <w:rFonts w:cs="Times New Roman"/>
                <w:b/>
                <w:bCs/>
                <w:i/>
                <w:iCs/>
              </w:rPr>
            </w:pPr>
            <w:r w:rsidRPr="00146C23">
              <w:rPr>
                <w:rFonts w:cs="Times New Roman"/>
                <w:b/>
                <w:bCs/>
                <w:i/>
                <w:iCs/>
              </w:rPr>
              <w:t>- vplyv na ostatné subjekty verejnej správy</w:t>
            </w:r>
          </w:p>
        </w:tc>
        <w:tc>
          <w:tcPr>
            <w:tcW w:w="1162"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r>
      <w:tr w:rsidR="00146C23" w:rsidRPr="00146C23" w:rsidTr="00146C23">
        <w:trPr>
          <w:trHeight w:val="62"/>
          <w:jc w:val="center"/>
        </w:trPr>
        <w:tc>
          <w:tcPr>
            <w:tcW w:w="4276" w:type="dxa"/>
            <w:shd w:val="clear" w:color="auto" w:fill="BFBFBF" w:themeFill="background1" w:themeFillShade="BF"/>
            <w:noWrap/>
            <w:vAlign w:val="center"/>
          </w:tcPr>
          <w:p w:rsidR="00146C23" w:rsidRPr="00146C23" w:rsidRDefault="00146C23" w:rsidP="00146C23">
            <w:pPr>
              <w:widowControl/>
              <w:adjustRightInd/>
              <w:rPr>
                <w:rFonts w:cs="Times New Roman"/>
                <w:b/>
              </w:rPr>
            </w:pPr>
            <w:r w:rsidRPr="00146C23">
              <w:rPr>
                <w:rFonts w:cs="Times New Roman"/>
                <w:b/>
              </w:rPr>
              <w:t>Vplyv na mzdové výdavky</w:t>
            </w:r>
          </w:p>
        </w:tc>
        <w:tc>
          <w:tcPr>
            <w:tcW w:w="1162" w:type="dxa"/>
            <w:shd w:val="clear" w:color="auto" w:fill="BFBFBF" w:themeFill="background1" w:themeFillShade="BF"/>
            <w:noWrap/>
            <w:vAlign w:val="center"/>
          </w:tcPr>
          <w:p w:rsidR="00146C23" w:rsidRPr="00146C23" w:rsidRDefault="00146C23" w:rsidP="00146C23">
            <w:pPr>
              <w:widowControl/>
              <w:adjustRightInd/>
              <w:jc w:val="right"/>
              <w:rPr>
                <w:rFonts w:cs="Times New Roman"/>
                <w:b/>
              </w:rPr>
            </w:pPr>
            <w:r w:rsidRPr="00146C23">
              <w:rPr>
                <w:rFonts w:cs="Times New Roman"/>
                <w:b/>
              </w:rPr>
              <w:t>0</w:t>
            </w:r>
          </w:p>
        </w:tc>
        <w:tc>
          <w:tcPr>
            <w:tcW w:w="1795" w:type="dxa"/>
            <w:shd w:val="clear" w:color="auto" w:fill="BFBFBF" w:themeFill="background1" w:themeFillShade="BF"/>
            <w:noWrap/>
          </w:tcPr>
          <w:p w:rsidR="00146C23" w:rsidRPr="00146C23" w:rsidRDefault="00146C23" w:rsidP="00146C23">
            <w:pPr>
              <w:widowControl/>
              <w:adjustRightInd/>
              <w:jc w:val="right"/>
              <w:rPr>
                <w:rFonts w:cs="Times New Roman"/>
                <w:b/>
                <w:bCs/>
              </w:rPr>
            </w:pPr>
            <w:r w:rsidRPr="00146C23">
              <w:rPr>
                <w:rFonts w:cs="Times New Roman"/>
                <w:b/>
                <w:bCs/>
              </w:rPr>
              <w:t>+261 216</w:t>
            </w:r>
          </w:p>
        </w:tc>
        <w:tc>
          <w:tcPr>
            <w:tcW w:w="1795" w:type="dxa"/>
            <w:shd w:val="clear" w:color="auto" w:fill="BFBFBF" w:themeFill="background1" w:themeFillShade="BF"/>
            <w:noWrap/>
          </w:tcPr>
          <w:p w:rsidR="00146C23" w:rsidRPr="00146C23" w:rsidRDefault="00146C23" w:rsidP="00146C23">
            <w:pPr>
              <w:widowControl/>
              <w:adjustRightInd/>
              <w:jc w:val="right"/>
              <w:rPr>
                <w:rFonts w:cs="Times New Roman"/>
                <w:b/>
                <w:bCs/>
              </w:rPr>
            </w:pPr>
            <w:r w:rsidRPr="00146C23">
              <w:rPr>
                <w:rFonts w:cs="Times New Roman"/>
                <w:b/>
                <w:bCs/>
              </w:rPr>
              <w:t>+261 216</w:t>
            </w:r>
          </w:p>
        </w:tc>
        <w:tc>
          <w:tcPr>
            <w:tcW w:w="1795" w:type="dxa"/>
            <w:shd w:val="clear" w:color="auto" w:fill="BFBFBF" w:themeFill="background1" w:themeFillShade="BF"/>
            <w:noWrap/>
          </w:tcPr>
          <w:p w:rsidR="00146C23" w:rsidRPr="00146C23" w:rsidRDefault="00146C23" w:rsidP="00146C23">
            <w:pPr>
              <w:widowControl/>
              <w:adjustRightInd/>
              <w:jc w:val="right"/>
              <w:rPr>
                <w:rFonts w:cs="Times New Roman"/>
                <w:b/>
                <w:bCs/>
              </w:rPr>
            </w:pPr>
            <w:r w:rsidRPr="00146C23">
              <w:rPr>
                <w:rFonts w:cs="Times New Roman"/>
                <w:b/>
                <w:bCs/>
              </w:rPr>
              <w:t>+261 216</w:t>
            </w:r>
          </w:p>
        </w:tc>
      </w:tr>
      <w:tr w:rsidR="00146C23" w:rsidRPr="00146C23" w:rsidTr="00146C23">
        <w:trPr>
          <w:trHeight w:val="62"/>
          <w:jc w:val="center"/>
        </w:trPr>
        <w:tc>
          <w:tcPr>
            <w:tcW w:w="4276" w:type="dxa"/>
            <w:noWrap/>
            <w:vAlign w:val="center"/>
          </w:tcPr>
          <w:p w:rsidR="00146C23" w:rsidRPr="00146C23" w:rsidRDefault="00146C23" w:rsidP="00146C23">
            <w:pPr>
              <w:widowControl/>
              <w:adjustRightInd/>
              <w:rPr>
                <w:rFonts w:cs="Times New Roman"/>
                <w:b/>
                <w:bCs/>
                <w:i/>
                <w:iCs/>
              </w:rPr>
            </w:pPr>
            <w:r w:rsidRPr="00146C23">
              <w:rPr>
                <w:rFonts w:cs="Times New Roman"/>
                <w:b/>
                <w:bCs/>
                <w:i/>
                <w:iCs/>
              </w:rPr>
              <w:t>- vplyv na ŠR</w:t>
            </w:r>
          </w:p>
        </w:tc>
        <w:tc>
          <w:tcPr>
            <w:tcW w:w="1162"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c>
          <w:tcPr>
            <w:tcW w:w="1795" w:type="dxa"/>
            <w:noWrap/>
          </w:tcPr>
          <w:p w:rsidR="00146C23" w:rsidRPr="00146C23" w:rsidRDefault="00146C23" w:rsidP="00146C23">
            <w:pPr>
              <w:widowControl/>
              <w:adjustRightInd/>
              <w:jc w:val="right"/>
              <w:rPr>
                <w:rFonts w:cs="Times New Roman"/>
                <w:b/>
                <w:bCs/>
              </w:rPr>
            </w:pPr>
            <w:r w:rsidRPr="00146C23">
              <w:rPr>
                <w:rFonts w:cs="Times New Roman"/>
                <w:b/>
                <w:bCs/>
              </w:rPr>
              <w:t>+261 216</w:t>
            </w:r>
          </w:p>
        </w:tc>
        <w:tc>
          <w:tcPr>
            <w:tcW w:w="1795" w:type="dxa"/>
            <w:noWrap/>
          </w:tcPr>
          <w:p w:rsidR="00146C23" w:rsidRPr="00146C23" w:rsidRDefault="00146C23" w:rsidP="00146C23">
            <w:pPr>
              <w:widowControl/>
              <w:adjustRightInd/>
              <w:jc w:val="right"/>
              <w:rPr>
                <w:rFonts w:cs="Times New Roman"/>
                <w:b/>
                <w:bCs/>
              </w:rPr>
            </w:pPr>
            <w:r w:rsidRPr="00146C23">
              <w:rPr>
                <w:rFonts w:cs="Times New Roman"/>
                <w:b/>
                <w:bCs/>
              </w:rPr>
              <w:t>+261 216</w:t>
            </w:r>
          </w:p>
        </w:tc>
        <w:tc>
          <w:tcPr>
            <w:tcW w:w="1795" w:type="dxa"/>
            <w:noWrap/>
          </w:tcPr>
          <w:p w:rsidR="00146C23" w:rsidRPr="00146C23" w:rsidRDefault="00146C23" w:rsidP="00146C23">
            <w:pPr>
              <w:widowControl/>
              <w:adjustRightInd/>
              <w:jc w:val="right"/>
              <w:rPr>
                <w:rFonts w:cs="Times New Roman"/>
                <w:b/>
                <w:bCs/>
              </w:rPr>
            </w:pPr>
            <w:r w:rsidRPr="00146C23">
              <w:rPr>
                <w:rFonts w:cs="Times New Roman"/>
                <w:b/>
                <w:bCs/>
              </w:rPr>
              <w:t>+261 216</w:t>
            </w:r>
          </w:p>
        </w:tc>
      </w:tr>
      <w:tr w:rsidR="00146C23" w:rsidRPr="00146C23" w:rsidTr="00146C23">
        <w:trPr>
          <w:trHeight w:val="62"/>
          <w:jc w:val="center"/>
        </w:trPr>
        <w:tc>
          <w:tcPr>
            <w:tcW w:w="4276" w:type="dxa"/>
            <w:noWrap/>
            <w:vAlign w:val="center"/>
          </w:tcPr>
          <w:p w:rsidR="00146C23" w:rsidRPr="00146C23" w:rsidRDefault="00146C23" w:rsidP="00146C23">
            <w:pPr>
              <w:widowControl/>
              <w:adjustRightInd/>
              <w:rPr>
                <w:rFonts w:cs="Times New Roman"/>
                <w:b/>
                <w:bCs/>
                <w:i/>
                <w:iCs/>
              </w:rPr>
            </w:pPr>
            <w:r w:rsidRPr="00146C23">
              <w:rPr>
                <w:rFonts w:cs="Times New Roman"/>
                <w:b/>
                <w:bCs/>
                <w:i/>
                <w:iCs/>
              </w:rPr>
              <w:t>- vplyv na obce</w:t>
            </w:r>
          </w:p>
        </w:tc>
        <w:tc>
          <w:tcPr>
            <w:tcW w:w="1162"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r>
      <w:tr w:rsidR="00146C23" w:rsidRPr="00146C23" w:rsidTr="00146C23">
        <w:trPr>
          <w:trHeight w:val="62"/>
          <w:jc w:val="center"/>
        </w:trPr>
        <w:tc>
          <w:tcPr>
            <w:tcW w:w="4276" w:type="dxa"/>
            <w:noWrap/>
            <w:vAlign w:val="center"/>
          </w:tcPr>
          <w:p w:rsidR="00146C23" w:rsidRPr="00146C23" w:rsidRDefault="00146C23" w:rsidP="00146C23">
            <w:pPr>
              <w:widowControl/>
              <w:adjustRightInd/>
              <w:rPr>
                <w:rFonts w:cs="Times New Roman"/>
                <w:b/>
                <w:bCs/>
                <w:i/>
                <w:iCs/>
              </w:rPr>
            </w:pPr>
            <w:r w:rsidRPr="00146C23">
              <w:rPr>
                <w:rFonts w:cs="Times New Roman"/>
                <w:b/>
                <w:bCs/>
                <w:i/>
                <w:iCs/>
              </w:rPr>
              <w:t>- vplyv na vyššie územné celky</w:t>
            </w:r>
          </w:p>
        </w:tc>
        <w:tc>
          <w:tcPr>
            <w:tcW w:w="1162"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r>
      <w:tr w:rsidR="00146C23" w:rsidRPr="00146C23" w:rsidTr="00146C23">
        <w:trPr>
          <w:trHeight w:val="62"/>
          <w:jc w:val="center"/>
        </w:trPr>
        <w:tc>
          <w:tcPr>
            <w:tcW w:w="4276" w:type="dxa"/>
            <w:noWrap/>
            <w:vAlign w:val="center"/>
          </w:tcPr>
          <w:p w:rsidR="00146C23" w:rsidRPr="00146C23" w:rsidRDefault="00146C23" w:rsidP="00146C23">
            <w:pPr>
              <w:widowControl/>
              <w:adjustRightInd/>
              <w:rPr>
                <w:rFonts w:cs="Times New Roman"/>
                <w:b/>
                <w:bCs/>
              </w:rPr>
            </w:pPr>
            <w:r w:rsidRPr="00146C23">
              <w:rPr>
                <w:rFonts w:cs="Times New Roman"/>
                <w:b/>
                <w:bCs/>
                <w:i/>
                <w:iCs/>
              </w:rPr>
              <w:t>- vplyv na ostatné subjekty verejnej správy</w:t>
            </w:r>
          </w:p>
        </w:tc>
        <w:tc>
          <w:tcPr>
            <w:tcW w:w="1162"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c>
          <w:tcPr>
            <w:tcW w:w="1795" w:type="dxa"/>
            <w:noWrap/>
            <w:vAlign w:val="center"/>
          </w:tcPr>
          <w:p w:rsidR="00146C23" w:rsidRPr="00146C23" w:rsidRDefault="00146C23" w:rsidP="00146C23">
            <w:pPr>
              <w:widowControl/>
              <w:adjustRightInd/>
              <w:jc w:val="right"/>
              <w:rPr>
                <w:rFonts w:cs="Times New Roman"/>
                <w:b/>
                <w:bCs/>
                <w:iCs/>
              </w:rPr>
            </w:pPr>
            <w:r w:rsidRPr="00146C23">
              <w:rPr>
                <w:rFonts w:cs="Times New Roman"/>
                <w:b/>
                <w:bCs/>
                <w:iCs/>
              </w:rPr>
              <w:t>0</w:t>
            </w:r>
          </w:p>
        </w:tc>
      </w:tr>
      <w:tr w:rsidR="00146C23" w:rsidRPr="00146C23" w:rsidTr="00146C23">
        <w:trPr>
          <w:trHeight w:val="62"/>
          <w:jc w:val="center"/>
        </w:trPr>
        <w:tc>
          <w:tcPr>
            <w:tcW w:w="4276" w:type="dxa"/>
            <w:shd w:val="clear" w:color="auto" w:fill="C0C0C0"/>
            <w:noWrap/>
            <w:vAlign w:val="center"/>
          </w:tcPr>
          <w:p w:rsidR="00146C23" w:rsidRPr="00146C23" w:rsidRDefault="00146C23" w:rsidP="00146C23">
            <w:pPr>
              <w:widowControl/>
              <w:adjustRightInd/>
              <w:rPr>
                <w:rFonts w:cs="Times New Roman"/>
                <w:b/>
                <w:bCs/>
              </w:rPr>
            </w:pPr>
            <w:r w:rsidRPr="00146C23">
              <w:rPr>
                <w:rFonts w:cs="Times New Roman"/>
                <w:b/>
                <w:bCs/>
              </w:rPr>
              <w:t>Financovanie zabezpečené v rozpočte</w:t>
            </w:r>
          </w:p>
        </w:tc>
        <w:tc>
          <w:tcPr>
            <w:tcW w:w="1162" w:type="dxa"/>
            <w:shd w:val="clear" w:color="auto" w:fill="C0C0C0"/>
            <w:noWrap/>
            <w:vAlign w:val="center"/>
          </w:tcPr>
          <w:p w:rsidR="00146C23" w:rsidRPr="00146C23" w:rsidRDefault="00146C23" w:rsidP="00146C23">
            <w:pPr>
              <w:widowControl/>
              <w:adjustRightInd/>
              <w:jc w:val="right"/>
              <w:rPr>
                <w:rFonts w:cs="Times New Roman"/>
                <w:b/>
                <w:bCs/>
              </w:rPr>
            </w:pPr>
            <w:r w:rsidRPr="00146C23">
              <w:rPr>
                <w:rFonts w:cs="Times New Roman"/>
                <w:b/>
                <w:bCs/>
              </w:rPr>
              <w:t>0</w:t>
            </w:r>
          </w:p>
        </w:tc>
        <w:tc>
          <w:tcPr>
            <w:tcW w:w="1795" w:type="dxa"/>
            <w:shd w:val="clear" w:color="auto" w:fill="C0C0C0"/>
            <w:noWrap/>
            <w:vAlign w:val="center"/>
          </w:tcPr>
          <w:p w:rsidR="00146C23" w:rsidRPr="00146C23" w:rsidRDefault="00146C23" w:rsidP="00146C23">
            <w:pPr>
              <w:widowControl/>
              <w:adjustRightInd/>
              <w:jc w:val="right"/>
              <w:rPr>
                <w:rFonts w:cs="Times New Roman"/>
                <w:b/>
                <w:bCs/>
              </w:rPr>
            </w:pPr>
            <w:r w:rsidRPr="00146C23">
              <w:rPr>
                <w:rFonts w:cs="Times New Roman"/>
                <w:b/>
                <w:bCs/>
              </w:rPr>
              <w:t>0</w:t>
            </w:r>
          </w:p>
        </w:tc>
        <w:tc>
          <w:tcPr>
            <w:tcW w:w="1795" w:type="dxa"/>
            <w:shd w:val="clear" w:color="auto" w:fill="C0C0C0"/>
            <w:noWrap/>
            <w:vAlign w:val="center"/>
          </w:tcPr>
          <w:p w:rsidR="00146C23" w:rsidRPr="00146C23" w:rsidRDefault="00146C23" w:rsidP="00146C23">
            <w:pPr>
              <w:widowControl/>
              <w:adjustRightInd/>
              <w:jc w:val="right"/>
              <w:rPr>
                <w:rFonts w:cs="Times New Roman"/>
                <w:b/>
                <w:bCs/>
              </w:rPr>
            </w:pPr>
            <w:r w:rsidRPr="00146C23">
              <w:rPr>
                <w:rFonts w:cs="Times New Roman"/>
                <w:b/>
                <w:bCs/>
              </w:rPr>
              <w:t>0</w:t>
            </w:r>
          </w:p>
        </w:tc>
        <w:tc>
          <w:tcPr>
            <w:tcW w:w="1795" w:type="dxa"/>
            <w:shd w:val="clear" w:color="auto" w:fill="C0C0C0"/>
            <w:noWrap/>
            <w:vAlign w:val="center"/>
          </w:tcPr>
          <w:p w:rsidR="00146C23" w:rsidRPr="00146C23" w:rsidRDefault="00146C23" w:rsidP="00146C23">
            <w:pPr>
              <w:widowControl/>
              <w:adjustRightInd/>
              <w:jc w:val="right"/>
              <w:rPr>
                <w:rFonts w:cs="Times New Roman"/>
                <w:b/>
                <w:bCs/>
              </w:rPr>
            </w:pPr>
            <w:r w:rsidRPr="00146C23">
              <w:rPr>
                <w:rFonts w:cs="Times New Roman"/>
                <w:b/>
                <w:bCs/>
              </w:rPr>
              <w:t>0</w:t>
            </w:r>
          </w:p>
        </w:tc>
      </w:tr>
      <w:tr w:rsidR="00146C23" w:rsidRPr="00146C23" w:rsidTr="00146C23">
        <w:trPr>
          <w:trHeight w:val="62"/>
          <w:jc w:val="center"/>
        </w:trPr>
        <w:tc>
          <w:tcPr>
            <w:tcW w:w="4276" w:type="dxa"/>
            <w:noWrap/>
            <w:vAlign w:val="center"/>
          </w:tcPr>
          <w:p w:rsidR="00146C23" w:rsidRPr="00146C23" w:rsidRDefault="00146C23" w:rsidP="00146C23">
            <w:pPr>
              <w:widowControl/>
              <w:adjustRightInd/>
              <w:rPr>
                <w:rFonts w:cs="Times New Roman"/>
              </w:rPr>
            </w:pPr>
            <w:r w:rsidRPr="00146C23">
              <w:rPr>
                <w:rFonts w:cs="Times New Roman"/>
              </w:rPr>
              <w:t>v tom: kapitola 26 - Ministerstvo hospodárstva Slovenskej republiky</w:t>
            </w:r>
          </w:p>
        </w:tc>
        <w:tc>
          <w:tcPr>
            <w:tcW w:w="1162" w:type="dxa"/>
            <w:noWrap/>
            <w:vAlign w:val="center"/>
          </w:tcPr>
          <w:p w:rsidR="00146C23" w:rsidRPr="00146C23" w:rsidRDefault="00146C23" w:rsidP="00146C23">
            <w:pPr>
              <w:widowControl/>
              <w:adjustRightInd/>
              <w:jc w:val="right"/>
              <w:rPr>
                <w:rFonts w:cs="Times New Roman"/>
              </w:rPr>
            </w:pPr>
            <w:r w:rsidRPr="00146C23">
              <w:rPr>
                <w:rFonts w:cs="Times New Roman"/>
              </w:rPr>
              <w:t>0</w:t>
            </w:r>
          </w:p>
        </w:tc>
        <w:tc>
          <w:tcPr>
            <w:tcW w:w="1795" w:type="dxa"/>
            <w:noWrap/>
            <w:vAlign w:val="center"/>
          </w:tcPr>
          <w:p w:rsidR="00146C23" w:rsidRPr="00146C23" w:rsidRDefault="00146C23" w:rsidP="00146C23">
            <w:pPr>
              <w:widowControl/>
              <w:adjustRightInd/>
              <w:jc w:val="right"/>
              <w:rPr>
                <w:rFonts w:cs="Times New Roman"/>
              </w:rPr>
            </w:pPr>
            <w:r w:rsidRPr="00146C23">
              <w:rPr>
                <w:rFonts w:cs="Times New Roman"/>
              </w:rPr>
              <w:t>0</w:t>
            </w:r>
          </w:p>
        </w:tc>
        <w:tc>
          <w:tcPr>
            <w:tcW w:w="1795" w:type="dxa"/>
            <w:noWrap/>
            <w:vAlign w:val="center"/>
          </w:tcPr>
          <w:p w:rsidR="00146C23" w:rsidRPr="00146C23" w:rsidRDefault="00146C23" w:rsidP="00146C23">
            <w:pPr>
              <w:widowControl/>
              <w:adjustRightInd/>
              <w:jc w:val="right"/>
              <w:rPr>
                <w:rFonts w:cs="Times New Roman"/>
              </w:rPr>
            </w:pPr>
            <w:r w:rsidRPr="00146C23">
              <w:rPr>
                <w:rFonts w:cs="Times New Roman"/>
              </w:rPr>
              <w:t>0</w:t>
            </w:r>
          </w:p>
        </w:tc>
        <w:tc>
          <w:tcPr>
            <w:tcW w:w="1795" w:type="dxa"/>
            <w:noWrap/>
            <w:vAlign w:val="center"/>
          </w:tcPr>
          <w:p w:rsidR="00146C23" w:rsidRPr="00146C23" w:rsidRDefault="00146C23" w:rsidP="00146C23">
            <w:pPr>
              <w:widowControl/>
              <w:adjustRightInd/>
              <w:jc w:val="right"/>
              <w:rPr>
                <w:rFonts w:cs="Times New Roman"/>
              </w:rPr>
            </w:pPr>
            <w:r w:rsidRPr="00146C23">
              <w:rPr>
                <w:rFonts w:cs="Times New Roman"/>
              </w:rPr>
              <w:t>0</w:t>
            </w:r>
          </w:p>
        </w:tc>
      </w:tr>
      <w:tr w:rsidR="00146C23" w:rsidRPr="00146C23" w:rsidTr="00146C23">
        <w:trPr>
          <w:trHeight w:val="62"/>
          <w:jc w:val="center"/>
        </w:trPr>
        <w:tc>
          <w:tcPr>
            <w:tcW w:w="4276" w:type="dxa"/>
            <w:shd w:val="clear" w:color="auto" w:fill="BFBFBF" w:themeFill="background1" w:themeFillShade="BF"/>
            <w:noWrap/>
            <w:vAlign w:val="center"/>
          </w:tcPr>
          <w:p w:rsidR="00146C23" w:rsidRPr="00146C23" w:rsidRDefault="00146C23" w:rsidP="00146C23">
            <w:pPr>
              <w:widowControl/>
              <w:adjustRightInd/>
              <w:rPr>
                <w:rFonts w:cs="Times New Roman"/>
                <w:b/>
              </w:rPr>
            </w:pPr>
            <w:r w:rsidRPr="00146C23">
              <w:rPr>
                <w:rFonts w:cs="Times New Roman"/>
                <w:b/>
              </w:rPr>
              <w:t>Iné ako rozpočtové zdroje</w:t>
            </w:r>
          </w:p>
        </w:tc>
        <w:tc>
          <w:tcPr>
            <w:tcW w:w="1162" w:type="dxa"/>
            <w:shd w:val="clear" w:color="auto" w:fill="BFBFBF" w:themeFill="background1" w:themeFillShade="BF"/>
            <w:noWrap/>
            <w:vAlign w:val="center"/>
          </w:tcPr>
          <w:p w:rsidR="00146C23" w:rsidRPr="00146C23" w:rsidRDefault="00146C23" w:rsidP="00146C23">
            <w:pPr>
              <w:widowControl/>
              <w:adjustRightInd/>
              <w:jc w:val="right"/>
              <w:rPr>
                <w:rFonts w:cs="Times New Roman"/>
                <w:b/>
                <w:bCs/>
              </w:rPr>
            </w:pPr>
            <w:r w:rsidRPr="00146C23">
              <w:rPr>
                <w:rFonts w:cs="Times New Roman"/>
                <w:b/>
                <w:bCs/>
              </w:rPr>
              <w:t>0</w:t>
            </w:r>
          </w:p>
        </w:tc>
        <w:tc>
          <w:tcPr>
            <w:tcW w:w="1795" w:type="dxa"/>
            <w:shd w:val="clear" w:color="auto" w:fill="BFBFBF" w:themeFill="background1" w:themeFillShade="BF"/>
            <w:noWrap/>
            <w:vAlign w:val="center"/>
          </w:tcPr>
          <w:p w:rsidR="00146C23" w:rsidRPr="00146C23" w:rsidRDefault="00146C23" w:rsidP="00146C23">
            <w:pPr>
              <w:widowControl/>
              <w:adjustRightInd/>
              <w:jc w:val="right"/>
              <w:rPr>
                <w:rFonts w:cs="Times New Roman"/>
                <w:b/>
                <w:bCs/>
              </w:rPr>
            </w:pPr>
            <w:r w:rsidRPr="00146C23">
              <w:rPr>
                <w:rFonts w:cs="Times New Roman"/>
                <w:b/>
                <w:bCs/>
              </w:rPr>
              <w:t>0</w:t>
            </w:r>
          </w:p>
        </w:tc>
        <w:tc>
          <w:tcPr>
            <w:tcW w:w="1795" w:type="dxa"/>
            <w:shd w:val="clear" w:color="auto" w:fill="BFBFBF" w:themeFill="background1" w:themeFillShade="BF"/>
            <w:noWrap/>
            <w:vAlign w:val="center"/>
          </w:tcPr>
          <w:p w:rsidR="00146C23" w:rsidRPr="00146C23" w:rsidRDefault="00146C23" w:rsidP="00146C23">
            <w:pPr>
              <w:widowControl/>
              <w:adjustRightInd/>
              <w:jc w:val="right"/>
              <w:rPr>
                <w:rFonts w:cs="Times New Roman"/>
                <w:b/>
                <w:bCs/>
              </w:rPr>
            </w:pPr>
            <w:r w:rsidRPr="00146C23">
              <w:rPr>
                <w:rFonts w:cs="Times New Roman"/>
                <w:b/>
                <w:bCs/>
              </w:rPr>
              <w:t>0</w:t>
            </w:r>
          </w:p>
        </w:tc>
        <w:tc>
          <w:tcPr>
            <w:tcW w:w="1795" w:type="dxa"/>
            <w:shd w:val="clear" w:color="auto" w:fill="BFBFBF" w:themeFill="background1" w:themeFillShade="BF"/>
            <w:noWrap/>
            <w:vAlign w:val="center"/>
          </w:tcPr>
          <w:p w:rsidR="00146C23" w:rsidRPr="00146C23" w:rsidRDefault="00146C23" w:rsidP="00146C23">
            <w:pPr>
              <w:widowControl/>
              <w:adjustRightInd/>
              <w:jc w:val="right"/>
              <w:rPr>
                <w:rFonts w:cs="Times New Roman"/>
                <w:b/>
                <w:bCs/>
              </w:rPr>
            </w:pPr>
            <w:r w:rsidRPr="00146C23">
              <w:rPr>
                <w:rFonts w:cs="Times New Roman"/>
                <w:b/>
                <w:bCs/>
              </w:rPr>
              <w:t>0</w:t>
            </w:r>
          </w:p>
        </w:tc>
      </w:tr>
      <w:tr w:rsidR="00146C23" w:rsidRPr="00146C23" w:rsidTr="00146C23">
        <w:trPr>
          <w:trHeight w:val="62"/>
          <w:jc w:val="center"/>
        </w:trPr>
        <w:tc>
          <w:tcPr>
            <w:tcW w:w="4276" w:type="dxa"/>
            <w:shd w:val="clear" w:color="auto" w:fill="A6A6A6" w:themeFill="background1" w:themeFillShade="A6"/>
            <w:noWrap/>
            <w:vAlign w:val="center"/>
          </w:tcPr>
          <w:p w:rsidR="00146C23" w:rsidRPr="00146C23" w:rsidRDefault="00146C23" w:rsidP="00146C23">
            <w:pPr>
              <w:widowControl/>
              <w:adjustRightInd/>
              <w:rPr>
                <w:rFonts w:cs="Times New Roman"/>
                <w:b/>
                <w:bCs/>
              </w:rPr>
            </w:pPr>
            <w:r w:rsidRPr="00146C23">
              <w:rPr>
                <w:rFonts w:cs="Times New Roman"/>
                <w:b/>
                <w:bCs/>
              </w:rPr>
              <w:t xml:space="preserve">Rozpočtovo nekrytý vplyv / </w:t>
            </w:r>
          </w:p>
        </w:tc>
        <w:tc>
          <w:tcPr>
            <w:tcW w:w="1162" w:type="dxa"/>
            <w:shd w:val="clear" w:color="auto" w:fill="A6A6A6" w:themeFill="background1" w:themeFillShade="A6"/>
            <w:noWrap/>
            <w:vAlign w:val="center"/>
          </w:tcPr>
          <w:p w:rsidR="00146C23" w:rsidRPr="00146C23" w:rsidRDefault="00146C23" w:rsidP="00146C23">
            <w:pPr>
              <w:widowControl/>
              <w:adjustRightInd/>
              <w:jc w:val="right"/>
              <w:rPr>
                <w:rFonts w:cs="Times New Roman"/>
                <w:b/>
                <w:bCs/>
              </w:rPr>
            </w:pPr>
            <w:r w:rsidRPr="00146C23">
              <w:rPr>
                <w:rFonts w:cs="Times New Roman"/>
                <w:b/>
                <w:bCs/>
              </w:rPr>
              <w:t>0</w:t>
            </w:r>
          </w:p>
        </w:tc>
        <w:tc>
          <w:tcPr>
            <w:tcW w:w="1795" w:type="dxa"/>
            <w:shd w:val="clear" w:color="auto" w:fill="A6A6A6" w:themeFill="background1" w:themeFillShade="A6"/>
            <w:noWrap/>
            <w:vAlign w:val="center"/>
          </w:tcPr>
          <w:p w:rsidR="00146C23" w:rsidRPr="00146C23" w:rsidRDefault="00146C23" w:rsidP="00146C23">
            <w:pPr>
              <w:widowControl/>
              <w:adjustRightInd/>
              <w:jc w:val="right"/>
              <w:rPr>
                <w:rFonts w:cs="Times New Roman"/>
                <w:b/>
                <w:bCs/>
              </w:rPr>
            </w:pPr>
            <w:r w:rsidRPr="00146C23">
              <w:rPr>
                <w:rFonts w:cs="Times New Roman"/>
                <w:b/>
                <w:bCs/>
              </w:rPr>
              <w:t>+465 368</w:t>
            </w:r>
          </w:p>
        </w:tc>
        <w:tc>
          <w:tcPr>
            <w:tcW w:w="1795" w:type="dxa"/>
            <w:shd w:val="clear" w:color="auto" w:fill="A6A6A6" w:themeFill="background1" w:themeFillShade="A6"/>
            <w:noWrap/>
            <w:vAlign w:val="center"/>
          </w:tcPr>
          <w:p w:rsidR="00146C23" w:rsidRPr="00146C23" w:rsidRDefault="00146C23" w:rsidP="00146C23">
            <w:pPr>
              <w:widowControl/>
              <w:adjustRightInd/>
              <w:jc w:val="right"/>
              <w:rPr>
                <w:rFonts w:cs="Times New Roman"/>
                <w:b/>
                <w:bCs/>
              </w:rPr>
            </w:pPr>
            <w:r w:rsidRPr="00146C23">
              <w:rPr>
                <w:rFonts w:cs="Times New Roman"/>
                <w:b/>
                <w:bCs/>
              </w:rPr>
              <w:t>+451 368</w:t>
            </w:r>
          </w:p>
        </w:tc>
        <w:tc>
          <w:tcPr>
            <w:tcW w:w="1795" w:type="dxa"/>
            <w:shd w:val="clear" w:color="auto" w:fill="A6A6A6" w:themeFill="background1" w:themeFillShade="A6"/>
            <w:noWrap/>
            <w:vAlign w:val="center"/>
          </w:tcPr>
          <w:p w:rsidR="00146C23" w:rsidRPr="00146C23" w:rsidRDefault="00146C23" w:rsidP="00146C23">
            <w:pPr>
              <w:widowControl/>
              <w:adjustRightInd/>
              <w:jc w:val="right"/>
              <w:rPr>
                <w:rFonts w:cs="Times New Roman"/>
                <w:b/>
                <w:bCs/>
              </w:rPr>
            </w:pPr>
            <w:r w:rsidRPr="00146C23">
              <w:rPr>
                <w:rFonts w:cs="Times New Roman"/>
                <w:b/>
                <w:bCs/>
              </w:rPr>
              <w:t>+451 368</w:t>
            </w:r>
          </w:p>
        </w:tc>
      </w:tr>
      <w:bookmarkEnd w:id="2"/>
    </w:tbl>
    <w:p w:rsidR="00146C23" w:rsidRPr="00146C23" w:rsidRDefault="00146C23" w:rsidP="00146C23">
      <w:pPr>
        <w:widowControl/>
        <w:adjustRightInd/>
        <w:rPr>
          <w:rFonts w:cs="Times New Roman"/>
          <w:b/>
          <w:bCs/>
        </w:rPr>
      </w:pPr>
    </w:p>
    <w:p w:rsidR="00146C23" w:rsidRPr="00146C23" w:rsidRDefault="00146C23" w:rsidP="00146C23">
      <w:pPr>
        <w:widowControl/>
        <w:adjustRightInd/>
        <w:spacing w:line="276" w:lineRule="auto"/>
        <w:rPr>
          <w:rFonts w:cs="Times New Roman"/>
          <w:bCs/>
          <w:sz w:val="20"/>
          <w:szCs w:val="20"/>
        </w:rPr>
      </w:pPr>
      <w:r w:rsidRPr="00146C23">
        <w:rPr>
          <w:rFonts w:cs="Times New Roman"/>
          <w:bCs/>
          <w:sz w:val="20"/>
          <w:szCs w:val="20"/>
        </w:rPr>
        <w:t xml:space="preserve">                                                                                                                                                             Tabuľka č. 1/B</w:t>
      </w:r>
    </w:p>
    <w:tbl>
      <w:tblPr>
        <w:tblW w:w="10774" w:type="dxa"/>
        <w:tblInd w:w="-856" w:type="dxa"/>
        <w:tblCellMar>
          <w:left w:w="70" w:type="dxa"/>
          <w:right w:w="70" w:type="dxa"/>
        </w:tblCellMar>
        <w:tblLook w:val="04A0" w:firstRow="1" w:lastRow="0" w:firstColumn="1" w:lastColumn="0" w:noHBand="0" w:noVBand="1"/>
      </w:tblPr>
      <w:tblGrid>
        <w:gridCol w:w="4253"/>
        <w:gridCol w:w="1134"/>
        <w:gridCol w:w="1843"/>
        <w:gridCol w:w="1843"/>
        <w:gridCol w:w="1701"/>
      </w:tblGrid>
      <w:tr w:rsidR="00146C23" w:rsidRPr="00146C23" w:rsidTr="00146C23">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146C23" w:rsidRPr="00146C23" w:rsidRDefault="00146C23" w:rsidP="00146C23">
            <w:pPr>
              <w:widowControl/>
              <w:adjustRightInd/>
              <w:rPr>
                <w:rFonts w:cs="Times New Roman"/>
                <w:color w:val="000000"/>
              </w:rPr>
            </w:pPr>
            <w:r w:rsidRPr="00146C23">
              <w:rPr>
                <w:rFonts w:cs="Times New Roman"/>
                <w:color w:val="000000"/>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46C23" w:rsidRPr="00146C23" w:rsidRDefault="00146C23" w:rsidP="00146C23">
            <w:pPr>
              <w:widowControl/>
              <w:adjustRightInd/>
              <w:jc w:val="center"/>
              <w:rPr>
                <w:rFonts w:cs="Times New Roman"/>
                <w:b/>
                <w:bCs/>
                <w:color w:val="000000"/>
              </w:rPr>
            </w:pPr>
            <w:r w:rsidRPr="00146C23">
              <w:rPr>
                <w:rFonts w:cs="Times New Roman"/>
                <w:b/>
                <w:bCs/>
                <w:color w:val="000000"/>
              </w:rPr>
              <w:t>2025</w:t>
            </w:r>
          </w:p>
        </w:tc>
        <w:tc>
          <w:tcPr>
            <w:tcW w:w="184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46C23" w:rsidRPr="00146C23" w:rsidRDefault="00146C23" w:rsidP="00146C23">
            <w:pPr>
              <w:widowControl/>
              <w:adjustRightInd/>
              <w:jc w:val="center"/>
              <w:rPr>
                <w:rFonts w:cs="Times New Roman"/>
                <w:b/>
                <w:bCs/>
                <w:color w:val="000000"/>
              </w:rPr>
            </w:pPr>
            <w:r w:rsidRPr="00146C23">
              <w:rPr>
                <w:rFonts w:cs="Times New Roman"/>
                <w:b/>
                <w:bCs/>
                <w:color w:val="000000"/>
              </w:rPr>
              <w:t>2026</w:t>
            </w:r>
          </w:p>
        </w:tc>
        <w:tc>
          <w:tcPr>
            <w:tcW w:w="184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46C23" w:rsidRPr="00146C23" w:rsidRDefault="00146C23" w:rsidP="00146C23">
            <w:pPr>
              <w:widowControl/>
              <w:adjustRightInd/>
              <w:jc w:val="center"/>
              <w:rPr>
                <w:rFonts w:cs="Times New Roman"/>
                <w:b/>
                <w:bCs/>
                <w:color w:val="000000"/>
              </w:rPr>
            </w:pPr>
            <w:r w:rsidRPr="00146C23">
              <w:rPr>
                <w:rFonts w:cs="Times New Roman"/>
                <w:b/>
                <w:bCs/>
                <w:color w:val="000000"/>
              </w:rPr>
              <w:t>2027</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146C23" w:rsidRPr="00146C23" w:rsidRDefault="00146C23" w:rsidP="00146C23">
            <w:pPr>
              <w:widowControl/>
              <w:adjustRightInd/>
              <w:jc w:val="center"/>
              <w:rPr>
                <w:rFonts w:cs="Times New Roman"/>
                <w:b/>
                <w:bCs/>
                <w:color w:val="000000"/>
              </w:rPr>
            </w:pPr>
            <w:r w:rsidRPr="00146C23">
              <w:rPr>
                <w:rFonts w:cs="Times New Roman"/>
                <w:b/>
                <w:bCs/>
                <w:color w:val="000000"/>
              </w:rPr>
              <w:t>2028</w:t>
            </w:r>
          </w:p>
        </w:tc>
      </w:tr>
      <w:tr w:rsidR="00146C23" w:rsidRPr="00146C23" w:rsidTr="00146C23">
        <w:trPr>
          <w:trHeight w:val="300"/>
        </w:trPr>
        <w:tc>
          <w:tcPr>
            <w:tcW w:w="4253"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146C23" w:rsidRPr="00146C23" w:rsidRDefault="00146C23" w:rsidP="00146C23">
            <w:pPr>
              <w:widowControl/>
              <w:adjustRightInd/>
              <w:rPr>
                <w:rFonts w:cs="Times New Roman"/>
                <w:b/>
                <w:bCs/>
                <w:color w:val="000000" w:themeColor="text1"/>
              </w:rPr>
            </w:pPr>
            <w:r w:rsidRPr="00146C23">
              <w:rPr>
                <w:rFonts w:cs="Times New Roman"/>
                <w:b/>
                <w:bCs/>
                <w:color w:val="000000" w:themeColor="text1"/>
              </w:rPr>
              <w:t>Vplyvy na limit verejných výdavkov verejnej správy celkom (v metodike ESA 2010)</w:t>
            </w:r>
          </w:p>
        </w:tc>
        <w:tc>
          <w:tcPr>
            <w:tcW w:w="1134" w:type="dxa"/>
            <w:tcBorders>
              <w:top w:val="nil"/>
              <w:left w:val="nil"/>
              <w:bottom w:val="single" w:sz="4" w:space="0" w:color="auto"/>
              <w:right w:val="single" w:sz="4" w:space="0" w:color="auto"/>
            </w:tcBorders>
            <w:noWrap/>
            <w:vAlign w:val="center"/>
            <w:hideMark/>
          </w:tcPr>
          <w:p w:rsidR="00146C23" w:rsidRPr="00146C23" w:rsidRDefault="00146C23" w:rsidP="00146C23">
            <w:pPr>
              <w:widowControl/>
              <w:adjustRightInd/>
              <w:jc w:val="center"/>
              <w:rPr>
                <w:rFonts w:cs="Times New Roman"/>
                <w:b/>
              </w:rPr>
            </w:pPr>
            <w:r w:rsidRPr="00146C23">
              <w:rPr>
                <w:rFonts w:cs="Times New Roman"/>
                <w:b/>
              </w:rPr>
              <w:t>0</w:t>
            </w:r>
          </w:p>
        </w:tc>
        <w:tc>
          <w:tcPr>
            <w:tcW w:w="1843" w:type="dxa"/>
            <w:tcBorders>
              <w:top w:val="nil"/>
              <w:left w:val="nil"/>
              <w:bottom w:val="single" w:sz="4" w:space="0" w:color="auto"/>
              <w:right w:val="single" w:sz="4" w:space="0" w:color="auto"/>
            </w:tcBorders>
            <w:noWrap/>
            <w:vAlign w:val="center"/>
          </w:tcPr>
          <w:p w:rsidR="00146C23" w:rsidRPr="00146C23" w:rsidRDefault="00146C23" w:rsidP="00146C23">
            <w:pPr>
              <w:widowControl/>
              <w:adjustRightInd/>
              <w:jc w:val="center"/>
              <w:rPr>
                <w:rFonts w:cs="Times New Roman"/>
                <w:b/>
              </w:rPr>
            </w:pPr>
            <w:r w:rsidRPr="00146C23">
              <w:rPr>
                <w:rFonts w:cs="Times New Roman"/>
                <w:b/>
                <w:bCs/>
              </w:rPr>
              <w:t>+465 368</w:t>
            </w:r>
          </w:p>
        </w:tc>
        <w:tc>
          <w:tcPr>
            <w:tcW w:w="1843" w:type="dxa"/>
            <w:tcBorders>
              <w:top w:val="nil"/>
              <w:left w:val="nil"/>
              <w:bottom w:val="single" w:sz="4" w:space="0" w:color="auto"/>
              <w:right w:val="single" w:sz="4" w:space="0" w:color="auto"/>
            </w:tcBorders>
            <w:noWrap/>
            <w:vAlign w:val="center"/>
          </w:tcPr>
          <w:p w:rsidR="00146C23" w:rsidRPr="00146C23" w:rsidRDefault="00146C23" w:rsidP="00146C23">
            <w:pPr>
              <w:widowControl/>
              <w:adjustRightInd/>
              <w:jc w:val="center"/>
              <w:rPr>
                <w:rFonts w:cs="Times New Roman"/>
                <w:b/>
              </w:rPr>
            </w:pPr>
            <w:r w:rsidRPr="00146C23">
              <w:rPr>
                <w:rFonts w:cs="Times New Roman"/>
                <w:b/>
                <w:bCs/>
              </w:rPr>
              <w:t>+451 368</w:t>
            </w:r>
          </w:p>
        </w:tc>
        <w:tc>
          <w:tcPr>
            <w:tcW w:w="1701" w:type="dxa"/>
            <w:tcBorders>
              <w:top w:val="nil"/>
              <w:left w:val="nil"/>
              <w:bottom w:val="single" w:sz="4" w:space="0" w:color="auto"/>
              <w:right w:val="single" w:sz="4" w:space="0" w:color="auto"/>
            </w:tcBorders>
            <w:noWrap/>
            <w:vAlign w:val="center"/>
          </w:tcPr>
          <w:p w:rsidR="00146C23" w:rsidRPr="00146C23" w:rsidRDefault="00146C23" w:rsidP="00146C23">
            <w:pPr>
              <w:widowControl/>
              <w:adjustRightInd/>
              <w:jc w:val="center"/>
              <w:rPr>
                <w:rFonts w:cs="Times New Roman"/>
                <w:b/>
              </w:rPr>
            </w:pPr>
            <w:r w:rsidRPr="00146C23">
              <w:rPr>
                <w:rFonts w:cs="Times New Roman"/>
                <w:b/>
                <w:bCs/>
              </w:rPr>
              <w:t>+451 368</w:t>
            </w:r>
          </w:p>
        </w:tc>
      </w:tr>
      <w:tr w:rsidR="00146C23" w:rsidRPr="00146C23" w:rsidTr="00146C23">
        <w:trPr>
          <w:trHeight w:val="300"/>
        </w:trPr>
        <w:tc>
          <w:tcPr>
            <w:tcW w:w="4253"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146C23" w:rsidRPr="00146C23" w:rsidRDefault="00146C23" w:rsidP="00146C23">
            <w:pPr>
              <w:widowControl/>
              <w:adjustRightInd/>
              <w:rPr>
                <w:rFonts w:cs="Times New Roman"/>
                <w:color w:val="000000" w:themeColor="text1"/>
              </w:rPr>
            </w:pPr>
            <w:r w:rsidRPr="00146C23">
              <w:rPr>
                <w:rFonts w:cs="Times New Roman"/>
                <w:color w:val="000000" w:themeColor="text1"/>
              </w:rPr>
              <w:t xml:space="preserve">v tom: </w:t>
            </w:r>
            <w:r w:rsidRPr="00146C23">
              <w:rPr>
                <w:rFonts w:cs="Times New Roman"/>
              </w:rPr>
              <w:t>kapitola 26 - Ministerstvo hospodárstva Slovenskej republiky</w:t>
            </w:r>
          </w:p>
        </w:tc>
        <w:tc>
          <w:tcPr>
            <w:tcW w:w="1134" w:type="dxa"/>
            <w:tcBorders>
              <w:top w:val="nil"/>
              <w:left w:val="nil"/>
              <w:bottom w:val="single" w:sz="4" w:space="0" w:color="auto"/>
              <w:right w:val="single" w:sz="4" w:space="0" w:color="auto"/>
            </w:tcBorders>
            <w:noWrap/>
            <w:vAlign w:val="center"/>
            <w:hideMark/>
          </w:tcPr>
          <w:p w:rsidR="00146C23" w:rsidRPr="00146C23" w:rsidRDefault="00146C23" w:rsidP="00146C23">
            <w:pPr>
              <w:widowControl/>
              <w:adjustRightInd/>
              <w:jc w:val="center"/>
              <w:rPr>
                <w:rFonts w:cs="Times New Roman"/>
              </w:rPr>
            </w:pPr>
            <w:r w:rsidRPr="00146C23">
              <w:rPr>
                <w:rFonts w:cs="Times New Roman"/>
              </w:rPr>
              <w:t>0</w:t>
            </w:r>
          </w:p>
        </w:tc>
        <w:tc>
          <w:tcPr>
            <w:tcW w:w="1843" w:type="dxa"/>
            <w:tcBorders>
              <w:top w:val="nil"/>
              <w:left w:val="nil"/>
              <w:bottom w:val="single" w:sz="4" w:space="0" w:color="auto"/>
              <w:right w:val="single" w:sz="4" w:space="0" w:color="auto"/>
            </w:tcBorders>
            <w:noWrap/>
            <w:vAlign w:val="center"/>
          </w:tcPr>
          <w:p w:rsidR="00146C23" w:rsidRPr="00146C23" w:rsidRDefault="00146C23" w:rsidP="00146C23">
            <w:pPr>
              <w:widowControl/>
              <w:adjustRightInd/>
              <w:jc w:val="center"/>
              <w:rPr>
                <w:rFonts w:cs="Times New Roman"/>
              </w:rPr>
            </w:pPr>
            <w:r w:rsidRPr="00146C23">
              <w:rPr>
                <w:rFonts w:cs="Times New Roman"/>
                <w:b/>
                <w:bCs/>
              </w:rPr>
              <w:t>+465 368</w:t>
            </w:r>
          </w:p>
        </w:tc>
        <w:tc>
          <w:tcPr>
            <w:tcW w:w="1843" w:type="dxa"/>
            <w:tcBorders>
              <w:top w:val="nil"/>
              <w:left w:val="nil"/>
              <w:bottom w:val="single" w:sz="4" w:space="0" w:color="auto"/>
              <w:right w:val="single" w:sz="4" w:space="0" w:color="auto"/>
            </w:tcBorders>
            <w:noWrap/>
            <w:vAlign w:val="center"/>
          </w:tcPr>
          <w:p w:rsidR="00146C23" w:rsidRPr="00146C23" w:rsidRDefault="00146C23" w:rsidP="00146C23">
            <w:pPr>
              <w:widowControl/>
              <w:adjustRightInd/>
              <w:jc w:val="center"/>
              <w:rPr>
                <w:rFonts w:cs="Times New Roman"/>
              </w:rPr>
            </w:pPr>
            <w:r w:rsidRPr="00146C23">
              <w:rPr>
                <w:rFonts w:cs="Times New Roman"/>
                <w:b/>
                <w:bCs/>
              </w:rPr>
              <w:t>+451 368</w:t>
            </w:r>
          </w:p>
        </w:tc>
        <w:tc>
          <w:tcPr>
            <w:tcW w:w="1701" w:type="dxa"/>
            <w:tcBorders>
              <w:top w:val="nil"/>
              <w:left w:val="nil"/>
              <w:bottom w:val="single" w:sz="4" w:space="0" w:color="auto"/>
              <w:right w:val="single" w:sz="4" w:space="0" w:color="auto"/>
            </w:tcBorders>
            <w:noWrap/>
            <w:vAlign w:val="center"/>
          </w:tcPr>
          <w:p w:rsidR="00146C23" w:rsidRPr="00146C23" w:rsidRDefault="00146C23" w:rsidP="00146C23">
            <w:pPr>
              <w:widowControl/>
              <w:adjustRightInd/>
              <w:jc w:val="center"/>
              <w:rPr>
                <w:rFonts w:cs="Times New Roman"/>
              </w:rPr>
            </w:pPr>
            <w:r w:rsidRPr="00146C23">
              <w:rPr>
                <w:rFonts w:cs="Times New Roman"/>
                <w:b/>
                <w:bCs/>
              </w:rPr>
              <w:t>+451 368</w:t>
            </w:r>
          </w:p>
        </w:tc>
      </w:tr>
      <w:tr w:rsidR="00146C23" w:rsidRPr="00146C23" w:rsidTr="00146C23">
        <w:trPr>
          <w:trHeight w:val="300"/>
        </w:trPr>
        <w:tc>
          <w:tcPr>
            <w:tcW w:w="4253"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146C23" w:rsidRPr="00146C23" w:rsidRDefault="00146C23" w:rsidP="00146C23">
            <w:pPr>
              <w:widowControl/>
              <w:adjustRightInd/>
              <w:rPr>
                <w:rFonts w:cs="Times New Roman"/>
                <w:b/>
                <w:color w:val="000000" w:themeColor="text1"/>
              </w:rPr>
            </w:pPr>
            <w:r w:rsidRPr="00146C23">
              <w:rPr>
                <w:rFonts w:cs="Times New Roman"/>
                <w:b/>
                <w:color w:val="000000" w:themeColor="text1"/>
              </w:rPr>
              <w:t>z toho:</w:t>
            </w:r>
          </w:p>
        </w:tc>
        <w:tc>
          <w:tcPr>
            <w:tcW w:w="1134" w:type="dxa"/>
            <w:tcBorders>
              <w:top w:val="nil"/>
              <w:left w:val="nil"/>
              <w:bottom w:val="single" w:sz="4" w:space="0" w:color="auto"/>
              <w:right w:val="single" w:sz="4" w:space="0" w:color="auto"/>
            </w:tcBorders>
            <w:noWrap/>
            <w:vAlign w:val="center"/>
            <w:hideMark/>
          </w:tcPr>
          <w:p w:rsidR="00146C23" w:rsidRPr="00146C23" w:rsidRDefault="00146C23" w:rsidP="00146C23">
            <w:pPr>
              <w:widowControl/>
              <w:adjustRightInd/>
              <w:rPr>
                <w:rFonts w:cs="Times New Roman"/>
              </w:rPr>
            </w:pPr>
            <w:r w:rsidRPr="00146C23">
              <w:rPr>
                <w:rFonts w:cs="Times New Roman"/>
              </w:rPr>
              <w:t> </w:t>
            </w:r>
          </w:p>
        </w:tc>
        <w:tc>
          <w:tcPr>
            <w:tcW w:w="1843" w:type="dxa"/>
            <w:tcBorders>
              <w:top w:val="nil"/>
              <w:left w:val="nil"/>
              <w:bottom w:val="single" w:sz="4" w:space="0" w:color="auto"/>
              <w:right w:val="single" w:sz="4" w:space="0" w:color="auto"/>
            </w:tcBorders>
            <w:noWrap/>
            <w:vAlign w:val="center"/>
            <w:hideMark/>
          </w:tcPr>
          <w:p w:rsidR="00146C23" w:rsidRPr="00146C23" w:rsidRDefault="00146C23" w:rsidP="00146C23">
            <w:pPr>
              <w:widowControl/>
              <w:adjustRightInd/>
              <w:rPr>
                <w:rFonts w:cs="Times New Roman"/>
              </w:rPr>
            </w:pPr>
            <w:r w:rsidRPr="00146C23">
              <w:rPr>
                <w:rFonts w:cs="Times New Roman"/>
              </w:rPr>
              <w:t> </w:t>
            </w:r>
          </w:p>
        </w:tc>
        <w:tc>
          <w:tcPr>
            <w:tcW w:w="1843" w:type="dxa"/>
            <w:tcBorders>
              <w:top w:val="nil"/>
              <w:left w:val="nil"/>
              <w:bottom w:val="single" w:sz="4" w:space="0" w:color="auto"/>
              <w:right w:val="single" w:sz="4" w:space="0" w:color="auto"/>
            </w:tcBorders>
            <w:noWrap/>
            <w:vAlign w:val="center"/>
            <w:hideMark/>
          </w:tcPr>
          <w:p w:rsidR="00146C23" w:rsidRPr="00146C23" w:rsidRDefault="00146C23" w:rsidP="00146C23">
            <w:pPr>
              <w:widowControl/>
              <w:adjustRightInd/>
              <w:rPr>
                <w:rFonts w:cs="Times New Roman"/>
              </w:rPr>
            </w:pPr>
            <w:r w:rsidRPr="00146C23">
              <w:rPr>
                <w:rFonts w:cs="Times New Roman"/>
              </w:rPr>
              <w:t> </w:t>
            </w:r>
          </w:p>
        </w:tc>
        <w:tc>
          <w:tcPr>
            <w:tcW w:w="1701" w:type="dxa"/>
            <w:tcBorders>
              <w:top w:val="nil"/>
              <w:left w:val="nil"/>
              <w:bottom w:val="single" w:sz="4" w:space="0" w:color="auto"/>
              <w:right w:val="single" w:sz="4" w:space="0" w:color="auto"/>
            </w:tcBorders>
            <w:noWrap/>
            <w:vAlign w:val="center"/>
            <w:hideMark/>
          </w:tcPr>
          <w:p w:rsidR="00146C23" w:rsidRPr="00146C23" w:rsidRDefault="00146C23" w:rsidP="00146C23">
            <w:pPr>
              <w:widowControl/>
              <w:adjustRightInd/>
              <w:rPr>
                <w:rFonts w:cs="Times New Roman"/>
              </w:rPr>
            </w:pPr>
            <w:r w:rsidRPr="00146C23">
              <w:rPr>
                <w:rFonts w:cs="Times New Roman"/>
              </w:rPr>
              <w:t> </w:t>
            </w:r>
          </w:p>
        </w:tc>
      </w:tr>
      <w:tr w:rsidR="00146C23" w:rsidRPr="00146C23" w:rsidTr="00146C23">
        <w:trPr>
          <w:trHeight w:val="300"/>
        </w:trPr>
        <w:tc>
          <w:tcPr>
            <w:tcW w:w="4253"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146C23" w:rsidRPr="00146C23" w:rsidRDefault="00146C23" w:rsidP="00146C23">
            <w:pPr>
              <w:widowControl/>
              <w:adjustRightInd/>
              <w:rPr>
                <w:rFonts w:cs="Times New Roman"/>
                <w:b/>
                <w:bCs/>
                <w:color w:val="000000" w:themeColor="text1"/>
              </w:rPr>
            </w:pPr>
            <w:r w:rsidRPr="00146C23">
              <w:rPr>
                <w:rFonts w:cs="Times New Roman"/>
                <w:b/>
                <w:bCs/>
                <w:color w:val="000000" w:themeColor="text1"/>
              </w:rPr>
              <w:t>vplyv na limit verejných výdavkov ŠR</w:t>
            </w:r>
          </w:p>
        </w:tc>
        <w:tc>
          <w:tcPr>
            <w:tcW w:w="1134" w:type="dxa"/>
            <w:tcBorders>
              <w:top w:val="nil"/>
              <w:left w:val="nil"/>
              <w:bottom w:val="single" w:sz="4" w:space="0" w:color="auto"/>
              <w:right w:val="single" w:sz="4" w:space="0" w:color="auto"/>
            </w:tcBorders>
            <w:noWrap/>
            <w:vAlign w:val="center"/>
            <w:hideMark/>
          </w:tcPr>
          <w:p w:rsidR="00146C23" w:rsidRPr="00146C23" w:rsidRDefault="00146C23" w:rsidP="00146C23">
            <w:pPr>
              <w:widowControl/>
              <w:adjustRightInd/>
              <w:jc w:val="center"/>
              <w:rPr>
                <w:rFonts w:cs="Times New Roman"/>
                <w:b/>
              </w:rPr>
            </w:pPr>
            <w:r w:rsidRPr="00146C23">
              <w:rPr>
                <w:rFonts w:cs="Times New Roman"/>
                <w:b/>
              </w:rPr>
              <w:t>0</w:t>
            </w:r>
          </w:p>
        </w:tc>
        <w:tc>
          <w:tcPr>
            <w:tcW w:w="1843" w:type="dxa"/>
            <w:tcBorders>
              <w:top w:val="nil"/>
              <w:left w:val="nil"/>
              <w:bottom w:val="single" w:sz="4" w:space="0" w:color="auto"/>
              <w:right w:val="single" w:sz="4" w:space="0" w:color="auto"/>
            </w:tcBorders>
            <w:noWrap/>
            <w:vAlign w:val="center"/>
          </w:tcPr>
          <w:p w:rsidR="00146C23" w:rsidRPr="00146C23" w:rsidRDefault="00146C23" w:rsidP="00146C23">
            <w:pPr>
              <w:widowControl/>
              <w:adjustRightInd/>
              <w:jc w:val="center"/>
              <w:rPr>
                <w:rFonts w:cs="Times New Roman"/>
                <w:b/>
              </w:rPr>
            </w:pPr>
            <w:r w:rsidRPr="00146C23">
              <w:rPr>
                <w:rFonts w:cs="Times New Roman"/>
                <w:b/>
                <w:bCs/>
              </w:rPr>
              <w:t>+465 368</w:t>
            </w:r>
          </w:p>
        </w:tc>
        <w:tc>
          <w:tcPr>
            <w:tcW w:w="1843" w:type="dxa"/>
            <w:tcBorders>
              <w:top w:val="nil"/>
              <w:left w:val="nil"/>
              <w:bottom w:val="single" w:sz="4" w:space="0" w:color="auto"/>
              <w:right w:val="single" w:sz="4" w:space="0" w:color="auto"/>
            </w:tcBorders>
            <w:noWrap/>
            <w:vAlign w:val="center"/>
          </w:tcPr>
          <w:p w:rsidR="00146C23" w:rsidRPr="00146C23" w:rsidRDefault="00146C23" w:rsidP="00146C23">
            <w:pPr>
              <w:widowControl/>
              <w:adjustRightInd/>
              <w:jc w:val="center"/>
              <w:rPr>
                <w:rFonts w:cs="Times New Roman"/>
                <w:b/>
              </w:rPr>
            </w:pPr>
            <w:r w:rsidRPr="00146C23">
              <w:rPr>
                <w:rFonts w:cs="Times New Roman"/>
                <w:b/>
                <w:bCs/>
              </w:rPr>
              <w:t>+451 368</w:t>
            </w:r>
          </w:p>
        </w:tc>
        <w:tc>
          <w:tcPr>
            <w:tcW w:w="1701" w:type="dxa"/>
            <w:tcBorders>
              <w:top w:val="nil"/>
              <w:left w:val="nil"/>
              <w:bottom w:val="single" w:sz="4" w:space="0" w:color="auto"/>
              <w:right w:val="single" w:sz="4" w:space="0" w:color="auto"/>
            </w:tcBorders>
            <w:noWrap/>
            <w:vAlign w:val="center"/>
          </w:tcPr>
          <w:p w:rsidR="00146C23" w:rsidRPr="00146C23" w:rsidRDefault="00146C23" w:rsidP="00146C23">
            <w:pPr>
              <w:widowControl/>
              <w:adjustRightInd/>
              <w:jc w:val="center"/>
              <w:rPr>
                <w:rFonts w:cs="Times New Roman"/>
                <w:b/>
              </w:rPr>
            </w:pPr>
            <w:r w:rsidRPr="00146C23">
              <w:rPr>
                <w:rFonts w:cs="Times New Roman"/>
                <w:b/>
                <w:bCs/>
              </w:rPr>
              <w:t>+451 368</w:t>
            </w:r>
          </w:p>
        </w:tc>
      </w:tr>
      <w:tr w:rsidR="00146C23" w:rsidRPr="00146C23" w:rsidTr="00146C23">
        <w:trPr>
          <w:trHeight w:val="300"/>
        </w:trPr>
        <w:tc>
          <w:tcPr>
            <w:tcW w:w="4253"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146C23" w:rsidRPr="00146C23" w:rsidRDefault="00146C23" w:rsidP="00146C23">
            <w:pPr>
              <w:widowControl/>
              <w:adjustRightInd/>
              <w:rPr>
                <w:rFonts w:cs="Times New Roman"/>
                <w:b/>
                <w:bCs/>
                <w:color w:val="000000" w:themeColor="text1"/>
              </w:rPr>
            </w:pPr>
            <w:r w:rsidRPr="00146C23">
              <w:rPr>
                <w:rFonts w:cs="Times New Roman"/>
                <w:b/>
                <w:bCs/>
                <w:color w:val="000000" w:themeColor="text1"/>
              </w:rPr>
              <w:t>vplyv na limit verejných výdavkov ostatných subjekty verejnej správy</w:t>
            </w:r>
          </w:p>
        </w:tc>
        <w:tc>
          <w:tcPr>
            <w:tcW w:w="1134" w:type="dxa"/>
            <w:tcBorders>
              <w:top w:val="nil"/>
              <w:left w:val="nil"/>
              <w:bottom w:val="single" w:sz="4" w:space="0" w:color="auto"/>
              <w:right w:val="single" w:sz="4" w:space="0" w:color="auto"/>
            </w:tcBorders>
            <w:noWrap/>
            <w:vAlign w:val="center"/>
            <w:hideMark/>
          </w:tcPr>
          <w:p w:rsidR="00146C23" w:rsidRPr="00146C23" w:rsidRDefault="00146C23" w:rsidP="00146C23">
            <w:pPr>
              <w:widowControl/>
              <w:adjustRightInd/>
              <w:jc w:val="center"/>
              <w:rPr>
                <w:rFonts w:cs="Times New Roman"/>
                <w:b/>
              </w:rPr>
            </w:pPr>
            <w:r w:rsidRPr="00146C23">
              <w:rPr>
                <w:rFonts w:cs="Times New Roman"/>
                <w:b/>
              </w:rPr>
              <w:t>0</w:t>
            </w:r>
          </w:p>
        </w:tc>
        <w:tc>
          <w:tcPr>
            <w:tcW w:w="1843" w:type="dxa"/>
            <w:tcBorders>
              <w:top w:val="nil"/>
              <w:left w:val="nil"/>
              <w:bottom w:val="single" w:sz="4" w:space="0" w:color="auto"/>
              <w:right w:val="single" w:sz="4" w:space="0" w:color="auto"/>
            </w:tcBorders>
            <w:noWrap/>
            <w:vAlign w:val="center"/>
            <w:hideMark/>
          </w:tcPr>
          <w:p w:rsidR="00146C23" w:rsidRPr="00146C23" w:rsidRDefault="00146C23" w:rsidP="00146C23">
            <w:pPr>
              <w:widowControl/>
              <w:adjustRightInd/>
              <w:jc w:val="center"/>
              <w:rPr>
                <w:rFonts w:cs="Times New Roman"/>
                <w:b/>
              </w:rPr>
            </w:pPr>
            <w:r w:rsidRPr="00146C23">
              <w:rPr>
                <w:rFonts w:cs="Times New Roman"/>
                <w:b/>
              </w:rPr>
              <w:t>0</w:t>
            </w:r>
          </w:p>
        </w:tc>
        <w:tc>
          <w:tcPr>
            <w:tcW w:w="1843" w:type="dxa"/>
            <w:tcBorders>
              <w:top w:val="nil"/>
              <w:left w:val="nil"/>
              <w:bottom w:val="single" w:sz="4" w:space="0" w:color="auto"/>
              <w:right w:val="single" w:sz="4" w:space="0" w:color="auto"/>
            </w:tcBorders>
            <w:noWrap/>
            <w:vAlign w:val="center"/>
            <w:hideMark/>
          </w:tcPr>
          <w:p w:rsidR="00146C23" w:rsidRPr="00146C23" w:rsidRDefault="00146C23" w:rsidP="00146C23">
            <w:pPr>
              <w:widowControl/>
              <w:adjustRightInd/>
              <w:jc w:val="center"/>
              <w:rPr>
                <w:rFonts w:cs="Times New Roman"/>
                <w:b/>
              </w:rPr>
            </w:pPr>
            <w:r w:rsidRPr="00146C23">
              <w:rPr>
                <w:rFonts w:cs="Times New Roman"/>
                <w:b/>
              </w:rPr>
              <w:t>0</w:t>
            </w:r>
          </w:p>
        </w:tc>
        <w:tc>
          <w:tcPr>
            <w:tcW w:w="1701" w:type="dxa"/>
            <w:tcBorders>
              <w:top w:val="nil"/>
              <w:left w:val="nil"/>
              <w:bottom w:val="single" w:sz="4" w:space="0" w:color="auto"/>
              <w:right w:val="single" w:sz="4" w:space="0" w:color="auto"/>
            </w:tcBorders>
            <w:noWrap/>
            <w:vAlign w:val="center"/>
            <w:hideMark/>
          </w:tcPr>
          <w:p w:rsidR="00146C23" w:rsidRPr="00146C23" w:rsidRDefault="00146C23" w:rsidP="00146C23">
            <w:pPr>
              <w:widowControl/>
              <w:adjustRightInd/>
              <w:jc w:val="center"/>
              <w:rPr>
                <w:rFonts w:cs="Times New Roman"/>
                <w:b/>
              </w:rPr>
            </w:pPr>
            <w:r w:rsidRPr="00146C23">
              <w:rPr>
                <w:rFonts w:cs="Times New Roman"/>
                <w:b/>
              </w:rPr>
              <w:t>0</w:t>
            </w:r>
          </w:p>
        </w:tc>
      </w:tr>
      <w:tr w:rsidR="00146C23" w:rsidRPr="00146C23" w:rsidTr="00146C23">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146C23" w:rsidRPr="00146C23" w:rsidRDefault="00146C23" w:rsidP="00146C23">
            <w:pPr>
              <w:widowControl/>
              <w:adjustRightInd/>
              <w:rPr>
                <w:rFonts w:cs="Times New Roman"/>
                <w:b/>
                <w:bCs/>
                <w:color w:val="000000" w:themeColor="text1"/>
              </w:rPr>
            </w:pPr>
            <w:r w:rsidRPr="00146C23">
              <w:rPr>
                <w:rFonts w:cs="Times New Roman"/>
                <w:b/>
                <w:bCs/>
                <w:color w:val="000000" w:themeColor="text1"/>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noWrap/>
            <w:vAlign w:val="center"/>
          </w:tcPr>
          <w:p w:rsidR="00146C23" w:rsidRPr="00146C23" w:rsidRDefault="00146C23" w:rsidP="00146C23">
            <w:pPr>
              <w:widowControl/>
              <w:adjustRightInd/>
              <w:jc w:val="center"/>
              <w:rPr>
                <w:rFonts w:cs="Times New Roman"/>
                <w:b/>
              </w:rPr>
            </w:pPr>
            <w:r w:rsidRPr="00146C23">
              <w:rPr>
                <w:rFonts w:cs="Times New Roman"/>
                <w:b/>
              </w:rPr>
              <w:t>0</w:t>
            </w:r>
          </w:p>
        </w:tc>
        <w:tc>
          <w:tcPr>
            <w:tcW w:w="1843" w:type="dxa"/>
            <w:tcBorders>
              <w:top w:val="single" w:sz="4" w:space="0" w:color="auto"/>
              <w:left w:val="nil"/>
              <w:bottom w:val="single" w:sz="4" w:space="0" w:color="auto"/>
              <w:right w:val="single" w:sz="4" w:space="0" w:color="auto"/>
            </w:tcBorders>
            <w:noWrap/>
            <w:vAlign w:val="center"/>
          </w:tcPr>
          <w:p w:rsidR="00146C23" w:rsidRPr="00146C23" w:rsidRDefault="00146C23" w:rsidP="00146C23">
            <w:pPr>
              <w:widowControl/>
              <w:adjustRightInd/>
              <w:jc w:val="center"/>
              <w:rPr>
                <w:rFonts w:cs="Times New Roman"/>
                <w:b/>
              </w:rPr>
            </w:pPr>
            <w:r w:rsidRPr="00146C23">
              <w:rPr>
                <w:rFonts w:cs="Times New Roman"/>
                <w:b/>
              </w:rPr>
              <w:t>0</w:t>
            </w:r>
          </w:p>
        </w:tc>
        <w:tc>
          <w:tcPr>
            <w:tcW w:w="1843" w:type="dxa"/>
            <w:tcBorders>
              <w:top w:val="single" w:sz="4" w:space="0" w:color="auto"/>
              <w:left w:val="nil"/>
              <w:bottom w:val="single" w:sz="4" w:space="0" w:color="auto"/>
              <w:right w:val="single" w:sz="4" w:space="0" w:color="auto"/>
            </w:tcBorders>
            <w:noWrap/>
            <w:vAlign w:val="center"/>
          </w:tcPr>
          <w:p w:rsidR="00146C23" w:rsidRPr="00146C23" w:rsidRDefault="00146C23" w:rsidP="00146C23">
            <w:pPr>
              <w:widowControl/>
              <w:adjustRightInd/>
              <w:jc w:val="center"/>
              <w:rPr>
                <w:rFonts w:cs="Times New Roman"/>
                <w:b/>
              </w:rPr>
            </w:pPr>
            <w:r w:rsidRPr="00146C23">
              <w:rPr>
                <w:rFonts w:cs="Times New Roman"/>
                <w:b/>
              </w:rPr>
              <w:t>0</w:t>
            </w:r>
          </w:p>
        </w:tc>
        <w:tc>
          <w:tcPr>
            <w:tcW w:w="1701" w:type="dxa"/>
            <w:tcBorders>
              <w:top w:val="single" w:sz="4" w:space="0" w:color="auto"/>
              <w:left w:val="nil"/>
              <w:bottom w:val="single" w:sz="4" w:space="0" w:color="auto"/>
              <w:right w:val="single" w:sz="4" w:space="0" w:color="auto"/>
            </w:tcBorders>
            <w:noWrap/>
            <w:vAlign w:val="center"/>
          </w:tcPr>
          <w:p w:rsidR="00146C23" w:rsidRPr="00146C23" w:rsidRDefault="00146C23" w:rsidP="00146C23">
            <w:pPr>
              <w:widowControl/>
              <w:adjustRightInd/>
              <w:jc w:val="center"/>
              <w:rPr>
                <w:rFonts w:cs="Times New Roman"/>
                <w:b/>
              </w:rPr>
            </w:pPr>
            <w:r w:rsidRPr="00146C23">
              <w:rPr>
                <w:rFonts w:cs="Times New Roman"/>
                <w:b/>
              </w:rPr>
              <w:t>0</w:t>
            </w:r>
          </w:p>
        </w:tc>
      </w:tr>
    </w:tbl>
    <w:p w:rsidR="00146C23" w:rsidRPr="00146C23" w:rsidRDefault="00146C23" w:rsidP="00146C23">
      <w:pPr>
        <w:widowControl/>
        <w:adjustRightInd/>
        <w:spacing w:after="200" w:line="276" w:lineRule="auto"/>
        <w:rPr>
          <w:rFonts w:cs="Times New Roman"/>
          <w:b/>
          <w:bCs/>
        </w:rPr>
      </w:pPr>
    </w:p>
    <w:p w:rsidR="00146C23" w:rsidRPr="00146C23" w:rsidRDefault="00146C23" w:rsidP="00146C23">
      <w:pPr>
        <w:widowControl/>
        <w:adjustRightInd/>
        <w:spacing w:after="200" w:line="276" w:lineRule="auto"/>
        <w:rPr>
          <w:rFonts w:cs="Times New Roman"/>
          <w:b/>
          <w:bCs/>
        </w:rPr>
      </w:pPr>
      <w:r w:rsidRPr="00146C23">
        <w:rPr>
          <w:rFonts w:cs="Times New Roman"/>
          <w:b/>
          <w:bCs/>
        </w:rPr>
        <w:t>2.1.1. Financovanie návrhu - Návrh na riešenie úbytku príjmov alebo zvýšených výdavkov podľa § 33 ods. 1 zákona č. 523/2004 Z. z. o rozpočtových pravidlách verejnej správy:</w:t>
      </w:r>
    </w:p>
    <w:p w:rsidR="00146C23" w:rsidRPr="00146C23" w:rsidRDefault="00146C23" w:rsidP="00146C23">
      <w:pPr>
        <w:widowControl/>
        <w:adjustRightInd/>
        <w:jc w:val="both"/>
        <w:rPr>
          <w:rFonts w:cs="Times New Roman"/>
          <w:b/>
          <w:bCs/>
          <w:sz w:val="12"/>
        </w:rPr>
      </w:pP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jc w:val="both"/>
        <w:rPr>
          <w:rFonts w:cs="Times New Roman"/>
          <w:bCs/>
        </w:rPr>
      </w:pPr>
      <w:r w:rsidRPr="00146C23">
        <w:rPr>
          <w:rFonts w:cs="Times New Roman"/>
          <w:bCs/>
        </w:rPr>
        <w:t>Negatívny vplyv vyplývajúci z materiálu bude kompenzovaný zvýšenými príjmami rozpočtovej organizácie SOI.</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jc w:val="both"/>
        <w:rPr>
          <w:rFonts w:cs="Times New Roman"/>
          <w:bCs/>
          <w:u w:val="single"/>
        </w:rPr>
      </w:pP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jc w:val="both"/>
        <w:rPr>
          <w:rFonts w:cs="Times New Roman"/>
          <w:bCs/>
          <w:u w:val="single"/>
        </w:rPr>
      </w:pP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jc w:val="both"/>
        <w:rPr>
          <w:rFonts w:cs="Times New Roman"/>
          <w:bCs/>
          <w:u w:val="single"/>
        </w:rPr>
      </w:pP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jc w:val="both"/>
        <w:rPr>
          <w:rFonts w:cs="Times New Roman"/>
          <w:b/>
          <w:bCs/>
        </w:rPr>
      </w:pPr>
    </w:p>
    <w:p w:rsidR="00146C23" w:rsidRPr="00146C23" w:rsidRDefault="00146C23" w:rsidP="00146C23">
      <w:pPr>
        <w:widowControl/>
        <w:adjustRightInd/>
        <w:rPr>
          <w:rFonts w:cs="Times New Roman"/>
          <w:b/>
          <w:bCs/>
        </w:rPr>
      </w:pPr>
    </w:p>
    <w:p w:rsidR="00146C23" w:rsidRPr="00146C23" w:rsidRDefault="00146C23" w:rsidP="00146C23">
      <w:pPr>
        <w:widowControl/>
        <w:adjustRightInd/>
        <w:rPr>
          <w:rFonts w:cs="Times New Roman"/>
          <w:b/>
          <w:bCs/>
        </w:rPr>
      </w:pPr>
      <w:r w:rsidRPr="00146C23">
        <w:rPr>
          <w:rFonts w:cs="Times New Roman"/>
          <w:b/>
          <w:bCs/>
        </w:rPr>
        <w:t>2.2. Popis a charakteristika návrhu</w:t>
      </w:r>
    </w:p>
    <w:p w:rsidR="00146C23" w:rsidRPr="00146C23" w:rsidRDefault="00146C23" w:rsidP="00146C23">
      <w:pPr>
        <w:widowControl/>
        <w:adjustRightInd/>
        <w:rPr>
          <w:rFonts w:cs="Times New Roman"/>
        </w:rPr>
      </w:pPr>
    </w:p>
    <w:p w:rsidR="00146C23" w:rsidRPr="00146C23" w:rsidRDefault="00146C23" w:rsidP="00146C23">
      <w:pPr>
        <w:widowControl/>
        <w:adjustRightInd/>
        <w:jc w:val="both"/>
        <w:rPr>
          <w:rFonts w:cs="Times New Roman"/>
          <w:b/>
          <w:bCs/>
        </w:rPr>
      </w:pPr>
      <w:r w:rsidRPr="00146C23">
        <w:rPr>
          <w:rFonts w:cs="Times New Roman"/>
          <w:b/>
          <w:bCs/>
        </w:rPr>
        <w:t>2.2.1. Popis návrhu:</w:t>
      </w:r>
    </w:p>
    <w:p w:rsidR="00146C23" w:rsidRPr="00146C23" w:rsidRDefault="00146C23" w:rsidP="00146C23">
      <w:pPr>
        <w:widowControl/>
        <w:adjustRightInd/>
        <w:jc w:val="both"/>
        <w:rPr>
          <w:rFonts w:cs="Times New Roman"/>
          <w:b/>
          <w:bCs/>
        </w:rPr>
      </w:pPr>
    </w:p>
    <w:p w:rsidR="00146C23" w:rsidRPr="00146C23" w:rsidRDefault="00146C23" w:rsidP="00146C23">
      <w:pPr>
        <w:widowControl/>
        <w:adjustRightInd/>
        <w:jc w:val="both"/>
        <w:rPr>
          <w:rFonts w:cs="Times New Roman"/>
        </w:rPr>
      </w:pPr>
      <w:r w:rsidRPr="00146C23">
        <w:rPr>
          <w:rFonts w:cs="Times New Roman"/>
        </w:rPr>
        <w:t>Akú problematiku návrh rieši? Kto bude návrh implementovať? Kde sa budú služby poskytovať?</w:t>
      </w:r>
    </w:p>
    <w:p w:rsidR="00146C23" w:rsidRPr="00146C23" w:rsidRDefault="00146C23" w:rsidP="00146C23">
      <w:pPr>
        <w:widowControl/>
        <w:adjustRightInd/>
        <w:jc w:val="both"/>
        <w:rPr>
          <w:rFonts w:cs="Times New Roman"/>
        </w:rPr>
      </w:pPr>
    </w:p>
    <w:p w:rsidR="002D14AA" w:rsidRDefault="00146C23" w:rsidP="00146C23">
      <w:pPr>
        <w:widowControl/>
        <w:pBdr>
          <w:top w:val="single" w:sz="4" w:space="1" w:color="auto"/>
          <w:left w:val="single" w:sz="4" w:space="4" w:color="auto"/>
          <w:bottom w:val="single" w:sz="4" w:space="0" w:color="auto"/>
          <w:right w:val="single" w:sz="4" w:space="4" w:color="auto"/>
        </w:pBdr>
        <w:adjustRightInd/>
        <w:jc w:val="both"/>
        <w:rPr>
          <w:rFonts w:cs="Times New Roman"/>
          <w:bCs/>
        </w:rPr>
      </w:pPr>
      <w:r w:rsidRPr="00146C23">
        <w:rPr>
          <w:rFonts w:cs="Times New Roman"/>
          <w:bCs/>
        </w:rPr>
        <w:t>Návrh zákona, ktorým sa mení a dopĺňa  zákon č. 56/2018 Z. z. o posudzovaní zhody výrobku, sprístupňovaní určeného výrobku na trhu a o zmene a doplnení niektorých zákonov (ďalej len „</w:t>
      </w:r>
      <w:r w:rsidRPr="00146C23">
        <w:rPr>
          <w:rFonts w:cs="Times New Roman"/>
          <w:bCs/>
          <w:i/>
        </w:rPr>
        <w:t>zákon č. 56/2018 Z. z.</w:t>
      </w:r>
      <w:r w:rsidRPr="00146C23">
        <w:rPr>
          <w:rFonts w:cs="Times New Roman"/>
          <w:bCs/>
        </w:rPr>
        <w:t>“) ukladá nové povinnosti Slovenskej obchodnej inšpekcii (ďalej len „</w:t>
      </w:r>
      <w:r w:rsidRPr="00146C23">
        <w:rPr>
          <w:rFonts w:cs="Times New Roman"/>
          <w:bCs/>
          <w:i/>
        </w:rPr>
        <w:t>SOI</w:t>
      </w:r>
      <w:r w:rsidRPr="00146C23">
        <w:rPr>
          <w:rFonts w:cs="Times New Roman"/>
          <w:bCs/>
        </w:rPr>
        <w:t xml:space="preserve">“) v oblasti trhového dohľadu týkajúceho sa kontrol batérií uvádzaných a sprístupňovaných na trhu SR/EÚ. </w:t>
      </w:r>
      <w:r w:rsidRPr="00146C23">
        <w:rPr>
          <w:rFonts w:cs="Times New Roman"/>
          <w:b/>
          <w:bCs/>
        </w:rPr>
        <w:t>S cieľom zabezpečenia kvalifikovaného plnenia pridelených úloh uvedených v Nariadení Európskeho parlamentu a Rady (EÚ) 2023/1542 o batériách a odpadových batériách, ktorým sa mení smernica 2008/98/ES a nariadenie (EÚ) 2019/1020 a zrušuje smernica 2006/66/ES (ďalej len „</w:t>
      </w:r>
      <w:r w:rsidRPr="00146C23">
        <w:rPr>
          <w:rFonts w:cs="Times New Roman"/>
          <w:b/>
          <w:bCs/>
          <w:i/>
        </w:rPr>
        <w:t>Nariadenie (EÚ) 2023/1542</w:t>
      </w:r>
      <w:r w:rsidRPr="00146C23">
        <w:rPr>
          <w:rFonts w:cs="Times New Roman"/>
          <w:b/>
          <w:bCs/>
        </w:rPr>
        <w:t>“) je potrebné vytvoriť v SOI personálne a materiálne zabezpečenie.</w:t>
      </w:r>
      <w:r w:rsidRPr="00146C23">
        <w:rPr>
          <w:rFonts w:cs="Times New Roman"/>
          <w:bCs/>
        </w:rPr>
        <w:t xml:space="preserve"> SOI bude vykonávať dohľad nad trhom, ktorý zahŕňa okrem iného kontrolu dodržiavania takmer všetkých povinností hospodárskych subjektov v rámci celého distribučného reťazca, ktoré uvádzajú a sprístupňujú na trhu SR/EÚ batérie, vrátane ich kontroly pri ich vstupe na jednotný trh EÚ v spolupráci s Finančným riaditeľstvom SR. Uvedené zahŕňa takmer všetky druhy batérií, vrátane batérií </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jc w:val="both"/>
        <w:rPr>
          <w:rFonts w:cs="Times New Roman"/>
          <w:bCs/>
        </w:rPr>
      </w:pPr>
      <w:r w:rsidRPr="00146C23">
        <w:rPr>
          <w:rFonts w:cs="Times New Roman"/>
          <w:bCs/>
        </w:rPr>
        <w:t xml:space="preserve">určených pre automobilový priemysel z dôvodu, že SOI je jediným dozorným orgánom v SR nad právnymi predpismi z oblasti automobilového sektoru. Batérie sú dôležitým zdrojom energie a jedným z kľúčových faktorov udržateľného rozvoja, ekologickej mobility, čistej energie a klimatickej neutrality. Očakáva sa, že dopyt po batériách bude v nadchádzajúcich rokoch rýchlo rásť, najmä pokiaľ ide o cestné elektrické vozidlá a ľahké dopravné prostriedky, v ktorých sa používajú batérie na účely trakcie, vďaka čomu trh s batériami na globálnej úrovni získava čoraz väčší strategický význam. Vo významnej miere bude napredovať aj vedecko-technický pokrok v oblasti vývoja batériových technológií. Vzhľadom na strategický význam batérií a s cieľom poskytnúť všetkým zúčastneným prevádzkovateľom právnu istotu a zabrániť diskriminácii, prekážkam obchodu a narušeniam trhu s batériami je potrebné zabezpečiť účinný dohľad nad trhom v tejto oblasti. SOI v rámci plnenia stanovených povinností bude vykonávať aj kontrolu bezpečnosti jednotlivých druhov batérií. </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rPr>
          <w:rFonts w:cs="Times New Roman"/>
          <w:bCs/>
        </w:rPr>
      </w:pP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spacing w:after="120"/>
        <w:jc w:val="both"/>
        <w:rPr>
          <w:rFonts w:cs="Times New Roman"/>
          <w:bCs/>
        </w:rPr>
      </w:pPr>
      <w:r w:rsidRPr="00146C23">
        <w:rPr>
          <w:rFonts w:cs="Times New Roman"/>
          <w:bCs/>
        </w:rPr>
        <w:t>Nevyhnutným personálnym základom je vytvorenie 6 systemizovaných štátnozamestnaneckých miest v nasledovnom zaradení:</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spacing w:after="120"/>
        <w:rPr>
          <w:rFonts w:cs="Times New Roman"/>
          <w:bCs/>
        </w:rPr>
      </w:pPr>
      <w:r w:rsidRPr="00146C23">
        <w:rPr>
          <w:rFonts w:cs="Times New Roman"/>
          <w:bCs/>
        </w:rPr>
        <w:t>a) na Ústrednom inšpektoráte SOI – 1 systemizované štátnozamestnanecké miesto v 7. platovej triede ( „</w:t>
      </w:r>
      <w:r w:rsidRPr="00146C23">
        <w:rPr>
          <w:rFonts w:cs="Times New Roman"/>
          <w:bCs/>
          <w:i/>
        </w:rPr>
        <w:t>štátny radca</w:t>
      </w:r>
      <w:r w:rsidRPr="00146C23">
        <w:rPr>
          <w:rFonts w:cs="Times New Roman"/>
          <w:bCs/>
        </w:rPr>
        <w:t>“),</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rPr>
          <w:rFonts w:cs="Times New Roman"/>
          <w:bCs/>
        </w:rPr>
      </w:pPr>
      <w:r w:rsidRPr="00146C23">
        <w:rPr>
          <w:rFonts w:cs="Times New Roman"/>
          <w:bCs/>
        </w:rPr>
        <w:t>b) na jednotlivých inšpektorátoch SOI 5 štátnozamestnanecký miest – „</w:t>
      </w:r>
      <w:r w:rsidRPr="00146C23">
        <w:rPr>
          <w:rFonts w:cs="Times New Roman"/>
          <w:bCs/>
          <w:i/>
        </w:rPr>
        <w:t>hlavný radca - Inšpektor</w:t>
      </w:r>
      <w:r w:rsidRPr="00146C23">
        <w:rPr>
          <w:rFonts w:cs="Times New Roman"/>
          <w:bCs/>
        </w:rPr>
        <w:t xml:space="preserve">“ v 6. platovej triede </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rPr>
          <w:rFonts w:cs="Times New Roman"/>
          <w:bCs/>
        </w:rPr>
      </w:pP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spacing w:after="120"/>
        <w:rPr>
          <w:rFonts w:cs="Times New Roman"/>
          <w:bCs/>
        </w:rPr>
      </w:pPr>
      <w:r w:rsidRPr="00146C23">
        <w:rPr>
          <w:rFonts w:cs="Times New Roman"/>
          <w:bCs/>
        </w:rPr>
        <w:t>Funkčné náplne uvedených miest budú nasledovné:</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rPr>
          <w:rFonts w:cs="Times New Roman"/>
          <w:bCs/>
        </w:rPr>
      </w:pPr>
      <w:r w:rsidRPr="00146C23">
        <w:rPr>
          <w:rFonts w:cs="Times New Roman"/>
          <w:bCs/>
          <w:u w:val="single"/>
        </w:rPr>
        <w:t>1) Štátny radca – metodik</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jc w:val="both"/>
        <w:rPr>
          <w:rFonts w:cs="Times New Roman"/>
          <w:bCs/>
        </w:rPr>
      </w:pPr>
      <w:r w:rsidRPr="00146C23">
        <w:rPr>
          <w:rFonts w:cs="Times New Roman"/>
          <w:bCs/>
        </w:rPr>
        <w:t xml:space="preserve"> - koncepčná a metodická činnosť pri tvorbe a realizácii systému štátnej kontroly     vnútorného trhu pre oblasť trhového dohľadu na úrovni orgánu štátnej správy </w:t>
      </w:r>
      <w:r w:rsidRPr="00146C23">
        <w:rPr>
          <w:rFonts w:cs="Times New Roman"/>
          <w:bCs/>
        </w:rPr>
        <w:br/>
        <w:t>s celoštátnou pôsobnosťou, čo obsahuje najmä:</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jc w:val="both"/>
        <w:rPr>
          <w:rFonts w:cs="Times New Roman"/>
          <w:bCs/>
        </w:rPr>
      </w:pPr>
      <w:r w:rsidRPr="00146C23">
        <w:rPr>
          <w:rFonts w:cs="Times New Roman"/>
          <w:bCs/>
        </w:rPr>
        <w:t>- tvorbu koncepcie štátnej kontroly vnútorného trhu v oblasti ochrany oprávnených záujmov spotrebiteľa,</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jc w:val="both"/>
        <w:rPr>
          <w:rFonts w:cs="Times New Roman"/>
          <w:bCs/>
        </w:rPr>
      </w:pPr>
      <w:r w:rsidRPr="00146C23">
        <w:rPr>
          <w:rFonts w:cs="Times New Roman"/>
          <w:bCs/>
        </w:rPr>
        <w:t>- tvorbu metodických usmernení a pokynov ku kontrolným akciám a vykonávanie inštruktáží a podávanie výkladov k nim,</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rPr>
          <w:rFonts w:cs="Times New Roman"/>
          <w:bCs/>
        </w:rPr>
      </w:pPr>
      <w:r w:rsidRPr="00146C23">
        <w:rPr>
          <w:rFonts w:cs="Times New Roman"/>
          <w:bCs/>
        </w:rPr>
        <w:t xml:space="preserve"> - spoluprácu pri tvorbe právnych predpisov na úseku trhového dohľadu v rámci medzirezortného pripomienkového konania,</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rPr>
          <w:rFonts w:cs="Times New Roman"/>
          <w:bCs/>
        </w:rPr>
      </w:pPr>
      <w:r w:rsidRPr="00146C23">
        <w:rPr>
          <w:rFonts w:cs="Times New Roman"/>
          <w:bCs/>
        </w:rPr>
        <w:t xml:space="preserve"> - vedenie kontrolnej skupiny pri overovaní nových metodík kontrol v teréne,</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rPr>
          <w:rFonts w:cs="Times New Roman"/>
          <w:bCs/>
        </w:rPr>
      </w:pPr>
      <w:r w:rsidRPr="00146C23">
        <w:rPr>
          <w:rFonts w:cs="Times New Roman"/>
          <w:bCs/>
        </w:rPr>
        <w:t>- analýzu kontrolnej činnosti, vyhodnocovanie účinnosti metodických usmernení a pokynov v praxi, vrátane navrhovania opatrení a zlepšení,</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rPr>
          <w:rFonts w:cs="Times New Roman"/>
          <w:bCs/>
        </w:rPr>
      </w:pPr>
      <w:r w:rsidRPr="00146C23">
        <w:rPr>
          <w:rFonts w:cs="Times New Roman"/>
          <w:bCs/>
        </w:rPr>
        <w:t xml:space="preserve">- koordinovanie systému štátnej kontroly vnútorného trhu pri predaji výrobkov </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rPr>
          <w:rFonts w:cs="Times New Roman"/>
          <w:bCs/>
        </w:rPr>
      </w:pPr>
      <w:r w:rsidRPr="00146C23">
        <w:rPr>
          <w:rFonts w:cs="Times New Roman"/>
          <w:bCs/>
        </w:rPr>
        <w:t>a poskytovaní služieb na celoštátnej, resp. medzinárodnej úrovni,</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rPr>
          <w:rFonts w:cs="Times New Roman"/>
          <w:bCs/>
        </w:rPr>
      </w:pPr>
      <w:r w:rsidRPr="00146C23">
        <w:rPr>
          <w:rFonts w:cs="Times New Roman"/>
          <w:bCs/>
        </w:rPr>
        <w:t>- koordinovanie kontrolnej činnosti s inými kontrolnými orgánmi a orgánmi štátnej správy s celoštátnou pôsobnosťou,</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rPr>
          <w:rFonts w:cs="Times New Roman"/>
          <w:bCs/>
        </w:rPr>
      </w:pPr>
      <w:r w:rsidRPr="00146C23">
        <w:rPr>
          <w:rFonts w:cs="Times New Roman"/>
          <w:bCs/>
        </w:rPr>
        <w:t xml:space="preserve"> - spracovávanie informácií, správ, prehľadov a tabuliek z výsledkov celoštátnych kontrolných akcií,</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rPr>
          <w:rFonts w:cs="Times New Roman"/>
          <w:bCs/>
        </w:rPr>
      </w:pPr>
      <w:r w:rsidRPr="00146C23">
        <w:rPr>
          <w:rFonts w:cs="Times New Roman"/>
          <w:bCs/>
        </w:rPr>
        <w:t>- účasť v rámci povinných medzinárodných stretnutí orgánov dohľadu (</w:t>
      </w:r>
      <w:proofErr w:type="spellStart"/>
      <w:r w:rsidRPr="00146C23">
        <w:rPr>
          <w:rFonts w:cs="Times New Roman"/>
          <w:bCs/>
        </w:rPr>
        <w:t>AdCo</w:t>
      </w:r>
      <w:proofErr w:type="spellEnd"/>
      <w:r w:rsidRPr="00146C23">
        <w:rPr>
          <w:rFonts w:cs="Times New Roman"/>
          <w:bCs/>
        </w:rPr>
        <w:t>),</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rPr>
          <w:rFonts w:cs="Times New Roman"/>
          <w:bCs/>
        </w:rPr>
      </w:pPr>
      <w:r w:rsidRPr="00146C23">
        <w:rPr>
          <w:rFonts w:cs="Times New Roman"/>
          <w:bCs/>
        </w:rPr>
        <w:t xml:space="preserve">- účasť v medzinárodných projektoch. </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rPr>
          <w:rFonts w:cs="Times New Roman"/>
          <w:bCs/>
        </w:rPr>
      </w:pP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rPr>
          <w:rFonts w:cs="Times New Roman"/>
          <w:bCs/>
        </w:rPr>
      </w:pPr>
      <w:r w:rsidRPr="00146C23">
        <w:rPr>
          <w:rFonts w:cs="Times New Roman"/>
          <w:bCs/>
        </w:rPr>
        <w:t>Kvalifikačná požiadavka uvedeného miesta:</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rPr>
          <w:rFonts w:cs="Times New Roman"/>
          <w:bCs/>
          <w:u w:val="single"/>
        </w:rPr>
      </w:pPr>
      <w:r w:rsidRPr="00146C23">
        <w:rPr>
          <w:rFonts w:cs="Times New Roman"/>
          <w:bCs/>
          <w:u w:val="single"/>
        </w:rPr>
        <w:t>VŠ vzdelanie 2. stupňa, technického zamerania (popr. právne vzdelanie) a odborná prax najmenej 3 roky.</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rPr>
          <w:rFonts w:cs="Times New Roman"/>
          <w:bCs/>
        </w:rPr>
      </w:pP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rPr>
          <w:rFonts w:cs="Times New Roman"/>
          <w:bCs/>
          <w:u w:val="single"/>
        </w:rPr>
      </w:pPr>
      <w:r w:rsidRPr="00146C23">
        <w:rPr>
          <w:rFonts w:cs="Times New Roman"/>
          <w:bCs/>
          <w:u w:val="single"/>
        </w:rPr>
        <w:t xml:space="preserve">2) Hlavný radca – Inšpektor </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rPr>
          <w:rFonts w:cs="Times New Roman"/>
          <w:bCs/>
        </w:rPr>
      </w:pPr>
      <w:r w:rsidRPr="00146C23">
        <w:rPr>
          <w:rFonts w:cs="Times New Roman"/>
          <w:bCs/>
        </w:rPr>
        <w:t>- vedenie kontrolnej skupiny pri špeciálnych hĺbkových kontrolách v oblasti trhového dohľadu,</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rPr>
          <w:rFonts w:cs="Times New Roman"/>
          <w:bCs/>
        </w:rPr>
      </w:pPr>
      <w:r w:rsidRPr="00146C23">
        <w:rPr>
          <w:rFonts w:cs="Times New Roman"/>
          <w:bCs/>
        </w:rPr>
        <w:t>- zabezpečovanie a vykonávanie cielených akcií zameraných na kontrolu plnenia predpísaných požiadaviek z oblasti batérií,</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rPr>
          <w:rFonts w:cs="Times New Roman"/>
          <w:bCs/>
        </w:rPr>
      </w:pPr>
      <w:r w:rsidRPr="00146C23">
        <w:rPr>
          <w:rFonts w:cs="Times New Roman"/>
          <w:bCs/>
        </w:rPr>
        <w:t>- kontrolovanie plnenia uložených opatrení na odstránenie zistených nedostatkov pri výkone štátneho dozoru,</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rPr>
          <w:rFonts w:cs="Times New Roman"/>
          <w:bCs/>
        </w:rPr>
      </w:pPr>
      <w:r w:rsidRPr="00146C23">
        <w:rPr>
          <w:rFonts w:cs="Times New Roman"/>
          <w:bCs/>
        </w:rPr>
        <w:t>- prešetrovanie podnetov u kontrolovaných osôb a následne spracovávanie návrhov odpovedí z prešetrovania podnetov,</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rPr>
          <w:rFonts w:cs="Times New Roman"/>
          <w:bCs/>
        </w:rPr>
      </w:pPr>
      <w:r w:rsidRPr="00146C23">
        <w:rPr>
          <w:rFonts w:cs="Times New Roman"/>
          <w:bCs/>
        </w:rPr>
        <w:t>- vykonávanie kontrolnej činnosti, v rámci spolupráce s orgánmi štátnej správy a miestnej samosprávy,</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rPr>
          <w:rFonts w:cs="Times New Roman"/>
          <w:bCs/>
        </w:rPr>
      </w:pPr>
      <w:r w:rsidRPr="00146C23">
        <w:rPr>
          <w:rFonts w:cs="Times New Roman"/>
          <w:bCs/>
        </w:rPr>
        <w:t>- príprava podkladov pre správne konanie pri rozhodovaní za porušenie ustanovení z oblasti batérií, resp. zákona č. 56/2018 Z. z.,</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rPr>
          <w:rFonts w:cs="Times New Roman"/>
          <w:bCs/>
        </w:rPr>
      </w:pPr>
      <w:r w:rsidRPr="00146C23">
        <w:rPr>
          <w:rFonts w:cs="Times New Roman"/>
          <w:bCs/>
        </w:rPr>
        <w:t>- analýza a spracovanie informácií výsledkov kontrolnej činnosti.</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rPr>
          <w:rFonts w:cs="Times New Roman"/>
          <w:bCs/>
        </w:rPr>
      </w:pP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rPr>
          <w:rFonts w:cs="Times New Roman"/>
          <w:bCs/>
        </w:rPr>
      </w:pPr>
      <w:r w:rsidRPr="00146C23">
        <w:rPr>
          <w:rFonts w:cs="Times New Roman"/>
          <w:bCs/>
        </w:rPr>
        <w:t>Kvalifikačná požiadavka uvedeného miesta :</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rPr>
          <w:rFonts w:cs="Times New Roman"/>
          <w:bCs/>
          <w:u w:val="single"/>
        </w:rPr>
      </w:pPr>
      <w:r w:rsidRPr="00146C23">
        <w:rPr>
          <w:rFonts w:cs="Times New Roman"/>
          <w:bCs/>
          <w:u w:val="single"/>
        </w:rPr>
        <w:t>VŠ vzdelanie 2. stupňa, technického zamerania a odborná prax najmenej 2 roky.</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rPr>
          <w:rFonts w:cs="Times New Roman"/>
          <w:bCs/>
        </w:rPr>
      </w:pP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jc w:val="both"/>
        <w:rPr>
          <w:rFonts w:cs="Times New Roman"/>
          <w:bCs/>
        </w:rPr>
      </w:pPr>
      <w:r w:rsidRPr="00146C23">
        <w:rPr>
          <w:rFonts w:cs="Times New Roman"/>
          <w:bCs/>
        </w:rPr>
        <w:t>Vzhľadom na kvalifikačné požiadavky potrebných miest a špecializáciu  v uvedenej oblasti nie je reálne, aby SOI našla vhodných uchádzačov na predmetné miesta za tarifný plat. Z hľadiska odborného vzdelania je potrebné obsadiť požadované miesto osobou s VŠ vzdelaním v odbore elektrotechnika, chémia, energetika, environmentalistické inžinierstvo so znalosťou konštrukcie batérií, ich komponentov (napr. lítium-iónové, olovené batérie) a procesov ich výroby. Okrem toho taká osoba by mala porozumieť technológiám recyklácie a spracovania batérií, poznať environmentálne aspekty spojené s batériami (napr. toxické látky, ekologické zaťaženie). Z verejne dostupných zdrojov sa plat elektrotechnického inžiniera pohybuje medzi 1454,- eur – 3168,- eur.</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jc w:val="both"/>
        <w:rPr>
          <w:rFonts w:cs="Times New Roman"/>
          <w:bCs/>
        </w:rPr>
      </w:pP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jc w:val="both"/>
        <w:rPr>
          <w:rFonts w:cs="Times New Roman"/>
          <w:bCs/>
        </w:rPr>
      </w:pPr>
      <w:r w:rsidRPr="00146C23">
        <w:rPr>
          <w:rFonts w:cs="Times New Roman"/>
          <w:bCs/>
        </w:rPr>
        <w:t xml:space="preserve">Vzhľadom nato, že SOI ako orgán štátnej správy nemá k dispozícii žiadne peňažné motivačné formy na získanie vhodných uchádzačov v oblasti batérií, je potrebné na zabezpečenie vykonávania nových kompetencií mať k dispozícii dostatok mzdových prostriedkov na priznanie funkčného platu, ktorý bude aspoň približne na úrovni trhu, čo je možné dosiahnuť vo forme osobného príplatku (podľa § 132 ods. 6 zákona č. 55/2017 Z. z. o štátnej službe a o zmene a doplnení niektorých zákonov je možné priznať štátnemu zamestnancovi osobný príplatok v súčte najviac v sume 100% z platovej tarify). </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jc w:val="both"/>
        <w:rPr>
          <w:rFonts w:cs="Times New Roman"/>
          <w:bCs/>
        </w:rPr>
      </w:pP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jc w:val="both"/>
        <w:rPr>
          <w:rFonts w:cs="Times New Roman"/>
          <w:bCs/>
        </w:rPr>
      </w:pPr>
      <w:r w:rsidRPr="00146C23">
        <w:rPr>
          <w:rFonts w:cs="Times New Roman"/>
          <w:bCs/>
        </w:rPr>
        <w:t>Na základe vyššie uvedeného, doterajších skúseností, ako aj s ohľadom na rast nominálnych miezd v dôsledku inflácie v danej oblasti, boli vypočítané nevyhnutné mzdové prostriedky pre 6 nových zamestnancov uvedené v tabuľke č. 5/1 „</w:t>
      </w:r>
      <w:r w:rsidRPr="00146C23">
        <w:rPr>
          <w:rFonts w:cs="Times New Roman"/>
          <w:bCs/>
          <w:i/>
        </w:rPr>
        <w:t>Analýzy vplyvov na rozpočet verejnej správy, na zamestnanosť vo verejnej správe a financovanie návrhu</w:t>
      </w:r>
      <w:r w:rsidRPr="00146C23">
        <w:rPr>
          <w:rFonts w:cs="Times New Roman"/>
          <w:bCs/>
        </w:rPr>
        <w:t>“ (ďalej len „</w:t>
      </w:r>
      <w:r w:rsidRPr="00146C23">
        <w:rPr>
          <w:rFonts w:cs="Times New Roman"/>
          <w:bCs/>
          <w:i/>
        </w:rPr>
        <w:t>Analýza vplyvov</w:t>
      </w:r>
      <w:r w:rsidRPr="00146C23">
        <w:rPr>
          <w:rFonts w:cs="Times New Roman"/>
          <w:bCs/>
        </w:rPr>
        <w:t>“).</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rPr>
          <w:rFonts w:cs="Times New Roman"/>
          <w:bCs/>
        </w:rPr>
      </w:pP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jc w:val="both"/>
        <w:rPr>
          <w:rFonts w:cs="Times New Roman"/>
          <w:bCs/>
        </w:rPr>
      </w:pPr>
      <w:r w:rsidRPr="00146C23">
        <w:rPr>
          <w:rFonts w:cs="Times New Roman"/>
          <w:bCs/>
        </w:rPr>
        <w:t>Súčasne boli v súvislosti so vznikom týchto pracovných miest, vypočítané a podrobne rozpísané nevyhnutné ďalšie náklady. Ide najmä o zabezpečenie nevyhnutných pracovných nástrojov potrebných na výkon kontroly ako výpočtová technika, či zabezpečenie cestovných nákladov na tuzemské ako aj zahraničné pracovné cesty, ale aj ďalšie výdavky spojené s energiami, telekomunikačnými službami, atď. Nevyhnutnou požiadavkou je aj navýšenie finančných prostriedkov na overovanie bezpečnosti a súladu batérií s predpísanými technickými požiadavkami (testovanie výrobkov v akreditovaných laboratóriách). Tieto sú uvedené v tabuľke č. 4/A1 Analýzy vplyvov.</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jc w:val="both"/>
        <w:rPr>
          <w:rFonts w:cs="Times New Roman"/>
          <w:bCs/>
        </w:rPr>
      </w:pP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jc w:val="both"/>
        <w:rPr>
          <w:rFonts w:cs="Times New Roman"/>
          <w:bCs/>
        </w:rPr>
      </w:pP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jc w:val="both"/>
        <w:rPr>
          <w:rFonts w:cs="Times New Roman"/>
          <w:b/>
          <w:bCs/>
        </w:rPr>
      </w:pPr>
      <w:r w:rsidRPr="00146C23">
        <w:rPr>
          <w:rFonts w:cs="Times New Roman"/>
          <w:b/>
          <w:bCs/>
        </w:rPr>
        <w:t>Požiadavky na navýšenie štátnozamestnaneckých miest v súvislosti s účinnosťou zákona č. 351/2022 Z. z. o prístupnosti výrobkov a služieb pre osoby so zdravotným postihnutím a o zmene a doplnení niektorých zákonov (ďalej len „</w:t>
      </w:r>
      <w:r w:rsidRPr="00146C23">
        <w:rPr>
          <w:rFonts w:cs="Times New Roman"/>
          <w:b/>
          <w:bCs/>
          <w:i/>
        </w:rPr>
        <w:t>zákon č. 351/2022 Z. z.</w:t>
      </w:r>
      <w:r w:rsidRPr="00146C23">
        <w:rPr>
          <w:rFonts w:cs="Times New Roman"/>
          <w:b/>
          <w:bCs/>
        </w:rPr>
        <w:t>“)</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rPr>
          <w:rFonts w:cs="Times New Roman"/>
          <w:bCs/>
        </w:rPr>
      </w:pPr>
    </w:p>
    <w:p w:rsidR="002D14AA" w:rsidRDefault="00146C23" w:rsidP="00146C23">
      <w:pPr>
        <w:widowControl/>
        <w:pBdr>
          <w:top w:val="single" w:sz="4" w:space="1" w:color="auto"/>
          <w:left w:val="single" w:sz="4" w:space="4" w:color="auto"/>
          <w:bottom w:val="single" w:sz="4" w:space="0" w:color="auto"/>
          <w:right w:val="single" w:sz="4" w:space="4" w:color="auto"/>
        </w:pBdr>
        <w:adjustRightInd/>
        <w:jc w:val="both"/>
        <w:rPr>
          <w:rFonts w:cs="Times New Roman"/>
          <w:bCs/>
        </w:rPr>
      </w:pPr>
      <w:r w:rsidRPr="00146C23">
        <w:rPr>
          <w:rFonts w:cs="Times New Roman"/>
          <w:bCs/>
        </w:rPr>
        <w:t>Verzia návrhu zákona, ktorá bola predložená do medzirezortného pripomienkového konania v roku 2022, ustanovovala v čl. I § 10 ods. 1 päť orgánov dohľadu (Úrad pre reguláciu elektronických komunikácií a poštových služieb, Radu pre vysielanie a retransmisiu, Dopravný</w:t>
      </w:r>
    </w:p>
    <w:p w:rsidR="002D14AA" w:rsidRDefault="00146C23" w:rsidP="00146C23">
      <w:pPr>
        <w:widowControl/>
        <w:pBdr>
          <w:top w:val="single" w:sz="4" w:space="1" w:color="auto"/>
          <w:left w:val="single" w:sz="4" w:space="4" w:color="auto"/>
          <w:bottom w:val="single" w:sz="4" w:space="0" w:color="auto"/>
          <w:right w:val="single" w:sz="4" w:space="4" w:color="auto"/>
        </w:pBdr>
        <w:adjustRightInd/>
        <w:jc w:val="both"/>
        <w:rPr>
          <w:rFonts w:cs="Times New Roman"/>
          <w:bCs/>
        </w:rPr>
      </w:pPr>
      <w:r w:rsidRPr="00146C23">
        <w:rPr>
          <w:rFonts w:cs="Times New Roman"/>
          <w:bCs/>
        </w:rPr>
        <w:t xml:space="preserve"> úrad, Národnú banku Slovenska a SOI). Napriek zásadnému nesúhlasu s pôvodne navrhovanou pôsobnosťou SOI bolo do ďalšieho štádia legislatívneho procesu predložené nové znenie návrhu zákona, ktorým bola pôsobnosť SOI v porovnaní s prvotným návrhom rozšírená o</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jc w:val="both"/>
        <w:rPr>
          <w:rFonts w:cs="Times New Roman"/>
          <w:bCs/>
        </w:rPr>
      </w:pPr>
      <w:r w:rsidRPr="00146C23">
        <w:rPr>
          <w:rFonts w:cs="Times New Roman"/>
          <w:bCs/>
        </w:rPr>
        <w:t xml:space="preserve"> služby poskytované v rámci dopravných služieb (pôvodne navrhovaným orgánom dohľadu bol Dopravný úrad) a o finančné služby (pôvodne navrhovaným orgánom dohľadu bola Národná banka Slovenska). SOI ostala jediným orgánom dohľadu nad plnením požiadaviek na prístupnosť služieb pre osoby so zdravotným postihnutím a nad povinnosťami ustanovenými v tomto návrhu zákona. Na porovnanie uvádzame, že pri transpozícii smernice Európskeho parlamentu a Rady (EÚ) 2019/882 zo 17. apríla 2019 o požiadavkách na prístupnosť výrobkov a služieb je v právnom poriadku Českej republiky ustanovených 10 orgánov dohľadu. Pôsobnosť nad rozsahom služieb, ktoré má v Slovenskej republike dohliadať SOI, bude v Českej republike rozdelená medzi 8 orgánov dohľadu. </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jc w:val="both"/>
        <w:rPr>
          <w:rFonts w:cs="Times New Roman"/>
          <w:bCs/>
        </w:rPr>
      </w:pP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jc w:val="both"/>
        <w:rPr>
          <w:rFonts w:cs="Times New Roman"/>
          <w:bCs/>
        </w:rPr>
      </w:pPr>
      <w:r w:rsidRPr="00146C23">
        <w:rPr>
          <w:rFonts w:cs="Times New Roman"/>
          <w:bCs/>
        </w:rPr>
        <w:t xml:space="preserve">SOI bola v návrhu zákona navrhovaná tiež ako jediný orgán dohľadu nad sprístupňovaním určených výrobkov na trh, ak ide o určené výrobky podľa technického predpisu z oblasti posudzovania zhody, ktorý ustanovuje požiadavky na prístupnosť výrobkov pre osoby so zdravotným postihnutím. </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jc w:val="both"/>
        <w:rPr>
          <w:rFonts w:cs="Times New Roman"/>
          <w:bCs/>
        </w:rPr>
      </w:pP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jc w:val="both"/>
        <w:rPr>
          <w:rFonts w:cs="Times New Roman"/>
          <w:bCs/>
        </w:rPr>
      </w:pPr>
      <w:r w:rsidRPr="00146C23">
        <w:rPr>
          <w:rFonts w:cs="Times New Roman"/>
          <w:bCs/>
        </w:rPr>
        <w:t xml:space="preserve">Podľa § 15 ods. 1 písm. f) zákona č. 575/2001 Z. z. o organizácii činnosti vlády a organizácii ústrednej štátnej správy zodpovedá za integráciu osôb so zdravotným postihnutím do spoločnosti Ministerstvo práce, sociálnych vecí a rodiny SR, ktoré počas </w:t>
      </w:r>
      <w:proofErr w:type="spellStart"/>
      <w:r w:rsidRPr="00146C23">
        <w:rPr>
          <w:rFonts w:cs="Times New Roman"/>
          <w:bCs/>
        </w:rPr>
        <w:t>rozporových</w:t>
      </w:r>
      <w:proofErr w:type="spellEnd"/>
      <w:r w:rsidRPr="00146C23">
        <w:rPr>
          <w:rFonts w:cs="Times New Roman"/>
          <w:bCs/>
        </w:rPr>
        <w:t xml:space="preserve"> konaní neposkytlo dostatočné odôvodnenie, prečo pri rozdeľovaní pôsobnosti v oblasti dohľadu nad dodržiavaním požiadaviek na prístupnosť tovarov a služieb pre osoby so zdravotným postihnutím po celý čas legislatívneho procesu opomínalo vlastné orgány dohľadu. </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jc w:val="both"/>
        <w:rPr>
          <w:rFonts w:cs="Times New Roman"/>
          <w:bCs/>
        </w:rPr>
      </w:pP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jc w:val="both"/>
        <w:rPr>
          <w:rFonts w:cs="Times New Roman"/>
          <w:bCs/>
        </w:rPr>
      </w:pPr>
      <w:r w:rsidRPr="00146C23">
        <w:rPr>
          <w:rFonts w:cs="Times New Roman"/>
          <w:bCs/>
        </w:rPr>
        <w:t>V zmysle § 7a zákona č. 125/2006 Z. z. o inšpekcii práce a o zmene a doplnení zákona č. 82/2005 Z. z. o nelegálnej práci a nelegálnom zamestnávaní a o zmene a doplnení niektorých zákonov inšpektoráty práce vykonávajú dohľad nad určenými výrobkami uvedenými na trh a do prevádzky. V zmysle § 26 písm. b) a nasledujúceho § 27 zákona č. 56/2018 Z. z. je inšpektorát práce oprávnený na výkon dohľadu nad určenými výrobkami a sú mu v tejto oblasti dané totožné kompetencie a právomoci ako SOI vrátane právomoci kontrolovať technické požiadavky na výrobky či odberať vzorky. V zmysle § 1 ods. 2 návrhu nariadenia sú predmetom dohľadu predovšetkým výrobky uvedené do prevádzky (platobné terminály, bankomaty, automaty na predaj lístkov, odbavovacie zariadenia atď.), pričom sa neposudzuje zhoda výrobku ako takého, ale splnenie požiadaviek zabezpečenia prístupnosti výrobkov a služieb pre osoby so zdravotným postihnutím na zariadeniach uvedených do prevádzky</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jc w:val="both"/>
        <w:rPr>
          <w:rFonts w:cs="Times New Roman"/>
          <w:bCs/>
        </w:rPr>
      </w:pP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jc w:val="both"/>
        <w:rPr>
          <w:rFonts w:cs="Times New Roman"/>
          <w:bCs/>
        </w:rPr>
      </w:pPr>
      <w:r w:rsidRPr="00146C23">
        <w:rPr>
          <w:rFonts w:cs="Times New Roman"/>
          <w:bCs/>
        </w:rPr>
        <w:t>Napriek uvedeným skutočnostiam, ako aj zásadného nesúhlasu nielen samotnej SOI, ale aj jej nadriadeného orgánu, ktorým je Ministerstvo hospodárstva SR, ostala SOI jediným orgánom dohľadu nad výrobkami, ako aj službami, v zmysle zákona č. 351/2022 Z. z., bez možnosti vypracovania a uplatnenia analýzy vplyvov. To znamená, že SOI boli pridelené široké kompetencie bez akéhokoľvek navýšenia štátnozamestnaneckých miest, či iného materiálneho zabezpečenia pre riadne plnenie pridelených úloh.</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jc w:val="both"/>
        <w:rPr>
          <w:rFonts w:cs="Times New Roman"/>
          <w:bCs/>
        </w:rPr>
      </w:pP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spacing w:after="120"/>
        <w:jc w:val="both"/>
        <w:rPr>
          <w:rFonts w:cs="Times New Roman"/>
          <w:bCs/>
        </w:rPr>
      </w:pPr>
      <w:r w:rsidRPr="00146C23">
        <w:rPr>
          <w:rFonts w:cs="Times New Roman"/>
          <w:bCs/>
          <w:u w:val="single"/>
        </w:rPr>
        <w:t>Z dôvodu uvedených skutočností SOI vypracovala analýzu vplyvov na štátny rozpočet, ktorý by jej umožňoval riadny výkon pridelených úloh</w:t>
      </w:r>
      <w:r w:rsidRPr="00146C23">
        <w:rPr>
          <w:rFonts w:cs="Times New Roman"/>
          <w:bCs/>
        </w:rPr>
        <w:t>.  Nevyhnutným personálnym základom je vytvorenie 6 systemizovaných štátnozamestnaneckých miest v rovnakom zaradení a pri plnení rovnakých úloh, ako v prípade Nariadenia (EÚ) 2023/1542. V tomto prípade boli vypočítané nižšie mzdové prostriedky, ktoré sú uvedené v tabuľke č. 5/2 Analýzy vplyvov.</w:t>
      </w:r>
    </w:p>
    <w:p w:rsidR="002D14AA" w:rsidRDefault="00146C23" w:rsidP="00146C23">
      <w:pPr>
        <w:widowControl/>
        <w:pBdr>
          <w:top w:val="single" w:sz="4" w:space="1" w:color="auto"/>
          <w:left w:val="single" w:sz="4" w:space="4" w:color="auto"/>
          <w:bottom w:val="single" w:sz="4" w:space="0" w:color="auto"/>
          <w:right w:val="single" w:sz="4" w:space="4" w:color="auto"/>
        </w:pBdr>
        <w:adjustRightInd/>
        <w:spacing w:after="120"/>
        <w:jc w:val="both"/>
        <w:rPr>
          <w:rFonts w:eastAsiaTheme="minorHAnsi" w:cs="Times New Roman"/>
          <w:lang w:eastAsia="en-US"/>
        </w:rPr>
      </w:pPr>
      <w:r w:rsidRPr="00146C23">
        <w:rPr>
          <w:rFonts w:eastAsiaTheme="minorHAnsi" w:cs="Times New Roman"/>
          <w:lang w:eastAsia="en-US"/>
        </w:rPr>
        <w:t>Nevyhnutný minimálny počet štátnozamestnaneckých miest bol určený na základe analýzy obsahu samotného Nariadenia (EÚ) 2023/1542, skúseností SOI z oblasti posudzovania zhody výrobkov, obdobných kontrol výrobkov v prípade iných predpisov, ktoré patria do jej kompetenčnej pôsobnosti, znalosti trhu SR a zloženia hospodárskych subjektov, ktoré tento</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spacing w:after="120"/>
        <w:jc w:val="both"/>
        <w:rPr>
          <w:rFonts w:cs="Times New Roman"/>
          <w:bCs/>
        </w:rPr>
      </w:pPr>
      <w:r w:rsidRPr="00146C23">
        <w:rPr>
          <w:rFonts w:eastAsiaTheme="minorHAnsi" w:cs="Times New Roman"/>
          <w:lang w:eastAsia="en-US"/>
        </w:rPr>
        <w:t xml:space="preserve"> tvoria a ktoré uvádzajú na trh SR a sprístupňujú na trhu SR výrobky, ako aj samotnej štruktúry SOI. Súčasne pri určení minimálneho počtu potrebných zamestnancov pre zabezpečenie dôslednej ochrany trhu a plnenia požadovaných povinností, SOI v plnom rozsahu akceptovala nevyhnutnosť konsolidačných opatrení. </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spacing w:after="120"/>
        <w:jc w:val="both"/>
        <w:rPr>
          <w:rFonts w:cs="Times New Roman"/>
          <w:bCs/>
        </w:rPr>
      </w:pPr>
      <w:r w:rsidRPr="00146C23">
        <w:rPr>
          <w:rFonts w:eastAsiaTheme="minorHAnsi" w:cs="Times New Roman"/>
          <w:lang w:eastAsia="en-US"/>
        </w:rPr>
        <w:t xml:space="preserve">V zmysle § 3 ods. 2 zákona č. 128/2002 Z. z. o štátnej kontrole vnútorného trhu vo veciach ochrany spotrebiteľa a o zmene a doplnení niektorých zákonov sa SOI člení na Ústredný inšpektorát Slovenskej obchodnej inšpekcie so sídlom v Bratislave a jemu podriadené inšpektoráty Slovenskej obchodnej inšpekcie, ktorých je celkovo 8. Každý inšpektorát má svoju územnú pôsobnosť, na ktorej vykonáva svoju kontrolnú činnosť prostredníctvom inšpektorov SOI. Vzhľadom na to, že v každom kraji sa nachádza veľké množstvo hospodárskych subjektov, a to najmä dovozcov a distribútorov, ktoré sprístupňujú výrobky, ktoré patria do pôsobnosti Nariadenia (EÚ) 2023/1542, by bol optimálny počet inšpektorov na minimálnej úrovni 8. Minimálnej preto, pretože v takomto prípade nie je zabezpečená ich zastupiteľnosť v prípade akéhokoľvek výpadku inšpektora. Je nevyhnutné si uvedomiť, že SOI nedokáže ovplyvniť počet a časový horizont prijatých podnetov </w:t>
      </w:r>
      <w:proofErr w:type="spellStart"/>
      <w:r w:rsidRPr="00146C23">
        <w:rPr>
          <w:rFonts w:eastAsiaTheme="minorHAnsi" w:cs="Times New Roman"/>
          <w:lang w:eastAsia="en-US"/>
        </w:rPr>
        <w:t>poukazujúcich</w:t>
      </w:r>
      <w:proofErr w:type="spellEnd"/>
      <w:r w:rsidRPr="00146C23">
        <w:rPr>
          <w:rFonts w:eastAsiaTheme="minorHAnsi" w:cs="Times New Roman"/>
          <w:lang w:eastAsia="en-US"/>
        </w:rPr>
        <w:t xml:space="preserve"> napr. na nebezpečnosť batérie, prijatých colných hlásení na dovoz batérií na územie SR, ako aj prípadne iných skutočností, ktoré by si vyžadovali okamžitý zásah orgánu dohľadu. Tým, že sa Nariadenia (EÚ) 2023/1542 vzťahuje nielen na batérie, ktoré sa sprístupňujú na trhu samostatne, ale aj na takmer všetky batérie zabudované do prístrojov, ľahkých dopravných prostriedkov alebo ostatných vozidiel (pozn. SOI je jediným organom dohľadu v oblasti automobilového priemyslu, preto jej budú prislúchať takmer všetky batérie v ňom používané) je vysoký predpoklad, že SOI bude vykonávať kontroly z tejto oblasti na dennej báze. Okrem podnetov a colných hlásení budú inšpektori kontrolovať batérie na základe proaktívnych kontrol, ale aj reaktívnych, a to napr. výskyt už hlásených nebezpečných batérií v medzinárodnom systéme </w:t>
      </w:r>
      <w:proofErr w:type="spellStart"/>
      <w:r w:rsidRPr="00146C23">
        <w:rPr>
          <w:rFonts w:eastAsiaTheme="minorHAnsi" w:cs="Times New Roman"/>
          <w:lang w:eastAsia="en-US"/>
        </w:rPr>
        <w:t>Safety</w:t>
      </w:r>
      <w:proofErr w:type="spellEnd"/>
      <w:r w:rsidRPr="00146C23">
        <w:rPr>
          <w:rFonts w:eastAsiaTheme="minorHAnsi" w:cs="Times New Roman"/>
          <w:lang w:eastAsia="en-US"/>
        </w:rPr>
        <w:t xml:space="preserve"> Gate na území Slovenskej republiky, ako aj na základe hlásení z ostatných členských štátov v zmysle plnenia povinnej spolupráce medzi jednotlivými orgánmi dohľadu členských štátov Európskej Únie podľa Nariadenia Európskeho parlamentu a Rady (EÚ) 2019/1020.</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spacing w:after="120"/>
        <w:jc w:val="both"/>
        <w:rPr>
          <w:rFonts w:cs="Times New Roman"/>
          <w:bCs/>
        </w:rPr>
      </w:pPr>
      <w:r w:rsidRPr="00146C23">
        <w:rPr>
          <w:rFonts w:eastAsiaTheme="minorHAnsi" w:cs="Times New Roman"/>
          <w:lang w:eastAsia="en-US"/>
        </w:rPr>
        <w:t>Napriek uvedeným skutočnostiam SOI určila, že bude možné zabezpečiť plnenie nevyhnutných požiadaviek Nariadenia (EÚ) 2023/1542 s počtom inšpektorov 4. Súčasne je nevyhnutné, aby bol určený 1 zamestnanec, ktorý okrem iného bude plniť povinné úlohy, ktoré Slovenskej republike z Nariadenia (EÚ) 2023/1542 vyplývajú. To znamená zúčastňovať sa na pracovných skupinách na úrovni EÚ, zastupovať Slovenskú republiku v medzinárodných projektoch, vykazovať činnosť v medzinárodných informačných systémoch a pod. Okrem toho bude metodicky koordinovať, riadiť a usmerňovať ostatných inšpektorov SOI, aby bol zabezpečený jednotný a legislatívne správny postup pri výkone samotného dohľadu. V neposlednom rade bol určený 1 človek na právne úkony. Vzhľadom na širokú škálu výrobkov, ktoré budú predmetom kontrol, je vysoký predpoklad vysokého počtu zistených nedostatkov, to znamená aj vysokého počtu prípadných správnych konaní. Napriek tomu, že každý inšpektorát vedie správne konanie na prvom stupni samostatne, SOI určila len 1 zamestnanca na túto činnosť v rámci druhého stupňa, t. j. zamestnanca potrebného na Ústrednom inšpektoráte SOI.</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spacing w:after="120"/>
        <w:jc w:val="both"/>
        <w:rPr>
          <w:rFonts w:cs="Times New Roman"/>
          <w:bCs/>
        </w:rPr>
      </w:pPr>
      <w:r w:rsidRPr="00146C23">
        <w:rPr>
          <w:rFonts w:eastAsiaTheme="minorHAnsi" w:cs="Times New Roman"/>
          <w:lang w:eastAsia="en-US"/>
        </w:rPr>
        <w:t>Dovoľujeme si teda uviesť, že SOI pri vypracovaní analýzy vplyvov skutočne prehodnotila všetky dostupné informácie, veľmi dobrú znalosť činnosti z oblasti trhového dohľadu, samotný trh SR, obsah Nariadenia (EÚ) 2023/1542 a dospela k určeniu minimálneho počtu 6 zamestnancov nevyhnutných na plnenie pridelených kompetencií.“</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spacing w:after="120"/>
        <w:jc w:val="both"/>
        <w:rPr>
          <w:rFonts w:cs="Times New Roman"/>
          <w:bCs/>
        </w:rPr>
      </w:pPr>
      <w:r w:rsidRPr="00146C23">
        <w:rPr>
          <w:rFonts w:eastAsiaTheme="minorHAnsi" w:cs="Times New Roman"/>
          <w:lang w:eastAsia="en-US"/>
        </w:rPr>
        <w:t>Obdobne uvedené platí aj pre smernicu Európskeho parlamentu a Rady (EÚ) 2019/882 zo 17. apríla 2019 o požiadavkách na prístupnosť výrobkov a služieb, resp. zákona č. 351/2022 Z. z. o prístupnosti výrobkov a služieb pre osoby so zdravotným postihnutím a o zmene a doplnení niektorých zákonov.</w:t>
      </w:r>
    </w:p>
    <w:p w:rsidR="002D14AA" w:rsidRDefault="00146C23" w:rsidP="00146C23">
      <w:pPr>
        <w:widowControl/>
        <w:pBdr>
          <w:top w:val="single" w:sz="4" w:space="1" w:color="auto"/>
          <w:left w:val="single" w:sz="4" w:space="4" w:color="auto"/>
          <w:bottom w:val="single" w:sz="4" w:space="0" w:color="auto"/>
          <w:right w:val="single" w:sz="4" w:space="4" w:color="auto"/>
        </w:pBdr>
        <w:adjustRightInd/>
        <w:spacing w:after="120"/>
        <w:jc w:val="both"/>
        <w:rPr>
          <w:rFonts w:cs="Times New Roman"/>
          <w:bCs/>
        </w:rPr>
      </w:pPr>
      <w:r w:rsidRPr="00146C23">
        <w:rPr>
          <w:rFonts w:cs="Times New Roman"/>
          <w:bCs/>
        </w:rPr>
        <w:t>Záverom si dovoľujeme uviesť, že už zo správy Najvyššieho kontrolného úradu Slovenskej republiky z konca roku 2022 vyplýva, že ide o skutočne veľmi závažný problém, pokiaľ ide o počet zamestnancov SOI. Ten vo výslednej správe uvádza, nielenže dochádzalo a neustále dochádza k navyšovaniu kompetencií SOI, ale súčasne nedochádza k zvyšovaniu počtu</w:t>
      </w:r>
    </w:p>
    <w:p w:rsidR="002D14AA" w:rsidRDefault="00146C23" w:rsidP="00146C23">
      <w:pPr>
        <w:widowControl/>
        <w:pBdr>
          <w:top w:val="single" w:sz="4" w:space="1" w:color="auto"/>
          <w:left w:val="single" w:sz="4" w:space="4" w:color="auto"/>
          <w:bottom w:val="single" w:sz="4" w:space="0" w:color="auto"/>
          <w:right w:val="single" w:sz="4" w:space="4" w:color="auto"/>
        </w:pBdr>
        <w:adjustRightInd/>
        <w:spacing w:after="120"/>
        <w:jc w:val="both"/>
        <w:rPr>
          <w:rFonts w:cs="Times New Roman"/>
          <w:bCs/>
        </w:rPr>
      </w:pPr>
      <w:r w:rsidRPr="00146C23">
        <w:rPr>
          <w:rFonts w:cs="Times New Roman"/>
          <w:bCs/>
        </w:rPr>
        <w:t xml:space="preserve"> zamestnancov. Naopak v rokoch 2020 a 2021, keď sa počet právnych predpisov patriacich do dozornej pôsobnosti SOI pohyboval na úrovni 490, došlo k zníženiu počtu všetkých zamestnancov, najmä inšpektorov, a to až o 30%. Rovnaký trend však pokračoval aj v nasledujúcom období, keď v roku 2024 v rámci prechodu kompetencií z oblasti energetiky zo</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spacing w:after="120"/>
        <w:jc w:val="both"/>
        <w:rPr>
          <w:rFonts w:cs="Times New Roman"/>
          <w:bCs/>
        </w:rPr>
      </w:pPr>
      <w:r w:rsidRPr="00146C23">
        <w:rPr>
          <w:rFonts w:cs="Times New Roman"/>
          <w:bCs/>
        </w:rPr>
        <w:t xml:space="preserve"> SOI na ÚRSO, prišla SOI o 14 miest. Následne klesol jej počet o ďalších 10% v rámci konsolidácie verejných financií. </w:t>
      </w:r>
      <w:r w:rsidRPr="00146C23">
        <w:rPr>
          <w:rFonts w:cs="Times New Roman"/>
          <w:bCs/>
          <w:u w:val="single"/>
        </w:rPr>
        <w:t>Preto SOI v súčasnosti nedokáže zabezpečiť vymáhanie už existujúcich kompetencií na požadovanej úrovni</w:t>
      </w:r>
      <w:r w:rsidRPr="00146C23">
        <w:rPr>
          <w:rFonts w:cs="Times New Roman"/>
          <w:bCs/>
        </w:rPr>
        <w:t>.</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spacing w:after="120"/>
        <w:jc w:val="both"/>
        <w:rPr>
          <w:rFonts w:cs="Times New Roman"/>
          <w:b/>
          <w:bCs/>
        </w:rPr>
      </w:pPr>
      <w:r w:rsidRPr="00146C23">
        <w:rPr>
          <w:rFonts w:cs="Times New Roman"/>
          <w:b/>
          <w:bCs/>
        </w:rPr>
        <w:t>Správny poplatok</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spacing w:after="120"/>
        <w:jc w:val="both"/>
        <w:rPr>
          <w:rFonts w:cs="Times New Roman"/>
          <w:bCs/>
        </w:rPr>
      </w:pPr>
      <w:r w:rsidRPr="00146C23">
        <w:rPr>
          <w:rFonts w:cs="Times New Roman"/>
          <w:bCs/>
        </w:rPr>
        <w:t>Návrhom zákona sa ustanovuje nový správny poplatok za prvostupňové overenie výstupných dokumentov z oblasti posudzovania zhody (ďalej len „správny poplatok“) z dôvodu, že ÚNMS SR vznikajú administratívne náklady, ktoré v sebe zahŕňajú úkony súvisiace so zabezpečením celého procesu prvostupňového overenia výstupných dokumentov z oblasti posudzovania zhody ÚNMS SR.   Jedná sa o administratívne náročný proces, ktorý si vyžaduje koncentráciu pracovných síl minimálne jednej osoby. Príjem zo správneho poplatku bude mať pozitívny vplyv na štátny rozpočet  z hľadiska navýšenia štátneho rozpočtu. Správny poplatok sa stanovuje minimálnou sumou 10,- eur za overenie a bude sa týkať približne 30 subjektov ročne. Z hľadiska subjektov verejnej správy bol identifikovaný jeden subjekt verejnej správy, prostredníctvom, ktorého sa správne poplatky budú realizovať. Subjektom verejnej správy je Úrad pre normalizáciu, metrológiu a skúšobníctvo Slovenskej republiky.</w:t>
      </w:r>
    </w:p>
    <w:p w:rsidR="00146C23" w:rsidRPr="00146C23" w:rsidRDefault="00146C23" w:rsidP="00146C23">
      <w:pPr>
        <w:widowControl/>
        <w:adjustRightInd/>
        <w:rPr>
          <w:rFonts w:cs="Times New Roman"/>
        </w:rPr>
      </w:pPr>
    </w:p>
    <w:p w:rsidR="00146C23" w:rsidRPr="00146C23" w:rsidRDefault="00146C23" w:rsidP="00146C23">
      <w:pPr>
        <w:widowControl/>
        <w:adjustRightInd/>
        <w:rPr>
          <w:rFonts w:cs="Times New Roman"/>
          <w:b/>
          <w:bCs/>
        </w:rPr>
      </w:pPr>
      <w:r w:rsidRPr="00146C23">
        <w:rPr>
          <w:rFonts w:cs="Times New Roman"/>
          <w:b/>
          <w:bCs/>
        </w:rPr>
        <w:t>2.2.2. Charakteristika návrhu:</w:t>
      </w:r>
    </w:p>
    <w:p w:rsidR="00146C23" w:rsidRPr="00146C23" w:rsidRDefault="00146C23" w:rsidP="00146C23">
      <w:pPr>
        <w:widowControl/>
        <w:adjustRightInd/>
        <w:rPr>
          <w:rFonts w:cs="Times New Roman"/>
        </w:rPr>
      </w:pPr>
    </w:p>
    <w:p w:rsidR="00146C23" w:rsidRPr="00146C23" w:rsidRDefault="00146C23" w:rsidP="00146C23">
      <w:pPr>
        <w:widowControl/>
        <w:adjustRightInd/>
        <w:rPr>
          <w:rFonts w:cs="Times New Roman"/>
        </w:rPr>
      </w:pPr>
      <w:r w:rsidRPr="00146C23">
        <w:rPr>
          <w:rFonts w:cs="Times New Roman"/>
          <w:b/>
          <w:bdr w:val="single" w:sz="4" w:space="0" w:color="auto"/>
        </w:rPr>
        <w:t xml:space="preserve">     </w:t>
      </w:r>
      <w:r w:rsidRPr="00146C23">
        <w:rPr>
          <w:rFonts w:cs="Times New Roman"/>
          <w:b/>
        </w:rPr>
        <w:t xml:space="preserve">  </w:t>
      </w:r>
      <w:r w:rsidRPr="00146C23">
        <w:rPr>
          <w:rFonts w:cs="Times New Roman"/>
        </w:rPr>
        <w:t>zmena sadzby</w:t>
      </w:r>
    </w:p>
    <w:p w:rsidR="00146C23" w:rsidRPr="00146C23" w:rsidRDefault="00146C23" w:rsidP="00146C23">
      <w:pPr>
        <w:widowControl/>
        <w:adjustRightInd/>
        <w:rPr>
          <w:rFonts w:cs="Times New Roman"/>
        </w:rPr>
      </w:pPr>
      <w:r w:rsidRPr="00146C23">
        <w:rPr>
          <w:rFonts w:cs="Times New Roman"/>
          <w:bdr w:val="single" w:sz="4" w:space="0" w:color="auto"/>
        </w:rPr>
        <w:t xml:space="preserve">     </w:t>
      </w:r>
      <w:r w:rsidRPr="00146C23">
        <w:rPr>
          <w:rFonts w:cs="Times New Roman"/>
        </w:rPr>
        <w:t xml:space="preserve">  zmena v nároku</w:t>
      </w:r>
    </w:p>
    <w:p w:rsidR="00146C23" w:rsidRPr="00146C23" w:rsidRDefault="00146C23" w:rsidP="00146C23">
      <w:pPr>
        <w:widowControl/>
        <w:adjustRightInd/>
        <w:rPr>
          <w:rFonts w:cs="Times New Roman"/>
        </w:rPr>
      </w:pPr>
      <w:r w:rsidRPr="00146C23">
        <w:rPr>
          <w:rFonts w:cs="Times New Roman"/>
          <w:bdr w:val="single" w:sz="4" w:space="0" w:color="auto"/>
        </w:rPr>
        <w:t xml:space="preserve"> X </w:t>
      </w:r>
      <w:r w:rsidRPr="00146C23">
        <w:rPr>
          <w:rFonts w:cs="Times New Roman"/>
        </w:rPr>
        <w:t xml:space="preserve">  nová služba alebo nariadenie (alebo ich zrušenie)</w:t>
      </w:r>
    </w:p>
    <w:p w:rsidR="00146C23" w:rsidRPr="00146C23" w:rsidRDefault="00146C23" w:rsidP="00146C23">
      <w:pPr>
        <w:widowControl/>
        <w:adjustRightInd/>
        <w:rPr>
          <w:rFonts w:cs="Times New Roman"/>
        </w:rPr>
      </w:pPr>
      <w:r w:rsidRPr="00146C23">
        <w:rPr>
          <w:rFonts w:cs="Times New Roman"/>
          <w:bdr w:val="single" w:sz="4" w:space="0" w:color="auto"/>
        </w:rPr>
        <w:t xml:space="preserve">     </w:t>
      </w:r>
      <w:r w:rsidRPr="00146C23">
        <w:rPr>
          <w:rFonts w:cs="Times New Roman"/>
        </w:rPr>
        <w:t xml:space="preserve">  kombinovaný návrh</w:t>
      </w:r>
    </w:p>
    <w:p w:rsidR="00146C23" w:rsidRPr="00146C23" w:rsidRDefault="00146C23" w:rsidP="00146C23">
      <w:pPr>
        <w:widowControl/>
        <w:adjustRightInd/>
        <w:jc w:val="both"/>
        <w:rPr>
          <w:rFonts w:cs="Times New Roman"/>
        </w:rPr>
      </w:pPr>
      <w:r w:rsidRPr="00146C23">
        <w:rPr>
          <w:rFonts w:cs="Times New Roman"/>
          <w:bdr w:val="single" w:sz="4" w:space="0" w:color="auto"/>
        </w:rPr>
        <w:t xml:space="preserve">  X  </w:t>
      </w:r>
      <w:r w:rsidRPr="00146C23">
        <w:rPr>
          <w:rFonts w:cs="Times New Roman"/>
        </w:rPr>
        <w:t xml:space="preserve">  iné (zavedenie nového správneho poplatku) </w:t>
      </w:r>
    </w:p>
    <w:p w:rsidR="00146C23" w:rsidRPr="00146C23" w:rsidRDefault="00146C23" w:rsidP="00146C23">
      <w:pPr>
        <w:widowControl/>
        <w:adjustRightInd/>
        <w:rPr>
          <w:rFonts w:cs="Times New Roman"/>
        </w:rPr>
      </w:pPr>
    </w:p>
    <w:p w:rsidR="00146C23" w:rsidRPr="00146C23" w:rsidRDefault="00146C23" w:rsidP="00146C23">
      <w:pPr>
        <w:widowControl/>
        <w:adjustRightInd/>
        <w:rPr>
          <w:rFonts w:cs="Times New Roman"/>
        </w:rPr>
      </w:pPr>
      <w:r w:rsidRPr="00146C23">
        <w:rPr>
          <w:rFonts w:cs="Times New Roman"/>
          <w:b/>
          <w:bCs/>
        </w:rPr>
        <w:t>2.2.3. Predpoklady vývoja objemu aktivít:</w:t>
      </w:r>
    </w:p>
    <w:p w:rsidR="00146C23" w:rsidRPr="00146C23" w:rsidRDefault="00146C23" w:rsidP="00146C23">
      <w:pPr>
        <w:widowControl/>
        <w:adjustRightInd/>
        <w:rPr>
          <w:rFonts w:cs="Times New Roman"/>
        </w:rPr>
      </w:pPr>
    </w:p>
    <w:p w:rsidR="00146C23" w:rsidRPr="00146C23" w:rsidRDefault="00146C23" w:rsidP="00146C23">
      <w:pPr>
        <w:widowControl/>
        <w:adjustRightInd/>
        <w:jc w:val="both"/>
        <w:rPr>
          <w:rFonts w:cs="Times New Roman"/>
        </w:rPr>
      </w:pPr>
      <w:r w:rsidRPr="00146C23">
        <w:rPr>
          <w:rFonts w:cs="Times New Roman"/>
        </w:rPr>
        <w:t>Jasne popíšte, v prípade potreby použite nižšie uvedenú tabuľku. Uveďte aj odhady základov daní a/alebo poplatkov, ak sa ich táto zmena týka.</w:t>
      </w:r>
    </w:p>
    <w:p w:rsidR="00146C23" w:rsidRPr="00146C23" w:rsidRDefault="00146C23" w:rsidP="00146C23">
      <w:pPr>
        <w:widowControl/>
        <w:adjustRightInd/>
        <w:rPr>
          <w:rFonts w:cs="Times New Roman"/>
          <w:sz w:val="20"/>
          <w:szCs w:val="20"/>
        </w:rPr>
      </w:pPr>
      <w:r w:rsidRPr="00146C23">
        <w:rPr>
          <w:rFonts w:cs="Times New Roman"/>
          <w:sz w:val="20"/>
          <w:szCs w:val="20"/>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146C23" w:rsidRPr="00146C23" w:rsidTr="00146C23">
        <w:trPr>
          <w:cantSplit/>
          <w:trHeight w:val="70"/>
        </w:trPr>
        <w:tc>
          <w:tcPr>
            <w:tcW w:w="4530" w:type="dxa"/>
            <w:vMerge w:val="restart"/>
            <w:shd w:val="clear" w:color="auto" w:fill="BFBFBF" w:themeFill="background1" w:themeFillShade="BF"/>
            <w:vAlign w:val="center"/>
          </w:tcPr>
          <w:p w:rsidR="00146C23" w:rsidRPr="00146C23" w:rsidRDefault="00146C23" w:rsidP="00146C23">
            <w:pPr>
              <w:widowControl/>
              <w:autoSpaceDE w:val="0"/>
              <w:autoSpaceDN w:val="0"/>
              <w:jc w:val="center"/>
              <w:rPr>
                <w:rFonts w:cs="Times New Roman"/>
                <w:b/>
                <w:bCs/>
              </w:rPr>
            </w:pPr>
            <w:r w:rsidRPr="00146C23">
              <w:rPr>
                <w:rFonts w:cs="Times New Roman"/>
                <w:b/>
                <w:bCs/>
              </w:rPr>
              <w:t>Objem aktivít</w:t>
            </w:r>
          </w:p>
        </w:tc>
        <w:tc>
          <w:tcPr>
            <w:tcW w:w="1134" w:type="dxa"/>
            <w:gridSpan w:val="4"/>
            <w:shd w:val="clear" w:color="auto" w:fill="BFBFBF" w:themeFill="background1" w:themeFillShade="BF"/>
            <w:vAlign w:val="center"/>
          </w:tcPr>
          <w:p w:rsidR="00146C23" w:rsidRPr="00146C23" w:rsidRDefault="00146C23" w:rsidP="00146C23">
            <w:pPr>
              <w:widowControl/>
              <w:autoSpaceDE w:val="0"/>
              <w:autoSpaceDN w:val="0"/>
              <w:jc w:val="center"/>
              <w:rPr>
                <w:rFonts w:cs="Times New Roman"/>
                <w:b/>
                <w:bCs/>
              </w:rPr>
            </w:pPr>
            <w:r w:rsidRPr="00146C23">
              <w:rPr>
                <w:rFonts w:cs="Times New Roman"/>
                <w:b/>
                <w:bCs/>
              </w:rPr>
              <w:t>Odhadované objemy</w:t>
            </w:r>
          </w:p>
        </w:tc>
      </w:tr>
      <w:tr w:rsidR="00146C23" w:rsidRPr="00146C23" w:rsidTr="00146C23">
        <w:trPr>
          <w:cantSplit/>
          <w:trHeight w:val="70"/>
        </w:trPr>
        <w:tc>
          <w:tcPr>
            <w:tcW w:w="4530" w:type="dxa"/>
            <w:vMerge/>
            <w:shd w:val="clear" w:color="auto" w:fill="BFBFBF" w:themeFill="background1" w:themeFillShade="BF"/>
          </w:tcPr>
          <w:p w:rsidR="00146C23" w:rsidRPr="00146C23" w:rsidRDefault="00146C23" w:rsidP="00146C23">
            <w:pPr>
              <w:widowControl/>
              <w:autoSpaceDE w:val="0"/>
              <w:autoSpaceDN w:val="0"/>
              <w:jc w:val="center"/>
              <w:rPr>
                <w:rFonts w:cs="Times New Roman"/>
                <w:b/>
                <w:bCs/>
              </w:rPr>
            </w:pPr>
          </w:p>
        </w:tc>
        <w:tc>
          <w:tcPr>
            <w:tcW w:w="1134" w:type="dxa"/>
            <w:shd w:val="clear" w:color="auto" w:fill="BFBFBF" w:themeFill="background1" w:themeFillShade="BF"/>
            <w:vAlign w:val="center"/>
          </w:tcPr>
          <w:p w:rsidR="00146C23" w:rsidRPr="00146C23" w:rsidRDefault="00146C23" w:rsidP="00146C23">
            <w:pPr>
              <w:widowControl/>
              <w:autoSpaceDE w:val="0"/>
              <w:autoSpaceDN w:val="0"/>
              <w:jc w:val="center"/>
              <w:rPr>
                <w:rFonts w:cs="Times New Roman"/>
                <w:b/>
                <w:bCs/>
              </w:rPr>
            </w:pPr>
            <w:r w:rsidRPr="00146C23">
              <w:rPr>
                <w:rFonts w:cs="Times New Roman"/>
                <w:b/>
                <w:bCs/>
              </w:rPr>
              <w:t>r</w:t>
            </w:r>
          </w:p>
        </w:tc>
        <w:tc>
          <w:tcPr>
            <w:tcW w:w="1134" w:type="dxa"/>
            <w:shd w:val="clear" w:color="auto" w:fill="BFBFBF" w:themeFill="background1" w:themeFillShade="BF"/>
            <w:vAlign w:val="center"/>
          </w:tcPr>
          <w:p w:rsidR="00146C23" w:rsidRPr="00146C23" w:rsidRDefault="00146C23" w:rsidP="00146C23">
            <w:pPr>
              <w:widowControl/>
              <w:autoSpaceDE w:val="0"/>
              <w:autoSpaceDN w:val="0"/>
              <w:jc w:val="center"/>
              <w:rPr>
                <w:rFonts w:cs="Times New Roman"/>
                <w:b/>
                <w:bCs/>
              </w:rPr>
            </w:pPr>
            <w:r w:rsidRPr="00146C23">
              <w:rPr>
                <w:rFonts w:cs="Times New Roman"/>
                <w:b/>
                <w:bCs/>
              </w:rPr>
              <w:t>r + 1</w:t>
            </w:r>
          </w:p>
        </w:tc>
        <w:tc>
          <w:tcPr>
            <w:tcW w:w="1134" w:type="dxa"/>
            <w:shd w:val="clear" w:color="auto" w:fill="BFBFBF" w:themeFill="background1" w:themeFillShade="BF"/>
            <w:vAlign w:val="center"/>
          </w:tcPr>
          <w:p w:rsidR="00146C23" w:rsidRPr="00146C23" w:rsidRDefault="00146C23" w:rsidP="00146C23">
            <w:pPr>
              <w:widowControl/>
              <w:autoSpaceDE w:val="0"/>
              <w:autoSpaceDN w:val="0"/>
              <w:jc w:val="center"/>
              <w:rPr>
                <w:rFonts w:cs="Times New Roman"/>
                <w:b/>
                <w:bCs/>
              </w:rPr>
            </w:pPr>
            <w:r w:rsidRPr="00146C23">
              <w:rPr>
                <w:rFonts w:cs="Times New Roman"/>
                <w:b/>
                <w:bCs/>
              </w:rPr>
              <w:t>r + 2</w:t>
            </w:r>
          </w:p>
        </w:tc>
        <w:tc>
          <w:tcPr>
            <w:tcW w:w="1134" w:type="dxa"/>
            <w:shd w:val="clear" w:color="auto" w:fill="BFBFBF" w:themeFill="background1" w:themeFillShade="BF"/>
            <w:vAlign w:val="center"/>
          </w:tcPr>
          <w:p w:rsidR="00146C23" w:rsidRPr="00146C23" w:rsidRDefault="00146C23" w:rsidP="00146C23">
            <w:pPr>
              <w:widowControl/>
              <w:autoSpaceDE w:val="0"/>
              <w:autoSpaceDN w:val="0"/>
              <w:jc w:val="center"/>
              <w:rPr>
                <w:rFonts w:cs="Times New Roman"/>
                <w:b/>
                <w:bCs/>
              </w:rPr>
            </w:pPr>
            <w:r w:rsidRPr="00146C23">
              <w:rPr>
                <w:rFonts w:cs="Times New Roman"/>
                <w:b/>
                <w:bCs/>
              </w:rPr>
              <w:t>r + 3</w:t>
            </w:r>
          </w:p>
        </w:tc>
      </w:tr>
      <w:tr w:rsidR="00146C23" w:rsidRPr="00146C23" w:rsidTr="00146C23">
        <w:trPr>
          <w:trHeight w:val="70"/>
        </w:trPr>
        <w:tc>
          <w:tcPr>
            <w:tcW w:w="4530" w:type="dxa"/>
          </w:tcPr>
          <w:p w:rsidR="00146C23" w:rsidRPr="00146C23" w:rsidRDefault="00146C23" w:rsidP="00146C23">
            <w:pPr>
              <w:widowControl/>
              <w:autoSpaceDE w:val="0"/>
              <w:autoSpaceDN w:val="0"/>
              <w:rPr>
                <w:rFonts w:cs="Times New Roman"/>
              </w:rPr>
            </w:pPr>
            <w:r w:rsidRPr="00146C23">
              <w:rPr>
                <w:rFonts w:cs="Times New Roman"/>
              </w:rPr>
              <w:t>Indikátor ABC</w:t>
            </w:r>
          </w:p>
        </w:tc>
        <w:tc>
          <w:tcPr>
            <w:tcW w:w="1134" w:type="dxa"/>
          </w:tcPr>
          <w:p w:rsidR="00146C23" w:rsidRPr="00146C23" w:rsidRDefault="00146C23" w:rsidP="00146C23">
            <w:pPr>
              <w:widowControl/>
              <w:autoSpaceDE w:val="0"/>
              <w:autoSpaceDN w:val="0"/>
              <w:jc w:val="right"/>
              <w:rPr>
                <w:rFonts w:cs="Times New Roman"/>
              </w:rPr>
            </w:pPr>
          </w:p>
        </w:tc>
        <w:tc>
          <w:tcPr>
            <w:tcW w:w="1134" w:type="dxa"/>
          </w:tcPr>
          <w:p w:rsidR="00146C23" w:rsidRPr="00146C23" w:rsidRDefault="00146C23" w:rsidP="00146C23">
            <w:pPr>
              <w:widowControl/>
              <w:autoSpaceDE w:val="0"/>
              <w:autoSpaceDN w:val="0"/>
              <w:jc w:val="right"/>
              <w:rPr>
                <w:rFonts w:cs="Times New Roman"/>
              </w:rPr>
            </w:pPr>
          </w:p>
        </w:tc>
        <w:tc>
          <w:tcPr>
            <w:tcW w:w="1134" w:type="dxa"/>
          </w:tcPr>
          <w:p w:rsidR="00146C23" w:rsidRPr="00146C23" w:rsidRDefault="00146C23" w:rsidP="00146C23">
            <w:pPr>
              <w:widowControl/>
              <w:autoSpaceDE w:val="0"/>
              <w:autoSpaceDN w:val="0"/>
              <w:jc w:val="right"/>
              <w:rPr>
                <w:rFonts w:cs="Times New Roman"/>
              </w:rPr>
            </w:pPr>
          </w:p>
        </w:tc>
        <w:tc>
          <w:tcPr>
            <w:tcW w:w="1134" w:type="dxa"/>
          </w:tcPr>
          <w:p w:rsidR="00146C23" w:rsidRPr="00146C23" w:rsidRDefault="00146C23" w:rsidP="00146C23">
            <w:pPr>
              <w:widowControl/>
              <w:autoSpaceDE w:val="0"/>
              <w:autoSpaceDN w:val="0"/>
              <w:jc w:val="right"/>
              <w:rPr>
                <w:rFonts w:cs="Times New Roman"/>
              </w:rPr>
            </w:pPr>
          </w:p>
        </w:tc>
      </w:tr>
      <w:tr w:rsidR="00146C23" w:rsidRPr="00146C23" w:rsidTr="00146C23">
        <w:trPr>
          <w:trHeight w:val="70"/>
        </w:trPr>
        <w:tc>
          <w:tcPr>
            <w:tcW w:w="4530" w:type="dxa"/>
          </w:tcPr>
          <w:p w:rsidR="00146C23" w:rsidRPr="00146C23" w:rsidRDefault="00146C23" w:rsidP="00146C23">
            <w:pPr>
              <w:widowControl/>
              <w:autoSpaceDE w:val="0"/>
              <w:autoSpaceDN w:val="0"/>
              <w:rPr>
                <w:rFonts w:cs="Times New Roman"/>
              </w:rPr>
            </w:pPr>
            <w:r w:rsidRPr="00146C23">
              <w:rPr>
                <w:rFonts w:cs="Times New Roman"/>
              </w:rPr>
              <w:t>Indikátor KLM</w:t>
            </w:r>
          </w:p>
        </w:tc>
        <w:tc>
          <w:tcPr>
            <w:tcW w:w="1134" w:type="dxa"/>
          </w:tcPr>
          <w:p w:rsidR="00146C23" w:rsidRPr="00146C23" w:rsidRDefault="00146C23" w:rsidP="00146C23">
            <w:pPr>
              <w:widowControl/>
              <w:autoSpaceDE w:val="0"/>
              <w:autoSpaceDN w:val="0"/>
              <w:jc w:val="right"/>
              <w:rPr>
                <w:rFonts w:cs="Times New Roman"/>
              </w:rPr>
            </w:pPr>
          </w:p>
        </w:tc>
        <w:tc>
          <w:tcPr>
            <w:tcW w:w="1134" w:type="dxa"/>
          </w:tcPr>
          <w:p w:rsidR="00146C23" w:rsidRPr="00146C23" w:rsidRDefault="00146C23" w:rsidP="00146C23">
            <w:pPr>
              <w:widowControl/>
              <w:autoSpaceDE w:val="0"/>
              <w:autoSpaceDN w:val="0"/>
              <w:jc w:val="right"/>
              <w:rPr>
                <w:rFonts w:cs="Times New Roman"/>
              </w:rPr>
            </w:pPr>
          </w:p>
        </w:tc>
        <w:tc>
          <w:tcPr>
            <w:tcW w:w="1134" w:type="dxa"/>
          </w:tcPr>
          <w:p w:rsidR="00146C23" w:rsidRPr="00146C23" w:rsidRDefault="00146C23" w:rsidP="00146C23">
            <w:pPr>
              <w:widowControl/>
              <w:autoSpaceDE w:val="0"/>
              <w:autoSpaceDN w:val="0"/>
              <w:jc w:val="right"/>
              <w:rPr>
                <w:rFonts w:cs="Times New Roman"/>
              </w:rPr>
            </w:pPr>
          </w:p>
        </w:tc>
        <w:tc>
          <w:tcPr>
            <w:tcW w:w="1134" w:type="dxa"/>
          </w:tcPr>
          <w:p w:rsidR="00146C23" w:rsidRPr="00146C23" w:rsidRDefault="00146C23" w:rsidP="00146C23">
            <w:pPr>
              <w:widowControl/>
              <w:autoSpaceDE w:val="0"/>
              <w:autoSpaceDN w:val="0"/>
              <w:jc w:val="right"/>
              <w:rPr>
                <w:rFonts w:cs="Times New Roman"/>
              </w:rPr>
            </w:pPr>
          </w:p>
        </w:tc>
      </w:tr>
      <w:tr w:rsidR="00146C23" w:rsidRPr="00146C23" w:rsidTr="00146C23">
        <w:trPr>
          <w:trHeight w:val="70"/>
        </w:trPr>
        <w:tc>
          <w:tcPr>
            <w:tcW w:w="4530" w:type="dxa"/>
          </w:tcPr>
          <w:p w:rsidR="00146C23" w:rsidRPr="00146C23" w:rsidRDefault="00146C23" w:rsidP="00146C23">
            <w:pPr>
              <w:widowControl/>
              <w:autoSpaceDE w:val="0"/>
              <w:autoSpaceDN w:val="0"/>
              <w:rPr>
                <w:rFonts w:cs="Times New Roman"/>
              </w:rPr>
            </w:pPr>
            <w:r w:rsidRPr="00146C23">
              <w:rPr>
                <w:rFonts w:cs="Times New Roman"/>
              </w:rPr>
              <w:t>Indikátor XYZ</w:t>
            </w:r>
          </w:p>
        </w:tc>
        <w:tc>
          <w:tcPr>
            <w:tcW w:w="1134" w:type="dxa"/>
          </w:tcPr>
          <w:p w:rsidR="00146C23" w:rsidRPr="00146C23" w:rsidRDefault="00146C23" w:rsidP="00146C23">
            <w:pPr>
              <w:widowControl/>
              <w:autoSpaceDE w:val="0"/>
              <w:autoSpaceDN w:val="0"/>
              <w:jc w:val="right"/>
              <w:rPr>
                <w:rFonts w:cs="Times New Roman"/>
              </w:rPr>
            </w:pPr>
          </w:p>
        </w:tc>
        <w:tc>
          <w:tcPr>
            <w:tcW w:w="1134" w:type="dxa"/>
          </w:tcPr>
          <w:p w:rsidR="00146C23" w:rsidRPr="00146C23" w:rsidRDefault="00146C23" w:rsidP="00146C23">
            <w:pPr>
              <w:widowControl/>
              <w:autoSpaceDE w:val="0"/>
              <w:autoSpaceDN w:val="0"/>
              <w:jc w:val="right"/>
              <w:rPr>
                <w:rFonts w:cs="Times New Roman"/>
              </w:rPr>
            </w:pPr>
          </w:p>
        </w:tc>
        <w:tc>
          <w:tcPr>
            <w:tcW w:w="1134" w:type="dxa"/>
          </w:tcPr>
          <w:p w:rsidR="00146C23" w:rsidRPr="00146C23" w:rsidRDefault="00146C23" w:rsidP="00146C23">
            <w:pPr>
              <w:widowControl/>
              <w:autoSpaceDE w:val="0"/>
              <w:autoSpaceDN w:val="0"/>
              <w:jc w:val="right"/>
              <w:rPr>
                <w:rFonts w:cs="Times New Roman"/>
              </w:rPr>
            </w:pPr>
          </w:p>
        </w:tc>
        <w:tc>
          <w:tcPr>
            <w:tcW w:w="1134" w:type="dxa"/>
          </w:tcPr>
          <w:p w:rsidR="00146C23" w:rsidRPr="00146C23" w:rsidRDefault="00146C23" w:rsidP="00146C23">
            <w:pPr>
              <w:widowControl/>
              <w:autoSpaceDE w:val="0"/>
              <w:autoSpaceDN w:val="0"/>
              <w:jc w:val="right"/>
              <w:rPr>
                <w:rFonts w:cs="Times New Roman"/>
              </w:rPr>
            </w:pPr>
          </w:p>
        </w:tc>
      </w:tr>
    </w:tbl>
    <w:p w:rsidR="00146C23" w:rsidRPr="00146C23" w:rsidRDefault="00146C23" w:rsidP="00146C23">
      <w:pPr>
        <w:widowControl/>
        <w:adjustRightInd/>
        <w:rPr>
          <w:rFonts w:cs="Times New Roman"/>
        </w:rPr>
      </w:pPr>
    </w:p>
    <w:p w:rsidR="00146C23" w:rsidRPr="00146C23" w:rsidRDefault="00146C23" w:rsidP="00146C23">
      <w:pPr>
        <w:widowControl/>
        <w:adjustRightInd/>
        <w:rPr>
          <w:rFonts w:cs="Times New Roman"/>
        </w:rPr>
      </w:pPr>
    </w:p>
    <w:p w:rsidR="00146C23" w:rsidRPr="00146C23" w:rsidRDefault="00146C23" w:rsidP="00146C23">
      <w:pPr>
        <w:widowControl/>
        <w:adjustRightInd/>
        <w:rPr>
          <w:rFonts w:cs="Times New Roman"/>
          <w:b/>
          <w:bCs/>
        </w:rPr>
      </w:pPr>
      <w:r w:rsidRPr="00146C23">
        <w:rPr>
          <w:rFonts w:cs="Times New Roman"/>
          <w:b/>
          <w:bCs/>
        </w:rPr>
        <w:t>2.2.4. Výpočty vplyvov na verejné financie</w:t>
      </w:r>
    </w:p>
    <w:p w:rsidR="00146C23" w:rsidRPr="00146C23" w:rsidRDefault="00146C23" w:rsidP="00146C23">
      <w:pPr>
        <w:widowControl/>
        <w:adjustRightInd/>
        <w:rPr>
          <w:rFonts w:cs="Times New Roman"/>
        </w:rPr>
      </w:pPr>
    </w:p>
    <w:p w:rsidR="00146C23" w:rsidRPr="00146C23" w:rsidRDefault="00146C23" w:rsidP="00146C23">
      <w:pPr>
        <w:widowControl/>
        <w:adjustRightInd/>
        <w:jc w:val="both"/>
        <w:rPr>
          <w:rFonts w:cs="Times New Roman"/>
          <w:bCs/>
        </w:rPr>
      </w:pPr>
      <w:r w:rsidRPr="00146C23">
        <w:rPr>
          <w:rFonts w:cs="Times New Roman"/>
          <w:bCs/>
        </w:rPr>
        <w:t>Predpokladá sa pozitívny aj negatívny vplyv na rozpočet verejnej správy.</w:t>
      </w:r>
    </w:p>
    <w:p w:rsidR="00146C23" w:rsidRPr="00146C23" w:rsidRDefault="00146C23" w:rsidP="00146C23">
      <w:pPr>
        <w:widowControl/>
        <w:adjustRightInd/>
        <w:jc w:val="both"/>
        <w:rPr>
          <w:rFonts w:cs="Times New Roman"/>
          <w:bCs/>
        </w:rPr>
      </w:pPr>
    </w:p>
    <w:p w:rsidR="002D14AA" w:rsidRDefault="00146C23" w:rsidP="00146C23">
      <w:pPr>
        <w:widowControl/>
        <w:pBdr>
          <w:top w:val="single" w:sz="4" w:space="1" w:color="auto"/>
          <w:left w:val="single" w:sz="4" w:space="4" w:color="auto"/>
          <w:bottom w:val="single" w:sz="4" w:space="0" w:color="auto"/>
          <w:right w:val="single" w:sz="4" w:space="4" w:color="auto"/>
        </w:pBdr>
        <w:adjustRightInd/>
        <w:jc w:val="both"/>
        <w:rPr>
          <w:rFonts w:cs="Times New Roman"/>
          <w:bCs/>
        </w:rPr>
      </w:pPr>
      <w:r w:rsidRPr="00146C23">
        <w:rPr>
          <w:rFonts w:cs="Times New Roman"/>
          <w:bCs/>
        </w:rPr>
        <w:t>Predkladaný návrh zákona predpokladá pozitívny aj negatívny vplyv na rozpočet verejnej správy, a to konkrétne na rozpočet Ministerstva hospodárstva Slovenskej republiky. Negatívny vplyv v súvislosti so</w:t>
      </w:r>
      <w:r w:rsidRPr="00146C23">
        <w:rPr>
          <w:rFonts w:cs="Times New Roman"/>
          <w:b/>
          <w:bCs/>
        </w:rPr>
        <w:t xml:space="preserve"> zabezpečením kvalifikovaného plnenia pridelených úloh uvedených v Nariadení Európskeho parlamentu a Rady (EÚ) 2023/1542 a v zákone č. 351/2022 Z. z., ktoré je potrebné </w:t>
      </w:r>
      <w:r w:rsidRPr="00146C23">
        <w:rPr>
          <w:rFonts w:cs="Times New Roman"/>
          <w:bCs/>
        </w:rPr>
        <w:t>zabezpečiť tak personálne, ako aj materiálne a nie je možné ich financovať z aktuálneho rozpočtu Ministerstva hospodárstva Slovenskej republiky. Je možné predpokladať aj pozitívny vplyv na rozpočet verejnej správy. Uvedené vychádza z premisy, že ide o právne predpisy, ktoré stanovujú obdobné povinnosti jednotlivým hospodárskym subjektom v</w:t>
      </w:r>
      <w:r w:rsidR="002D14AA">
        <w:rPr>
          <w:rFonts w:cs="Times New Roman"/>
          <w:bCs/>
        </w:rPr>
        <w:t> </w:t>
      </w:r>
      <w:r w:rsidRPr="00146C23">
        <w:rPr>
          <w:rFonts w:cs="Times New Roman"/>
          <w:bCs/>
        </w:rPr>
        <w:t>celom</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jc w:val="both"/>
        <w:rPr>
          <w:rFonts w:cs="Times New Roman"/>
          <w:bCs/>
        </w:rPr>
      </w:pPr>
      <w:r w:rsidRPr="00146C23">
        <w:rPr>
          <w:rFonts w:cs="Times New Roman"/>
          <w:bCs/>
        </w:rPr>
        <w:t xml:space="preserve"> distribučnom reťazci, ktoré uvádzajú, resp. sprístupňujú výrobky na trhu SR, za ktorých porušenie ukladá SOI sankcie v zmysle zákona č. 56/2018 Z. z. tak, ako v prípade ostatných osobitných predpisov z oblasti posudzovania zhody patriacich práve pod zákon č. 56/2018 Z. z. Predpokladané príjmy však nie je možné aktuálne vyčísliť z dôvodu absentujúcich údajov.</w:t>
      </w: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jc w:val="both"/>
        <w:rPr>
          <w:rFonts w:cs="Times New Roman"/>
          <w:bCs/>
        </w:rPr>
      </w:pPr>
    </w:p>
    <w:p w:rsidR="00146C23" w:rsidRPr="00146C23" w:rsidRDefault="00146C23" w:rsidP="00146C23">
      <w:pPr>
        <w:widowControl/>
        <w:pBdr>
          <w:top w:val="single" w:sz="4" w:space="1" w:color="auto"/>
          <w:left w:val="single" w:sz="4" w:space="4" w:color="auto"/>
          <w:bottom w:val="single" w:sz="4" w:space="0" w:color="auto"/>
          <w:right w:val="single" w:sz="4" w:space="4" w:color="auto"/>
        </w:pBdr>
        <w:adjustRightInd/>
        <w:jc w:val="both"/>
        <w:rPr>
          <w:rFonts w:cs="Times New Roman"/>
          <w:bCs/>
        </w:rPr>
      </w:pPr>
      <w:r w:rsidRPr="00146C23">
        <w:rPr>
          <w:rFonts w:cs="Times New Roman"/>
          <w:bCs/>
        </w:rPr>
        <w:t>Predkladaný návrh zákona predpokladá pozitívny vplyv na rozpočet verejnej správy, a to konkrétne na rozpočet ÚNMS SR v súvislosti so správnym poplatkom. Správny poplatok sa bude týkať približne 30 subjektov,  ktoré by mali za prvostupňové overenie výstupného dokumentu uhradiť správny poplatok vo výške 10,- EUR. Nárast  štátneho rozpočtu sa každoročne predpokladá minimálne o 300,- EUR. Nárast môže byť aj väčší, ak bude podaných viac žiadostí o overenie výstupného dokumentu. Odhad vychádza z analýzy výročných správ ÚNMS SR.  ÚNMS SR vykonal v priebehu dvoch rokov 19 prvostupňových overení výstupných dokumentov. Subjekty boli identifikované podľa aktuálneho počtu autorizovaných osôb/notifikovaných osôb s prirátaním minimálne 10 žiadateľov, ktorí sú zároveň klientmi autorizovanej/notifikovanej osoby a ktorí tiež môžu požiadať o prvostupňové overenie vystúpeného dokumentu. Presný výpočet bude možné realizovať až po uplatnení správneho poplatku v praxi.</w:t>
      </w:r>
    </w:p>
    <w:p w:rsidR="00146C23" w:rsidRPr="00146C23" w:rsidRDefault="00146C23" w:rsidP="00146C23">
      <w:pPr>
        <w:widowControl/>
        <w:adjustRightInd/>
        <w:jc w:val="both"/>
        <w:rPr>
          <w:rFonts w:cs="Times New Roman"/>
          <w:bCs/>
        </w:rPr>
      </w:pPr>
    </w:p>
    <w:p w:rsidR="00146C23" w:rsidRDefault="00146C23" w:rsidP="00146C23">
      <w:pPr>
        <w:widowControl/>
        <w:adjustRightInd/>
        <w:jc w:val="both"/>
        <w:rPr>
          <w:rFonts w:cs="Times New Roman"/>
          <w:bCs/>
        </w:rPr>
      </w:pPr>
    </w:p>
    <w:p w:rsidR="00156690" w:rsidRPr="00146C23" w:rsidRDefault="00156690" w:rsidP="00146C23">
      <w:pPr>
        <w:widowControl/>
        <w:adjustRightInd/>
        <w:jc w:val="both"/>
        <w:rPr>
          <w:rFonts w:cs="Times New Roman"/>
          <w:bCs/>
          <w:szCs w:val="20"/>
        </w:rPr>
        <w:sectPr w:rsidR="00156690" w:rsidRPr="00146C23" w:rsidSect="002D14AA">
          <w:headerReference w:type="even" r:id="rId13"/>
          <w:footerReference w:type="even" r:id="rId14"/>
          <w:footerReference w:type="default" r:id="rId15"/>
          <w:headerReference w:type="first" r:id="rId16"/>
          <w:footerReference w:type="first" r:id="rId17"/>
          <w:pgSz w:w="11906" w:h="16838"/>
          <w:pgMar w:top="284" w:right="1417" w:bottom="993" w:left="1417" w:header="708" w:footer="708" w:gutter="0"/>
          <w:cols w:space="708"/>
          <w:docGrid w:linePitch="360"/>
        </w:sectPr>
      </w:pPr>
    </w:p>
    <w:p w:rsidR="00146C23" w:rsidRPr="00762333" w:rsidRDefault="00146C23" w:rsidP="00146C23">
      <w:pPr>
        <w:widowControl/>
        <w:adjustRightInd/>
        <w:rPr>
          <w:rFonts w:cs="Times New Roman"/>
          <w:bCs/>
          <w:sz w:val="20"/>
          <w:szCs w:val="20"/>
        </w:rPr>
      </w:pPr>
      <w:r w:rsidRPr="00762333">
        <w:rPr>
          <w:rFonts w:cs="Times New Roman"/>
          <w:bCs/>
          <w:sz w:val="20"/>
          <w:szCs w:val="20"/>
        </w:rPr>
        <w:t xml:space="preserve">Tabuľka č. 3 za subjekt </w:t>
      </w:r>
      <w:r w:rsidRPr="00762333">
        <w:rPr>
          <w:rFonts w:cs="Times New Roman"/>
          <w:b/>
          <w:bCs/>
          <w:sz w:val="20"/>
          <w:szCs w:val="20"/>
        </w:rPr>
        <w:t>ÚNMS SR</w:t>
      </w:r>
      <w:r w:rsidRPr="00762333">
        <w:rPr>
          <w:rFonts w:cs="Times New Roman"/>
          <w:bCs/>
          <w:sz w:val="20"/>
          <w:szCs w:val="20"/>
        </w:rPr>
        <w:t xml:space="preserve"> - </w:t>
      </w:r>
      <w:r w:rsidRPr="00762333">
        <w:rPr>
          <w:rFonts w:cs="Times New Roman"/>
          <w:b/>
          <w:bCs/>
          <w:iCs/>
          <w:sz w:val="20"/>
          <w:szCs w:val="20"/>
        </w:rPr>
        <w:t xml:space="preserve">Tabuľka vplyvov na príjmy </w:t>
      </w:r>
    </w:p>
    <w:p w:rsidR="00146C23" w:rsidRPr="00146C23" w:rsidRDefault="00146C23" w:rsidP="00146C23">
      <w:pPr>
        <w:widowControl/>
        <w:adjustRightInd/>
        <w:jc w:val="both"/>
        <w:rPr>
          <w:rFonts w:cs="Times New Roman"/>
          <w:bCs/>
          <w:szCs w:val="20"/>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146C23" w:rsidRPr="00146C23" w:rsidTr="00146C23">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46C23" w:rsidRPr="00146C23" w:rsidRDefault="00146C23" w:rsidP="00146C23">
            <w:pPr>
              <w:widowControl/>
              <w:adjustRightInd/>
              <w:jc w:val="center"/>
              <w:rPr>
                <w:rFonts w:cs="Times New Roman"/>
                <w:b/>
                <w:bCs/>
              </w:rPr>
            </w:pPr>
            <w:r w:rsidRPr="00146C23">
              <w:rPr>
                <w:rFonts w:cs="Times New Roman"/>
                <w:b/>
                <w:bCs/>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146C23" w:rsidRPr="00146C23" w:rsidRDefault="00146C23" w:rsidP="00146C23">
            <w:pPr>
              <w:widowControl/>
              <w:adjustRightInd/>
              <w:jc w:val="center"/>
              <w:rPr>
                <w:rFonts w:cs="Times New Roman"/>
                <w:b/>
                <w:bCs/>
              </w:rPr>
            </w:pPr>
            <w:r w:rsidRPr="00146C23">
              <w:rPr>
                <w:rFonts w:cs="Times New Roman"/>
                <w:b/>
                <w:bCs/>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146C23" w:rsidRPr="00146C23" w:rsidRDefault="00146C23" w:rsidP="00146C23">
            <w:pPr>
              <w:widowControl/>
              <w:adjustRightInd/>
              <w:jc w:val="center"/>
              <w:rPr>
                <w:rFonts w:cs="Times New Roman"/>
                <w:b/>
                <w:bCs/>
              </w:rPr>
            </w:pPr>
            <w:r w:rsidRPr="00146C23">
              <w:rPr>
                <w:rFonts w:cs="Times New Roman"/>
                <w:b/>
                <w:bCs/>
              </w:rPr>
              <w:t>poznámka</w:t>
            </w:r>
          </w:p>
        </w:tc>
      </w:tr>
      <w:tr w:rsidR="00146C23" w:rsidRPr="00146C23" w:rsidTr="00146C23">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146C23" w:rsidRPr="00146C23" w:rsidRDefault="00146C23" w:rsidP="00146C23">
            <w:pPr>
              <w:widowControl/>
              <w:adjustRightInd/>
              <w:rPr>
                <w:rFonts w:cs="Times New Roman"/>
                <w:b/>
                <w:bCs/>
              </w:rPr>
            </w:pPr>
          </w:p>
        </w:tc>
        <w:tc>
          <w:tcPr>
            <w:tcW w:w="1500" w:type="dxa"/>
            <w:tcBorders>
              <w:top w:val="nil"/>
              <w:left w:val="nil"/>
              <w:bottom w:val="single" w:sz="4" w:space="0" w:color="auto"/>
              <w:right w:val="single" w:sz="4" w:space="0" w:color="auto"/>
            </w:tcBorders>
            <w:shd w:val="clear" w:color="auto" w:fill="BFBFBF" w:themeFill="background1" w:themeFillShade="BF"/>
          </w:tcPr>
          <w:p w:rsidR="00146C23" w:rsidRPr="00146C23" w:rsidRDefault="00146C23" w:rsidP="00146C23">
            <w:pPr>
              <w:widowControl/>
              <w:adjustRightInd/>
              <w:jc w:val="center"/>
              <w:rPr>
                <w:rFonts w:cs="Times New Roman"/>
                <w:b/>
                <w:bCs/>
              </w:rPr>
            </w:pPr>
            <w:r w:rsidRPr="00146C23">
              <w:rPr>
                <w:rFonts w:cs="Times New Roman"/>
                <w:b/>
                <w:bCs/>
              </w:rPr>
              <w:t>2025</w:t>
            </w:r>
          </w:p>
        </w:tc>
        <w:tc>
          <w:tcPr>
            <w:tcW w:w="1500" w:type="dxa"/>
            <w:tcBorders>
              <w:top w:val="nil"/>
              <w:left w:val="nil"/>
              <w:bottom w:val="single" w:sz="4" w:space="0" w:color="auto"/>
              <w:right w:val="single" w:sz="4" w:space="0" w:color="auto"/>
            </w:tcBorders>
            <w:shd w:val="clear" w:color="auto" w:fill="BFBFBF" w:themeFill="background1" w:themeFillShade="BF"/>
          </w:tcPr>
          <w:p w:rsidR="00146C23" w:rsidRPr="00146C23" w:rsidRDefault="00146C23" w:rsidP="00146C23">
            <w:pPr>
              <w:widowControl/>
              <w:adjustRightInd/>
              <w:jc w:val="center"/>
              <w:rPr>
                <w:rFonts w:cs="Times New Roman"/>
                <w:b/>
                <w:bCs/>
              </w:rPr>
            </w:pPr>
            <w:r w:rsidRPr="00146C23">
              <w:rPr>
                <w:rFonts w:cs="Times New Roman"/>
                <w:b/>
                <w:bCs/>
              </w:rPr>
              <w:t>2026</w:t>
            </w:r>
          </w:p>
        </w:tc>
        <w:tc>
          <w:tcPr>
            <w:tcW w:w="1500" w:type="dxa"/>
            <w:tcBorders>
              <w:top w:val="nil"/>
              <w:left w:val="nil"/>
              <w:bottom w:val="single" w:sz="4" w:space="0" w:color="auto"/>
              <w:right w:val="single" w:sz="4" w:space="0" w:color="auto"/>
            </w:tcBorders>
            <w:shd w:val="clear" w:color="auto" w:fill="BFBFBF" w:themeFill="background1" w:themeFillShade="BF"/>
          </w:tcPr>
          <w:p w:rsidR="00146C23" w:rsidRPr="00146C23" w:rsidRDefault="00146C23" w:rsidP="00146C23">
            <w:pPr>
              <w:widowControl/>
              <w:adjustRightInd/>
              <w:jc w:val="center"/>
              <w:rPr>
                <w:rFonts w:cs="Times New Roman"/>
                <w:b/>
                <w:bCs/>
              </w:rPr>
            </w:pPr>
            <w:r w:rsidRPr="00146C23">
              <w:rPr>
                <w:rFonts w:cs="Times New Roman"/>
                <w:b/>
                <w:bCs/>
              </w:rPr>
              <w:t>2027</w:t>
            </w:r>
          </w:p>
        </w:tc>
        <w:tc>
          <w:tcPr>
            <w:tcW w:w="1500" w:type="dxa"/>
            <w:tcBorders>
              <w:top w:val="nil"/>
              <w:left w:val="nil"/>
              <w:bottom w:val="single" w:sz="4" w:space="0" w:color="auto"/>
              <w:right w:val="single" w:sz="4" w:space="0" w:color="auto"/>
            </w:tcBorders>
            <w:shd w:val="clear" w:color="auto" w:fill="BFBFBF" w:themeFill="background1" w:themeFillShade="BF"/>
          </w:tcPr>
          <w:p w:rsidR="00146C23" w:rsidRPr="00146C23" w:rsidRDefault="00146C23" w:rsidP="00146C23">
            <w:pPr>
              <w:widowControl/>
              <w:adjustRightInd/>
              <w:jc w:val="center"/>
              <w:rPr>
                <w:rFonts w:cs="Times New Roman"/>
                <w:b/>
                <w:bCs/>
              </w:rPr>
            </w:pPr>
            <w:r w:rsidRPr="00146C23">
              <w:rPr>
                <w:rFonts w:cs="Times New Roman"/>
                <w:b/>
                <w:bCs/>
              </w:rPr>
              <w:t>2028</w:t>
            </w:r>
          </w:p>
        </w:tc>
        <w:tc>
          <w:tcPr>
            <w:tcW w:w="3000" w:type="dxa"/>
            <w:vMerge/>
            <w:tcBorders>
              <w:top w:val="single" w:sz="4" w:space="0" w:color="auto"/>
              <w:left w:val="single" w:sz="4" w:space="0" w:color="auto"/>
              <w:bottom w:val="single" w:sz="4" w:space="0" w:color="auto"/>
              <w:right w:val="single" w:sz="4" w:space="0" w:color="auto"/>
            </w:tcBorders>
            <w:vAlign w:val="center"/>
          </w:tcPr>
          <w:p w:rsidR="00146C23" w:rsidRPr="00146C23" w:rsidRDefault="00146C23" w:rsidP="00146C23">
            <w:pPr>
              <w:widowControl/>
              <w:adjustRightInd/>
              <w:rPr>
                <w:rFonts w:cs="Times New Roman"/>
                <w:b/>
                <w:bCs/>
              </w:rPr>
            </w:pPr>
          </w:p>
        </w:tc>
      </w:tr>
      <w:tr w:rsidR="00146C23" w:rsidRPr="00146C23" w:rsidTr="00146C23">
        <w:trPr>
          <w:trHeight w:val="255"/>
        </w:trPr>
        <w:tc>
          <w:tcPr>
            <w:tcW w:w="4950" w:type="dxa"/>
            <w:tcBorders>
              <w:top w:val="nil"/>
              <w:left w:val="single" w:sz="4" w:space="0" w:color="auto"/>
              <w:bottom w:val="single" w:sz="4" w:space="0" w:color="auto"/>
              <w:right w:val="single" w:sz="4" w:space="0" w:color="auto"/>
            </w:tcBorders>
          </w:tcPr>
          <w:p w:rsidR="00146C23" w:rsidRPr="00146C23" w:rsidRDefault="00146C23" w:rsidP="00146C23">
            <w:pPr>
              <w:widowControl/>
              <w:adjustRightInd/>
              <w:rPr>
                <w:rFonts w:cs="Times New Roman"/>
                <w:b/>
                <w:bCs/>
                <w:vertAlign w:val="superscript"/>
              </w:rPr>
            </w:pPr>
            <w:r w:rsidRPr="00146C23">
              <w:rPr>
                <w:rFonts w:cs="Times New Roman"/>
                <w:b/>
                <w:bCs/>
              </w:rPr>
              <w:t>Daňové príjmy (100)</w:t>
            </w:r>
            <w:r w:rsidRPr="00146C23">
              <w:rPr>
                <w:rFonts w:cs="Times New Roman"/>
                <w:b/>
                <w:bCs/>
                <w:vertAlign w:val="superscript"/>
              </w:rPr>
              <w:t>1</w:t>
            </w:r>
          </w:p>
        </w:tc>
        <w:tc>
          <w:tcPr>
            <w:tcW w:w="150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b/>
                <w:bCs/>
              </w:rPr>
            </w:pPr>
            <w:r w:rsidRPr="00146C23">
              <w:rPr>
                <w:rFonts w:cs="Times New Roman"/>
                <w:b/>
                <w:bCs/>
              </w:rPr>
              <w:t>0</w:t>
            </w:r>
          </w:p>
        </w:tc>
        <w:tc>
          <w:tcPr>
            <w:tcW w:w="150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b/>
                <w:bCs/>
              </w:rPr>
            </w:pPr>
            <w:r w:rsidRPr="00146C23">
              <w:rPr>
                <w:rFonts w:cs="Times New Roman"/>
                <w:b/>
                <w:bCs/>
              </w:rPr>
              <w:t>0</w:t>
            </w:r>
          </w:p>
        </w:tc>
        <w:tc>
          <w:tcPr>
            <w:tcW w:w="150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b/>
                <w:bCs/>
              </w:rPr>
            </w:pPr>
            <w:r w:rsidRPr="00146C23">
              <w:rPr>
                <w:rFonts w:cs="Times New Roman"/>
                <w:b/>
                <w:bCs/>
              </w:rPr>
              <w:t>0</w:t>
            </w:r>
          </w:p>
        </w:tc>
        <w:tc>
          <w:tcPr>
            <w:tcW w:w="150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b/>
                <w:bCs/>
              </w:rPr>
            </w:pPr>
            <w:r w:rsidRPr="00146C23">
              <w:rPr>
                <w:rFonts w:cs="Times New Roman"/>
                <w:b/>
                <w:bCs/>
              </w:rPr>
              <w:t>0</w:t>
            </w:r>
          </w:p>
        </w:tc>
        <w:tc>
          <w:tcPr>
            <w:tcW w:w="3000" w:type="dxa"/>
            <w:tcBorders>
              <w:top w:val="nil"/>
              <w:left w:val="nil"/>
              <w:bottom w:val="single" w:sz="4" w:space="0" w:color="auto"/>
              <w:right w:val="single" w:sz="4" w:space="0" w:color="auto"/>
            </w:tcBorders>
            <w:noWrap/>
            <w:vAlign w:val="bottom"/>
          </w:tcPr>
          <w:p w:rsidR="00146C23" w:rsidRPr="00146C23" w:rsidRDefault="00146C23" w:rsidP="00146C23">
            <w:pPr>
              <w:widowControl/>
              <w:adjustRightInd/>
              <w:rPr>
                <w:rFonts w:cs="Times New Roman"/>
              </w:rPr>
            </w:pPr>
            <w:r w:rsidRPr="00146C23">
              <w:rPr>
                <w:rFonts w:cs="Times New Roman"/>
              </w:rPr>
              <w:t> </w:t>
            </w:r>
          </w:p>
        </w:tc>
      </w:tr>
      <w:tr w:rsidR="00146C23" w:rsidRPr="00146C23" w:rsidTr="00146C23">
        <w:trPr>
          <w:trHeight w:val="255"/>
        </w:trPr>
        <w:tc>
          <w:tcPr>
            <w:tcW w:w="4950" w:type="dxa"/>
            <w:tcBorders>
              <w:top w:val="nil"/>
              <w:left w:val="single" w:sz="4" w:space="0" w:color="auto"/>
              <w:bottom w:val="single" w:sz="4" w:space="0" w:color="auto"/>
              <w:right w:val="single" w:sz="4" w:space="0" w:color="auto"/>
            </w:tcBorders>
          </w:tcPr>
          <w:p w:rsidR="00146C23" w:rsidRPr="00146C23" w:rsidRDefault="00146C23" w:rsidP="00146C23">
            <w:pPr>
              <w:widowControl/>
              <w:adjustRightInd/>
              <w:rPr>
                <w:rFonts w:cs="Times New Roman"/>
                <w:b/>
                <w:bCs/>
              </w:rPr>
            </w:pPr>
            <w:r w:rsidRPr="00146C23">
              <w:rPr>
                <w:rFonts w:cs="Times New Roman"/>
                <w:b/>
                <w:bCs/>
              </w:rPr>
              <w:t>Nedaňové príjmy (200)</w:t>
            </w:r>
            <w:r w:rsidRPr="00146C23">
              <w:rPr>
                <w:rFonts w:cs="Times New Roman"/>
                <w:b/>
                <w:bCs/>
                <w:vertAlign w:val="superscript"/>
              </w:rPr>
              <w:t>1</w:t>
            </w:r>
          </w:p>
        </w:tc>
        <w:tc>
          <w:tcPr>
            <w:tcW w:w="150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b/>
                <w:bCs/>
              </w:rPr>
            </w:pPr>
            <w:r w:rsidRPr="00146C23">
              <w:rPr>
                <w:rFonts w:cs="Times New Roman"/>
                <w:b/>
                <w:bCs/>
              </w:rPr>
              <w:t>0</w:t>
            </w:r>
          </w:p>
        </w:tc>
        <w:tc>
          <w:tcPr>
            <w:tcW w:w="150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b/>
                <w:bCs/>
              </w:rPr>
            </w:pPr>
            <w:r w:rsidRPr="00146C23">
              <w:rPr>
                <w:rFonts w:cs="Times New Roman"/>
                <w:b/>
                <w:bCs/>
              </w:rPr>
              <w:t>+300</w:t>
            </w:r>
          </w:p>
        </w:tc>
        <w:tc>
          <w:tcPr>
            <w:tcW w:w="150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b/>
                <w:bCs/>
              </w:rPr>
            </w:pPr>
            <w:r w:rsidRPr="00146C23">
              <w:rPr>
                <w:rFonts w:cs="Times New Roman"/>
                <w:b/>
                <w:bCs/>
              </w:rPr>
              <w:t>+300</w:t>
            </w:r>
          </w:p>
        </w:tc>
        <w:tc>
          <w:tcPr>
            <w:tcW w:w="150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b/>
                <w:bCs/>
              </w:rPr>
            </w:pPr>
            <w:r w:rsidRPr="00146C23">
              <w:rPr>
                <w:rFonts w:cs="Times New Roman"/>
                <w:b/>
                <w:bCs/>
              </w:rPr>
              <w:t>+300</w:t>
            </w:r>
          </w:p>
        </w:tc>
        <w:tc>
          <w:tcPr>
            <w:tcW w:w="3000" w:type="dxa"/>
            <w:tcBorders>
              <w:top w:val="nil"/>
              <w:left w:val="nil"/>
              <w:bottom w:val="single" w:sz="4" w:space="0" w:color="auto"/>
              <w:right w:val="single" w:sz="4" w:space="0" w:color="auto"/>
            </w:tcBorders>
            <w:noWrap/>
            <w:vAlign w:val="bottom"/>
          </w:tcPr>
          <w:p w:rsidR="00146C23" w:rsidRPr="00146C23" w:rsidRDefault="00146C23" w:rsidP="00146C23">
            <w:pPr>
              <w:widowControl/>
              <w:adjustRightInd/>
              <w:rPr>
                <w:rFonts w:cs="Times New Roman"/>
              </w:rPr>
            </w:pPr>
            <w:r w:rsidRPr="00146C23">
              <w:rPr>
                <w:rFonts w:cs="Times New Roman"/>
              </w:rPr>
              <w:t xml:space="preserve"> Nový správny poplatok vo výške 10,- EUR za prvotné overenie výstupného dokumentu z posudzovania zhody. </w:t>
            </w:r>
          </w:p>
        </w:tc>
      </w:tr>
      <w:tr w:rsidR="00146C23" w:rsidRPr="00146C23" w:rsidTr="00146C23">
        <w:trPr>
          <w:trHeight w:val="255"/>
        </w:trPr>
        <w:tc>
          <w:tcPr>
            <w:tcW w:w="4950" w:type="dxa"/>
            <w:tcBorders>
              <w:top w:val="nil"/>
              <w:left w:val="single" w:sz="4" w:space="0" w:color="auto"/>
              <w:bottom w:val="single" w:sz="4" w:space="0" w:color="auto"/>
              <w:right w:val="single" w:sz="4" w:space="0" w:color="auto"/>
            </w:tcBorders>
          </w:tcPr>
          <w:p w:rsidR="00146C23" w:rsidRPr="00146C23" w:rsidRDefault="00146C23" w:rsidP="00146C23">
            <w:pPr>
              <w:widowControl/>
              <w:adjustRightInd/>
              <w:rPr>
                <w:rFonts w:cs="Times New Roman"/>
                <w:b/>
                <w:bCs/>
              </w:rPr>
            </w:pPr>
            <w:r w:rsidRPr="00146C23">
              <w:rPr>
                <w:rFonts w:cs="Times New Roman"/>
                <w:b/>
                <w:bCs/>
              </w:rPr>
              <w:t>Granty a transfery (300)</w:t>
            </w:r>
            <w:r w:rsidRPr="00146C23">
              <w:rPr>
                <w:rFonts w:cs="Times New Roman"/>
                <w:b/>
                <w:bCs/>
                <w:vertAlign w:val="superscript"/>
              </w:rPr>
              <w:t>1</w:t>
            </w:r>
          </w:p>
        </w:tc>
        <w:tc>
          <w:tcPr>
            <w:tcW w:w="150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b/>
                <w:bCs/>
              </w:rPr>
            </w:pPr>
            <w:r w:rsidRPr="00146C23">
              <w:rPr>
                <w:rFonts w:cs="Times New Roman"/>
                <w:b/>
                <w:bCs/>
              </w:rPr>
              <w:t>0</w:t>
            </w:r>
          </w:p>
        </w:tc>
        <w:tc>
          <w:tcPr>
            <w:tcW w:w="150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b/>
                <w:bCs/>
              </w:rPr>
            </w:pPr>
            <w:r w:rsidRPr="00146C23">
              <w:rPr>
                <w:rFonts w:cs="Times New Roman"/>
                <w:b/>
                <w:bCs/>
              </w:rPr>
              <w:t>0</w:t>
            </w:r>
          </w:p>
        </w:tc>
        <w:tc>
          <w:tcPr>
            <w:tcW w:w="150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b/>
                <w:bCs/>
              </w:rPr>
            </w:pPr>
            <w:r w:rsidRPr="00146C23">
              <w:rPr>
                <w:rFonts w:cs="Times New Roman"/>
                <w:b/>
                <w:bCs/>
              </w:rPr>
              <w:t>0</w:t>
            </w:r>
          </w:p>
        </w:tc>
        <w:tc>
          <w:tcPr>
            <w:tcW w:w="150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b/>
                <w:bCs/>
              </w:rPr>
            </w:pPr>
            <w:r w:rsidRPr="00146C23">
              <w:rPr>
                <w:rFonts w:cs="Times New Roman"/>
                <w:b/>
                <w:bCs/>
              </w:rPr>
              <w:t>0</w:t>
            </w:r>
          </w:p>
        </w:tc>
        <w:tc>
          <w:tcPr>
            <w:tcW w:w="3000" w:type="dxa"/>
            <w:tcBorders>
              <w:top w:val="nil"/>
              <w:left w:val="nil"/>
              <w:bottom w:val="single" w:sz="4" w:space="0" w:color="auto"/>
              <w:right w:val="single" w:sz="4" w:space="0" w:color="auto"/>
            </w:tcBorders>
            <w:noWrap/>
            <w:vAlign w:val="bottom"/>
          </w:tcPr>
          <w:p w:rsidR="00146C23" w:rsidRPr="00146C23" w:rsidRDefault="00146C23" w:rsidP="00146C23">
            <w:pPr>
              <w:widowControl/>
              <w:adjustRightInd/>
              <w:rPr>
                <w:rFonts w:cs="Times New Roman"/>
              </w:rPr>
            </w:pPr>
            <w:r w:rsidRPr="00146C23">
              <w:rPr>
                <w:rFonts w:cs="Times New Roman"/>
              </w:rPr>
              <w:t> </w:t>
            </w:r>
          </w:p>
        </w:tc>
      </w:tr>
      <w:tr w:rsidR="00146C23" w:rsidRPr="00146C23" w:rsidTr="00146C23">
        <w:trPr>
          <w:trHeight w:val="255"/>
        </w:trPr>
        <w:tc>
          <w:tcPr>
            <w:tcW w:w="4950" w:type="dxa"/>
            <w:tcBorders>
              <w:top w:val="nil"/>
              <w:left w:val="single" w:sz="4" w:space="0" w:color="auto"/>
              <w:bottom w:val="single" w:sz="4" w:space="0" w:color="auto"/>
              <w:right w:val="single" w:sz="4" w:space="0" w:color="auto"/>
            </w:tcBorders>
          </w:tcPr>
          <w:p w:rsidR="00146C23" w:rsidRPr="00146C23" w:rsidRDefault="00146C23" w:rsidP="00146C23">
            <w:pPr>
              <w:widowControl/>
              <w:adjustRightInd/>
              <w:rPr>
                <w:rFonts w:cs="Times New Roman"/>
                <w:b/>
                <w:bCs/>
              </w:rPr>
            </w:pPr>
            <w:r w:rsidRPr="00146C23">
              <w:rPr>
                <w:rFonts w:cs="Times New Roman"/>
                <w:b/>
                <w:bCs/>
              </w:rPr>
              <w:t>Príjmy z transakcií s finančnými aktívami a finančnými pasívami (400)</w:t>
            </w:r>
          </w:p>
        </w:tc>
        <w:tc>
          <w:tcPr>
            <w:tcW w:w="150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b/>
                <w:bCs/>
              </w:rPr>
            </w:pPr>
            <w:r w:rsidRPr="00146C23">
              <w:rPr>
                <w:rFonts w:cs="Times New Roman"/>
                <w:b/>
                <w:bCs/>
              </w:rPr>
              <w:t>0 </w:t>
            </w:r>
          </w:p>
        </w:tc>
        <w:tc>
          <w:tcPr>
            <w:tcW w:w="150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b/>
                <w:bCs/>
              </w:rPr>
            </w:pPr>
            <w:r w:rsidRPr="00146C23">
              <w:rPr>
                <w:rFonts w:cs="Times New Roman"/>
                <w:b/>
                <w:bCs/>
              </w:rPr>
              <w:t>0 </w:t>
            </w:r>
          </w:p>
        </w:tc>
        <w:tc>
          <w:tcPr>
            <w:tcW w:w="150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b/>
                <w:bCs/>
              </w:rPr>
            </w:pPr>
            <w:r w:rsidRPr="00146C23">
              <w:rPr>
                <w:rFonts w:cs="Times New Roman"/>
                <w:b/>
                <w:bCs/>
              </w:rPr>
              <w:t>0 </w:t>
            </w:r>
          </w:p>
        </w:tc>
        <w:tc>
          <w:tcPr>
            <w:tcW w:w="150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b/>
                <w:bCs/>
              </w:rPr>
            </w:pPr>
            <w:r w:rsidRPr="00146C23">
              <w:rPr>
                <w:rFonts w:cs="Times New Roman"/>
                <w:b/>
                <w:bCs/>
              </w:rPr>
              <w:t>0 </w:t>
            </w:r>
          </w:p>
        </w:tc>
        <w:tc>
          <w:tcPr>
            <w:tcW w:w="3000" w:type="dxa"/>
            <w:tcBorders>
              <w:top w:val="nil"/>
              <w:left w:val="nil"/>
              <w:bottom w:val="single" w:sz="4" w:space="0" w:color="auto"/>
              <w:right w:val="single" w:sz="4" w:space="0" w:color="auto"/>
            </w:tcBorders>
            <w:noWrap/>
            <w:vAlign w:val="bottom"/>
          </w:tcPr>
          <w:p w:rsidR="00146C23" w:rsidRPr="00146C23" w:rsidRDefault="00146C23" w:rsidP="00146C23">
            <w:pPr>
              <w:widowControl/>
              <w:adjustRightInd/>
              <w:rPr>
                <w:rFonts w:cs="Times New Roman"/>
              </w:rPr>
            </w:pPr>
            <w:r w:rsidRPr="00146C23">
              <w:rPr>
                <w:rFonts w:cs="Times New Roman"/>
              </w:rPr>
              <w:t> </w:t>
            </w:r>
          </w:p>
        </w:tc>
      </w:tr>
      <w:tr w:rsidR="00146C23" w:rsidRPr="00146C23" w:rsidTr="00146C23">
        <w:trPr>
          <w:trHeight w:val="255"/>
        </w:trPr>
        <w:tc>
          <w:tcPr>
            <w:tcW w:w="4950" w:type="dxa"/>
            <w:tcBorders>
              <w:top w:val="nil"/>
              <w:left w:val="single" w:sz="4" w:space="0" w:color="auto"/>
              <w:bottom w:val="single" w:sz="4" w:space="0" w:color="auto"/>
              <w:right w:val="single" w:sz="4" w:space="0" w:color="auto"/>
            </w:tcBorders>
          </w:tcPr>
          <w:p w:rsidR="00146C23" w:rsidRPr="00146C23" w:rsidRDefault="00146C23" w:rsidP="00146C23">
            <w:pPr>
              <w:widowControl/>
              <w:adjustRightInd/>
              <w:rPr>
                <w:rFonts w:cs="Times New Roman"/>
                <w:b/>
                <w:bCs/>
              </w:rPr>
            </w:pPr>
            <w:r w:rsidRPr="00146C23">
              <w:rPr>
                <w:rFonts w:cs="Times New Roman"/>
                <w:b/>
                <w:bCs/>
              </w:rPr>
              <w:t>Prijaté úvery, pôžičky a návratné finančné výpomoci (500)</w:t>
            </w:r>
          </w:p>
        </w:tc>
        <w:tc>
          <w:tcPr>
            <w:tcW w:w="150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b/>
                <w:bCs/>
              </w:rPr>
            </w:pPr>
            <w:r w:rsidRPr="00146C23">
              <w:rPr>
                <w:rFonts w:cs="Times New Roman"/>
                <w:b/>
                <w:bCs/>
              </w:rPr>
              <w:t>0 </w:t>
            </w:r>
          </w:p>
        </w:tc>
        <w:tc>
          <w:tcPr>
            <w:tcW w:w="150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b/>
                <w:bCs/>
              </w:rPr>
            </w:pPr>
            <w:r w:rsidRPr="00146C23">
              <w:rPr>
                <w:rFonts w:cs="Times New Roman"/>
                <w:b/>
                <w:bCs/>
              </w:rPr>
              <w:t>0 </w:t>
            </w:r>
          </w:p>
        </w:tc>
        <w:tc>
          <w:tcPr>
            <w:tcW w:w="150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b/>
                <w:bCs/>
              </w:rPr>
            </w:pPr>
            <w:r w:rsidRPr="00146C23">
              <w:rPr>
                <w:rFonts w:cs="Times New Roman"/>
                <w:b/>
                <w:bCs/>
              </w:rPr>
              <w:t>0 </w:t>
            </w:r>
          </w:p>
        </w:tc>
        <w:tc>
          <w:tcPr>
            <w:tcW w:w="150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b/>
                <w:bCs/>
              </w:rPr>
            </w:pPr>
            <w:r w:rsidRPr="00146C23">
              <w:rPr>
                <w:rFonts w:cs="Times New Roman"/>
                <w:b/>
                <w:bCs/>
              </w:rPr>
              <w:t>0 </w:t>
            </w:r>
          </w:p>
        </w:tc>
        <w:tc>
          <w:tcPr>
            <w:tcW w:w="3000" w:type="dxa"/>
            <w:tcBorders>
              <w:top w:val="nil"/>
              <w:left w:val="nil"/>
              <w:bottom w:val="single" w:sz="4" w:space="0" w:color="auto"/>
              <w:right w:val="single" w:sz="4" w:space="0" w:color="auto"/>
            </w:tcBorders>
            <w:noWrap/>
            <w:vAlign w:val="bottom"/>
          </w:tcPr>
          <w:p w:rsidR="00146C23" w:rsidRPr="00146C23" w:rsidRDefault="00146C23" w:rsidP="00146C23">
            <w:pPr>
              <w:widowControl/>
              <w:adjustRightInd/>
              <w:rPr>
                <w:rFonts w:cs="Times New Roman"/>
              </w:rPr>
            </w:pPr>
            <w:r w:rsidRPr="00146C23">
              <w:rPr>
                <w:rFonts w:cs="Times New Roman"/>
              </w:rPr>
              <w:t> </w:t>
            </w:r>
          </w:p>
        </w:tc>
      </w:tr>
      <w:tr w:rsidR="00146C23" w:rsidRPr="00146C23" w:rsidTr="00146C23">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146C23" w:rsidRPr="00146C23" w:rsidRDefault="00146C23" w:rsidP="00146C23">
            <w:pPr>
              <w:widowControl/>
              <w:adjustRightInd/>
              <w:rPr>
                <w:rFonts w:cs="Times New Roman"/>
                <w:b/>
                <w:bCs/>
              </w:rPr>
            </w:pPr>
            <w:r w:rsidRPr="00146C23">
              <w:rPr>
                <w:rFonts w:cs="Times New Roman"/>
                <w:b/>
                <w:bCs/>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146C23" w:rsidRPr="00146C23" w:rsidRDefault="00146C23" w:rsidP="00146C23">
            <w:pPr>
              <w:widowControl/>
              <w:adjustRightInd/>
              <w:jc w:val="center"/>
              <w:rPr>
                <w:rFonts w:cs="Times New Roman"/>
                <w:b/>
                <w:bCs/>
              </w:rPr>
            </w:pPr>
            <w:r w:rsidRPr="00146C23">
              <w:rPr>
                <w:rFonts w:cs="Times New Roman"/>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146C23" w:rsidRPr="00146C23" w:rsidRDefault="00146C23" w:rsidP="00146C23">
            <w:pPr>
              <w:widowControl/>
              <w:adjustRightInd/>
              <w:jc w:val="center"/>
              <w:rPr>
                <w:rFonts w:cs="Times New Roman"/>
                <w:b/>
                <w:bCs/>
              </w:rPr>
            </w:pPr>
            <w:r w:rsidRPr="00146C23">
              <w:rPr>
                <w:rFonts w:cs="Times New Roman"/>
                <w:b/>
                <w:bCs/>
              </w:rPr>
              <w:t>+300</w:t>
            </w:r>
          </w:p>
        </w:tc>
        <w:tc>
          <w:tcPr>
            <w:tcW w:w="1500" w:type="dxa"/>
            <w:tcBorders>
              <w:top w:val="nil"/>
              <w:left w:val="nil"/>
              <w:bottom w:val="single" w:sz="4" w:space="0" w:color="auto"/>
              <w:right w:val="single" w:sz="4" w:space="0" w:color="auto"/>
            </w:tcBorders>
            <w:shd w:val="clear" w:color="auto" w:fill="BFBFBF" w:themeFill="background1" w:themeFillShade="BF"/>
          </w:tcPr>
          <w:p w:rsidR="00146C23" w:rsidRPr="00146C23" w:rsidRDefault="00146C23" w:rsidP="00146C23">
            <w:pPr>
              <w:widowControl/>
              <w:adjustRightInd/>
              <w:jc w:val="center"/>
              <w:rPr>
                <w:rFonts w:cs="Times New Roman"/>
                <w:b/>
                <w:bCs/>
              </w:rPr>
            </w:pPr>
            <w:r w:rsidRPr="00146C23">
              <w:rPr>
                <w:rFonts w:cs="Times New Roman"/>
                <w:b/>
                <w:bCs/>
              </w:rPr>
              <w:t>+300</w:t>
            </w:r>
          </w:p>
        </w:tc>
        <w:tc>
          <w:tcPr>
            <w:tcW w:w="1500" w:type="dxa"/>
            <w:tcBorders>
              <w:top w:val="nil"/>
              <w:left w:val="nil"/>
              <w:bottom w:val="single" w:sz="4" w:space="0" w:color="auto"/>
              <w:right w:val="single" w:sz="4" w:space="0" w:color="auto"/>
            </w:tcBorders>
            <w:shd w:val="clear" w:color="auto" w:fill="BFBFBF" w:themeFill="background1" w:themeFillShade="BF"/>
          </w:tcPr>
          <w:p w:rsidR="00146C23" w:rsidRPr="00146C23" w:rsidRDefault="00146C23" w:rsidP="00146C23">
            <w:pPr>
              <w:widowControl/>
              <w:adjustRightInd/>
              <w:jc w:val="center"/>
              <w:rPr>
                <w:rFonts w:cs="Times New Roman"/>
                <w:b/>
                <w:bCs/>
              </w:rPr>
            </w:pPr>
            <w:r w:rsidRPr="00146C23">
              <w:rPr>
                <w:rFonts w:cs="Times New Roman"/>
                <w:b/>
                <w:bCs/>
              </w:rPr>
              <w:t>+300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146C23" w:rsidRPr="00146C23" w:rsidRDefault="00146C23" w:rsidP="00146C23">
            <w:pPr>
              <w:widowControl/>
              <w:adjustRightInd/>
              <w:rPr>
                <w:rFonts w:cs="Times New Roman"/>
              </w:rPr>
            </w:pPr>
            <w:r w:rsidRPr="00146C23">
              <w:rPr>
                <w:rFonts w:cs="Times New Roman"/>
              </w:rPr>
              <w:t xml:space="preserve"> Prijatím návrhu zákona budú od roku 2026 navýšené príjmy rozpočtu verejnej správny, a to každoročne minimálne o 300,- EUR čo za 3 ročné obdobie predstavuje  minimálne príjem vo výške 900,- EUR. Odhadovaná celková suma je orientačná vo vzťahu ku kvantitatívnemu výpočtu.</w:t>
            </w:r>
          </w:p>
        </w:tc>
      </w:tr>
    </w:tbl>
    <w:p w:rsidR="00146C23" w:rsidRPr="00146C23" w:rsidRDefault="00146C23" w:rsidP="00146C23">
      <w:pPr>
        <w:widowControl/>
        <w:adjustRightInd/>
        <w:jc w:val="both"/>
        <w:rPr>
          <w:rFonts w:cs="Times New Roman"/>
          <w:bCs/>
          <w:szCs w:val="20"/>
        </w:rPr>
      </w:pPr>
    </w:p>
    <w:p w:rsidR="00146C23" w:rsidRPr="00146C23" w:rsidRDefault="00146C23" w:rsidP="00146C23">
      <w:pPr>
        <w:widowControl/>
        <w:adjustRightInd/>
        <w:jc w:val="both"/>
        <w:rPr>
          <w:rFonts w:cs="Times New Roman"/>
          <w:bCs/>
          <w:sz w:val="28"/>
          <w:szCs w:val="20"/>
        </w:rPr>
      </w:pPr>
      <w:r w:rsidRPr="00146C23">
        <w:rPr>
          <w:rFonts w:cs="Times New Roman"/>
          <w:bCs/>
          <w:szCs w:val="20"/>
        </w:rPr>
        <w:br w:type="page"/>
      </w:r>
    </w:p>
    <w:tbl>
      <w:tblPr>
        <w:tblpPr w:leftFromText="141" w:rightFromText="141" w:vertAnchor="text" w:horzAnchor="margin" w:tblpXSpec="center" w:tblpY="474"/>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146C23" w:rsidRPr="00146C23" w:rsidTr="00146C23">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146C23" w:rsidRPr="00146C23" w:rsidRDefault="00146C23" w:rsidP="00146C23">
            <w:pPr>
              <w:widowControl/>
              <w:adjustRightInd/>
              <w:jc w:val="center"/>
              <w:rPr>
                <w:rFonts w:cs="Times New Roman"/>
                <w:b/>
                <w:bCs/>
                <w:sz w:val="20"/>
                <w:szCs w:val="20"/>
              </w:rPr>
            </w:pPr>
            <w:r w:rsidRPr="00146C23">
              <w:rPr>
                <w:rFonts w:cs="Times New Roman"/>
                <w:b/>
                <w:bCs/>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146C23" w:rsidRPr="00146C23" w:rsidRDefault="00146C23" w:rsidP="00146C23">
            <w:pPr>
              <w:widowControl/>
              <w:adjustRightInd/>
              <w:jc w:val="center"/>
              <w:rPr>
                <w:rFonts w:cs="Times New Roman"/>
                <w:b/>
                <w:bCs/>
                <w:sz w:val="20"/>
                <w:szCs w:val="20"/>
              </w:rPr>
            </w:pPr>
            <w:r w:rsidRPr="00146C23">
              <w:rPr>
                <w:rFonts w:cs="Times New Roman"/>
                <w:b/>
                <w:bCs/>
                <w:sz w:val="20"/>
                <w:szCs w:val="20"/>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146C23" w:rsidRPr="00146C23" w:rsidRDefault="00146C23" w:rsidP="00146C23">
            <w:pPr>
              <w:widowControl/>
              <w:adjustRightInd/>
              <w:jc w:val="center"/>
              <w:rPr>
                <w:rFonts w:cs="Times New Roman"/>
                <w:b/>
                <w:bCs/>
              </w:rPr>
            </w:pPr>
            <w:r w:rsidRPr="00146C23">
              <w:rPr>
                <w:rFonts w:cs="Times New Roman"/>
                <w:b/>
                <w:bCs/>
              </w:rPr>
              <w:t>poznámka</w:t>
            </w:r>
          </w:p>
        </w:tc>
      </w:tr>
      <w:tr w:rsidR="00146C23" w:rsidRPr="00146C23" w:rsidTr="00146C23">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146C23" w:rsidRPr="00146C23" w:rsidRDefault="00146C23" w:rsidP="00146C23">
            <w:pPr>
              <w:widowControl/>
              <w:adjustRightInd/>
              <w:rPr>
                <w:rFonts w:cs="Times New Roman"/>
                <w:b/>
                <w:bCs/>
                <w:sz w:val="20"/>
                <w:szCs w:val="20"/>
              </w:rPr>
            </w:pPr>
          </w:p>
        </w:tc>
        <w:tc>
          <w:tcPr>
            <w:tcW w:w="1540" w:type="dxa"/>
            <w:tcBorders>
              <w:top w:val="nil"/>
              <w:left w:val="nil"/>
              <w:bottom w:val="single" w:sz="4" w:space="0" w:color="auto"/>
              <w:right w:val="single" w:sz="4" w:space="0" w:color="auto"/>
            </w:tcBorders>
            <w:shd w:val="clear" w:color="auto" w:fill="BFBFBF" w:themeFill="background1" w:themeFillShade="BF"/>
          </w:tcPr>
          <w:p w:rsidR="00146C23" w:rsidRPr="00146C23" w:rsidRDefault="00146C23" w:rsidP="00146C23">
            <w:pPr>
              <w:widowControl/>
              <w:adjustRightInd/>
              <w:jc w:val="center"/>
              <w:rPr>
                <w:rFonts w:cs="Times New Roman"/>
                <w:b/>
                <w:bCs/>
              </w:rPr>
            </w:pPr>
            <w:r w:rsidRPr="00146C23">
              <w:rPr>
                <w:rFonts w:cs="Times New Roman"/>
                <w:b/>
                <w:bCs/>
              </w:rPr>
              <w:t>2025</w:t>
            </w:r>
          </w:p>
        </w:tc>
        <w:tc>
          <w:tcPr>
            <w:tcW w:w="1540" w:type="dxa"/>
            <w:tcBorders>
              <w:top w:val="nil"/>
              <w:left w:val="nil"/>
              <w:bottom w:val="single" w:sz="4" w:space="0" w:color="auto"/>
              <w:right w:val="single" w:sz="4" w:space="0" w:color="auto"/>
            </w:tcBorders>
            <w:shd w:val="clear" w:color="auto" w:fill="BFBFBF" w:themeFill="background1" w:themeFillShade="BF"/>
          </w:tcPr>
          <w:p w:rsidR="00146C23" w:rsidRPr="00146C23" w:rsidRDefault="00146C23" w:rsidP="00146C23">
            <w:pPr>
              <w:widowControl/>
              <w:adjustRightInd/>
              <w:jc w:val="center"/>
              <w:rPr>
                <w:rFonts w:cs="Times New Roman"/>
                <w:b/>
                <w:bCs/>
              </w:rPr>
            </w:pPr>
            <w:r w:rsidRPr="00146C23">
              <w:rPr>
                <w:rFonts w:cs="Times New Roman"/>
                <w:b/>
                <w:bCs/>
              </w:rPr>
              <w:t>2026</w:t>
            </w:r>
          </w:p>
        </w:tc>
        <w:tc>
          <w:tcPr>
            <w:tcW w:w="1540" w:type="dxa"/>
            <w:tcBorders>
              <w:top w:val="nil"/>
              <w:left w:val="nil"/>
              <w:bottom w:val="single" w:sz="4" w:space="0" w:color="auto"/>
              <w:right w:val="single" w:sz="4" w:space="0" w:color="auto"/>
            </w:tcBorders>
            <w:shd w:val="clear" w:color="auto" w:fill="BFBFBF" w:themeFill="background1" w:themeFillShade="BF"/>
          </w:tcPr>
          <w:p w:rsidR="00146C23" w:rsidRPr="00146C23" w:rsidRDefault="00146C23" w:rsidP="00146C23">
            <w:pPr>
              <w:widowControl/>
              <w:adjustRightInd/>
              <w:jc w:val="center"/>
              <w:rPr>
                <w:rFonts w:cs="Times New Roman"/>
                <w:b/>
                <w:bCs/>
              </w:rPr>
            </w:pPr>
            <w:r w:rsidRPr="00146C23">
              <w:rPr>
                <w:rFonts w:cs="Times New Roman"/>
                <w:b/>
                <w:bCs/>
              </w:rPr>
              <w:t>2027</w:t>
            </w:r>
          </w:p>
        </w:tc>
        <w:tc>
          <w:tcPr>
            <w:tcW w:w="1540" w:type="dxa"/>
            <w:tcBorders>
              <w:top w:val="nil"/>
              <w:left w:val="nil"/>
              <w:bottom w:val="single" w:sz="4" w:space="0" w:color="auto"/>
              <w:right w:val="single" w:sz="4" w:space="0" w:color="auto"/>
            </w:tcBorders>
            <w:shd w:val="clear" w:color="auto" w:fill="BFBFBF" w:themeFill="background1" w:themeFillShade="BF"/>
          </w:tcPr>
          <w:p w:rsidR="00146C23" w:rsidRPr="00146C23" w:rsidRDefault="00146C23" w:rsidP="00146C23">
            <w:pPr>
              <w:widowControl/>
              <w:adjustRightInd/>
              <w:jc w:val="center"/>
              <w:rPr>
                <w:rFonts w:cs="Times New Roman"/>
                <w:b/>
                <w:bCs/>
              </w:rPr>
            </w:pPr>
            <w:r w:rsidRPr="00146C23">
              <w:rPr>
                <w:rFonts w:cs="Times New Roman"/>
                <w:b/>
                <w:bCs/>
              </w:rPr>
              <w:t>2028</w:t>
            </w:r>
          </w:p>
        </w:tc>
        <w:tc>
          <w:tcPr>
            <w:tcW w:w="2220" w:type="dxa"/>
            <w:vMerge/>
            <w:tcBorders>
              <w:top w:val="single" w:sz="4" w:space="0" w:color="auto"/>
              <w:left w:val="single" w:sz="4" w:space="0" w:color="auto"/>
              <w:bottom w:val="single" w:sz="4" w:space="0" w:color="auto"/>
              <w:right w:val="single" w:sz="4" w:space="0" w:color="auto"/>
            </w:tcBorders>
            <w:vAlign w:val="center"/>
          </w:tcPr>
          <w:p w:rsidR="00146C23" w:rsidRPr="00146C23" w:rsidRDefault="00146C23" w:rsidP="00146C23">
            <w:pPr>
              <w:widowControl/>
              <w:adjustRightInd/>
              <w:rPr>
                <w:rFonts w:cs="Times New Roman"/>
                <w:b/>
                <w:bCs/>
              </w:rPr>
            </w:pPr>
          </w:p>
        </w:tc>
      </w:tr>
      <w:tr w:rsidR="00146C23" w:rsidRPr="00146C23" w:rsidTr="00146C23">
        <w:trPr>
          <w:trHeight w:val="581"/>
        </w:trPr>
        <w:tc>
          <w:tcPr>
            <w:tcW w:w="7070" w:type="dxa"/>
            <w:tcBorders>
              <w:top w:val="nil"/>
              <w:left w:val="single" w:sz="4" w:space="0" w:color="auto"/>
              <w:bottom w:val="single" w:sz="4" w:space="0" w:color="auto"/>
              <w:right w:val="single" w:sz="4" w:space="0" w:color="auto"/>
            </w:tcBorders>
          </w:tcPr>
          <w:p w:rsidR="00146C23" w:rsidRPr="00146C23" w:rsidRDefault="00146C23" w:rsidP="00146C23">
            <w:pPr>
              <w:widowControl/>
              <w:adjustRightInd/>
              <w:rPr>
                <w:rFonts w:cs="Times New Roman"/>
                <w:b/>
                <w:bCs/>
                <w:sz w:val="20"/>
                <w:szCs w:val="20"/>
              </w:rPr>
            </w:pPr>
            <w:r w:rsidRPr="00146C23">
              <w:rPr>
                <w:rFonts w:cs="Times New Roman"/>
                <w:b/>
                <w:bCs/>
                <w:sz w:val="20"/>
                <w:szCs w:val="20"/>
              </w:rPr>
              <w:t>Bežné výdavky (600)</w:t>
            </w:r>
          </w:p>
        </w:tc>
        <w:tc>
          <w:tcPr>
            <w:tcW w:w="1540" w:type="dxa"/>
            <w:tcBorders>
              <w:top w:val="nil"/>
              <w:left w:val="nil"/>
              <w:bottom w:val="single" w:sz="4" w:space="0" w:color="auto"/>
              <w:right w:val="single" w:sz="4" w:space="0" w:color="auto"/>
            </w:tcBorders>
            <w:vAlign w:val="center"/>
          </w:tcPr>
          <w:p w:rsidR="00146C23" w:rsidRPr="00146C23" w:rsidRDefault="00146C23" w:rsidP="00146C23">
            <w:pPr>
              <w:widowControl/>
              <w:adjustRightInd/>
              <w:jc w:val="center"/>
              <w:rPr>
                <w:rFonts w:cs="Times New Roman"/>
                <w:bCs/>
                <w:sz w:val="20"/>
                <w:szCs w:val="20"/>
              </w:rPr>
            </w:pPr>
            <w:r w:rsidRPr="00146C23">
              <w:rPr>
                <w:rFonts w:cs="Times New Roman"/>
                <w:bCs/>
                <w:sz w:val="20"/>
                <w:szCs w:val="20"/>
              </w:rPr>
              <w:t>0</w:t>
            </w:r>
          </w:p>
        </w:tc>
        <w:tc>
          <w:tcPr>
            <w:tcW w:w="1540" w:type="dxa"/>
            <w:tcBorders>
              <w:top w:val="nil"/>
              <w:left w:val="nil"/>
              <w:bottom w:val="single" w:sz="4" w:space="0" w:color="auto"/>
              <w:right w:val="single" w:sz="4" w:space="0" w:color="auto"/>
            </w:tcBorders>
            <w:vAlign w:val="center"/>
          </w:tcPr>
          <w:p w:rsidR="00146C23" w:rsidRPr="00146C23" w:rsidRDefault="00146C23" w:rsidP="00146C23">
            <w:pPr>
              <w:widowControl/>
              <w:adjustRightInd/>
              <w:jc w:val="center"/>
              <w:rPr>
                <w:rFonts w:cs="Times New Roman"/>
                <w:sz w:val="20"/>
                <w:szCs w:val="20"/>
              </w:rPr>
            </w:pPr>
            <w:r w:rsidRPr="00146C23">
              <w:rPr>
                <w:rFonts w:cs="Times New Roman"/>
                <w:sz w:val="20"/>
                <w:szCs w:val="20"/>
              </w:rPr>
              <w:t>+465 368</w:t>
            </w:r>
          </w:p>
        </w:tc>
        <w:tc>
          <w:tcPr>
            <w:tcW w:w="1540" w:type="dxa"/>
            <w:tcBorders>
              <w:top w:val="nil"/>
              <w:left w:val="nil"/>
              <w:bottom w:val="single" w:sz="4" w:space="0" w:color="auto"/>
              <w:right w:val="single" w:sz="4" w:space="0" w:color="auto"/>
            </w:tcBorders>
            <w:vAlign w:val="center"/>
          </w:tcPr>
          <w:p w:rsidR="00146C23" w:rsidRPr="00146C23" w:rsidRDefault="00146C23" w:rsidP="00146C23">
            <w:pPr>
              <w:widowControl/>
              <w:adjustRightInd/>
              <w:jc w:val="center"/>
              <w:rPr>
                <w:rFonts w:cs="Times New Roman"/>
                <w:sz w:val="20"/>
                <w:szCs w:val="20"/>
              </w:rPr>
            </w:pPr>
            <w:r w:rsidRPr="00146C23">
              <w:rPr>
                <w:rFonts w:cs="Times New Roman"/>
                <w:sz w:val="20"/>
                <w:szCs w:val="20"/>
              </w:rPr>
              <w:t>+451 368</w:t>
            </w:r>
          </w:p>
        </w:tc>
        <w:tc>
          <w:tcPr>
            <w:tcW w:w="1540" w:type="dxa"/>
            <w:tcBorders>
              <w:top w:val="nil"/>
              <w:left w:val="nil"/>
              <w:bottom w:val="single" w:sz="4" w:space="0" w:color="auto"/>
              <w:right w:val="single" w:sz="4" w:space="0" w:color="auto"/>
            </w:tcBorders>
            <w:vAlign w:val="center"/>
          </w:tcPr>
          <w:p w:rsidR="00146C23" w:rsidRPr="00146C23" w:rsidRDefault="00146C23" w:rsidP="00146C23">
            <w:pPr>
              <w:widowControl/>
              <w:adjustRightInd/>
              <w:jc w:val="center"/>
              <w:rPr>
                <w:rFonts w:cs="Times New Roman"/>
                <w:sz w:val="20"/>
                <w:szCs w:val="20"/>
              </w:rPr>
            </w:pPr>
            <w:r w:rsidRPr="00146C23">
              <w:rPr>
                <w:rFonts w:cs="Times New Roman"/>
                <w:sz w:val="20"/>
                <w:szCs w:val="20"/>
              </w:rPr>
              <w:t>+451 368</w:t>
            </w:r>
          </w:p>
        </w:tc>
        <w:tc>
          <w:tcPr>
            <w:tcW w:w="2220" w:type="dxa"/>
            <w:tcBorders>
              <w:top w:val="nil"/>
              <w:left w:val="nil"/>
              <w:bottom w:val="single" w:sz="4" w:space="0" w:color="auto"/>
              <w:right w:val="single" w:sz="4" w:space="0" w:color="auto"/>
            </w:tcBorders>
            <w:noWrap/>
            <w:vAlign w:val="bottom"/>
          </w:tcPr>
          <w:p w:rsidR="00146C23" w:rsidRPr="00146C23" w:rsidRDefault="00146C23" w:rsidP="00146C23">
            <w:pPr>
              <w:widowControl/>
              <w:adjustRightInd/>
              <w:rPr>
                <w:rFonts w:cs="Times New Roman"/>
              </w:rPr>
            </w:pPr>
            <w:r w:rsidRPr="00146C23">
              <w:rPr>
                <w:rFonts w:cs="Times New Roman"/>
              </w:rPr>
              <w:t> </w:t>
            </w:r>
          </w:p>
        </w:tc>
      </w:tr>
      <w:tr w:rsidR="00146C23" w:rsidRPr="00146C23" w:rsidTr="00146C23">
        <w:trPr>
          <w:trHeight w:val="255"/>
        </w:trPr>
        <w:tc>
          <w:tcPr>
            <w:tcW w:w="7070" w:type="dxa"/>
            <w:tcBorders>
              <w:top w:val="nil"/>
              <w:left w:val="single" w:sz="4" w:space="0" w:color="auto"/>
              <w:bottom w:val="single" w:sz="4" w:space="0" w:color="auto"/>
              <w:right w:val="single" w:sz="4" w:space="0" w:color="auto"/>
            </w:tcBorders>
          </w:tcPr>
          <w:p w:rsidR="00146C23" w:rsidRPr="00146C23" w:rsidRDefault="00146C23" w:rsidP="00146C23">
            <w:pPr>
              <w:widowControl/>
              <w:adjustRightInd/>
              <w:rPr>
                <w:rFonts w:cs="Times New Roman"/>
                <w:sz w:val="20"/>
                <w:szCs w:val="20"/>
              </w:rPr>
            </w:pPr>
            <w:r w:rsidRPr="00146C23">
              <w:rPr>
                <w:rFonts w:cs="Times New Roman"/>
                <w:sz w:val="20"/>
                <w:szCs w:val="20"/>
              </w:rPr>
              <w:t xml:space="preserve">  Mzdy, platy, služobné príjmy a ostatné osobné vyrovnania (610)</w:t>
            </w:r>
          </w:p>
        </w:tc>
        <w:tc>
          <w:tcPr>
            <w:tcW w:w="1540" w:type="dxa"/>
            <w:tcBorders>
              <w:top w:val="nil"/>
              <w:left w:val="nil"/>
              <w:bottom w:val="single" w:sz="4" w:space="0" w:color="auto"/>
              <w:right w:val="single" w:sz="4" w:space="0" w:color="auto"/>
            </w:tcBorders>
            <w:vAlign w:val="center"/>
          </w:tcPr>
          <w:p w:rsidR="00146C23" w:rsidRPr="00146C23" w:rsidRDefault="00146C23" w:rsidP="00146C23">
            <w:pPr>
              <w:widowControl/>
              <w:adjustRightInd/>
              <w:jc w:val="center"/>
              <w:rPr>
                <w:rFonts w:cs="Times New Roman"/>
                <w:sz w:val="20"/>
                <w:szCs w:val="20"/>
              </w:rPr>
            </w:pPr>
            <w:r w:rsidRPr="00146C23">
              <w:rPr>
                <w:rFonts w:cs="Times New Roman"/>
                <w:sz w:val="20"/>
                <w:szCs w:val="20"/>
              </w:rPr>
              <w:t>0</w:t>
            </w:r>
          </w:p>
        </w:tc>
        <w:tc>
          <w:tcPr>
            <w:tcW w:w="154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sz w:val="20"/>
                <w:szCs w:val="20"/>
              </w:rPr>
            </w:pPr>
            <w:r w:rsidRPr="00146C23">
              <w:rPr>
                <w:rFonts w:cs="Times New Roman"/>
                <w:sz w:val="20"/>
                <w:szCs w:val="20"/>
              </w:rPr>
              <w:t>+261 216</w:t>
            </w:r>
          </w:p>
        </w:tc>
        <w:tc>
          <w:tcPr>
            <w:tcW w:w="154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sz w:val="20"/>
                <w:szCs w:val="20"/>
              </w:rPr>
            </w:pPr>
            <w:r w:rsidRPr="00146C23">
              <w:rPr>
                <w:rFonts w:cs="Times New Roman"/>
                <w:sz w:val="20"/>
                <w:szCs w:val="20"/>
              </w:rPr>
              <w:t>+261 216</w:t>
            </w:r>
          </w:p>
        </w:tc>
        <w:tc>
          <w:tcPr>
            <w:tcW w:w="154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sz w:val="20"/>
                <w:szCs w:val="20"/>
              </w:rPr>
            </w:pPr>
            <w:r w:rsidRPr="00146C23">
              <w:rPr>
                <w:rFonts w:cs="Times New Roman"/>
                <w:sz w:val="20"/>
                <w:szCs w:val="20"/>
              </w:rPr>
              <w:t>+261 21688</w:t>
            </w:r>
          </w:p>
        </w:tc>
        <w:tc>
          <w:tcPr>
            <w:tcW w:w="2220" w:type="dxa"/>
            <w:tcBorders>
              <w:top w:val="nil"/>
              <w:left w:val="nil"/>
              <w:bottom w:val="single" w:sz="4" w:space="0" w:color="auto"/>
              <w:right w:val="single" w:sz="4" w:space="0" w:color="auto"/>
            </w:tcBorders>
            <w:noWrap/>
            <w:vAlign w:val="bottom"/>
          </w:tcPr>
          <w:p w:rsidR="00146C23" w:rsidRPr="00146C23" w:rsidRDefault="00146C23" w:rsidP="00146C23">
            <w:pPr>
              <w:widowControl/>
              <w:adjustRightInd/>
              <w:rPr>
                <w:rFonts w:cs="Times New Roman"/>
              </w:rPr>
            </w:pPr>
          </w:p>
        </w:tc>
      </w:tr>
      <w:tr w:rsidR="00146C23" w:rsidRPr="00146C23" w:rsidTr="00146C23">
        <w:trPr>
          <w:trHeight w:val="255"/>
        </w:trPr>
        <w:tc>
          <w:tcPr>
            <w:tcW w:w="7070" w:type="dxa"/>
            <w:tcBorders>
              <w:top w:val="nil"/>
              <w:left w:val="single" w:sz="4" w:space="0" w:color="auto"/>
              <w:bottom w:val="single" w:sz="4" w:space="0" w:color="auto"/>
              <w:right w:val="single" w:sz="4" w:space="0" w:color="auto"/>
            </w:tcBorders>
          </w:tcPr>
          <w:p w:rsidR="00146C23" w:rsidRPr="00146C23" w:rsidRDefault="00146C23" w:rsidP="00146C23">
            <w:pPr>
              <w:widowControl/>
              <w:adjustRightInd/>
              <w:rPr>
                <w:rFonts w:cs="Times New Roman"/>
                <w:sz w:val="20"/>
                <w:szCs w:val="20"/>
                <w:vertAlign w:val="superscript"/>
              </w:rPr>
            </w:pPr>
            <w:r w:rsidRPr="00146C23">
              <w:rPr>
                <w:rFonts w:cs="Times New Roman"/>
                <w:sz w:val="20"/>
                <w:szCs w:val="20"/>
              </w:rPr>
              <w:t xml:space="preserve">  Poistné a príspevok do poisťovní (620)</w:t>
            </w:r>
          </w:p>
        </w:tc>
        <w:tc>
          <w:tcPr>
            <w:tcW w:w="1540" w:type="dxa"/>
            <w:tcBorders>
              <w:top w:val="nil"/>
              <w:left w:val="nil"/>
              <w:bottom w:val="single" w:sz="4" w:space="0" w:color="auto"/>
              <w:right w:val="single" w:sz="4" w:space="0" w:color="auto"/>
            </w:tcBorders>
            <w:vAlign w:val="center"/>
          </w:tcPr>
          <w:p w:rsidR="00146C23" w:rsidRPr="00146C23" w:rsidRDefault="00146C23" w:rsidP="00146C23">
            <w:pPr>
              <w:widowControl/>
              <w:adjustRightInd/>
              <w:jc w:val="center"/>
              <w:rPr>
                <w:rFonts w:cs="Times New Roman"/>
                <w:sz w:val="20"/>
                <w:szCs w:val="20"/>
              </w:rPr>
            </w:pPr>
            <w:r w:rsidRPr="00146C23">
              <w:rPr>
                <w:rFonts w:cs="Times New Roman"/>
                <w:sz w:val="20"/>
                <w:szCs w:val="20"/>
              </w:rPr>
              <w:t>0</w:t>
            </w:r>
          </w:p>
        </w:tc>
        <w:tc>
          <w:tcPr>
            <w:tcW w:w="154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sz w:val="20"/>
                <w:szCs w:val="20"/>
              </w:rPr>
            </w:pPr>
            <w:r w:rsidRPr="00146C23">
              <w:rPr>
                <w:rFonts w:cs="Times New Roman"/>
                <w:sz w:val="20"/>
                <w:szCs w:val="20"/>
              </w:rPr>
              <w:t>+93 907</w:t>
            </w:r>
          </w:p>
        </w:tc>
        <w:tc>
          <w:tcPr>
            <w:tcW w:w="154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sz w:val="20"/>
                <w:szCs w:val="20"/>
              </w:rPr>
            </w:pPr>
            <w:r w:rsidRPr="00146C23">
              <w:rPr>
                <w:rFonts w:cs="Times New Roman"/>
                <w:sz w:val="20"/>
                <w:szCs w:val="20"/>
              </w:rPr>
              <w:t>+93 907</w:t>
            </w:r>
          </w:p>
        </w:tc>
        <w:tc>
          <w:tcPr>
            <w:tcW w:w="154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sz w:val="20"/>
                <w:szCs w:val="20"/>
              </w:rPr>
            </w:pPr>
            <w:r w:rsidRPr="00146C23">
              <w:rPr>
                <w:rFonts w:cs="Times New Roman"/>
                <w:sz w:val="20"/>
                <w:szCs w:val="20"/>
              </w:rPr>
              <w:t>+93 907</w:t>
            </w:r>
          </w:p>
        </w:tc>
        <w:tc>
          <w:tcPr>
            <w:tcW w:w="2220" w:type="dxa"/>
            <w:tcBorders>
              <w:top w:val="nil"/>
              <w:left w:val="nil"/>
              <w:bottom w:val="single" w:sz="4" w:space="0" w:color="auto"/>
              <w:right w:val="single" w:sz="4" w:space="0" w:color="auto"/>
            </w:tcBorders>
            <w:noWrap/>
            <w:vAlign w:val="bottom"/>
          </w:tcPr>
          <w:p w:rsidR="00146C23" w:rsidRPr="00146C23" w:rsidRDefault="00146C23" w:rsidP="00146C23">
            <w:pPr>
              <w:widowControl/>
              <w:adjustRightInd/>
              <w:rPr>
                <w:rFonts w:cs="Times New Roman"/>
              </w:rPr>
            </w:pPr>
            <w:r w:rsidRPr="00146C23">
              <w:rPr>
                <w:rFonts w:cs="Times New Roman"/>
              </w:rPr>
              <w:t> </w:t>
            </w:r>
          </w:p>
        </w:tc>
      </w:tr>
      <w:tr w:rsidR="00146C23" w:rsidRPr="00146C23" w:rsidTr="00146C23">
        <w:trPr>
          <w:trHeight w:val="255"/>
        </w:trPr>
        <w:tc>
          <w:tcPr>
            <w:tcW w:w="7070" w:type="dxa"/>
            <w:tcBorders>
              <w:top w:val="nil"/>
              <w:left w:val="single" w:sz="4" w:space="0" w:color="auto"/>
              <w:bottom w:val="single" w:sz="4" w:space="0" w:color="auto"/>
              <w:right w:val="single" w:sz="4" w:space="0" w:color="auto"/>
            </w:tcBorders>
          </w:tcPr>
          <w:p w:rsidR="00146C23" w:rsidRPr="00146C23" w:rsidRDefault="00146C23" w:rsidP="00146C23">
            <w:pPr>
              <w:widowControl/>
              <w:adjustRightInd/>
              <w:rPr>
                <w:rFonts w:cs="Times New Roman"/>
                <w:sz w:val="20"/>
                <w:szCs w:val="20"/>
                <w:vertAlign w:val="superscript"/>
              </w:rPr>
            </w:pPr>
            <w:r w:rsidRPr="00146C23">
              <w:rPr>
                <w:rFonts w:cs="Times New Roman"/>
                <w:sz w:val="20"/>
                <w:szCs w:val="20"/>
              </w:rPr>
              <w:t xml:space="preserve">  Tovary a služby (630)</w:t>
            </w:r>
            <w:r w:rsidRPr="00146C23">
              <w:rPr>
                <w:rFonts w:cs="Times New Roman"/>
                <w:sz w:val="20"/>
                <w:szCs w:val="20"/>
                <w:vertAlign w:val="superscript"/>
              </w:rPr>
              <w:t>2 *</w:t>
            </w:r>
          </w:p>
        </w:tc>
        <w:tc>
          <w:tcPr>
            <w:tcW w:w="1540" w:type="dxa"/>
            <w:tcBorders>
              <w:top w:val="nil"/>
              <w:left w:val="nil"/>
              <w:bottom w:val="single" w:sz="4" w:space="0" w:color="auto"/>
              <w:right w:val="single" w:sz="4" w:space="0" w:color="auto"/>
            </w:tcBorders>
            <w:vAlign w:val="center"/>
          </w:tcPr>
          <w:p w:rsidR="00146C23" w:rsidRPr="00146C23" w:rsidRDefault="00146C23" w:rsidP="00146C23">
            <w:pPr>
              <w:widowControl/>
              <w:adjustRightInd/>
              <w:jc w:val="center"/>
              <w:rPr>
                <w:rFonts w:cs="Times New Roman"/>
                <w:sz w:val="20"/>
                <w:szCs w:val="20"/>
              </w:rPr>
            </w:pPr>
            <w:r w:rsidRPr="00146C23">
              <w:rPr>
                <w:rFonts w:cs="Times New Roman"/>
                <w:sz w:val="20"/>
                <w:szCs w:val="20"/>
              </w:rPr>
              <w:t>0</w:t>
            </w:r>
          </w:p>
        </w:tc>
        <w:tc>
          <w:tcPr>
            <w:tcW w:w="154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sz w:val="20"/>
                <w:szCs w:val="20"/>
              </w:rPr>
            </w:pPr>
            <w:r w:rsidRPr="00146C23">
              <w:rPr>
                <w:rFonts w:cs="Times New Roman"/>
                <w:sz w:val="20"/>
                <w:szCs w:val="20"/>
              </w:rPr>
              <w:t>+85 365</w:t>
            </w:r>
          </w:p>
        </w:tc>
        <w:tc>
          <w:tcPr>
            <w:tcW w:w="154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sz w:val="20"/>
                <w:szCs w:val="20"/>
              </w:rPr>
            </w:pPr>
            <w:r w:rsidRPr="00146C23">
              <w:rPr>
                <w:rFonts w:cs="Times New Roman"/>
                <w:sz w:val="20"/>
                <w:szCs w:val="20"/>
              </w:rPr>
              <w:t>+71 365</w:t>
            </w:r>
          </w:p>
        </w:tc>
        <w:tc>
          <w:tcPr>
            <w:tcW w:w="154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sz w:val="20"/>
                <w:szCs w:val="20"/>
              </w:rPr>
            </w:pPr>
            <w:r w:rsidRPr="00146C23">
              <w:rPr>
                <w:rFonts w:cs="Times New Roman"/>
                <w:sz w:val="20"/>
                <w:szCs w:val="20"/>
              </w:rPr>
              <w:t>+71 365</w:t>
            </w:r>
          </w:p>
        </w:tc>
        <w:tc>
          <w:tcPr>
            <w:tcW w:w="2220" w:type="dxa"/>
            <w:tcBorders>
              <w:top w:val="nil"/>
              <w:left w:val="nil"/>
              <w:bottom w:val="single" w:sz="4" w:space="0" w:color="auto"/>
              <w:right w:val="single" w:sz="4" w:space="0" w:color="auto"/>
            </w:tcBorders>
            <w:noWrap/>
            <w:vAlign w:val="bottom"/>
          </w:tcPr>
          <w:p w:rsidR="00146C23" w:rsidRPr="00146C23" w:rsidRDefault="00146C23" w:rsidP="00146C23">
            <w:pPr>
              <w:widowControl/>
              <w:adjustRightInd/>
              <w:rPr>
                <w:rFonts w:cs="Times New Roman"/>
              </w:rPr>
            </w:pPr>
            <w:r w:rsidRPr="00146C23">
              <w:rPr>
                <w:rFonts w:cs="Times New Roman"/>
              </w:rPr>
              <w:t> </w:t>
            </w:r>
          </w:p>
        </w:tc>
      </w:tr>
      <w:tr w:rsidR="00146C23" w:rsidRPr="00146C23" w:rsidTr="00146C23">
        <w:trPr>
          <w:trHeight w:val="255"/>
        </w:trPr>
        <w:tc>
          <w:tcPr>
            <w:tcW w:w="7070" w:type="dxa"/>
            <w:tcBorders>
              <w:top w:val="nil"/>
              <w:left w:val="single" w:sz="4" w:space="0" w:color="auto"/>
              <w:bottom w:val="single" w:sz="4" w:space="0" w:color="auto"/>
              <w:right w:val="single" w:sz="4" w:space="0" w:color="auto"/>
            </w:tcBorders>
          </w:tcPr>
          <w:p w:rsidR="00146C23" w:rsidRPr="00146C23" w:rsidRDefault="00146C23" w:rsidP="00146C23">
            <w:pPr>
              <w:widowControl/>
              <w:adjustRightInd/>
              <w:rPr>
                <w:rFonts w:cs="Times New Roman"/>
                <w:sz w:val="20"/>
                <w:szCs w:val="20"/>
              </w:rPr>
            </w:pPr>
            <w:r w:rsidRPr="00146C23">
              <w:rPr>
                <w:rFonts w:cs="Times New Roman"/>
                <w:sz w:val="20"/>
                <w:szCs w:val="20"/>
              </w:rPr>
              <w:t xml:space="preserve">  Bežné transfery (640)</w:t>
            </w:r>
            <w:r w:rsidRPr="00146C23">
              <w:rPr>
                <w:rFonts w:cs="Times New Roman"/>
                <w:sz w:val="20"/>
                <w:szCs w:val="20"/>
                <w:vertAlign w:val="superscript"/>
              </w:rPr>
              <w:t>2 **</w:t>
            </w:r>
          </w:p>
        </w:tc>
        <w:tc>
          <w:tcPr>
            <w:tcW w:w="1540" w:type="dxa"/>
            <w:tcBorders>
              <w:top w:val="nil"/>
              <w:left w:val="nil"/>
              <w:bottom w:val="single" w:sz="4" w:space="0" w:color="auto"/>
              <w:right w:val="single" w:sz="4" w:space="0" w:color="auto"/>
            </w:tcBorders>
            <w:vAlign w:val="center"/>
          </w:tcPr>
          <w:p w:rsidR="00146C23" w:rsidRPr="00146C23" w:rsidRDefault="00146C23" w:rsidP="00146C23">
            <w:pPr>
              <w:widowControl/>
              <w:adjustRightInd/>
              <w:jc w:val="center"/>
              <w:rPr>
                <w:rFonts w:cs="Times New Roman"/>
                <w:sz w:val="20"/>
                <w:szCs w:val="20"/>
              </w:rPr>
            </w:pPr>
            <w:r w:rsidRPr="00146C23">
              <w:rPr>
                <w:rFonts w:cs="Times New Roman"/>
                <w:sz w:val="20"/>
                <w:szCs w:val="20"/>
              </w:rPr>
              <w:t>0</w:t>
            </w:r>
          </w:p>
        </w:tc>
        <w:tc>
          <w:tcPr>
            <w:tcW w:w="154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sz w:val="20"/>
                <w:szCs w:val="20"/>
              </w:rPr>
            </w:pPr>
            <w:r w:rsidRPr="00146C23">
              <w:rPr>
                <w:rFonts w:cs="Times New Roman"/>
                <w:sz w:val="20"/>
                <w:szCs w:val="20"/>
              </w:rPr>
              <w:t>+24 880</w:t>
            </w:r>
          </w:p>
        </w:tc>
        <w:tc>
          <w:tcPr>
            <w:tcW w:w="154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sz w:val="20"/>
                <w:szCs w:val="20"/>
              </w:rPr>
            </w:pPr>
            <w:r w:rsidRPr="00146C23">
              <w:rPr>
                <w:rFonts w:cs="Times New Roman"/>
                <w:sz w:val="20"/>
                <w:szCs w:val="20"/>
              </w:rPr>
              <w:t>+24 880</w:t>
            </w:r>
          </w:p>
        </w:tc>
        <w:tc>
          <w:tcPr>
            <w:tcW w:w="154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sz w:val="20"/>
                <w:szCs w:val="20"/>
              </w:rPr>
            </w:pPr>
            <w:r w:rsidRPr="00146C23">
              <w:rPr>
                <w:rFonts w:cs="Times New Roman"/>
                <w:sz w:val="20"/>
                <w:szCs w:val="20"/>
              </w:rPr>
              <w:t>+24 880</w:t>
            </w:r>
          </w:p>
        </w:tc>
        <w:tc>
          <w:tcPr>
            <w:tcW w:w="2220" w:type="dxa"/>
            <w:tcBorders>
              <w:top w:val="nil"/>
              <w:left w:val="nil"/>
              <w:bottom w:val="single" w:sz="4" w:space="0" w:color="auto"/>
              <w:right w:val="single" w:sz="4" w:space="0" w:color="auto"/>
            </w:tcBorders>
            <w:noWrap/>
            <w:vAlign w:val="bottom"/>
          </w:tcPr>
          <w:p w:rsidR="00146C23" w:rsidRPr="00146C23" w:rsidRDefault="00146C23" w:rsidP="00146C23">
            <w:pPr>
              <w:widowControl/>
              <w:adjustRightInd/>
              <w:rPr>
                <w:rFonts w:cs="Times New Roman"/>
              </w:rPr>
            </w:pPr>
            <w:r w:rsidRPr="00146C23">
              <w:rPr>
                <w:rFonts w:cs="Times New Roman"/>
              </w:rPr>
              <w:t> </w:t>
            </w:r>
          </w:p>
        </w:tc>
      </w:tr>
      <w:tr w:rsidR="00146C23" w:rsidRPr="00146C23" w:rsidTr="00146C23">
        <w:trPr>
          <w:trHeight w:val="255"/>
        </w:trPr>
        <w:tc>
          <w:tcPr>
            <w:tcW w:w="7070" w:type="dxa"/>
            <w:tcBorders>
              <w:top w:val="nil"/>
              <w:left w:val="single" w:sz="4" w:space="0" w:color="auto"/>
              <w:bottom w:val="single" w:sz="4" w:space="0" w:color="auto"/>
              <w:right w:val="single" w:sz="4" w:space="0" w:color="auto"/>
            </w:tcBorders>
            <w:vAlign w:val="center"/>
          </w:tcPr>
          <w:p w:rsidR="00146C23" w:rsidRPr="00146C23" w:rsidRDefault="00146C23" w:rsidP="00146C23">
            <w:pPr>
              <w:widowControl/>
              <w:adjustRightInd/>
              <w:rPr>
                <w:rFonts w:cs="Times New Roman"/>
                <w:sz w:val="20"/>
                <w:szCs w:val="20"/>
              </w:rPr>
            </w:pPr>
            <w:r w:rsidRPr="00146C23">
              <w:rPr>
                <w:rFonts w:cs="Times New Roman"/>
                <w:sz w:val="20"/>
                <w:szCs w:val="20"/>
              </w:rPr>
              <w:t xml:space="preserve">  Splácanie úrokov a ostatné platby súvisiace s </w:t>
            </w:r>
            <w:r w:rsidRPr="00146C23">
              <w:rPr>
                <w:rFonts w:asciiTheme="minorHAnsi" w:eastAsiaTheme="minorHAnsi" w:hAnsiTheme="minorHAnsi" w:cstheme="minorBidi"/>
                <w:sz w:val="22"/>
                <w:szCs w:val="22"/>
                <w:lang w:eastAsia="en-US"/>
              </w:rPr>
              <w:t xml:space="preserve"> </w:t>
            </w:r>
            <w:r w:rsidRPr="00146C23">
              <w:rPr>
                <w:rFonts w:cs="Times New Roman"/>
                <w:sz w:val="20"/>
                <w:szCs w:val="20"/>
              </w:rPr>
              <w:t>úverom, pôžičkou, návratnou finančnou výpomocou a finančným prenájmom (650)</w:t>
            </w:r>
            <w:r w:rsidRPr="00146C23">
              <w:rPr>
                <w:rFonts w:cs="Times New Roman"/>
                <w:sz w:val="20"/>
                <w:szCs w:val="20"/>
                <w:vertAlign w:val="superscript"/>
              </w:rPr>
              <w:t>2</w:t>
            </w:r>
          </w:p>
        </w:tc>
        <w:tc>
          <w:tcPr>
            <w:tcW w:w="154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sz w:val="20"/>
                <w:szCs w:val="20"/>
              </w:rPr>
            </w:pPr>
          </w:p>
        </w:tc>
        <w:tc>
          <w:tcPr>
            <w:tcW w:w="154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sz w:val="20"/>
                <w:szCs w:val="20"/>
              </w:rPr>
            </w:pPr>
          </w:p>
        </w:tc>
        <w:tc>
          <w:tcPr>
            <w:tcW w:w="154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sz w:val="20"/>
                <w:szCs w:val="20"/>
              </w:rPr>
            </w:pPr>
          </w:p>
        </w:tc>
        <w:tc>
          <w:tcPr>
            <w:tcW w:w="154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rPr>
            </w:pPr>
          </w:p>
        </w:tc>
        <w:tc>
          <w:tcPr>
            <w:tcW w:w="2220" w:type="dxa"/>
            <w:tcBorders>
              <w:top w:val="nil"/>
              <w:left w:val="nil"/>
              <w:bottom w:val="single" w:sz="4" w:space="0" w:color="auto"/>
              <w:right w:val="single" w:sz="4" w:space="0" w:color="auto"/>
            </w:tcBorders>
            <w:noWrap/>
            <w:vAlign w:val="bottom"/>
          </w:tcPr>
          <w:p w:rsidR="00146C23" w:rsidRPr="00146C23" w:rsidRDefault="00146C23" w:rsidP="00146C23">
            <w:pPr>
              <w:widowControl/>
              <w:adjustRightInd/>
              <w:rPr>
                <w:rFonts w:cs="Times New Roman"/>
              </w:rPr>
            </w:pPr>
          </w:p>
        </w:tc>
      </w:tr>
      <w:tr w:rsidR="00146C23" w:rsidRPr="00146C23" w:rsidTr="00146C23">
        <w:trPr>
          <w:trHeight w:val="255"/>
        </w:trPr>
        <w:tc>
          <w:tcPr>
            <w:tcW w:w="7070" w:type="dxa"/>
            <w:tcBorders>
              <w:top w:val="nil"/>
              <w:left w:val="single" w:sz="4" w:space="0" w:color="auto"/>
              <w:bottom w:val="single" w:sz="4" w:space="0" w:color="auto"/>
              <w:right w:val="single" w:sz="4" w:space="0" w:color="auto"/>
            </w:tcBorders>
          </w:tcPr>
          <w:p w:rsidR="00146C23" w:rsidRPr="00146C23" w:rsidRDefault="00146C23" w:rsidP="00146C23">
            <w:pPr>
              <w:widowControl/>
              <w:adjustRightInd/>
              <w:rPr>
                <w:rFonts w:cs="Times New Roman"/>
                <w:b/>
                <w:bCs/>
                <w:sz w:val="20"/>
                <w:szCs w:val="20"/>
              </w:rPr>
            </w:pPr>
            <w:r w:rsidRPr="00146C23">
              <w:rPr>
                <w:rFonts w:cs="Times New Roman"/>
                <w:b/>
                <w:bCs/>
                <w:sz w:val="20"/>
                <w:szCs w:val="20"/>
              </w:rPr>
              <w:t>Kapitálové výdavky (700)</w:t>
            </w:r>
          </w:p>
        </w:tc>
        <w:tc>
          <w:tcPr>
            <w:tcW w:w="154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b/>
                <w:bCs/>
                <w:sz w:val="20"/>
                <w:szCs w:val="20"/>
              </w:rPr>
            </w:pPr>
          </w:p>
        </w:tc>
        <w:tc>
          <w:tcPr>
            <w:tcW w:w="154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b/>
                <w:bCs/>
                <w:sz w:val="20"/>
                <w:szCs w:val="20"/>
              </w:rPr>
            </w:pPr>
          </w:p>
        </w:tc>
        <w:tc>
          <w:tcPr>
            <w:tcW w:w="154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b/>
                <w:bCs/>
                <w:sz w:val="20"/>
                <w:szCs w:val="20"/>
              </w:rPr>
            </w:pPr>
          </w:p>
        </w:tc>
        <w:tc>
          <w:tcPr>
            <w:tcW w:w="154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b/>
                <w:bCs/>
              </w:rPr>
            </w:pPr>
          </w:p>
        </w:tc>
        <w:tc>
          <w:tcPr>
            <w:tcW w:w="2220" w:type="dxa"/>
            <w:tcBorders>
              <w:top w:val="nil"/>
              <w:left w:val="nil"/>
              <w:bottom w:val="single" w:sz="4" w:space="0" w:color="auto"/>
              <w:right w:val="single" w:sz="4" w:space="0" w:color="auto"/>
            </w:tcBorders>
            <w:noWrap/>
            <w:vAlign w:val="bottom"/>
          </w:tcPr>
          <w:p w:rsidR="00146C23" w:rsidRPr="00146C23" w:rsidRDefault="00146C23" w:rsidP="00146C23">
            <w:pPr>
              <w:widowControl/>
              <w:adjustRightInd/>
              <w:rPr>
                <w:rFonts w:cs="Times New Roman"/>
              </w:rPr>
            </w:pPr>
            <w:r w:rsidRPr="00146C23">
              <w:rPr>
                <w:rFonts w:cs="Times New Roman"/>
              </w:rPr>
              <w:t> </w:t>
            </w:r>
          </w:p>
        </w:tc>
      </w:tr>
      <w:tr w:rsidR="00146C23" w:rsidRPr="00146C23" w:rsidTr="00146C23">
        <w:trPr>
          <w:trHeight w:val="255"/>
        </w:trPr>
        <w:tc>
          <w:tcPr>
            <w:tcW w:w="7070" w:type="dxa"/>
            <w:tcBorders>
              <w:top w:val="nil"/>
              <w:left w:val="single" w:sz="4" w:space="0" w:color="auto"/>
              <w:bottom w:val="single" w:sz="4" w:space="0" w:color="auto"/>
              <w:right w:val="single" w:sz="4" w:space="0" w:color="auto"/>
            </w:tcBorders>
          </w:tcPr>
          <w:p w:rsidR="00146C23" w:rsidRPr="00146C23" w:rsidRDefault="00146C23" w:rsidP="00146C23">
            <w:pPr>
              <w:widowControl/>
              <w:adjustRightInd/>
              <w:rPr>
                <w:rFonts w:cs="Times New Roman"/>
                <w:sz w:val="20"/>
                <w:szCs w:val="20"/>
              </w:rPr>
            </w:pPr>
            <w:r w:rsidRPr="00146C23">
              <w:rPr>
                <w:rFonts w:cs="Times New Roman"/>
                <w:sz w:val="20"/>
                <w:szCs w:val="20"/>
              </w:rPr>
              <w:t xml:space="preserve">  Obstarávanie kapitálových aktív (710)</w:t>
            </w:r>
            <w:r w:rsidRPr="00146C23">
              <w:rPr>
                <w:rFonts w:cs="Times New Roman"/>
                <w:sz w:val="20"/>
                <w:szCs w:val="20"/>
                <w:vertAlign w:val="superscript"/>
              </w:rPr>
              <w:t>2</w:t>
            </w:r>
          </w:p>
        </w:tc>
        <w:tc>
          <w:tcPr>
            <w:tcW w:w="154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sz w:val="20"/>
                <w:szCs w:val="20"/>
              </w:rPr>
            </w:pPr>
          </w:p>
        </w:tc>
        <w:tc>
          <w:tcPr>
            <w:tcW w:w="154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sz w:val="20"/>
                <w:szCs w:val="20"/>
              </w:rPr>
            </w:pPr>
          </w:p>
        </w:tc>
        <w:tc>
          <w:tcPr>
            <w:tcW w:w="154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sz w:val="20"/>
                <w:szCs w:val="20"/>
              </w:rPr>
            </w:pPr>
          </w:p>
        </w:tc>
        <w:tc>
          <w:tcPr>
            <w:tcW w:w="154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rPr>
            </w:pPr>
          </w:p>
        </w:tc>
        <w:tc>
          <w:tcPr>
            <w:tcW w:w="2220" w:type="dxa"/>
            <w:tcBorders>
              <w:top w:val="nil"/>
              <w:left w:val="nil"/>
              <w:bottom w:val="single" w:sz="4" w:space="0" w:color="auto"/>
              <w:right w:val="single" w:sz="4" w:space="0" w:color="auto"/>
            </w:tcBorders>
            <w:noWrap/>
            <w:vAlign w:val="bottom"/>
          </w:tcPr>
          <w:p w:rsidR="00146C23" w:rsidRPr="00146C23" w:rsidRDefault="00146C23" w:rsidP="00146C23">
            <w:pPr>
              <w:widowControl/>
              <w:adjustRightInd/>
              <w:rPr>
                <w:rFonts w:cs="Times New Roman"/>
              </w:rPr>
            </w:pPr>
            <w:r w:rsidRPr="00146C23">
              <w:rPr>
                <w:rFonts w:cs="Times New Roman"/>
              </w:rPr>
              <w:t> </w:t>
            </w:r>
          </w:p>
        </w:tc>
      </w:tr>
      <w:tr w:rsidR="00146C23" w:rsidRPr="00146C23" w:rsidTr="00146C23">
        <w:trPr>
          <w:trHeight w:val="255"/>
        </w:trPr>
        <w:tc>
          <w:tcPr>
            <w:tcW w:w="7070" w:type="dxa"/>
            <w:tcBorders>
              <w:top w:val="nil"/>
              <w:left w:val="single" w:sz="4" w:space="0" w:color="auto"/>
              <w:bottom w:val="single" w:sz="4" w:space="0" w:color="auto"/>
              <w:right w:val="single" w:sz="4" w:space="0" w:color="auto"/>
            </w:tcBorders>
          </w:tcPr>
          <w:p w:rsidR="00146C23" w:rsidRPr="00146C23" w:rsidRDefault="00146C23" w:rsidP="00146C23">
            <w:pPr>
              <w:widowControl/>
              <w:adjustRightInd/>
              <w:rPr>
                <w:rFonts w:cs="Times New Roman"/>
                <w:sz w:val="20"/>
                <w:szCs w:val="20"/>
              </w:rPr>
            </w:pPr>
            <w:r w:rsidRPr="00146C23">
              <w:rPr>
                <w:rFonts w:cs="Times New Roman"/>
                <w:sz w:val="20"/>
                <w:szCs w:val="20"/>
              </w:rPr>
              <w:t xml:space="preserve">  Kapitálové transfery (720)</w:t>
            </w:r>
            <w:r w:rsidRPr="00146C23">
              <w:rPr>
                <w:rFonts w:cs="Times New Roman"/>
                <w:sz w:val="20"/>
                <w:szCs w:val="20"/>
                <w:vertAlign w:val="superscript"/>
              </w:rPr>
              <w:t>2</w:t>
            </w:r>
          </w:p>
        </w:tc>
        <w:tc>
          <w:tcPr>
            <w:tcW w:w="154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sz w:val="20"/>
                <w:szCs w:val="20"/>
              </w:rPr>
            </w:pPr>
          </w:p>
        </w:tc>
        <w:tc>
          <w:tcPr>
            <w:tcW w:w="154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sz w:val="20"/>
                <w:szCs w:val="20"/>
              </w:rPr>
            </w:pPr>
          </w:p>
        </w:tc>
        <w:tc>
          <w:tcPr>
            <w:tcW w:w="154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sz w:val="20"/>
                <w:szCs w:val="20"/>
              </w:rPr>
            </w:pPr>
          </w:p>
        </w:tc>
        <w:tc>
          <w:tcPr>
            <w:tcW w:w="154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rPr>
            </w:pPr>
          </w:p>
        </w:tc>
        <w:tc>
          <w:tcPr>
            <w:tcW w:w="2220" w:type="dxa"/>
            <w:tcBorders>
              <w:top w:val="nil"/>
              <w:left w:val="nil"/>
              <w:bottom w:val="single" w:sz="4" w:space="0" w:color="auto"/>
              <w:right w:val="single" w:sz="4" w:space="0" w:color="auto"/>
            </w:tcBorders>
            <w:noWrap/>
            <w:vAlign w:val="bottom"/>
          </w:tcPr>
          <w:p w:rsidR="00146C23" w:rsidRPr="00146C23" w:rsidRDefault="00146C23" w:rsidP="00146C23">
            <w:pPr>
              <w:widowControl/>
              <w:adjustRightInd/>
              <w:rPr>
                <w:rFonts w:cs="Times New Roman"/>
              </w:rPr>
            </w:pPr>
            <w:r w:rsidRPr="00146C23">
              <w:rPr>
                <w:rFonts w:cs="Times New Roman"/>
              </w:rPr>
              <w:t> </w:t>
            </w:r>
          </w:p>
        </w:tc>
      </w:tr>
      <w:tr w:rsidR="00146C23" w:rsidRPr="00146C23" w:rsidTr="00146C23">
        <w:trPr>
          <w:trHeight w:val="255"/>
        </w:trPr>
        <w:tc>
          <w:tcPr>
            <w:tcW w:w="7070" w:type="dxa"/>
            <w:tcBorders>
              <w:top w:val="nil"/>
              <w:left w:val="single" w:sz="4" w:space="0" w:color="auto"/>
              <w:bottom w:val="single" w:sz="4" w:space="0" w:color="auto"/>
              <w:right w:val="single" w:sz="4" w:space="0" w:color="auto"/>
            </w:tcBorders>
          </w:tcPr>
          <w:p w:rsidR="00146C23" w:rsidRPr="00146C23" w:rsidRDefault="00146C23" w:rsidP="00146C23">
            <w:pPr>
              <w:widowControl/>
              <w:adjustRightInd/>
              <w:rPr>
                <w:rFonts w:cs="Times New Roman"/>
                <w:b/>
                <w:bCs/>
                <w:sz w:val="20"/>
                <w:szCs w:val="20"/>
              </w:rPr>
            </w:pPr>
            <w:r w:rsidRPr="00146C23">
              <w:rPr>
                <w:rFonts w:cs="Times New Roman"/>
                <w:b/>
                <w:bCs/>
                <w:sz w:val="20"/>
                <w:szCs w:val="20"/>
              </w:rPr>
              <w:t>Výdavky z transakcií s finančnými aktívami a finančnými pasívami (800)</w:t>
            </w:r>
          </w:p>
        </w:tc>
        <w:tc>
          <w:tcPr>
            <w:tcW w:w="154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b/>
                <w:bCs/>
                <w:sz w:val="20"/>
                <w:szCs w:val="20"/>
              </w:rPr>
            </w:pPr>
            <w:r w:rsidRPr="00146C23">
              <w:rPr>
                <w:rFonts w:cs="Times New Roman"/>
                <w:b/>
                <w:bCs/>
                <w:sz w:val="20"/>
                <w:szCs w:val="20"/>
              </w:rPr>
              <w:t> </w:t>
            </w:r>
          </w:p>
        </w:tc>
        <w:tc>
          <w:tcPr>
            <w:tcW w:w="154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b/>
                <w:bCs/>
                <w:sz w:val="20"/>
                <w:szCs w:val="20"/>
              </w:rPr>
            </w:pPr>
            <w:r w:rsidRPr="00146C23">
              <w:rPr>
                <w:rFonts w:cs="Times New Roman"/>
                <w:b/>
                <w:bCs/>
                <w:sz w:val="20"/>
                <w:szCs w:val="20"/>
              </w:rPr>
              <w:t> </w:t>
            </w:r>
          </w:p>
        </w:tc>
        <w:tc>
          <w:tcPr>
            <w:tcW w:w="154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b/>
                <w:bCs/>
                <w:sz w:val="20"/>
                <w:szCs w:val="20"/>
              </w:rPr>
            </w:pPr>
            <w:r w:rsidRPr="00146C23">
              <w:rPr>
                <w:rFonts w:cs="Times New Roman"/>
                <w:b/>
                <w:bCs/>
                <w:sz w:val="20"/>
                <w:szCs w:val="20"/>
              </w:rPr>
              <w:t> </w:t>
            </w:r>
          </w:p>
        </w:tc>
        <w:tc>
          <w:tcPr>
            <w:tcW w:w="1540" w:type="dxa"/>
            <w:tcBorders>
              <w:top w:val="nil"/>
              <w:left w:val="nil"/>
              <w:bottom w:val="single" w:sz="4" w:space="0" w:color="auto"/>
              <w:right w:val="single" w:sz="4" w:space="0" w:color="auto"/>
            </w:tcBorders>
          </w:tcPr>
          <w:p w:rsidR="00146C23" w:rsidRPr="00146C23" w:rsidRDefault="00146C23" w:rsidP="00146C23">
            <w:pPr>
              <w:widowControl/>
              <w:adjustRightInd/>
              <w:jc w:val="center"/>
              <w:rPr>
                <w:rFonts w:cs="Times New Roman"/>
                <w:b/>
                <w:bCs/>
              </w:rPr>
            </w:pPr>
            <w:r w:rsidRPr="00146C23">
              <w:rPr>
                <w:rFonts w:cs="Times New Roman"/>
                <w:b/>
                <w:bCs/>
              </w:rPr>
              <w:t> </w:t>
            </w:r>
          </w:p>
        </w:tc>
        <w:tc>
          <w:tcPr>
            <w:tcW w:w="2220" w:type="dxa"/>
            <w:tcBorders>
              <w:top w:val="nil"/>
              <w:left w:val="nil"/>
              <w:bottom w:val="single" w:sz="4" w:space="0" w:color="auto"/>
              <w:right w:val="single" w:sz="4" w:space="0" w:color="auto"/>
            </w:tcBorders>
            <w:noWrap/>
            <w:vAlign w:val="bottom"/>
          </w:tcPr>
          <w:p w:rsidR="00146C23" w:rsidRPr="00146C23" w:rsidRDefault="00146C23" w:rsidP="00146C23">
            <w:pPr>
              <w:widowControl/>
              <w:adjustRightInd/>
              <w:rPr>
                <w:rFonts w:cs="Times New Roman"/>
              </w:rPr>
            </w:pPr>
            <w:r w:rsidRPr="00146C23">
              <w:rPr>
                <w:rFonts w:cs="Times New Roman"/>
              </w:rPr>
              <w:t> </w:t>
            </w:r>
          </w:p>
        </w:tc>
      </w:tr>
      <w:tr w:rsidR="00146C23" w:rsidRPr="00146C23" w:rsidTr="00146C23">
        <w:trPr>
          <w:trHeight w:val="78"/>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46C23" w:rsidRPr="00146C23" w:rsidRDefault="00146C23" w:rsidP="00146C23">
            <w:pPr>
              <w:widowControl/>
              <w:adjustRightInd/>
              <w:rPr>
                <w:rFonts w:cs="Times New Roman"/>
                <w:b/>
                <w:bCs/>
                <w:sz w:val="20"/>
                <w:szCs w:val="20"/>
              </w:rPr>
            </w:pPr>
            <w:r w:rsidRPr="00146C23">
              <w:rPr>
                <w:rFonts w:cs="Times New Roman"/>
                <w:b/>
                <w:bCs/>
                <w:sz w:val="20"/>
                <w:szCs w:val="20"/>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146C23" w:rsidRPr="00146C23" w:rsidRDefault="00146C23" w:rsidP="00146C23">
            <w:pPr>
              <w:widowControl/>
              <w:adjustRightInd/>
              <w:jc w:val="center"/>
              <w:rPr>
                <w:rFonts w:cs="Times New Roman"/>
                <w:b/>
                <w:bCs/>
                <w:sz w:val="20"/>
                <w:szCs w:val="20"/>
              </w:rPr>
            </w:pPr>
            <w:r w:rsidRPr="00146C23">
              <w:rPr>
                <w:rFonts w:cs="Times New Roman"/>
                <w:b/>
                <w:bCs/>
                <w:sz w:val="20"/>
                <w:szCs w:val="20"/>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146C23" w:rsidRPr="00146C23" w:rsidRDefault="00146C23" w:rsidP="00146C23">
            <w:pPr>
              <w:widowControl/>
              <w:adjustRightInd/>
              <w:jc w:val="center"/>
              <w:rPr>
                <w:rFonts w:cs="Times New Roman"/>
                <w:b/>
                <w:sz w:val="20"/>
                <w:szCs w:val="20"/>
              </w:rPr>
            </w:pPr>
            <w:r w:rsidRPr="00146C23">
              <w:rPr>
                <w:rFonts w:cs="Times New Roman"/>
                <w:b/>
                <w:sz w:val="20"/>
                <w:szCs w:val="20"/>
              </w:rPr>
              <w:t>+465 368</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146C23" w:rsidRPr="00146C23" w:rsidRDefault="00146C23" w:rsidP="00146C23">
            <w:pPr>
              <w:widowControl/>
              <w:adjustRightInd/>
              <w:jc w:val="center"/>
              <w:rPr>
                <w:rFonts w:cs="Times New Roman"/>
                <w:b/>
                <w:sz w:val="20"/>
                <w:szCs w:val="20"/>
              </w:rPr>
            </w:pPr>
            <w:r w:rsidRPr="00146C23">
              <w:rPr>
                <w:rFonts w:cs="Times New Roman"/>
                <w:b/>
                <w:sz w:val="20"/>
                <w:szCs w:val="20"/>
              </w:rPr>
              <w:t>+451 368</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146C23" w:rsidRPr="00146C23" w:rsidRDefault="00146C23" w:rsidP="00146C23">
            <w:pPr>
              <w:widowControl/>
              <w:adjustRightInd/>
              <w:jc w:val="center"/>
              <w:rPr>
                <w:rFonts w:cs="Times New Roman"/>
                <w:b/>
                <w:sz w:val="20"/>
                <w:szCs w:val="20"/>
              </w:rPr>
            </w:pPr>
            <w:r w:rsidRPr="00146C23">
              <w:rPr>
                <w:rFonts w:cs="Times New Roman"/>
                <w:b/>
                <w:sz w:val="20"/>
                <w:szCs w:val="20"/>
              </w:rPr>
              <w:t>+451 368</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146C23" w:rsidRPr="00146C23" w:rsidRDefault="00146C23" w:rsidP="00146C23">
            <w:pPr>
              <w:widowControl/>
              <w:adjustRightInd/>
              <w:rPr>
                <w:rFonts w:cs="Times New Roman"/>
              </w:rPr>
            </w:pPr>
            <w:r w:rsidRPr="00146C23">
              <w:rPr>
                <w:rFonts w:cs="Times New Roman"/>
              </w:rPr>
              <w:t> </w:t>
            </w:r>
          </w:p>
        </w:tc>
      </w:tr>
      <w:tr w:rsidR="007F0E03" w:rsidRPr="001C46AF" w:rsidTr="007F0E03">
        <w:trPr>
          <w:trHeight w:val="78"/>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F0E03" w:rsidRPr="001C46AF" w:rsidRDefault="007F0E03" w:rsidP="007F0E03">
            <w:pPr>
              <w:rPr>
                <w:rFonts w:cs="Times New Roman"/>
                <w:b/>
                <w:bCs/>
                <w:sz w:val="20"/>
                <w:szCs w:val="20"/>
              </w:rPr>
            </w:pPr>
            <w:r w:rsidRPr="001C46AF">
              <w:rPr>
                <w:rFonts w:cs="Times New Roman"/>
                <w:b/>
                <w:bCs/>
                <w:sz w:val="20"/>
                <w:szCs w:val="20"/>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7F0E03" w:rsidRPr="001C46AF" w:rsidRDefault="007F0E03" w:rsidP="007F0E03">
            <w:pPr>
              <w:jc w:val="center"/>
              <w:rPr>
                <w:rFonts w:cs="Times New Roman"/>
                <w:b/>
                <w:bCs/>
                <w:sz w:val="20"/>
                <w:szCs w:val="20"/>
              </w:rPr>
            </w:pPr>
            <w:r w:rsidRPr="001C46AF">
              <w:rPr>
                <w:rFonts w:cs="Times New Roman"/>
                <w:b/>
                <w:bCs/>
                <w:sz w:val="20"/>
                <w:szCs w:val="20"/>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7F0E03" w:rsidRPr="001C46AF" w:rsidRDefault="007F0E03" w:rsidP="007F0E03">
            <w:pPr>
              <w:jc w:val="center"/>
              <w:rPr>
                <w:rFonts w:cs="Times New Roman"/>
                <w:b/>
                <w:sz w:val="20"/>
                <w:szCs w:val="20"/>
              </w:rPr>
            </w:pPr>
            <w:r w:rsidRPr="001C46AF">
              <w:rPr>
                <w:rFonts w:cs="Times New Roman"/>
                <w:b/>
                <w:sz w:val="20"/>
                <w:szCs w:val="20"/>
              </w:rPr>
              <w:t>+465 368</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7F0E03" w:rsidRPr="001C46AF" w:rsidRDefault="007F0E03" w:rsidP="007F0E03">
            <w:pPr>
              <w:jc w:val="center"/>
              <w:rPr>
                <w:rFonts w:cs="Times New Roman"/>
                <w:b/>
                <w:sz w:val="20"/>
                <w:szCs w:val="20"/>
              </w:rPr>
            </w:pPr>
            <w:r w:rsidRPr="001C46AF">
              <w:rPr>
                <w:rFonts w:cs="Times New Roman"/>
                <w:b/>
                <w:sz w:val="20"/>
                <w:szCs w:val="20"/>
              </w:rPr>
              <w:t>+451 368</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7F0E03" w:rsidRPr="001C46AF" w:rsidRDefault="007F0E03" w:rsidP="007F0E03">
            <w:pPr>
              <w:jc w:val="center"/>
              <w:rPr>
                <w:rFonts w:cs="Times New Roman"/>
                <w:b/>
                <w:sz w:val="20"/>
                <w:szCs w:val="20"/>
              </w:rPr>
            </w:pPr>
            <w:r w:rsidRPr="001C46AF">
              <w:rPr>
                <w:rFonts w:cs="Times New Roman"/>
                <w:b/>
                <w:sz w:val="20"/>
                <w:szCs w:val="20"/>
              </w:rPr>
              <w:t>+451 368</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7F0E03" w:rsidRPr="001C46AF" w:rsidRDefault="007F0E03" w:rsidP="007F0E03">
            <w:pPr>
              <w:rPr>
                <w:rFonts w:cs="Times New Roman"/>
              </w:rPr>
            </w:pPr>
            <w:r w:rsidRPr="001C46AF">
              <w:rPr>
                <w:rFonts w:cs="Times New Roman"/>
              </w:rPr>
              <w:t> </w:t>
            </w:r>
          </w:p>
        </w:tc>
      </w:tr>
    </w:tbl>
    <w:p w:rsidR="007F0E03" w:rsidRPr="007F0E03" w:rsidRDefault="007F0E03" w:rsidP="007F0E03">
      <w:pPr>
        <w:tabs>
          <w:tab w:val="num" w:pos="1080"/>
        </w:tabs>
        <w:spacing w:after="120"/>
        <w:ind w:left="-902" w:firstLine="193"/>
        <w:jc w:val="both"/>
        <w:rPr>
          <w:rFonts w:cs="Times New Roman"/>
          <w:b/>
          <w:bCs/>
          <w:iCs/>
          <w:sz w:val="20"/>
          <w:szCs w:val="20"/>
        </w:rPr>
      </w:pPr>
      <w:r w:rsidRPr="007F0E03">
        <w:rPr>
          <w:rFonts w:cs="Times New Roman"/>
          <w:bCs/>
          <w:sz w:val="20"/>
          <w:szCs w:val="20"/>
        </w:rPr>
        <w:t xml:space="preserve">Tabuľka č. 4/A </w:t>
      </w:r>
      <w:r w:rsidRPr="007F0E03">
        <w:rPr>
          <w:rFonts w:cs="Times New Roman"/>
          <w:b/>
          <w:bCs/>
          <w:iCs/>
          <w:sz w:val="20"/>
          <w:szCs w:val="20"/>
        </w:rPr>
        <w:t xml:space="preserve">Tabuľka vplyvov na výdavky </w:t>
      </w:r>
      <w:r w:rsidRPr="007F0E03">
        <w:rPr>
          <w:rFonts w:cs="Times New Roman"/>
          <w:bCs/>
          <w:sz w:val="20"/>
          <w:szCs w:val="20"/>
        </w:rPr>
        <w:t>za subjekt Ministerstvo hospodárstva SR/SOI - Výdavky spolu /Nariadenie (EÚ) 2023/1542 a Zákon č. 351/2022 Z. z./</w:t>
      </w:r>
    </w:p>
    <w:p w:rsidR="007F0E03" w:rsidRPr="001C46AF" w:rsidRDefault="007F0E03" w:rsidP="007F0E03">
      <w:pPr>
        <w:tabs>
          <w:tab w:val="num" w:pos="1080"/>
        </w:tabs>
        <w:spacing w:after="120"/>
        <w:ind w:left="-902"/>
        <w:jc w:val="both"/>
        <w:rPr>
          <w:rFonts w:cs="Times New Roman"/>
          <w:bCs/>
          <w:sz w:val="20"/>
          <w:szCs w:val="20"/>
        </w:rPr>
      </w:pPr>
      <w:r w:rsidRPr="001C46AF">
        <w:rPr>
          <w:rFonts w:cs="Times New Roman"/>
          <w:bCs/>
          <w:sz w:val="20"/>
          <w:szCs w:val="20"/>
        </w:rPr>
        <w:t>2 –  výdavky rozpísať až do položiek platnej ekonomickej klasifikácie</w:t>
      </w:r>
    </w:p>
    <w:p w:rsidR="007F0E03" w:rsidRPr="007F0E03" w:rsidRDefault="007F0E03" w:rsidP="007F0E03">
      <w:pPr>
        <w:tabs>
          <w:tab w:val="num" w:pos="1080"/>
        </w:tabs>
        <w:ind w:left="-900"/>
        <w:jc w:val="both"/>
        <w:rPr>
          <w:rFonts w:cs="Times New Roman"/>
          <w:b/>
          <w:bCs/>
          <w:sz w:val="20"/>
          <w:szCs w:val="20"/>
        </w:rPr>
      </w:pPr>
      <w:r w:rsidRPr="007F0E03">
        <w:rPr>
          <w:rFonts w:cs="Times New Roman"/>
          <w:b/>
          <w:bCs/>
          <w:sz w:val="20"/>
          <w:szCs w:val="20"/>
        </w:rPr>
        <w:t>Poznámka:</w:t>
      </w:r>
    </w:p>
    <w:p w:rsidR="007F0E03" w:rsidRPr="007F0E03" w:rsidRDefault="007F0E03" w:rsidP="007F0E03">
      <w:pPr>
        <w:tabs>
          <w:tab w:val="num" w:pos="1080"/>
        </w:tabs>
        <w:ind w:left="-900"/>
        <w:jc w:val="both"/>
        <w:rPr>
          <w:rFonts w:cs="Times New Roman"/>
          <w:bCs/>
          <w:sz w:val="20"/>
          <w:szCs w:val="20"/>
        </w:rPr>
      </w:pPr>
      <w:r w:rsidRPr="007F0E03">
        <w:rPr>
          <w:rFonts w:cs="Times New Roman"/>
          <w:bCs/>
          <w:sz w:val="20"/>
          <w:szCs w:val="20"/>
        </w:rPr>
        <w:t>Ak sa vplyv týka viacerých subjektov verejnej správy, vypĺňa sa samostatná tabuľka za každý subjekt.</w:t>
      </w:r>
    </w:p>
    <w:p w:rsidR="007F0E03" w:rsidRPr="007F0E03" w:rsidRDefault="007F0E03" w:rsidP="007F0E03">
      <w:pPr>
        <w:tabs>
          <w:tab w:val="num" w:pos="1080"/>
        </w:tabs>
        <w:ind w:left="-900"/>
        <w:jc w:val="both"/>
        <w:rPr>
          <w:rFonts w:cs="Times New Roman"/>
          <w:bCs/>
          <w:sz w:val="20"/>
          <w:szCs w:val="20"/>
        </w:rPr>
      </w:pPr>
      <w:r w:rsidRPr="007F0E03">
        <w:rPr>
          <w:rFonts w:cs="Times New Roman"/>
          <w:bCs/>
          <w:sz w:val="20"/>
          <w:szCs w:val="20"/>
        </w:rPr>
        <w:t>Rozpis výdavkov Tabuľka č. 4/A v členení na jednotlivé  časti podľa príslušnosti k Nariadeniu (EÚ) 2023/1542, resp. a Zákonu č. 351/2022 Z. z. je rozpracovaný v tabuľkách Tabuľka č. 4/A1 a 4/A2 .</w:t>
      </w:r>
    </w:p>
    <w:p w:rsidR="007F0E03" w:rsidRPr="001C46AF" w:rsidRDefault="007F0E03" w:rsidP="007F0E03">
      <w:pPr>
        <w:tabs>
          <w:tab w:val="num" w:pos="1080"/>
        </w:tabs>
        <w:jc w:val="both"/>
        <w:rPr>
          <w:rFonts w:cs="Times New Roman"/>
          <w:bCs/>
          <w:sz w:val="20"/>
          <w:szCs w:val="20"/>
        </w:rPr>
      </w:pP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 xml:space="preserve">* </w:t>
      </w:r>
      <w:r w:rsidRPr="001C46AF">
        <w:rPr>
          <w:rFonts w:cs="Times New Roman"/>
          <w:b/>
          <w:bCs/>
          <w:i/>
        </w:rPr>
        <w:t>630 – Tovary a služby</w:t>
      </w:r>
      <w:r w:rsidRPr="001C46AF">
        <w:rPr>
          <w:rFonts w:cs="Times New Roman"/>
          <w:bCs/>
          <w:sz w:val="20"/>
          <w:szCs w:val="20"/>
        </w:rPr>
        <w:t xml:space="preserve"> </w:t>
      </w:r>
      <w:r>
        <w:rPr>
          <w:rFonts w:cs="Times New Roman"/>
          <w:bCs/>
          <w:sz w:val="20"/>
          <w:szCs w:val="20"/>
        </w:rPr>
        <w:tab/>
      </w:r>
      <w:r>
        <w:rPr>
          <w:rFonts w:cs="Times New Roman"/>
          <w:bCs/>
          <w:sz w:val="20"/>
          <w:szCs w:val="20"/>
        </w:rPr>
        <w:tab/>
      </w:r>
      <w:r>
        <w:rPr>
          <w:rFonts w:cs="Times New Roman"/>
          <w:bCs/>
          <w:sz w:val="20"/>
          <w:szCs w:val="20"/>
        </w:rPr>
        <w:tab/>
      </w:r>
      <w:r>
        <w:rPr>
          <w:rFonts w:cs="Times New Roman"/>
          <w:bCs/>
          <w:sz w:val="20"/>
          <w:szCs w:val="20"/>
        </w:rPr>
        <w:tab/>
      </w:r>
      <w:r>
        <w:rPr>
          <w:rFonts w:cs="Times New Roman"/>
          <w:bCs/>
          <w:sz w:val="20"/>
          <w:szCs w:val="20"/>
        </w:rPr>
        <w:tab/>
      </w:r>
      <w:r w:rsidRPr="001C46AF">
        <w:rPr>
          <w:rFonts w:cs="Times New Roman"/>
          <w:bCs/>
          <w:sz w:val="20"/>
          <w:szCs w:val="20"/>
        </w:rPr>
        <w:t>**</w:t>
      </w:r>
      <w:r w:rsidRPr="001C46AF">
        <w:rPr>
          <w:rFonts w:cs="Times New Roman"/>
          <w:b/>
          <w:bCs/>
          <w:i/>
        </w:rPr>
        <w:t>640 – Bežné transfery</w:t>
      </w:r>
      <w:r w:rsidRPr="001C46AF">
        <w:rPr>
          <w:rFonts w:cs="Times New Roman"/>
          <w:bCs/>
          <w:sz w:val="20"/>
          <w:szCs w:val="20"/>
        </w:rPr>
        <w:t xml:space="preserve"> </w:t>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t xml:space="preserve">                                           </w:t>
      </w: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631001 Cestovné náhrady tuzemské</w:t>
      </w:r>
      <w:r w:rsidRPr="001C46AF">
        <w:rPr>
          <w:rFonts w:cs="Times New Roman"/>
          <w:bCs/>
          <w:sz w:val="20"/>
          <w:szCs w:val="20"/>
        </w:rPr>
        <w:tab/>
        <w:t xml:space="preserve">3 800,00 EUR </w:t>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t xml:space="preserve">642014 Jednotlivci     (fin. </w:t>
      </w:r>
      <w:proofErr w:type="spellStart"/>
      <w:r w:rsidRPr="001C46AF">
        <w:rPr>
          <w:rFonts w:cs="Times New Roman"/>
          <w:bCs/>
          <w:sz w:val="20"/>
          <w:szCs w:val="20"/>
        </w:rPr>
        <w:t>prísp</w:t>
      </w:r>
      <w:proofErr w:type="spellEnd"/>
      <w:r w:rsidRPr="001C46AF">
        <w:rPr>
          <w:rFonts w:cs="Times New Roman"/>
          <w:bCs/>
          <w:sz w:val="20"/>
          <w:szCs w:val="20"/>
        </w:rPr>
        <w:t>.) 14 880,00 EUR</w:t>
      </w: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 xml:space="preserve">631002 Cestovné náhrady </w:t>
      </w:r>
      <w:proofErr w:type="spellStart"/>
      <w:r w:rsidRPr="001C46AF">
        <w:rPr>
          <w:rFonts w:cs="Times New Roman"/>
          <w:bCs/>
          <w:sz w:val="20"/>
          <w:szCs w:val="20"/>
        </w:rPr>
        <w:t>zahr</w:t>
      </w:r>
      <w:proofErr w:type="spellEnd"/>
      <w:r w:rsidRPr="001C46AF">
        <w:rPr>
          <w:rFonts w:cs="Times New Roman"/>
          <w:bCs/>
          <w:sz w:val="20"/>
          <w:szCs w:val="20"/>
        </w:rPr>
        <w:t xml:space="preserve">. </w:t>
      </w:r>
      <w:r w:rsidRPr="001C46AF">
        <w:rPr>
          <w:rFonts w:cs="Times New Roman"/>
          <w:bCs/>
          <w:sz w:val="20"/>
          <w:szCs w:val="20"/>
        </w:rPr>
        <w:tab/>
        <w:t>1 000,00 EUR</w:t>
      </w:r>
      <w:r w:rsidRPr="001C46AF">
        <w:rPr>
          <w:rFonts w:cs="Times New Roman"/>
          <w:bCs/>
          <w:sz w:val="20"/>
          <w:szCs w:val="20"/>
        </w:rPr>
        <w:tab/>
      </w:r>
      <w:r w:rsidRPr="001C46AF">
        <w:rPr>
          <w:rFonts w:cs="Times New Roman"/>
          <w:bCs/>
          <w:sz w:val="20"/>
          <w:szCs w:val="20"/>
        </w:rPr>
        <w:tab/>
        <w:t xml:space="preserve">              642015 Na nemocenské dávky </w:t>
      </w:r>
      <w:r w:rsidRPr="001C46AF">
        <w:rPr>
          <w:rFonts w:cs="Times New Roman"/>
          <w:bCs/>
          <w:sz w:val="20"/>
          <w:szCs w:val="20"/>
        </w:rPr>
        <w:tab/>
        <w:t>6 000,00 EUR</w:t>
      </w: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 xml:space="preserve">632001 Energie </w:t>
      </w:r>
      <w:r w:rsidRPr="001C46AF">
        <w:rPr>
          <w:rFonts w:cs="Times New Roman"/>
          <w:bCs/>
          <w:sz w:val="20"/>
          <w:szCs w:val="20"/>
        </w:rPr>
        <w:tab/>
      </w:r>
      <w:r w:rsidRPr="001C46AF">
        <w:rPr>
          <w:rFonts w:cs="Times New Roman"/>
          <w:bCs/>
          <w:sz w:val="20"/>
          <w:szCs w:val="20"/>
        </w:rPr>
        <w:tab/>
        <w:t xml:space="preserve">            13 200,00 EUR </w:t>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t xml:space="preserve">642030 Príplatky a príspevky </w:t>
      </w:r>
      <w:r w:rsidRPr="001C46AF">
        <w:rPr>
          <w:rFonts w:cs="Times New Roman"/>
          <w:bCs/>
          <w:sz w:val="20"/>
          <w:szCs w:val="20"/>
        </w:rPr>
        <w:tab/>
      </w:r>
      <w:r w:rsidRPr="001C46AF">
        <w:rPr>
          <w:rFonts w:cs="Times New Roman"/>
          <w:bCs/>
          <w:sz w:val="20"/>
          <w:szCs w:val="20"/>
          <w:u w:val="single"/>
        </w:rPr>
        <w:t xml:space="preserve">4 000,00 EUR </w:t>
      </w:r>
      <w:r w:rsidRPr="001C46AF">
        <w:rPr>
          <w:rFonts w:cs="Times New Roman"/>
          <w:bCs/>
          <w:sz w:val="20"/>
          <w:szCs w:val="20"/>
          <w:u w:val="single"/>
        </w:rPr>
        <w:tab/>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t xml:space="preserve">               </w:t>
      </w: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 xml:space="preserve">632002 Vodné, stočné </w:t>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t xml:space="preserve">   400,00 EUR </w:t>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t xml:space="preserve">                          </w:t>
      </w:r>
      <w:r w:rsidRPr="001C46AF">
        <w:rPr>
          <w:rFonts w:cs="Times New Roman"/>
          <w:b/>
          <w:bCs/>
          <w:sz w:val="20"/>
          <w:szCs w:val="20"/>
        </w:rPr>
        <w:t>24 880,00 EUR</w:t>
      </w: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632004 Komunikačná infraštruktúra</w:t>
      </w:r>
      <w:r w:rsidRPr="001C46AF">
        <w:rPr>
          <w:rFonts w:cs="Times New Roman"/>
          <w:bCs/>
          <w:sz w:val="20"/>
          <w:szCs w:val="20"/>
        </w:rPr>
        <w:tab/>
        <w:t xml:space="preserve"> 1200,00 EUR </w:t>
      </w: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 xml:space="preserve">632005 Telekomunikačné služby </w:t>
      </w:r>
      <w:r w:rsidRPr="001C46AF">
        <w:rPr>
          <w:rFonts w:cs="Times New Roman"/>
          <w:bCs/>
          <w:sz w:val="20"/>
          <w:szCs w:val="20"/>
        </w:rPr>
        <w:tab/>
        <w:t xml:space="preserve"> 1400,00 EUR </w:t>
      </w: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 xml:space="preserve">633001 Interiérové vybavenie </w:t>
      </w:r>
      <w:r w:rsidRPr="001C46AF">
        <w:rPr>
          <w:rFonts w:cs="Times New Roman"/>
          <w:bCs/>
          <w:sz w:val="20"/>
          <w:szCs w:val="20"/>
        </w:rPr>
        <w:tab/>
        <w:t xml:space="preserve">4 000,00 EUR </w:t>
      </w: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 xml:space="preserve">633002 Výpočtová technika </w:t>
      </w:r>
      <w:r w:rsidRPr="001C46AF">
        <w:rPr>
          <w:rFonts w:cs="Times New Roman"/>
          <w:bCs/>
          <w:sz w:val="20"/>
          <w:szCs w:val="20"/>
        </w:rPr>
        <w:tab/>
        <w:t xml:space="preserve">            10 000,00 EUR </w:t>
      </w: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 xml:space="preserve">633006 Všeobecný materiál </w:t>
      </w:r>
      <w:r w:rsidRPr="001C46AF">
        <w:rPr>
          <w:rFonts w:cs="Times New Roman"/>
          <w:bCs/>
          <w:sz w:val="20"/>
          <w:szCs w:val="20"/>
        </w:rPr>
        <w:tab/>
      </w:r>
      <w:r w:rsidRPr="001C46AF">
        <w:rPr>
          <w:rFonts w:cs="Times New Roman"/>
          <w:bCs/>
          <w:sz w:val="20"/>
          <w:szCs w:val="20"/>
        </w:rPr>
        <w:tab/>
        <w:t xml:space="preserve"> 8 365,00 EUR </w:t>
      </w: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 xml:space="preserve">637011 Štúdie, expertízy, posudky   </w:t>
      </w:r>
      <w:r w:rsidRPr="001C46AF">
        <w:rPr>
          <w:rFonts w:cs="Times New Roman"/>
          <w:bCs/>
          <w:sz w:val="20"/>
          <w:szCs w:val="20"/>
          <w:u w:val="single"/>
        </w:rPr>
        <w:t>42 000,00 EUR</w:t>
      </w:r>
    </w:p>
    <w:p w:rsidR="007F0E03" w:rsidRPr="001C46AF" w:rsidRDefault="007F0E03" w:rsidP="007F0E03">
      <w:pPr>
        <w:tabs>
          <w:tab w:val="num" w:pos="1080"/>
        </w:tabs>
        <w:ind w:left="-900"/>
        <w:jc w:val="both"/>
        <w:rPr>
          <w:rFonts w:cs="Times New Roman"/>
          <w:b/>
          <w:bCs/>
          <w:sz w:val="20"/>
          <w:szCs w:val="20"/>
        </w:rPr>
      </w:pPr>
      <w:r w:rsidRPr="001C46AF">
        <w:rPr>
          <w:rFonts w:cs="Times New Roman"/>
          <w:b/>
          <w:bCs/>
          <w:sz w:val="20"/>
          <w:szCs w:val="20"/>
        </w:rPr>
        <w:tab/>
      </w:r>
      <w:r w:rsidRPr="001C46AF">
        <w:rPr>
          <w:rFonts w:cs="Times New Roman"/>
          <w:b/>
          <w:bCs/>
          <w:sz w:val="20"/>
          <w:szCs w:val="20"/>
        </w:rPr>
        <w:tab/>
        <w:t xml:space="preserve">            85 365,00 EUR</w:t>
      </w:r>
    </w:p>
    <w:p w:rsidR="007F0E03" w:rsidRPr="007F0E03" w:rsidRDefault="00146C23" w:rsidP="007F0E03">
      <w:pPr>
        <w:rPr>
          <w:rFonts w:cs="Times New Roman"/>
          <w:bCs/>
          <w:sz w:val="20"/>
          <w:szCs w:val="20"/>
        </w:rPr>
      </w:pPr>
      <w:r w:rsidRPr="00146C23">
        <w:rPr>
          <w:rFonts w:cs="Times New Roman"/>
          <w:b/>
          <w:bCs/>
          <w:sz w:val="20"/>
          <w:szCs w:val="20"/>
        </w:rPr>
        <w:br w:type="page"/>
      </w:r>
      <w:r w:rsidR="007F0E03" w:rsidRPr="007F0E03">
        <w:rPr>
          <w:rFonts w:cs="Times New Roman"/>
          <w:bCs/>
          <w:sz w:val="20"/>
          <w:szCs w:val="20"/>
        </w:rPr>
        <w:t>Tabuľka č. 4/A1 za subjekt Ministerstvo hospodárstva SR/SOI - Výdavky výlučne k Nariadeniu (EÚ) 2023/1542</w:t>
      </w:r>
    </w:p>
    <w:tbl>
      <w:tblPr>
        <w:tblpPr w:leftFromText="141" w:rightFromText="141" w:vertAnchor="text" w:horzAnchor="margin" w:tblpXSpec="center" w:tblpY="18"/>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7F0E03" w:rsidRPr="001C46AF" w:rsidTr="007F0E03">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7F0E03" w:rsidRPr="001C46AF" w:rsidRDefault="007F0E03" w:rsidP="007F0E03">
            <w:pPr>
              <w:jc w:val="center"/>
              <w:rPr>
                <w:rFonts w:cs="Times New Roman"/>
                <w:b/>
                <w:bCs/>
                <w:sz w:val="20"/>
                <w:szCs w:val="20"/>
              </w:rPr>
            </w:pPr>
            <w:r w:rsidRPr="001C46AF">
              <w:rPr>
                <w:rFonts w:cs="Times New Roman"/>
                <w:b/>
                <w:bCs/>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7F0E03" w:rsidRPr="001C46AF" w:rsidRDefault="007F0E03" w:rsidP="007F0E03">
            <w:pPr>
              <w:jc w:val="center"/>
              <w:rPr>
                <w:rFonts w:cs="Times New Roman"/>
                <w:b/>
                <w:bCs/>
                <w:sz w:val="20"/>
                <w:szCs w:val="20"/>
              </w:rPr>
            </w:pPr>
            <w:r w:rsidRPr="001C46AF">
              <w:rPr>
                <w:rFonts w:cs="Times New Roman"/>
                <w:b/>
                <w:bCs/>
                <w:sz w:val="20"/>
                <w:szCs w:val="20"/>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F0E03" w:rsidRPr="001C46AF" w:rsidRDefault="007F0E03" w:rsidP="007F0E03">
            <w:pPr>
              <w:jc w:val="center"/>
              <w:rPr>
                <w:rFonts w:cs="Times New Roman"/>
                <w:b/>
                <w:bCs/>
              </w:rPr>
            </w:pPr>
            <w:r w:rsidRPr="001C46AF">
              <w:rPr>
                <w:rFonts w:cs="Times New Roman"/>
                <w:b/>
                <w:bCs/>
              </w:rPr>
              <w:t>poznámka</w:t>
            </w:r>
          </w:p>
        </w:tc>
      </w:tr>
      <w:tr w:rsidR="007F0E03" w:rsidRPr="001C46AF" w:rsidTr="007F0E03">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7F0E03" w:rsidRPr="001C46AF" w:rsidRDefault="007F0E03" w:rsidP="007F0E03">
            <w:pPr>
              <w:rPr>
                <w:rFonts w:cs="Times New Roman"/>
                <w:b/>
                <w:bCs/>
                <w:sz w:val="20"/>
                <w:szCs w:val="20"/>
              </w:rPr>
            </w:pPr>
          </w:p>
        </w:tc>
        <w:tc>
          <w:tcPr>
            <w:tcW w:w="1540" w:type="dxa"/>
            <w:tcBorders>
              <w:top w:val="nil"/>
              <w:left w:val="nil"/>
              <w:bottom w:val="single" w:sz="4" w:space="0" w:color="auto"/>
              <w:right w:val="single" w:sz="4" w:space="0" w:color="auto"/>
            </w:tcBorders>
            <w:shd w:val="clear" w:color="auto" w:fill="BFBFBF" w:themeFill="background1" w:themeFillShade="BF"/>
          </w:tcPr>
          <w:p w:rsidR="007F0E03" w:rsidRPr="001C46AF" w:rsidRDefault="007F0E03" w:rsidP="007F0E03">
            <w:pPr>
              <w:jc w:val="center"/>
              <w:rPr>
                <w:rFonts w:cs="Times New Roman"/>
                <w:b/>
                <w:bCs/>
              </w:rPr>
            </w:pPr>
            <w:r w:rsidRPr="001C46AF">
              <w:rPr>
                <w:rFonts w:cs="Times New Roman"/>
                <w:b/>
                <w:bCs/>
              </w:rPr>
              <w:t>2025</w:t>
            </w:r>
          </w:p>
        </w:tc>
        <w:tc>
          <w:tcPr>
            <w:tcW w:w="1540" w:type="dxa"/>
            <w:tcBorders>
              <w:top w:val="nil"/>
              <w:left w:val="nil"/>
              <w:bottom w:val="single" w:sz="4" w:space="0" w:color="auto"/>
              <w:right w:val="single" w:sz="4" w:space="0" w:color="auto"/>
            </w:tcBorders>
            <w:shd w:val="clear" w:color="auto" w:fill="BFBFBF" w:themeFill="background1" w:themeFillShade="BF"/>
          </w:tcPr>
          <w:p w:rsidR="007F0E03" w:rsidRPr="001C46AF" w:rsidRDefault="007F0E03" w:rsidP="007F0E03">
            <w:pPr>
              <w:jc w:val="center"/>
              <w:rPr>
                <w:rFonts w:cs="Times New Roman"/>
                <w:b/>
                <w:bCs/>
              </w:rPr>
            </w:pPr>
            <w:r w:rsidRPr="001C46AF">
              <w:rPr>
                <w:rFonts w:cs="Times New Roman"/>
                <w:b/>
                <w:bCs/>
              </w:rPr>
              <w:t>2026</w:t>
            </w:r>
          </w:p>
        </w:tc>
        <w:tc>
          <w:tcPr>
            <w:tcW w:w="1540" w:type="dxa"/>
            <w:tcBorders>
              <w:top w:val="nil"/>
              <w:left w:val="nil"/>
              <w:bottom w:val="single" w:sz="4" w:space="0" w:color="auto"/>
              <w:right w:val="single" w:sz="4" w:space="0" w:color="auto"/>
            </w:tcBorders>
            <w:shd w:val="clear" w:color="auto" w:fill="BFBFBF" w:themeFill="background1" w:themeFillShade="BF"/>
          </w:tcPr>
          <w:p w:rsidR="007F0E03" w:rsidRPr="001C46AF" w:rsidRDefault="007F0E03" w:rsidP="007F0E03">
            <w:pPr>
              <w:jc w:val="center"/>
              <w:rPr>
                <w:rFonts w:cs="Times New Roman"/>
                <w:b/>
                <w:bCs/>
              </w:rPr>
            </w:pPr>
            <w:r w:rsidRPr="001C46AF">
              <w:rPr>
                <w:rFonts w:cs="Times New Roman"/>
                <w:b/>
                <w:bCs/>
              </w:rPr>
              <w:t>2027</w:t>
            </w:r>
          </w:p>
        </w:tc>
        <w:tc>
          <w:tcPr>
            <w:tcW w:w="1540" w:type="dxa"/>
            <w:tcBorders>
              <w:top w:val="nil"/>
              <w:left w:val="nil"/>
              <w:bottom w:val="single" w:sz="4" w:space="0" w:color="auto"/>
              <w:right w:val="single" w:sz="4" w:space="0" w:color="auto"/>
            </w:tcBorders>
            <w:shd w:val="clear" w:color="auto" w:fill="BFBFBF" w:themeFill="background1" w:themeFillShade="BF"/>
          </w:tcPr>
          <w:p w:rsidR="007F0E03" w:rsidRPr="001C46AF" w:rsidRDefault="007F0E03" w:rsidP="007F0E03">
            <w:pPr>
              <w:jc w:val="center"/>
              <w:rPr>
                <w:rFonts w:cs="Times New Roman"/>
                <w:b/>
                <w:bCs/>
              </w:rPr>
            </w:pPr>
            <w:r w:rsidRPr="001C46AF">
              <w:rPr>
                <w:rFonts w:cs="Times New Roman"/>
                <w:b/>
                <w:bCs/>
              </w:rPr>
              <w:t>2028</w:t>
            </w:r>
          </w:p>
        </w:tc>
        <w:tc>
          <w:tcPr>
            <w:tcW w:w="2220" w:type="dxa"/>
            <w:vMerge/>
            <w:tcBorders>
              <w:top w:val="single" w:sz="4" w:space="0" w:color="auto"/>
              <w:left w:val="single" w:sz="4" w:space="0" w:color="auto"/>
              <w:bottom w:val="single" w:sz="4" w:space="0" w:color="auto"/>
              <w:right w:val="single" w:sz="4" w:space="0" w:color="auto"/>
            </w:tcBorders>
            <w:vAlign w:val="center"/>
          </w:tcPr>
          <w:p w:rsidR="007F0E03" w:rsidRPr="001C46AF" w:rsidRDefault="007F0E03" w:rsidP="007F0E03">
            <w:pPr>
              <w:rPr>
                <w:rFonts w:cs="Times New Roman"/>
                <w:b/>
                <w:bCs/>
              </w:rPr>
            </w:pPr>
          </w:p>
        </w:tc>
      </w:tr>
      <w:tr w:rsidR="007F0E03" w:rsidRPr="001C46AF" w:rsidTr="007F0E03">
        <w:trPr>
          <w:trHeight w:val="581"/>
        </w:trPr>
        <w:tc>
          <w:tcPr>
            <w:tcW w:w="7070" w:type="dxa"/>
            <w:tcBorders>
              <w:top w:val="nil"/>
              <w:left w:val="single" w:sz="4" w:space="0" w:color="auto"/>
              <w:bottom w:val="single" w:sz="4" w:space="0" w:color="auto"/>
              <w:right w:val="single" w:sz="4" w:space="0" w:color="auto"/>
            </w:tcBorders>
          </w:tcPr>
          <w:p w:rsidR="007F0E03" w:rsidRPr="001C46AF" w:rsidRDefault="007F0E03" w:rsidP="007F0E03">
            <w:pPr>
              <w:rPr>
                <w:rFonts w:cs="Times New Roman"/>
                <w:b/>
                <w:bCs/>
                <w:sz w:val="20"/>
                <w:szCs w:val="20"/>
              </w:rPr>
            </w:pPr>
            <w:r w:rsidRPr="001C46AF">
              <w:rPr>
                <w:rFonts w:cs="Times New Roman"/>
                <w:b/>
                <w:bCs/>
                <w:sz w:val="20"/>
                <w:szCs w:val="20"/>
              </w:rPr>
              <w:t>Bežné výdavky (600)</w:t>
            </w:r>
          </w:p>
        </w:tc>
        <w:tc>
          <w:tcPr>
            <w:tcW w:w="1540" w:type="dxa"/>
            <w:tcBorders>
              <w:top w:val="nil"/>
              <w:left w:val="nil"/>
              <w:bottom w:val="single" w:sz="4" w:space="0" w:color="auto"/>
              <w:right w:val="single" w:sz="4" w:space="0" w:color="auto"/>
            </w:tcBorders>
            <w:vAlign w:val="center"/>
          </w:tcPr>
          <w:p w:rsidR="007F0E03" w:rsidRPr="001C46AF" w:rsidRDefault="007F0E03" w:rsidP="007F0E03">
            <w:pPr>
              <w:jc w:val="center"/>
              <w:rPr>
                <w:rFonts w:cs="Times New Roman"/>
                <w:bCs/>
                <w:sz w:val="20"/>
                <w:szCs w:val="20"/>
              </w:rPr>
            </w:pPr>
            <w:r w:rsidRPr="001C46AF">
              <w:rPr>
                <w:rFonts w:cs="Times New Roman"/>
                <w:bCs/>
                <w:sz w:val="20"/>
                <w:szCs w:val="20"/>
              </w:rPr>
              <w:t>0</w:t>
            </w:r>
          </w:p>
        </w:tc>
        <w:tc>
          <w:tcPr>
            <w:tcW w:w="1540" w:type="dxa"/>
            <w:tcBorders>
              <w:top w:val="nil"/>
              <w:left w:val="nil"/>
              <w:bottom w:val="single" w:sz="4" w:space="0" w:color="auto"/>
              <w:right w:val="single" w:sz="4" w:space="0" w:color="auto"/>
            </w:tcBorders>
            <w:vAlign w:val="center"/>
          </w:tcPr>
          <w:p w:rsidR="007F0E03" w:rsidRPr="001C46AF" w:rsidRDefault="007F0E03" w:rsidP="007F0E03">
            <w:pPr>
              <w:jc w:val="center"/>
              <w:rPr>
                <w:rFonts w:cs="Times New Roman"/>
                <w:sz w:val="20"/>
                <w:szCs w:val="20"/>
              </w:rPr>
            </w:pPr>
            <w:r w:rsidRPr="001C46AF">
              <w:rPr>
                <w:rFonts w:cs="Times New Roman"/>
                <w:sz w:val="20"/>
                <w:szCs w:val="20"/>
              </w:rPr>
              <w:t>+248 616</w:t>
            </w:r>
          </w:p>
        </w:tc>
        <w:tc>
          <w:tcPr>
            <w:tcW w:w="1540" w:type="dxa"/>
            <w:tcBorders>
              <w:top w:val="nil"/>
              <w:left w:val="nil"/>
              <w:bottom w:val="single" w:sz="4" w:space="0" w:color="auto"/>
              <w:right w:val="single" w:sz="4" w:space="0" w:color="auto"/>
            </w:tcBorders>
            <w:vAlign w:val="center"/>
          </w:tcPr>
          <w:p w:rsidR="007F0E03" w:rsidRPr="001C46AF" w:rsidRDefault="007F0E03" w:rsidP="007F0E03">
            <w:pPr>
              <w:jc w:val="center"/>
              <w:rPr>
                <w:rFonts w:cs="Times New Roman"/>
                <w:sz w:val="20"/>
                <w:szCs w:val="20"/>
              </w:rPr>
            </w:pPr>
            <w:r w:rsidRPr="001C46AF">
              <w:rPr>
                <w:rFonts w:cs="Times New Roman"/>
                <w:sz w:val="20"/>
                <w:szCs w:val="20"/>
              </w:rPr>
              <w:t>+241 616</w:t>
            </w:r>
          </w:p>
        </w:tc>
        <w:tc>
          <w:tcPr>
            <w:tcW w:w="1540" w:type="dxa"/>
            <w:tcBorders>
              <w:top w:val="nil"/>
              <w:left w:val="nil"/>
              <w:bottom w:val="single" w:sz="4" w:space="0" w:color="auto"/>
              <w:right w:val="single" w:sz="4" w:space="0" w:color="auto"/>
            </w:tcBorders>
            <w:vAlign w:val="center"/>
          </w:tcPr>
          <w:p w:rsidR="007F0E03" w:rsidRPr="001C46AF" w:rsidRDefault="007F0E03" w:rsidP="007F0E03">
            <w:pPr>
              <w:jc w:val="center"/>
              <w:rPr>
                <w:rFonts w:cs="Times New Roman"/>
                <w:sz w:val="20"/>
                <w:szCs w:val="20"/>
              </w:rPr>
            </w:pPr>
            <w:r w:rsidRPr="001C46AF">
              <w:rPr>
                <w:rFonts w:cs="Times New Roman"/>
                <w:sz w:val="20"/>
                <w:szCs w:val="20"/>
              </w:rPr>
              <w:t>+241 616</w:t>
            </w:r>
          </w:p>
        </w:tc>
        <w:tc>
          <w:tcPr>
            <w:tcW w:w="2220" w:type="dxa"/>
            <w:tcBorders>
              <w:top w:val="nil"/>
              <w:left w:val="nil"/>
              <w:bottom w:val="single" w:sz="4" w:space="0" w:color="auto"/>
              <w:right w:val="single" w:sz="4" w:space="0" w:color="auto"/>
            </w:tcBorders>
            <w:noWrap/>
            <w:vAlign w:val="bottom"/>
          </w:tcPr>
          <w:p w:rsidR="007F0E03" w:rsidRPr="001C46AF" w:rsidRDefault="007F0E03" w:rsidP="007F0E03">
            <w:pPr>
              <w:rPr>
                <w:rFonts w:cs="Times New Roman"/>
              </w:rPr>
            </w:pPr>
            <w:r w:rsidRPr="001C46AF">
              <w:rPr>
                <w:rFonts w:cs="Times New Roman"/>
              </w:rPr>
              <w:t> </w:t>
            </w:r>
          </w:p>
        </w:tc>
      </w:tr>
      <w:tr w:rsidR="007F0E03" w:rsidRPr="001C46AF" w:rsidTr="007F0E03">
        <w:trPr>
          <w:trHeight w:val="255"/>
        </w:trPr>
        <w:tc>
          <w:tcPr>
            <w:tcW w:w="7070" w:type="dxa"/>
            <w:tcBorders>
              <w:top w:val="nil"/>
              <w:left w:val="single" w:sz="4" w:space="0" w:color="auto"/>
              <w:bottom w:val="single" w:sz="4" w:space="0" w:color="auto"/>
              <w:right w:val="single" w:sz="4" w:space="0" w:color="auto"/>
            </w:tcBorders>
          </w:tcPr>
          <w:p w:rsidR="007F0E03" w:rsidRPr="001C46AF" w:rsidRDefault="007F0E03" w:rsidP="007F0E03">
            <w:pPr>
              <w:rPr>
                <w:rFonts w:cs="Times New Roman"/>
                <w:sz w:val="20"/>
                <w:szCs w:val="20"/>
              </w:rPr>
            </w:pPr>
            <w:r w:rsidRPr="001C46AF">
              <w:rPr>
                <w:rFonts w:cs="Times New Roman"/>
                <w:sz w:val="20"/>
                <w:szCs w:val="20"/>
              </w:rPr>
              <w:t xml:space="preserve">  Mzdy, platy, služobné príjmy a ostatné osobné vyrovnania (610)</w:t>
            </w:r>
          </w:p>
        </w:tc>
        <w:tc>
          <w:tcPr>
            <w:tcW w:w="1540" w:type="dxa"/>
            <w:tcBorders>
              <w:top w:val="nil"/>
              <w:left w:val="nil"/>
              <w:bottom w:val="single" w:sz="4" w:space="0" w:color="auto"/>
              <w:right w:val="single" w:sz="4" w:space="0" w:color="auto"/>
            </w:tcBorders>
            <w:vAlign w:val="center"/>
          </w:tcPr>
          <w:p w:rsidR="007F0E03" w:rsidRPr="001C46AF" w:rsidRDefault="007F0E03" w:rsidP="007F0E03">
            <w:pPr>
              <w:jc w:val="center"/>
              <w:rPr>
                <w:rFonts w:cs="Times New Roman"/>
                <w:sz w:val="20"/>
                <w:szCs w:val="20"/>
              </w:rPr>
            </w:pPr>
            <w:r w:rsidRPr="001C46AF">
              <w:rPr>
                <w:rFonts w:cs="Times New Roman"/>
                <w:sz w:val="20"/>
                <w:szCs w:val="20"/>
              </w:rPr>
              <w:t>0</w:t>
            </w: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r w:rsidRPr="001C46AF">
              <w:rPr>
                <w:rFonts w:cs="Times New Roman"/>
                <w:sz w:val="20"/>
                <w:szCs w:val="20"/>
              </w:rPr>
              <w:t>+137 808</w:t>
            </w: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r w:rsidRPr="001C46AF">
              <w:rPr>
                <w:rFonts w:cs="Times New Roman"/>
                <w:sz w:val="20"/>
                <w:szCs w:val="20"/>
              </w:rPr>
              <w:t>+137 808</w:t>
            </w: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r w:rsidRPr="001C46AF">
              <w:rPr>
                <w:rFonts w:cs="Times New Roman"/>
                <w:sz w:val="20"/>
                <w:szCs w:val="20"/>
              </w:rPr>
              <w:t>+137 808</w:t>
            </w:r>
          </w:p>
        </w:tc>
        <w:tc>
          <w:tcPr>
            <w:tcW w:w="2220" w:type="dxa"/>
            <w:tcBorders>
              <w:top w:val="nil"/>
              <w:left w:val="nil"/>
              <w:bottom w:val="single" w:sz="4" w:space="0" w:color="auto"/>
              <w:right w:val="single" w:sz="4" w:space="0" w:color="auto"/>
            </w:tcBorders>
            <w:noWrap/>
            <w:vAlign w:val="bottom"/>
          </w:tcPr>
          <w:p w:rsidR="007F0E03" w:rsidRPr="001C46AF" w:rsidRDefault="007F0E03" w:rsidP="007F0E03">
            <w:pPr>
              <w:rPr>
                <w:rFonts w:cs="Times New Roman"/>
              </w:rPr>
            </w:pPr>
          </w:p>
        </w:tc>
      </w:tr>
      <w:tr w:rsidR="007F0E03" w:rsidRPr="001C46AF" w:rsidTr="007F0E03">
        <w:trPr>
          <w:trHeight w:val="255"/>
        </w:trPr>
        <w:tc>
          <w:tcPr>
            <w:tcW w:w="7070" w:type="dxa"/>
            <w:tcBorders>
              <w:top w:val="nil"/>
              <w:left w:val="single" w:sz="4" w:space="0" w:color="auto"/>
              <w:bottom w:val="single" w:sz="4" w:space="0" w:color="auto"/>
              <w:right w:val="single" w:sz="4" w:space="0" w:color="auto"/>
            </w:tcBorders>
          </w:tcPr>
          <w:p w:rsidR="007F0E03" w:rsidRPr="001C46AF" w:rsidRDefault="007F0E03" w:rsidP="007F0E03">
            <w:pPr>
              <w:rPr>
                <w:rFonts w:cs="Times New Roman"/>
                <w:sz w:val="20"/>
                <w:szCs w:val="20"/>
                <w:vertAlign w:val="superscript"/>
              </w:rPr>
            </w:pPr>
            <w:r w:rsidRPr="001C46AF">
              <w:rPr>
                <w:rFonts w:cs="Times New Roman"/>
                <w:sz w:val="20"/>
                <w:szCs w:val="20"/>
              </w:rPr>
              <w:t xml:space="preserve">  Poistné a príspevok do poisťovní (620)</w:t>
            </w:r>
          </w:p>
        </w:tc>
        <w:tc>
          <w:tcPr>
            <w:tcW w:w="1540" w:type="dxa"/>
            <w:tcBorders>
              <w:top w:val="nil"/>
              <w:left w:val="nil"/>
              <w:bottom w:val="single" w:sz="4" w:space="0" w:color="auto"/>
              <w:right w:val="single" w:sz="4" w:space="0" w:color="auto"/>
            </w:tcBorders>
            <w:vAlign w:val="center"/>
          </w:tcPr>
          <w:p w:rsidR="007F0E03" w:rsidRPr="001C46AF" w:rsidRDefault="007F0E03" w:rsidP="007F0E03">
            <w:pPr>
              <w:jc w:val="center"/>
              <w:rPr>
                <w:rFonts w:cs="Times New Roman"/>
                <w:sz w:val="20"/>
                <w:szCs w:val="20"/>
              </w:rPr>
            </w:pPr>
            <w:r w:rsidRPr="001C46AF">
              <w:rPr>
                <w:rFonts w:cs="Times New Roman"/>
                <w:sz w:val="20"/>
                <w:szCs w:val="20"/>
              </w:rPr>
              <w:t>0</w:t>
            </w: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r w:rsidRPr="001C46AF">
              <w:rPr>
                <w:rFonts w:cs="Times New Roman"/>
                <w:sz w:val="20"/>
                <w:szCs w:val="20"/>
              </w:rPr>
              <w:t xml:space="preserve"> +49 542</w:t>
            </w: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r w:rsidRPr="001C46AF">
              <w:rPr>
                <w:rFonts w:cs="Times New Roman"/>
                <w:sz w:val="20"/>
                <w:szCs w:val="20"/>
              </w:rPr>
              <w:t>+49 542</w:t>
            </w: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r w:rsidRPr="001C46AF">
              <w:rPr>
                <w:rFonts w:cs="Times New Roman"/>
                <w:sz w:val="20"/>
                <w:szCs w:val="20"/>
              </w:rPr>
              <w:t>+49 542</w:t>
            </w:r>
          </w:p>
        </w:tc>
        <w:tc>
          <w:tcPr>
            <w:tcW w:w="2220" w:type="dxa"/>
            <w:tcBorders>
              <w:top w:val="nil"/>
              <w:left w:val="nil"/>
              <w:bottom w:val="single" w:sz="4" w:space="0" w:color="auto"/>
              <w:right w:val="single" w:sz="4" w:space="0" w:color="auto"/>
            </w:tcBorders>
            <w:noWrap/>
            <w:vAlign w:val="bottom"/>
          </w:tcPr>
          <w:p w:rsidR="007F0E03" w:rsidRPr="001C46AF" w:rsidRDefault="007F0E03" w:rsidP="007F0E03">
            <w:pPr>
              <w:rPr>
                <w:rFonts w:cs="Times New Roman"/>
              </w:rPr>
            </w:pPr>
            <w:r w:rsidRPr="001C46AF">
              <w:rPr>
                <w:rFonts w:cs="Times New Roman"/>
              </w:rPr>
              <w:t> </w:t>
            </w:r>
          </w:p>
        </w:tc>
      </w:tr>
      <w:tr w:rsidR="007F0E03" w:rsidRPr="001C46AF" w:rsidTr="007F0E03">
        <w:trPr>
          <w:trHeight w:val="255"/>
        </w:trPr>
        <w:tc>
          <w:tcPr>
            <w:tcW w:w="7070" w:type="dxa"/>
            <w:tcBorders>
              <w:top w:val="nil"/>
              <w:left w:val="single" w:sz="4" w:space="0" w:color="auto"/>
              <w:bottom w:val="single" w:sz="4" w:space="0" w:color="auto"/>
              <w:right w:val="single" w:sz="4" w:space="0" w:color="auto"/>
            </w:tcBorders>
          </w:tcPr>
          <w:p w:rsidR="007F0E03" w:rsidRPr="001C46AF" w:rsidRDefault="007F0E03" w:rsidP="007F0E03">
            <w:pPr>
              <w:rPr>
                <w:rFonts w:cs="Times New Roman"/>
                <w:sz w:val="20"/>
                <w:szCs w:val="20"/>
                <w:vertAlign w:val="superscript"/>
              </w:rPr>
            </w:pPr>
            <w:r w:rsidRPr="001C46AF">
              <w:rPr>
                <w:rFonts w:cs="Times New Roman"/>
                <w:sz w:val="20"/>
                <w:szCs w:val="20"/>
              </w:rPr>
              <w:t xml:space="preserve">  Tovary a služby (630)</w:t>
            </w:r>
            <w:r w:rsidRPr="001C46AF">
              <w:rPr>
                <w:rFonts w:cs="Times New Roman"/>
                <w:sz w:val="20"/>
                <w:szCs w:val="20"/>
                <w:vertAlign w:val="superscript"/>
              </w:rPr>
              <w:t>2 *</w:t>
            </w:r>
          </w:p>
        </w:tc>
        <w:tc>
          <w:tcPr>
            <w:tcW w:w="1540" w:type="dxa"/>
            <w:tcBorders>
              <w:top w:val="nil"/>
              <w:left w:val="nil"/>
              <w:bottom w:val="single" w:sz="4" w:space="0" w:color="auto"/>
              <w:right w:val="single" w:sz="4" w:space="0" w:color="auto"/>
            </w:tcBorders>
            <w:vAlign w:val="center"/>
          </w:tcPr>
          <w:p w:rsidR="007F0E03" w:rsidRPr="001C46AF" w:rsidRDefault="007F0E03" w:rsidP="007F0E03">
            <w:pPr>
              <w:jc w:val="center"/>
              <w:rPr>
                <w:rFonts w:cs="Times New Roman"/>
                <w:sz w:val="20"/>
                <w:szCs w:val="20"/>
              </w:rPr>
            </w:pPr>
            <w:r w:rsidRPr="001C46AF">
              <w:rPr>
                <w:rFonts w:cs="Times New Roman"/>
                <w:sz w:val="20"/>
                <w:szCs w:val="20"/>
              </w:rPr>
              <w:t>0</w:t>
            </w: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r w:rsidRPr="001C46AF">
              <w:rPr>
                <w:rFonts w:cs="Times New Roman"/>
                <w:sz w:val="20"/>
                <w:szCs w:val="20"/>
              </w:rPr>
              <w:t>+48 826</w:t>
            </w: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r w:rsidRPr="001C46AF">
              <w:rPr>
                <w:rFonts w:cs="Times New Roman"/>
                <w:sz w:val="20"/>
                <w:szCs w:val="20"/>
              </w:rPr>
              <w:t xml:space="preserve">+41 826 </w:t>
            </w: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r w:rsidRPr="001C46AF">
              <w:rPr>
                <w:rFonts w:cs="Times New Roman"/>
                <w:sz w:val="20"/>
                <w:szCs w:val="20"/>
              </w:rPr>
              <w:t>+41 826</w:t>
            </w:r>
          </w:p>
        </w:tc>
        <w:tc>
          <w:tcPr>
            <w:tcW w:w="2220" w:type="dxa"/>
            <w:tcBorders>
              <w:top w:val="nil"/>
              <w:left w:val="nil"/>
              <w:bottom w:val="single" w:sz="4" w:space="0" w:color="auto"/>
              <w:right w:val="single" w:sz="4" w:space="0" w:color="auto"/>
            </w:tcBorders>
            <w:noWrap/>
            <w:vAlign w:val="bottom"/>
          </w:tcPr>
          <w:p w:rsidR="007F0E03" w:rsidRPr="001C46AF" w:rsidRDefault="007F0E03" w:rsidP="007F0E03">
            <w:pPr>
              <w:rPr>
                <w:rFonts w:cs="Times New Roman"/>
              </w:rPr>
            </w:pPr>
            <w:r w:rsidRPr="001C46AF">
              <w:rPr>
                <w:rFonts w:cs="Times New Roman"/>
              </w:rPr>
              <w:t> </w:t>
            </w:r>
          </w:p>
        </w:tc>
      </w:tr>
      <w:tr w:rsidR="007F0E03" w:rsidRPr="001C46AF" w:rsidTr="007F0E03">
        <w:trPr>
          <w:trHeight w:val="255"/>
        </w:trPr>
        <w:tc>
          <w:tcPr>
            <w:tcW w:w="7070" w:type="dxa"/>
            <w:tcBorders>
              <w:top w:val="nil"/>
              <w:left w:val="single" w:sz="4" w:space="0" w:color="auto"/>
              <w:bottom w:val="single" w:sz="4" w:space="0" w:color="auto"/>
              <w:right w:val="single" w:sz="4" w:space="0" w:color="auto"/>
            </w:tcBorders>
          </w:tcPr>
          <w:p w:rsidR="007F0E03" w:rsidRPr="001C46AF" w:rsidRDefault="007F0E03" w:rsidP="007F0E03">
            <w:pPr>
              <w:rPr>
                <w:rFonts w:cs="Times New Roman"/>
                <w:sz w:val="20"/>
                <w:szCs w:val="20"/>
              </w:rPr>
            </w:pPr>
            <w:r w:rsidRPr="001C46AF">
              <w:rPr>
                <w:rFonts w:cs="Times New Roman"/>
                <w:sz w:val="20"/>
                <w:szCs w:val="20"/>
              </w:rPr>
              <w:t xml:space="preserve">  Bežné transfery (640)</w:t>
            </w:r>
            <w:r w:rsidRPr="001C46AF">
              <w:rPr>
                <w:rFonts w:cs="Times New Roman"/>
                <w:sz w:val="20"/>
                <w:szCs w:val="20"/>
                <w:vertAlign w:val="superscript"/>
              </w:rPr>
              <w:t>2 **</w:t>
            </w:r>
          </w:p>
        </w:tc>
        <w:tc>
          <w:tcPr>
            <w:tcW w:w="1540" w:type="dxa"/>
            <w:tcBorders>
              <w:top w:val="nil"/>
              <w:left w:val="nil"/>
              <w:bottom w:val="single" w:sz="4" w:space="0" w:color="auto"/>
              <w:right w:val="single" w:sz="4" w:space="0" w:color="auto"/>
            </w:tcBorders>
            <w:vAlign w:val="center"/>
          </w:tcPr>
          <w:p w:rsidR="007F0E03" w:rsidRPr="001C46AF" w:rsidRDefault="007F0E03" w:rsidP="007F0E03">
            <w:pPr>
              <w:jc w:val="center"/>
              <w:rPr>
                <w:rFonts w:cs="Times New Roman"/>
                <w:sz w:val="20"/>
                <w:szCs w:val="20"/>
              </w:rPr>
            </w:pPr>
            <w:r w:rsidRPr="001C46AF">
              <w:rPr>
                <w:rFonts w:cs="Times New Roman"/>
                <w:sz w:val="20"/>
                <w:szCs w:val="20"/>
              </w:rPr>
              <w:t>0</w:t>
            </w: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r w:rsidRPr="001C46AF">
              <w:rPr>
                <w:rFonts w:cs="Times New Roman"/>
                <w:sz w:val="20"/>
                <w:szCs w:val="20"/>
              </w:rPr>
              <w:t>+12 440</w:t>
            </w: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r w:rsidRPr="001C46AF">
              <w:rPr>
                <w:rFonts w:cs="Times New Roman"/>
                <w:sz w:val="20"/>
                <w:szCs w:val="20"/>
              </w:rPr>
              <w:t>+12 440</w:t>
            </w: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r w:rsidRPr="001C46AF">
              <w:rPr>
                <w:rFonts w:cs="Times New Roman"/>
                <w:sz w:val="20"/>
                <w:szCs w:val="20"/>
              </w:rPr>
              <w:t>+12 440</w:t>
            </w:r>
          </w:p>
        </w:tc>
        <w:tc>
          <w:tcPr>
            <w:tcW w:w="2220" w:type="dxa"/>
            <w:tcBorders>
              <w:top w:val="nil"/>
              <w:left w:val="nil"/>
              <w:bottom w:val="single" w:sz="4" w:space="0" w:color="auto"/>
              <w:right w:val="single" w:sz="4" w:space="0" w:color="auto"/>
            </w:tcBorders>
            <w:noWrap/>
            <w:vAlign w:val="bottom"/>
          </w:tcPr>
          <w:p w:rsidR="007F0E03" w:rsidRPr="001C46AF" w:rsidRDefault="007F0E03" w:rsidP="007F0E03">
            <w:pPr>
              <w:rPr>
                <w:rFonts w:cs="Times New Roman"/>
              </w:rPr>
            </w:pPr>
            <w:r w:rsidRPr="001C46AF">
              <w:rPr>
                <w:rFonts w:cs="Times New Roman"/>
              </w:rPr>
              <w:t> </w:t>
            </w:r>
          </w:p>
        </w:tc>
      </w:tr>
      <w:tr w:rsidR="007F0E03" w:rsidRPr="001C46AF" w:rsidTr="007F0E03">
        <w:trPr>
          <w:trHeight w:val="255"/>
        </w:trPr>
        <w:tc>
          <w:tcPr>
            <w:tcW w:w="7070" w:type="dxa"/>
            <w:tcBorders>
              <w:top w:val="nil"/>
              <w:left w:val="single" w:sz="4" w:space="0" w:color="auto"/>
              <w:bottom w:val="single" w:sz="4" w:space="0" w:color="auto"/>
              <w:right w:val="single" w:sz="4" w:space="0" w:color="auto"/>
            </w:tcBorders>
            <w:vAlign w:val="center"/>
          </w:tcPr>
          <w:p w:rsidR="007F0E03" w:rsidRPr="001C46AF" w:rsidRDefault="007F0E03" w:rsidP="007F0E03">
            <w:pPr>
              <w:rPr>
                <w:rFonts w:cs="Times New Roman"/>
                <w:sz w:val="20"/>
                <w:szCs w:val="20"/>
              </w:rPr>
            </w:pPr>
            <w:r w:rsidRPr="001C46AF">
              <w:rPr>
                <w:rFonts w:cs="Times New Roman"/>
                <w:sz w:val="20"/>
                <w:szCs w:val="20"/>
              </w:rPr>
              <w:t xml:space="preserve">  Splácanie úrokov a ostatné platby súvisiace s </w:t>
            </w:r>
            <w:r w:rsidRPr="001C46AF">
              <w:t xml:space="preserve"> </w:t>
            </w:r>
            <w:r w:rsidRPr="001C46AF">
              <w:rPr>
                <w:rFonts w:cs="Times New Roman"/>
                <w:sz w:val="20"/>
                <w:szCs w:val="20"/>
              </w:rPr>
              <w:t>úverom, pôžičkou, návratnou finančnou výpomocou a finančným prenájmom (650)</w:t>
            </w:r>
            <w:r w:rsidRPr="001C46AF">
              <w:rPr>
                <w:rFonts w:cs="Times New Roman"/>
                <w:sz w:val="20"/>
                <w:szCs w:val="20"/>
                <w:vertAlign w:val="superscript"/>
              </w:rPr>
              <w:t>2</w:t>
            </w: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rPr>
            </w:pPr>
          </w:p>
        </w:tc>
        <w:tc>
          <w:tcPr>
            <w:tcW w:w="2220" w:type="dxa"/>
            <w:tcBorders>
              <w:top w:val="nil"/>
              <w:left w:val="nil"/>
              <w:bottom w:val="single" w:sz="4" w:space="0" w:color="auto"/>
              <w:right w:val="single" w:sz="4" w:space="0" w:color="auto"/>
            </w:tcBorders>
            <w:noWrap/>
            <w:vAlign w:val="bottom"/>
          </w:tcPr>
          <w:p w:rsidR="007F0E03" w:rsidRPr="001C46AF" w:rsidRDefault="007F0E03" w:rsidP="007F0E03">
            <w:pPr>
              <w:rPr>
                <w:rFonts w:cs="Times New Roman"/>
              </w:rPr>
            </w:pPr>
          </w:p>
        </w:tc>
      </w:tr>
      <w:tr w:rsidR="007F0E03" w:rsidRPr="001C46AF" w:rsidTr="007F0E03">
        <w:trPr>
          <w:trHeight w:val="255"/>
        </w:trPr>
        <w:tc>
          <w:tcPr>
            <w:tcW w:w="7070" w:type="dxa"/>
            <w:tcBorders>
              <w:top w:val="nil"/>
              <w:left w:val="single" w:sz="4" w:space="0" w:color="auto"/>
              <w:bottom w:val="single" w:sz="4" w:space="0" w:color="auto"/>
              <w:right w:val="single" w:sz="4" w:space="0" w:color="auto"/>
            </w:tcBorders>
          </w:tcPr>
          <w:p w:rsidR="007F0E03" w:rsidRPr="001C46AF" w:rsidRDefault="007F0E03" w:rsidP="007F0E03">
            <w:pPr>
              <w:rPr>
                <w:rFonts w:cs="Times New Roman"/>
                <w:b/>
                <w:bCs/>
                <w:sz w:val="20"/>
                <w:szCs w:val="20"/>
              </w:rPr>
            </w:pPr>
            <w:r w:rsidRPr="001C46AF">
              <w:rPr>
                <w:rFonts w:cs="Times New Roman"/>
                <w:b/>
                <w:bCs/>
                <w:sz w:val="20"/>
                <w:szCs w:val="20"/>
              </w:rPr>
              <w:t>Kapitálové výdavky (700)</w:t>
            </w: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b/>
                <w:bCs/>
                <w:sz w:val="20"/>
                <w:szCs w:val="20"/>
              </w:rPr>
            </w:pP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b/>
                <w:bCs/>
                <w:sz w:val="20"/>
                <w:szCs w:val="20"/>
              </w:rPr>
            </w:pP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b/>
                <w:bCs/>
                <w:sz w:val="20"/>
                <w:szCs w:val="20"/>
              </w:rPr>
            </w:pP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b/>
                <w:bCs/>
              </w:rPr>
            </w:pPr>
          </w:p>
        </w:tc>
        <w:tc>
          <w:tcPr>
            <w:tcW w:w="2220" w:type="dxa"/>
            <w:tcBorders>
              <w:top w:val="nil"/>
              <w:left w:val="nil"/>
              <w:bottom w:val="single" w:sz="4" w:space="0" w:color="auto"/>
              <w:right w:val="single" w:sz="4" w:space="0" w:color="auto"/>
            </w:tcBorders>
            <w:noWrap/>
            <w:vAlign w:val="bottom"/>
          </w:tcPr>
          <w:p w:rsidR="007F0E03" w:rsidRPr="001C46AF" w:rsidRDefault="007F0E03" w:rsidP="007F0E03">
            <w:pPr>
              <w:rPr>
                <w:rFonts w:cs="Times New Roman"/>
              </w:rPr>
            </w:pPr>
            <w:r w:rsidRPr="001C46AF">
              <w:rPr>
                <w:rFonts w:cs="Times New Roman"/>
              </w:rPr>
              <w:t> </w:t>
            </w:r>
          </w:p>
        </w:tc>
      </w:tr>
      <w:tr w:rsidR="007F0E03" w:rsidRPr="001C46AF" w:rsidTr="007F0E03">
        <w:trPr>
          <w:trHeight w:val="255"/>
        </w:trPr>
        <w:tc>
          <w:tcPr>
            <w:tcW w:w="7070" w:type="dxa"/>
            <w:tcBorders>
              <w:top w:val="nil"/>
              <w:left w:val="single" w:sz="4" w:space="0" w:color="auto"/>
              <w:bottom w:val="single" w:sz="4" w:space="0" w:color="auto"/>
              <w:right w:val="single" w:sz="4" w:space="0" w:color="auto"/>
            </w:tcBorders>
          </w:tcPr>
          <w:p w:rsidR="007F0E03" w:rsidRPr="001C46AF" w:rsidRDefault="007F0E03" w:rsidP="007F0E03">
            <w:pPr>
              <w:rPr>
                <w:rFonts w:cs="Times New Roman"/>
                <w:sz w:val="20"/>
                <w:szCs w:val="20"/>
              </w:rPr>
            </w:pPr>
            <w:r w:rsidRPr="001C46AF">
              <w:rPr>
                <w:rFonts w:cs="Times New Roman"/>
                <w:sz w:val="20"/>
                <w:szCs w:val="20"/>
              </w:rPr>
              <w:t xml:space="preserve">  Obstarávanie kapitálových aktív (710)</w:t>
            </w:r>
            <w:r w:rsidRPr="001C46AF">
              <w:rPr>
                <w:rFonts w:cs="Times New Roman"/>
                <w:sz w:val="20"/>
                <w:szCs w:val="20"/>
                <w:vertAlign w:val="superscript"/>
              </w:rPr>
              <w:t>2</w:t>
            </w: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rPr>
            </w:pPr>
          </w:p>
        </w:tc>
        <w:tc>
          <w:tcPr>
            <w:tcW w:w="2220" w:type="dxa"/>
            <w:tcBorders>
              <w:top w:val="nil"/>
              <w:left w:val="nil"/>
              <w:bottom w:val="single" w:sz="4" w:space="0" w:color="auto"/>
              <w:right w:val="single" w:sz="4" w:space="0" w:color="auto"/>
            </w:tcBorders>
            <w:noWrap/>
            <w:vAlign w:val="bottom"/>
          </w:tcPr>
          <w:p w:rsidR="007F0E03" w:rsidRPr="001C46AF" w:rsidRDefault="007F0E03" w:rsidP="007F0E03">
            <w:pPr>
              <w:rPr>
                <w:rFonts w:cs="Times New Roman"/>
              </w:rPr>
            </w:pPr>
            <w:r w:rsidRPr="001C46AF">
              <w:rPr>
                <w:rFonts w:cs="Times New Roman"/>
              </w:rPr>
              <w:t> </w:t>
            </w:r>
          </w:p>
        </w:tc>
      </w:tr>
      <w:tr w:rsidR="007F0E03" w:rsidRPr="001C46AF" w:rsidTr="007F0E03">
        <w:trPr>
          <w:trHeight w:val="255"/>
        </w:trPr>
        <w:tc>
          <w:tcPr>
            <w:tcW w:w="7070" w:type="dxa"/>
            <w:tcBorders>
              <w:top w:val="nil"/>
              <w:left w:val="single" w:sz="4" w:space="0" w:color="auto"/>
              <w:bottom w:val="single" w:sz="4" w:space="0" w:color="auto"/>
              <w:right w:val="single" w:sz="4" w:space="0" w:color="auto"/>
            </w:tcBorders>
          </w:tcPr>
          <w:p w:rsidR="007F0E03" w:rsidRPr="001C46AF" w:rsidRDefault="007F0E03" w:rsidP="007F0E03">
            <w:pPr>
              <w:rPr>
                <w:rFonts w:cs="Times New Roman"/>
                <w:sz w:val="20"/>
                <w:szCs w:val="20"/>
              </w:rPr>
            </w:pPr>
            <w:r w:rsidRPr="001C46AF">
              <w:rPr>
                <w:rFonts w:cs="Times New Roman"/>
                <w:sz w:val="20"/>
                <w:szCs w:val="20"/>
              </w:rPr>
              <w:t xml:space="preserve">  Kapitálové transfery (720)</w:t>
            </w:r>
            <w:r w:rsidRPr="001C46AF">
              <w:rPr>
                <w:rFonts w:cs="Times New Roman"/>
                <w:sz w:val="20"/>
                <w:szCs w:val="20"/>
                <w:vertAlign w:val="superscript"/>
              </w:rPr>
              <w:t>2</w:t>
            </w: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rPr>
            </w:pPr>
          </w:p>
        </w:tc>
        <w:tc>
          <w:tcPr>
            <w:tcW w:w="2220" w:type="dxa"/>
            <w:tcBorders>
              <w:top w:val="nil"/>
              <w:left w:val="nil"/>
              <w:bottom w:val="single" w:sz="4" w:space="0" w:color="auto"/>
              <w:right w:val="single" w:sz="4" w:space="0" w:color="auto"/>
            </w:tcBorders>
            <w:noWrap/>
            <w:vAlign w:val="bottom"/>
          </w:tcPr>
          <w:p w:rsidR="007F0E03" w:rsidRPr="001C46AF" w:rsidRDefault="007F0E03" w:rsidP="007F0E03">
            <w:pPr>
              <w:rPr>
                <w:rFonts w:cs="Times New Roman"/>
              </w:rPr>
            </w:pPr>
            <w:r w:rsidRPr="001C46AF">
              <w:rPr>
                <w:rFonts w:cs="Times New Roman"/>
              </w:rPr>
              <w:t> </w:t>
            </w:r>
          </w:p>
        </w:tc>
      </w:tr>
      <w:tr w:rsidR="007F0E03" w:rsidRPr="001C46AF" w:rsidTr="007F0E03">
        <w:trPr>
          <w:trHeight w:val="255"/>
        </w:trPr>
        <w:tc>
          <w:tcPr>
            <w:tcW w:w="7070" w:type="dxa"/>
            <w:tcBorders>
              <w:top w:val="nil"/>
              <w:left w:val="single" w:sz="4" w:space="0" w:color="auto"/>
              <w:bottom w:val="single" w:sz="4" w:space="0" w:color="auto"/>
              <w:right w:val="single" w:sz="4" w:space="0" w:color="auto"/>
            </w:tcBorders>
          </w:tcPr>
          <w:p w:rsidR="007F0E03" w:rsidRPr="001C46AF" w:rsidRDefault="007F0E03" w:rsidP="007F0E03">
            <w:pPr>
              <w:rPr>
                <w:rFonts w:cs="Times New Roman"/>
                <w:b/>
                <w:bCs/>
                <w:sz w:val="20"/>
                <w:szCs w:val="20"/>
              </w:rPr>
            </w:pPr>
            <w:r w:rsidRPr="001C46AF">
              <w:rPr>
                <w:rFonts w:cs="Times New Roman"/>
                <w:b/>
                <w:bCs/>
                <w:sz w:val="20"/>
                <w:szCs w:val="20"/>
              </w:rPr>
              <w:t>Výdavky z transakcií s finančnými aktívami a finančnými pasívami (800)</w:t>
            </w: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b/>
                <w:bCs/>
                <w:sz w:val="20"/>
                <w:szCs w:val="20"/>
              </w:rPr>
            </w:pPr>
            <w:r w:rsidRPr="001C46AF">
              <w:rPr>
                <w:rFonts w:cs="Times New Roman"/>
                <w:b/>
                <w:bCs/>
                <w:sz w:val="20"/>
                <w:szCs w:val="20"/>
              </w:rPr>
              <w:t> </w:t>
            </w: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b/>
                <w:bCs/>
                <w:sz w:val="20"/>
                <w:szCs w:val="20"/>
              </w:rPr>
            </w:pPr>
            <w:r w:rsidRPr="001C46AF">
              <w:rPr>
                <w:rFonts w:cs="Times New Roman"/>
                <w:b/>
                <w:bCs/>
                <w:sz w:val="20"/>
                <w:szCs w:val="20"/>
              </w:rPr>
              <w:t> </w:t>
            </w: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b/>
                <w:bCs/>
                <w:sz w:val="20"/>
                <w:szCs w:val="20"/>
              </w:rPr>
            </w:pPr>
            <w:r w:rsidRPr="001C46AF">
              <w:rPr>
                <w:rFonts w:cs="Times New Roman"/>
                <w:b/>
                <w:bCs/>
                <w:sz w:val="20"/>
                <w:szCs w:val="20"/>
              </w:rPr>
              <w:t> </w:t>
            </w: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b/>
                <w:bCs/>
              </w:rPr>
            </w:pPr>
            <w:r w:rsidRPr="001C46AF">
              <w:rPr>
                <w:rFonts w:cs="Times New Roman"/>
                <w:b/>
                <w:bCs/>
              </w:rPr>
              <w:t> </w:t>
            </w:r>
          </w:p>
        </w:tc>
        <w:tc>
          <w:tcPr>
            <w:tcW w:w="2220" w:type="dxa"/>
            <w:tcBorders>
              <w:top w:val="nil"/>
              <w:left w:val="nil"/>
              <w:bottom w:val="single" w:sz="4" w:space="0" w:color="auto"/>
              <w:right w:val="single" w:sz="4" w:space="0" w:color="auto"/>
            </w:tcBorders>
            <w:noWrap/>
            <w:vAlign w:val="bottom"/>
          </w:tcPr>
          <w:p w:rsidR="007F0E03" w:rsidRPr="001C46AF" w:rsidRDefault="007F0E03" w:rsidP="007F0E03">
            <w:pPr>
              <w:rPr>
                <w:rFonts w:cs="Times New Roman"/>
              </w:rPr>
            </w:pPr>
            <w:r w:rsidRPr="001C46AF">
              <w:rPr>
                <w:rFonts w:cs="Times New Roman"/>
              </w:rPr>
              <w:t> </w:t>
            </w:r>
          </w:p>
        </w:tc>
      </w:tr>
      <w:tr w:rsidR="007F0E03" w:rsidRPr="001C46AF" w:rsidTr="007F0E03">
        <w:trPr>
          <w:trHeight w:val="78"/>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F0E03" w:rsidRPr="001C46AF" w:rsidRDefault="007F0E03" w:rsidP="007F0E03">
            <w:pPr>
              <w:rPr>
                <w:rFonts w:cs="Times New Roman"/>
                <w:b/>
                <w:bCs/>
                <w:sz w:val="20"/>
                <w:szCs w:val="20"/>
              </w:rPr>
            </w:pPr>
            <w:r w:rsidRPr="001C46AF">
              <w:rPr>
                <w:rFonts w:cs="Times New Roman"/>
                <w:b/>
                <w:bCs/>
                <w:sz w:val="20"/>
                <w:szCs w:val="20"/>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7F0E03" w:rsidRPr="001C46AF" w:rsidRDefault="007F0E03" w:rsidP="007F0E03">
            <w:pPr>
              <w:jc w:val="center"/>
              <w:rPr>
                <w:rFonts w:cs="Times New Roman"/>
                <w:b/>
                <w:bCs/>
                <w:sz w:val="20"/>
                <w:szCs w:val="20"/>
              </w:rPr>
            </w:pPr>
            <w:r w:rsidRPr="001C46AF">
              <w:rPr>
                <w:rFonts w:cs="Times New Roman"/>
                <w:b/>
                <w:bCs/>
                <w:sz w:val="20"/>
                <w:szCs w:val="20"/>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7F0E03" w:rsidRPr="001C46AF" w:rsidRDefault="007F0E03" w:rsidP="007F0E03">
            <w:pPr>
              <w:jc w:val="center"/>
              <w:rPr>
                <w:rFonts w:cs="Times New Roman"/>
                <w:b/>
                <w:sz w:val="20"/>
                <w:szCs w:val="20"/>
              </w:rPr>
            </w:pPr>
            <w:r w:rsidRPr="001C46AF">
              <w:rPr>
                <w:rFonts w:cs="Times New Roman"/>
                <w:b/>
                <w:sz w:val="20"/>
                <w:szCs w:val="20"/>
              </w:rPr>
              <w:t>+248 616</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7F0E03" w:rsidRPr="001C46AF" w:rsidRDefault="007F0E03" w:rsidP="007F0E03">
            <w:pPr>
              <w:jc w:val="center"/>
              <w:rPr>
                <w:rFonts w:cs="Times New Roman"/>
                <w:b/>
                <w:sz w:val="20"/>
                <w:szCs w:val="20"/>
              </w:rPr>
            </w:pPr>
            <w:r w:rsidRPr="001C46AF">
              <w:rPr>
                <w:rFonts w:cs="Times New Roman"/>
                <w:b/>
                <w:sz w:val="20"/>
                <w:szCs w:val="20"/>
              </w:rPr>
              <w:t>+241 616</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7F0E03" w:rsidRPr="001C46AF" w:rsidRDefault="007F0E03" w:rsidP="007F0E03">
            <w:pPr>
              <w:jc w:val="center"/>
              <w:rPr>
                <w:rFonts w:cs="Times New Roman"/>
                <w:b/>
                <w:sz w:val="20"/>
                <w:szCs w:val="20"/>
              </w:rPr>
            </w:pPr>
            <w:r w:rsidRPr="001C46AF">
              <w:rPr>
                <w:rFonts w:cs="Times New Roman"/>
                <w:b/>
                <w:sz w:val="20"/>
                <w:szCs w:val="20"/>
              </w:rPr>
              <w:t>+241 616</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7F0E03" w:rsidRPr="001C46AF" w:rsidRDefault="007F0E03" w:rsidP="007F0E03">
            <w:pPr>
              <w:rPr>
                <w:rFonts w:cs="Times New Roman"/>
              </w:rPr>
            </w:pPr>
            <w:r w:rsidRPr="001C46AF">
              <w:rPr>
                <w:rFonts w:cs="Times New Roman"/>
              </w:rPr>
              <w:t> </w:t>
            </w:r>
          </w:p>
        </w:tc>
      </w:tr>
    </w:tbl>
    <w:p w:rsidR="007F0E03" w:rsidRPr="001C46AF" w:rsidRDefault="007F0E03" w:rsidP="007F0E03">
      <w:pPr>
        <w:tabs>
          <w:tab w:val="num" w:pos="1080"/>
        </w:tabs>
        <w:spacing w:after="120"/>
        <w:ind w:left="-902"/>
        <w:jc w:val="both"/>
        <w:rPr>
          <w:rFonts w:cs="Times New Roman"/>
          <w:bCs/>
          <w:sz w:val="20"/>
          <w:szCs w:val="20"/>
        </w:rPr>
      </w:pPr>
      <w:r w:rsidRPr="001C46AF">
        <w:rPr>
          <w:rFonts w:cs="Times New Roman"/>
          <w:bCs/>
          <w:sz w:val="20"/>
          <w:szCs w:val="20"/>
        </w:rPr>
        <w:t>2 –  výdavky rozpísať až do položiek platnej ekonomickej klasifikácie</w:t>
      </w:r>
    </w:p>
    <w:p w:rsidR="007F0E03" w:rsidRPr="001C46AF" w:rsidRDefault="007F0E03" w:rsidP="007F0E03">
      <w:pPr>
        <w:tabs>
          <w:tab w:val="num" w:pos="1080"/>
        </w:tabs>
        <w:ind w:left="-900"/>
        <w:jc w:val="both"/>
        <w:rPr>
          <w:rFonts w:cs="Times New Roman"/>
          <w:b/>
          <w:bCs/>
          <w:sz w:val="20"/>
          <w:szCs w:val="20"/>
        </w:rPr>
      </w:pPr>
      <w:r w:rsidRPr="001C46AF">
        <w:rPr>
          <w:rFonts w:cs="Times New Roman"/>
          <w:b/>
          <w:bCs/>
          <w:szCs w:val="20"/>
        </w:rPr>
        <w:t>Poznámka:</w:t>
      </w:r>
    </w:p>
    <w:p w:rsidR="007F0E03" w:rsidRPr="001C46AF" w:rsidRDefault="007F0E03" w:rsidP="007F0E03">
      <w:pPr>
        <w:tabs>
          <w:tab w:val="num" w:pos="1080"/>
        </w:tabs>
        <w:ind w:left="-900"/>
        <w:jc w:val="both"/>
        <w:rPr>
          <w:rFonts w:cs="Times New Roman"/>
          <w:bCs/>
          <w:sz w:val="20"/>
          <w:szCs w:val="20"/>
        </w:rPr>
      </w:pPr>
      <w:r w:rsidRPr="001C46AF">
        <w:rPr>
          <w:rFonts w:cs="Times New Roman"/>
          <w:bCs/>
          <w:szCs w:val="20"/>
        </w:rPr>
        <w:t>Ak sa vplyv týka viacerých subjektov verejnej správy, vypĺňa sa samostatná tabuľka za každý subjekt.</w:t>
      </w:r>
    </w:p>
    <w:p w:rsidR="007F0E03" w:rsidRPr="001C46AF" w:rsidRDefault="007F0E03" w:rsidP="007F0E03">
      <w:pPr>
        <w:tabs>
          <w:tab w:val="num" w:pos="1080"/>
        </w:tabs>
        <w:jc w:val="both"/>
        <w:rPr>
          <w:rFonts w:cs="Times New Roman"/>
          <w:bCs/>
          <w:sz w:val="20"/>
          <w:szCs w:val="20"/>
        </w:rPr>
      </w:pP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 xml:space="preserve">* </w:t>
      </w:r>
      <w:r w:rsidRPr="001C46AF">
        <w:rPr>
          <w:rFonts w:cs="Times New Roman"/>
          <w:b/>
          <w:bCs/>
          <w:i/>
        </w:rPr>
        <w:t>630 – Tovary a služby</w:t>
      </w:r>
      <w:r>
        <w:rPr>
          <w:rFonts w:cs="Times New Roman"/>
          <w:bCs/>
          <w:sz w:val="20"/>
          <w:szCs w:val="20"/>
        </w:rPr>
        <w:t xml:space="preserve"> </w:t>
      </w:r>
      <w:r>
        <w:rPr>
          <w:rFonts w:cs="Times New Roman"/>
          <w:bCs/>
          <w:sz w:val="20"/>
          <w:szCs w:val="20"/>
        </w:rPr>
        <w:tab/>
      </w:r>
      <w:r>
        <w:rPr>
          <w:rFonts w:cs="Times New Roman"/>
          <w:bCs/>
          <w:sz w:val="20"/>
          <w:szCs w:val="20"/>
        </w:rPr>
        <w:tab/>
      </w:r>
      <w:r>
        <w:rPr>
          <w:rFonts w:cs="Times New Roman"/>
          <w:bCs/>
          <w:sz w:val="20"/>
          <w:szCs w:val="20"/>
        </w:rPr>
        <w:tab/>
      </w:r>
      <w:r>
        <w:rPr>
          <w:rFonts w:cs="Times New Roman"/>
          <w:bCs/>
          <w:sz w:val="20"/>
          <w:szCs w:val="20"/>
        </w:rPr>
        <w:tab/>
      </w:r>
      <w:r>
        <w:rPr>
          <w:rFonts w:cs="Times New Roman"/>
          <w:bCs/>
          <w:sz w:val="20"/>
          <w:szCs w:val="20"/>
        </w:rPr>
        <w:tab/>
        <w:t xml:space="preserve"> **</w:t>
      </w:r>
      <w:r w:rsidRPr="001C46AF">
        <w:rPr>
          <w:rFonts w:cs="Times New Roman"/>
          <w:b/>
          <w:bCs/>
          <w:i/>
        </w:rPr>
        <w:t>640 – Bežné transfery</w:t>
      </w:r>
      <w:r w:rsidRPr="001C46AF">
        <w:rPr>
          <w:rFonts w:cs="Times New Roman"/>
          <w:bCs/>
          <w:sz w:val="20"/>
          <w:szCs w:val="20"/>
        </w:rPr>
        <w:t xml:space="preserve"> </w:t>
      </w:r>
      <w:r w:rsidRPr="001C46AF">
        <w:rPr>
          <w:rFonts w:cs="Times New Roman"/>
          <w:bCs/>
          <w:sz w:val="20"/>
          <w:szCs w:val="20"/>
        </w:rPr>
        <w:tab/>
      </w: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 xml:space="preserve">                                                                                                                     642014 Jednotlivci     (fin. </w:t>
      </w:r>
      <w:proofErr w:type="spellStart"/>
      <w:r w:rsidRPr="001C46AF">
        <w:rPr>
          <w:rFonts w:cs="Times New Roman"/>
          <w:bCs/>
          <w:sz w:val="20"/>
          <w:szCs w:val="20"/>
        </w:rPr>
        <w:t>prísp</w:t>
      </w:r>
      <w:proofErr w:type="spellEnd"/>
      <w:r w:rsidRPr="001C46AF">
        <w:rPr>
          <w:rFonts w:cs="Times New Roman"/>
          <w:bCs/>
          <w:sz w:val="20"/>
          <w:szCs w:val="20"/>
        </w:rPr>
        <w:t>.)    7 440,00 EUR</w:t>
      </w: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631001 Cestovné náhrady tuzemské</w:t>
      </w:r>
      <w:r w:rsidRPr="001C46AF">
        <w:rPr>
          <w:rFonts w:cs="Times New Roman"/>
          <w:bCs/>
          <w:sz w:val="20"/>
          <w:szCs w:val="20"/>
        </w:rPr>
        <w:tab/>
        <w:t xml:space="preserve">1 900,00 EUR </w:t>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t xml:space="preserve">642015 Na nemocenské dávky </w:t>
      </w:r>
      <w:r w:rsidRPr="001C46AF">
        <w:rPr>
          <w:rFonts w:cs="Times New Roman"/>
          <w:bCs/>
          <w:sz w:val="20"/>
          <w:szCs w:val="20"/>
        </w:rPr>
        <w:tab/>
        <w:t xml:space="preserve"> 3 000,00 EUR</w:t>
      </w: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 xml:space="preserve">631002 Cestovné náhrady </w:t>
      </w:r>
      <w:proofErr w:type="spellStart"/>
      <w:r w:rsidRPr="001C46AF">
        <w:rPr>
          <w:rFonts w:cs="Times New Roman"/>
          <w:bCs/>
          <w:sz w:val="20"/>
          <w:szCs w:val="20"/>
        </w:rPr>
        <w:t>zahr</w:t>
      </w:r>
      <w:proofErr w:type="spellEnd"/>
      <w:r w:rsidRPr="001C46AF">
        <w:rPr>
          <w:rFonts w:cs="Times New Roman"/>
          <w:bCs/>
          <w:sz w:val="20"/>
          <w:szCs w:val="20"/>
        </w:rPr>
        <w:t xml:space="preserve">. </w:t>
      </w:r>
      <w:r w:rsidRPr="001C46AF">
        <w:rPr>
          <w:rFonts w:cs="Times New Roman"/>
          <w:bCs/>
          <w:sz w:val="20"/>
          <w:szCs w:val="20"/>
        </w:rPr>
        <w:tab/>
        <w:t xml:space="preserve">   500,00 EUR</w:t>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t xml:space="preserve">642030 Príplatky a príspevky </w:t>
      </w:r>
      <w:r w:rsidRPr="001C46AF">
        <w:rPr>
          <w:rFonts w:cs="Times New Roman"/>
          <w:bCs/>
          <w:sz w:val="20"/>
          <w:szCs w:val="20"/>
        </w:rPr>
        <w:tab/>
        <w:t xml:space="preserve"> </w:t>
      </w:r>
      <w:r w:rsidRPr="001C46AF">
        <w:rPr>
          <w:rFonts w:cs="Times New Roman"/>
          <w:bCs/>
          <w:sz w:val="20"/>
          <w:szCs w:val="20"/>
          <w:u w:val="single"/>
        </w:rPr>
        <w:t>2 000,00 EUR</w:t>
      </w:r>
      <w:r w:rsidRPr="001C46AF">
        <w:rPr>
          <w:rFonts w:cs="Times New Roman"/>
          <w:bCs/>
          <w:sz w:val="20"/>
          <w:szCs w:val="20"/>
        </w:rPr>
        <w:t xml:space="preserve"> </w:t>
      </w: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 xml:space="preserve">632001 Energie </w:t>
      </w:r>
      <w:r w:rsidRPr="001C46AF">
        <w:rPr>
          <w:rFonts w:cs="Times New Roman"/>
          <w:bCs/>
          <w:sz w:val="20"/>
          <w:szCs w:val="20"/>
        </w:rPr>
        <w:tab/>
      </w:r>
      <w:r w:rsidRPr="001C46AF">
        <w:rPr>
          <w:rFonts w:cs="Times New Roman"/>
          <w:bCs/>
          <w:sz w:val="20"/>
          <w:szCs w:val="20"/>
        </w:rPr>
        <w:tab/>
        <w:t xml:space="preserve">              6 600,00 EUR </w:t>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t xml:space="preserve">             </w:t>
      </w:r>
      <w:r w:rsidRPr="001C46AF">
        <w:rPr>
          <w:rFonts w:cs="Times New Roman"/>
          <w:b/>
          <w:bCs/>
          <w:sz w:val="20"/>
          <w:szCs w:val="20"/>
        </w:rPr>
        <w:t>12 440,00 EUR</w:t>
      </w: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 xml:space="preserve">632002 Vodné, stočné </w:t>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t xml:space="preserve">   200,00 EUR </w:t>
      </w: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632004 Komunikačná infraštruktúra</w:t>
      </w:r>
      <w:r w:rsidRPr="001C46AF">
        <w:rPr>
          <w:rFonts w:cs="Times New Roman"/>
          <w:bCs/>
          <w:sz w:val="20"/>
          <w:szCs w:val="20"/>
        </w:rPr>
        <w:tab/>
        <w:t xml:space="preserve">   600,00 EUR </w:t>
      </w: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 xml:space="preserve">632005 Telekomunikačné služby </w:t>
      </w:r>
      <w:r w:rsidRPr="001C46AF">
        <w:rPr>
          <w:rFonts w:cs="Times New Roman"/>
          <w:bCs/>
          <w:sz w:val="20"/>
          <w:szCs w:val="20"/>
        </w:rPr>
        <w:tab/>
        <w:t xml:space="preserve">   700,00 EUR </w:t>
      </w: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 xml:space="preserve">633001 Interiérové vybavenie </w:t>
      </w:r>
      <w:r w:rsidRPr="001C46AF">
        <w:rPr>
          <w:rFonts w:cs="Times New Roman"/>
          <w:bCs/>
          <w:sz w:val="20"/>
          <w:szCs w:val="20"/>
        </w:rPr>
        <w:tab/>
        <w:t xml:space="preserve">2 000,00 EUR </w:t>
      </w: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 xml:space="preserve">633002 Výpočtová technika </w:t>
      </w:r>
      <w:r w:rsidRPr="001C46AF">
        <w:rPr>
          <w:rFonts w:cs="Times New Roman"/>
          <w:bCs/>
          <w:sz w:val="20"/>
          <w:szCs w:val="20"/>
        </w:rPr>
        <w:tab/>
        <w:t xml:space="preserve">              5 000,00 EUR </w:t>
      </w: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 xml:space="preserve">633006 Všeobecný materiál </w:t>
      </w:r>
      <w:r w:rsidRPr="001C46AF">
        <w:rPr>
          <w:rFonts w:cs="Times New Roman"/>
          <w:bCs/>
          <w:sz w:val="20"/>
          <w:szCs w:val="20"/>
        </w:rPr>
        <w:tab/>
      </w:r>
      <w:r w:rsidRPr="001C46AF">
        <w:rPr>
          <w:rFonts w:cs="Times New Roman"/>
          <w:bCs/>
          <w:sz w:val="20"/>
          <w:szCs w:val="20"/>
        </w:rPr>
        <w:tab/>
        <w:t xml:space="preserve">4 326,00 EUR </w:t>
      </w: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 xml:space="preserve">637011 Štúdie, expertízy, posudky   </w:t>
      </w:r>
      <w:r w:rsidRPr="001C46AF">
        <w:rPr>
          <w:rFonts w:cs="Times New Roman"/>
          <w:bCs/>
          <w:sz w:val="20"/>
          <w:szCs w:val="20"/>
          <w:u w:val="single"/>
        </w:rPr>
        <w:t>27 000,00 EUR</w:t>
      </w:r>
    </w:p>
    <w:p w:rsidR="007F0E03" w:rsidRPr="001C46AF" w:rsidRDefault="007F0E03" w:rsidP="007F0E03">
      <w:pPr>
        <w:tabs>
          <w:tab w:val="num" w:pos="1080"/>
        </w:tabs>
        <w:ind w:left="-900"/>
        <w:jc w:val="both"/>
        <w:rPr>
          <w:rFonts w:cs="Times New Roman"/>
          <w:b/>
          <w:bCs/>
          <w:sz w:val="20"/>
          <w:szCs w:val="20"/>
        </w:rPr>
      </w:pPr>
      <w:r w:rsidRPr="001C46AF">
        <w:rPr>
          <w:rFonts w:cs="Times New Roman"/>
          <w:bCs/>
          <w:sz w:val="20"/>
          <w:szCs w:val="20"/>
        </w:rPr>
        <w:t xml:space="preserve">             (testovanie výrobkov)         </w:t>
      </w:r>
      <w:r w:rsidRPr="001C46AF">
        <w:rPr>
          <w:rFonts w:cs="Times New Roman"/>
          <w:b/>
          <w:bCs/>
          <w:sz w:val="20"/>
          <w:szCs w:val="20"/>
        </w:rPr>
        <w:t xml:space="preserve"> 48 826,00 EUR</w:t>
      </w:r>
    </w:p>
    <w:p w:rsidR="007F0E03" w:rsidRPr="001C46AF" w:rsidRDefault="007F0E03" w:rsidP="007F0E03">
      <w:pPr>
        <w:rPr>
          <w:rFonts w:cs="Times New Roman"/>
          <w:bCs/>
          <w:sz w:val="20"/>
          <w:szCs w:val="20"/>
        </w:rPr>
      </w:pPr>
      <w:r w:rsidRPr="001C46AF">
        <w:rPr>
          <w:rFonts w:cs="Times New Roman"/>
          <w:bCs/>
          <w:sz w:val="20"/>
          <w:szCs w:val="20"/>
        </w:rPr>
        <w:br w:type="page"/>
      </w:r>
    </w:p>
    <w:p w:rsidR="007F0E03" w:rsidRPr="007F0E03" w:rsidRDefault="007F0E03" w:rsidP="007F0E03">
      <w:pPr>
        <w:tabs>
          <w:tab w:val="num" w:pos="1080"/>
        </w:tabs>
        <w:spacing w:after="120"/>
        <w:ind w:left="-902" w:firstLine="193"/>
        <w:jc w:val="both"/>
        <w:rPr>
          <w:rFonts w:cs="Times New Roman"/>
          <w:bCs/>
          <w:sz w:val="20"/>
          <w:szCs w:val="20"/>
        </w:rPr>
      </w:pPr>
      <w:r w:rsidRPr="007F0E03">
        <w:rPr>
          <w:rFonts w:cs="Times New Roman"/>
          <w:bCs/>
          <w:sz w:val="20"/>
          <w:szCs w:val="20"/>
        </w:rPr>
        <w:t>Tabuľka č.4/A2</w:t>
      </w:r>
      <w:r w:rsidRPr="007F0E03">
        <w:rPr>
          <w:rFonts w:cs="Times New Roman"/>
          <w:b/>
          <w:bCs/>
          <w:sz w:val="20"/>
          <w:szCs w:val="20"/>
        </w:rPr>
        <w:t xml:space="preserve"> </w:t>
      </w:r>
      <w:r w:rsidRPr="007F0E03">
        <w:rPr>
          <w:rFonts w:cs="Times New Roman"/>
          <w:bCs/>
          <w:sz w:val="20"/>
          <w:szCs w:val="20"/>
        </w:rPr>
        <w:t>za subjekt Ministerstvo hospodárstva SR/SOI - Výdavky výlučne k Zákonu č. 351/2022 Z. z.</w:t>
      </w:r>
    </w:p>
    <w:tbl>
      <w:tblPr>
        <w:tblpPr w:leftFromText="141" w:rightFromText="141" w:vertAnchor="text" w:horzAnchor="page" w:tblpX="629" w:tblpY="2"/>
        <w:tblW w:w="14772" w:type="dxa"/>
        <w:tblCellMar>
          <w:left w:w="70" w:type="dxa"/>
          <w:right w:w="70" w:type="dxa"/>
        </w:tblCellMar>
        <w:tblLook w:val="0000" w:firstRow="0" w:lastRow="0" w:firstColumn="0" w:lastColumn="0" w:noHBand="0" w:noVBand="0"/>
      </w:tblPr>
      <w:tblGrid>
        <w:gridCol w:w="6539"/>
        <w:gridCol w:w="1448"/>
        <w:gridCol w:w="1554"/>
        <w:gridCol w:w="1554"/>
        <w:gridCol w:w="1555"/>
        <w:gridCol w:w="2122"/>
      </w:tblGrid>
      <w:tr w:rsidR="007F0E03" w:rsidRPr="001C46AF" w:rsidTr="007F0E03">
        <w:trPr>
          <w:cantSplit/>
          <w:trHeight w:val="223"/>
        </w:trPr>
        <w:tc>
          <w:tcPr>
            <w:tcW w:w="6539"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7F0E03" w:rsidRPr="001C46AF" w:rsidRDefault="007F0E03" w:rsidP="007F0E03">
            <w:pPr>
              <w:jc w:val="center"/>
              <w:rPr>
                <w:rFonts w:cs="Times New Roman"/>
                <w:b/>
                <w:bCs/>
                <w:sz w:val="20"/>
                <w:szCs w:val="20"/>
              </w:rPr>
            </w:pPr>
            <w:r w:rsidRPr="001C46AF">
              <w:rPr>
                <w:rFonts w:cs="Times New Roman"/>
                <w:b/>
                <w:bCs/>
                <w:sz w:val="20"/>
                <w:szCs w:val="20"/>
              </w:rPr>
              <w:t>Výdavky (v eurách)</w:t>
            </w:r>
          </w:p>
        </w:tc>
        <w:tc>
          <w:tcPr>
            <w:tcW w:w="6111"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7F0E03" w:rsidRPr="001C46AF" w:rsidRDefault="007F0E03" w:rsidP="007F0E03">
            <w:pPr>
              <w:jc w:val="center"/>
              <w:rPr>
                <w:rFonts w:cs="Times New Roman"/>
                <w:b/>
                <w:bCs/>
                <w:sz w:val="20"/>
                <w:szCs w:val="20"/>
              </w:rPr>
            </w:pPr>
            <w:r w:rsidRPr="001C46AF">
              <w:rPr>
                <w:rFonts w:cs="Times New Roman"/>
                <w:b/>
                <w:bCs/>
                <w:sz w:val="20"/>
                <w:szCs w:val="20"/>
              </w:rPr>
              <w:t>Vplyv na rozpočet verejnej správy</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F0E03" w:rsidRPr="001C46AF" w:rsidRDefault="007F0E03" w:rsidP="007F0E03">
            <w:pPr>
              <w:jc w:val="center"/>
              <w:rPr>
                <w:rFonts w:cs="Times New Roman"/>
                <w:b/>
                <w:bCs/>
              </w:rPr>
            </w:pPr>
            <w:r w:rsidRPr="001C46AF">
              <w:rPr>
                <w:rFonts w:cs="Times New Roman"/>
                <w:b/>
                <w:bCs/>
              </w:rPr>
              <w:t>poznámka</w:t>
            </w:r>
          </w:p>
        </w:tc>
      </w:tr>
      <w:tr w:rsidR="007F0E03" w:rsidRPr="001C46AF" w:rsidTr="007F0E03">
        <w:trPr>
          <w:cantSplit/>
          <w:trHeight w:val="223"/>
        </w:trPr>
        <w:tc>
          <w:tcPr>
            <w:tcW w:w="6539" w:type="dxa"/>
            <w:vMerge/>
            <w:tcBorders>
              <w:top w:val="single" w:sz="4" w:space="0" w:color="auto"/>
              <w:left w:val="single" w:sz="4" w:space="0" w:color="auto"/>
              <w:bottom w:val="single" w:sz="4" w:space="0" w:color="000000"/>
              <w:right w:val="single" w:sz="4" w:space="0" w:color="auto"/>
            </w:tcBorders>
            <w:vAlign w:val="center"/>
          </w:tcPr>
          <w:p w:rsidR="007F0E03" w:rsidRPr="001C46AF" w:rsidRDefault="007F0E03" w:rsidP="007F0E03">
            <w:pPr>
              <w:rPr>
                <w:rFonts w:cs="Times New Roman"/>
                <w:b/>
                <w:bCs/>
                <w:sz w:val="20"/>
                <w:szCs w:val="20"/>
              </w:rPr>
            </w:pPr>
          </w:p>
        </w:tc>
        <w:tc>
          <w:tcPr>
            <w:tcW w:w="1448" w:type="dxa"/>
            <w:tcBorders>
              <w:top w:val="nil"/>
              <w:left w:val="nil"/>
              <w:bottom w:val="single" w:sz="4" w:space="0" w:color="auto"/>
              <w:right w:val="single" w:sz="4" w:space="0" w:color="auto"/>
            </w:tcBorders>
            <w:shd w:val="clear" w:color="auto" w:fill="BFBFBF" w:themeFill="background1" w:themeFillShade="BF"/>
          </w:tcPr>
          <w:p w:rsidR="007F0E03" w:rsidRPr="001C46AF" w:rsidRDefault="007F0E03" w:rsidP="007F0E03">
            <w:pPr>
              <w:jc w:val="center"/>
              <w:rPr>
                <w:rFonts w:cs="Times New Roman"/>
                <w:b/>
                <w:bCs/>
              </w:rPr>
            </w:pPr>
            <w:r w:rsidRPr="001C46AF">
              <w:rPr>
                <w:rFonts w:cs="Times New Roman"/>
                <w:b/>
                <w:bCs/>
              </w:rPr>
              <w:t>2025</w:t>
            </w:r>
          </w:p>
        </w:tc>
        <w:tc>
          <w:tcPr>
            <w:tcW w:w="1554" w:type="dxa"/>
            <w:tcBorders>
              <w:top w:val="nil"/>
              <w:left w:val="nil"/>
              <w:bottom w:val="single" w:sz="4" w:space="0" w:color="auto"/>
              <w:right w:val="single" w:sz="4" w:space="0" w:color="auto"/>
            </w:tcBorders>
            <w:shd w:val="clear" w:color="auto" w:fill="BFBFBF" w:themeFill="background1" w:themeFillShade="BF"/>
          </w:tcPr>
          <w:p w:rsidR="007F0E03" w:rsidRPr="001C46AF" w:rsidRDefault="007F0E03" w:rsidP="007F0E03">
            <w:pPr>
              <w:jc w:val="center"/>
              <w:rPr>
                <w:rFonts w:cs="Times New Roman"/>
                <w:b/>
                <w:bCs/>
              </w:rPr>
            </w:pPr>
            <w:r w:rsidRPr="001C46AF">
              <w:rPr>
                <w:rFonts w:cs="Times New Roman"/>
                <w:b/>
                <w:bCs/>
              </w:rPr>
              <w:t>2026</w:t>
            </w:r>
          </w:p>
        </w:tc>
        <w:tc>
          <w:tcPr>
            <w:tcW w:w="1554" w:type="dxa"/>
            <w:tcBorders>
              <w:top w:val="nil"/>
              <w:left w:val="nil"/>
              <w:bottom w:val="single" w:sz="4" w:space="0" w:color="auto"/>
              <w:right w:val="single" w:sz="4" w:space="0" w:color="auto"/>
            </w:tcBorders>
            <w:shd w:val="clear" w:color="auto" w:fill="BFBFBF" w:themeFill="background1" w:themeFillShade="BF"/>
          </w:tcPr>
          <w:p w:rsidR="007F0E03" w:rsidRPr="001C46AF" w:rsidRDefault="007F0E03" w:rsidP="007F0E03">
            <w:pPr>
              <w:jc w:val="center"/>
              <w:rPr>
                <w:rFonts w:cs="Times New Roman"/>
                <w:b/>
                <w:bCs/>
              </w:rPr>
            </w:pPr>
            <w:r w:rsidRPr="001C46AF">
              <w:rPr>
                <w:rFonts w:cs="Times New Roman"/>
                <w:b/>
                <w:bCs/>
              </w:rPr>
              <w:t>2027</w:t>
            </w:r>
          </w:p>
        </w:tc>
        <w:tc>
          <w:tcPr>
            <w:tcW w:w="1554" w:type="dxa"/>
            <w:tcBorders>
              <w:top w:val="nil"/>
              <w:left w:val="nil"/>
              <w:bottom w:val="single" w:sz="4" w:space="0" w:color="auto"/>
              <w:right w:val="single" w:sz="4" w:space="0" w:color="auto"/>
            </w:tcBorders>
            <w:shd w:val="clear" w:color="auto" w:fill="BFBFBF" w:themeFill="background1" w:themeFillShade="BF"/>
          </w:tcPr>
          <w:p w:rsidR="007F0E03" w:rsidRPr="001C46AF" w:rsidRDefault="007F0E03" w:rsidP="007F0E03">
            <w:pPr>
              <w:jc w:val="center"/>
              <w:rPr>
                <w:rFonts w:cs="Times New Roman"/>
                <w:b/>
                <w:bCs/>
              </w:rPr>
            </w:pPr>
            <w:r w:rsidRPr="001C46AF">
              <w:rPr>
                <w:rFonts w:cs="Times New Roman"/>
                <w:b/>
                <w:bCs/>
              </w:rPr>
              <w:t>2028</w:t>
            </w:r>
          </w:p>
        </w:tc>
        <w:tc>
          <w:tcPr>
            <w:tcW w:w="2122" w:type="dxa"/>
            <w:vMerge/>
            <w:tcBorders>
              <w:top w:val="single" w:sz="4" w:space="0" w:color="auto"/>
              <w:left w:val="single" w:sz="4" w:space="0" w:color="auto"/>
              <w:bottom w:val="single" w:sz="4" w:space="0" w:color="auto"/>
              <w:right w:val="single" w:sz="4" w:space="0" w:color="auto"/>
            </w:tcBorders>
            <w:vAlign w:val="center"/>
          </w:tcPr>
          <w:p w:rsidR="007F0E03" w:rsidRPr="001C46AF" w:rsidRDefault="007F0E03" w:rsidP="007F0E03">
            <w:pPr>
              <w:rPr>
                <w:rFonts w:cs="Times New Roman"/>
                <w:b/>
                <w:bCs/>
              </w:rPr>
            </w:pPr>
          </w:p>
        </w:tc>
      </w:tr>
      <w:tr w:rsidR="007F0E03" w:rsidRPr="001C46AF" w:rsidTr="007F0E03">
        <w:trPr>
          <w:trHeight w:val="379"/>
        </w:trPr>
        <w:tc>
          <w:tcPr>
            <w:tcW w:w="6539" w:type="dxa"/>
            <w:tcBorders>
              <w:top w:val="nil"/>
              <w:left w:val="single" w:sz="4" w:space="0" w:color="auto"/>
              <w:bottom w:val="single" w:sz="4" w:space="0" w:color="auto"/>
              <w:right w:val="single" w:sz="4" w:space="0" w:color="auto"/>
            </w:tcBorders>
          </w:tcPr>
          <w:p w:rsidR="007F0E03" w:rsidRPr="001C46AF" w:rsidRDefault="007F0E03" w:rsidP="007F0E03">
            <w:pPr>
              <w:rPr>
                <w:rFonts w:cs="Times New Roman"/>
                <w:b/>
                <w:bCs/>
                <w:sz w:val="20"/>
                <w:szCs w:val="20"/>
              </w:rPr>
            </w:pPr>
            <w:r w:rsidRPr="001C46AF">
              <w:rPr>
                <w:rFonts w:cs="Times New Roman"/>
                <w:b/>
                <w:bCs/>
                <w:sz w:val="20"/>
                <w:szCs w:val="20"/>
              </w:rPr>
              <w:t>Bežné výdavky (600)</w:t>
            </w:r>
          </w:p>
        </w:tc>
        <w:tc>
          <w:tcPr>
            <w:tcW w:w="1448" w:type="dxa"/>
            <w:tcBorders>
              <w:top w:val="nil"/>
              <w:left w:val="nil"/>
              <w:bottom w:val="single" w:sz="4" w:space="0" w:color="auto"/>
              <w:right w:val="single" w:sz="4" w:space="0" w:color="auto"/>
            </w:tcBorders>
            <w:vAlign w:val="center"/>
          </w:tcPr>
          <w:p w:rsidR="007F0E03" w:rsidRPr="001C46AF" w:rsidRDefault="007F0E03" w:rsidP="007F0E03">
            <w:pPr>
              <w:jc w:val="center"/>
              <w:rPr>
                <w:rFonts w:cs="Times New Roman"/>
                <w:bCs/>
                <w:sz w:val="20"/>
                <w:szCs w:val="20"/>
              </w:rPr>
            </w:pPr>
            <w:r w:rsidRPr="001C46AF">
              <w:rPr>
                <w:rFonts w:cs="Times New Roman"/>
                <w:bCs/>
                <w:sz w:val="20"/>
                <w:szCs w:val="20"/>
              </w:rPr>
              <w:t>0</w:t>
            </w:r>
          </w:p>
        </w:tc>
        <w:tc>
          <w:tcPr>
            <w:tcW w:w="1554" w:type="dxa"/>
            <w:tcBorders>
              <w:top w:val="nil"/>
              <w:left w:val="nil"/>
              <w:bottom w:val="single" w:sz="4" w:space="0" w:color="auto"/>
              <w:right w:val="single" w:sz="4" w:space="0" w:color="auto"/>
            </w:tcBorders>
            <w:vAlign w:val="center"/>
          </w:tcPr>
          <w:p w:rsidR="007F0E03" w:rsidRPr="001C46AF" w:rsidRDefault="007F0E03" w:rsidP="007F0E03">
            <w:pPr>
              <w:jc w:val="center"/>
              <w:rPr>
                <w:rFonts w:cs="Times New Roman"/>
                <w:sz w:val="20"/>
                <w:szCs w:val="20"/>
              </w:rPr>
            </w:pPr>
            <w:r w:rsidRPr="001C46AF">
              <w:rPr>
                <w:rFonts w:cs="Times New Roman"/>
                <w:sz w:val="20"/>
                <w:szCs w:val="20"/>
              </w:rPr>
              <w:t xml:space="preserve">+216 752 </w:t>
            </w:r>
          </w:p>
        </w:tc>
        <w:tc>
          <w:tcPr>
            <w:tcW w:w="1554" w:type="dxa"/>
            <w:tcBorders>
              <w:top w:val="nil"/>
              <w:left w:val="nil"/>
              <w:bottom w:val="single" w:sz="4" w:space="0" w:color="auto"/>
              <w:right w:val="single" w:sz="4" w:space="0" w:color="auto"/>
            </w:tcBorders>
            <w:vAlign w:val="center"/>
          </w:tcPr>
          <w:p w:rsidR="007F0E03" w:rsidRPr="001C46AF" w:rsidRDefault="007F0E03" w:rsidP="007F0E03">
            <w:pPr>
              <w:jc w:val="center"/>
              <w:rPr>
                <w:rFonts w:cs="Times New Roman"/>
                <w:sz w:val="20"/>
                <w:szCs w:val="20"/>
              </w:rPr>
            </w:pPr>
            <w:r w:rsidRPr="001C46AF">
              <w:rPr>
                <w:rFonts w:cs="Times New Roman"/>
                <w:sz w:val="20"/>
                <w:szCs w:val="20"/>
              </w:rPr>
              <w:t>+209 752</w:t>
            </w:r>
          </w:p>
        </w:tc>
        <w:tc>
          <w:tcPr>
            <w:tcW w:w="1554" w:type="dxa"/>
            <w:tcBorders>
              <w:top w:val="nil"/>
              <w:left w:val="nil"/>
              <w:bottom w:val="single" w:sz="4" w:space="0" w:color="auto"/>
              <w:right w:val="single" w:sz="4" w:space="0" w:color="auto"/>
            </w:tcBorders>
            <w:vAlign w:val="center"/>
          </w:tcPr>
          <w:p w:rsidR="007F0E03" w:rsidRPr="001C46AF" w:rsidRDefault="007F0E03" w:rsidP="007F0E03">
            <w:pPr>
              <w:jc w:val="center"/>
              <w:rPr>
                <w:rFonts w:cs="Times New Roman"/>
                <w:sz w:val="20"/>
                <w:szCs w:val="20"/>
              </w:rPr>
            </w:pPr>
            <w:r w:rsidRPr="001C46AF">
              <w:rPr>
                <w:rFonts w:cs="Times New Roman"/>
                <w:sz w:val="20"/>
                <w:szCs w:val="20"/>
              </w:rPr>
              <w:t>+209 752</w:t>
            </w:r>
          </w:p>
        </w:tc>
        <w:tc>
          <w:tcPr>
            <w:tcW w:w="2122" w:type="dxa"/>
            <w:tcBorders>
              <w:top w:val="nil"/>
              <w:left w:val="nil"/>
              <w:bottom w:val="single" w:sz="4" w:space="0" w:color="auto"/>
              <w:right w:val="single" w:sz="4" w:space="0" w:color="auto"/>
            </w:tcBorders>
            <w:noWrap/>
            <w:vAlign w:val="bottom"/>
          </w:tcPr>
          <w:p w:rsidR="007F0E03" w:rsidRPr="001C46AF" w:rsidRDefault="007F0E03" w:rsidP="007F0E03">
            <w:pPr>
              <w:rPr>
                <w:rFonts w:cs="Times New Roman"/>
              </w:rPr>
            </w:pPr>
            <w:r w:rsidRPr="001C46AF">
              <w:rPr>
                <w:rFonts w:cs="Times New Roman"/>
              </w:rPr>
              <w:t> </w:t>
            </w:r>
          </w:p>
        </w:tc>
      </w:tr>
      <w:tr w:rsidR="007F0E03" w:rsidRPr="001C46AF" w:rsidTr="007F0E03">
        <w:trPr>
          <w:trHeight w:val="223"/>
        </w:trPr>
        <w:tc>
          <w:tcPr>
            <w:tcW w:w="6539" w:type="dxa"/>
            <w:tcBorders>
              <w:top w:val="nil"/>
              <w:left w:val="single" w:sz="4" w:space="0" w:color="auto"/>
              <w:bottom w:val="single" w:sz="4" w:space="0" w:color="auto"/>
              <w:right w:val="single" w:sz="4" w:space="0" w:color="auto"/>
            </w:tcBorders>
          </w:tcPr>
          <w:p w:rsidR="007F0E03" w:rsidRPr="001C46AF" w:rsidRDefault="007F0E03" w:rsidP="007F0E03">
            <w:pPr>
              <w:rPr>
                <w:rFonts w:cs="Times New Roman"/>
                <w:sz w:val="20"/>
                <w:szCs w:val="20"/>
              </w:rPr>
            </w:pPr>
            <w:r w:rsidRPr="001C46AF">
              <w:rPr>
                <w:rFonts w:cs="Times New Roman"/>
                <w:sz w:val="20"/>
                <w:szCs w:val="20"/>
              </w:rPr>
              <w:t xml:space="preserve">  Mzdy, platy, služobné príjmy a ostatné osobné vyrovnania (610)</w:t>
            </w:r>
          </w:p>
        </w:tc>
        <w:tc>
          <w:tcPr>
            <w:tcW w:w="1448" w:type="dxa"/>
            <w:tcBorders>
              <w:top w:val="nil"/>
              <w:left w:val="nil"/>
              <w:bottom w:val="single" w:sz="4" w:space="0" w:color="auto"/>
              <w:right w:val="single" w:sz="4" w:space="0" w:color="auto"/>
            </w:tcBorders>
            <w:vAlign w:val="center"/>
          </w:tcPr>
          <w:p w:rsidR="007F0E03" w:rsidRPr="001C46AF" w:rsidRDefault="007F0E03" w:rsidP="007F0E03">
            <w:pPr>
              <w:jc w:val="center"/>
              <w:rPr>
                <w:rFonts w:cs="Times New Roman"/>
                <w:sz w:val="20"/>
                <w:szCs w:val="20"/>
              </w:rPr>
            </w:pPr>
            <w:r w:rsidRPr="001C46AF">
              <w:rPr>
                <w:rFonts w:cs="Times New Roman"/>
                <w:sz w:val="20"/>
                <w:szCs w:val="20"/>
              </w:rPr>
              <w:t>0</w:t>
            </w:r>
          </w:p>
        </w:tc>
        <w:tc>
          <w:tcPr>
            <w:tcW w:w="1554"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r w:rsidRPr="001C46AF">
              <w:rPr>
                <w:rFonts w:cs="Times New Roman"/>
                <w:sz w:val="20"/>
                <w:szCs w:val="20"/>
              </w:rPr>
              <w:t>+123 408</w:t>
            </w:r>
          </w:p>
        </w:tc>
        <w:tc>
          <w:tcPr>
            <w:tcW w:w="1554"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r w:rsidRPr="001C46AF">
              <w:rPr>
                <w:rFonts w:cs="Times New Roman"/>
                <w:sz w:val="20"/>
                <w:szCs w:val="20"/>
              </w:rPr>
              <w:t>+123 408</w:t>
            </w:r>
          </w:p>
        </w:tc>
        <w:tc>
          <w:tcPr>
            <w:tcW w:w="1554"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r w:rsidRPr="001C46AF">
              <w:rPr>
                <w:rFonts w:cs="Times New Roman"/>
                <w:sz w:val="20"/>
                <w:szCs w:val="20"/>
              </w:rPr>
              <w:t>+123 408</w:t>
            </w:r>
          </w:p>
        </w:tc>
        <w:tc>
          <w:tcPr>
            <w:tcW w:w="2122" w:type="dxa"/>
            <w:tcBorders>
              <w:top w:val="nil"/>
              <w:left w:val="nil"/>
              <w:bottom w:val="single" w:sz="4" w:space="0" w:color="auto"/>
              <w:right w:val="single" w:sz="4" w:space="0" w:color="auto"/>
            </w:tcBorders>
            <w:noWrap/>
            <w:vAlign w:val="bottom"/>
          </w:tcPr>
          <w:p w:rsidR="007F0E03" w:rsidRPr="001C46AF" w:rsidRDefault="007F0E03" w:rsidP="007F0E03">
            <w:pPr>
              <w:rPr>
                <w:rFonts w:cs="Times New Roman"/>
              </w:rPr>
            </w:pPr>
          </w:p>
        </w:tc>
      </w:tr>
      <w:tr w:rsidR="007F0E03" w:rsidRPr="001C46AF" w:rsidTr="007F0E03">
        <w:trPr>
          <w:trHeight w:val="223"/>
        </w:trPr>
        <w:tc>
          <w:tcPr>
            <w:tcW w:w="6539" w:type="dxa"/>
            <w:tcBorders>
              <w:top w:val="nil"/>
              <w:left w:val="single" w:sz="4" w:space="0" w:color="auto"/>
              <w:bottom w:val="single" w:sz="4" w:space="0" w:color="auto"/>
              <w:right w:val="single" w:sz="4" w:space="0" w:color="auto"/>
            </w:tcBorders>
          </w:tcPr>
          <w:p w:rsidR="007F0E03" w:rsidRPr="001C46AF" w:rsidRDefault="007F0E03" w:rsidP="007F0E03">
            <w:pPr>
              <w:rPr>
                <w:rFonts w:cs="Times New Roman"/>
                <w:sz w:val="20"/>
                <w:szCs w:val="20"/>
                <w:vertAlign w:val="superscript"/>
              </w:rPr>
            </w:pPr>
            <w:r w:rsidRPr="001C46AF">
              <w:rPr>
                <w:rFonts w:cs="Times New Roman"/>
                <w:sz w:val="20"/>
                <w:szCs w:val="20"/>
              </w:rPr>
              <w:t xml:space="preserve">  Poistné a príspevok do poisťovní (620)</w:t>
            </w:r>
          </w:p>
        </w:tc>
        <w:tc>
          <w:tcPr>
            <w:tcW w:w="1448" w:type="dxa"/>
            <w:tcBorders>
              <w:top w:val="nil"/>
              <w:left w:val="nil"/>
              <w:bottom w:val="single" w:sz="4" w:space="0" w:color="auto"/>
              <w:right w:val="single" w:sz="4" w:space="0" w:color="auto"/>
            </w:tcBorders>
            <w:vAlign w:val="center"/>
          </w:tcPr>
          <w:p w:rsidR="007F0E03" w:rsidRPr="001C46AF" w:rsidRDefault="007F0E03" w:rsidP="007F0E03">
            <w:pPr>
              <w:jc w:val="center"/>
              <w:rPr>
                <w:rFonts w:cs="Times New Roman"/>
                <w:sz w:val="20"/>
                <w:szCs w:val="20"/>
              </w:rPr>
            </w:pPr>
            <w:r w:rsidRPr="001C46AF">
              <w:rPr>
                <w:rFonts w:cs="Times New Roman"/>
                <w:sz w:val="20"/>
                <w:szCs w:val="20"/>
              </w:rPr>
              <w:t>0</w:t>
            </w:r>
          </w:p>
        </w:tc>
        <w:tc>
          <w:tcPr>
            <w:tcW w:w="1554"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r w:rsidRPr="001C46AF">
              <w:rPr>
                <w:rFonts w:cs="Times New Roman"/>
                <w:sz w:val="20"/>
                <w:szCs w:val="20"/>
              </w:rPr>
              <w:t>+44 365</w:t>
            </w:r>
          </w:p>
        </w:tc>
        <w:tc>
          <w:tcPr>
            <w:tcW w:w="1554"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r w:rsidRPr="001C46AF">
              <w:rPr>
                <w:rFonts w:cs="Times New Roman"/>
                <w:sz w:val="20"/>
                <w:szCs w:val="20"/>
              </w:rPr>
              <w:t>+44 365</w:t>
            </w:r>
          </w:p>
        </w:tc>
        <w:tc>
          <w:tcPr>
            <w:tcW w:w="1554"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r w:rsidRPr="001C46AF">
              <w:rPr>
                <w:rFonts w:cs="Times New Roman"/>
                <w:sz w:val="20"/>
                <w:szCs w:val="20"/>
              </w:rPr>
              <w:t xml:space="preserve">+44 365 </w:t>
            </w:r>
          </w:p>
        </w:tc>
        <w:tc>
          <w:tcPr>
            <w:tcW w:w="2122" w:type="dxa"/>
            <w:tcBorders>
              <w:top w:val="nil"/>
              <w:left w:val="nil"/>
              <w:bottom w:val="single" w:sz="4" w:space="0" w:color="auto"/>
              <w:right w:val="single" w:sz="4" w:space="0" w:color="auto"/>
            </w:tcBorders>
            <w:noWrap/>
            <w:vAlign w:val="bottom"/>
          </w:tcPr>
          <w:p w:rsidR="007F0E03" w:rsidRPr="001C46AF" w:rsidRDefault="007F0E03" w:rsidP="007F0E03">
            <w:pPr>
              <w:rPr>
                <w:rFonts w:cs="Times New Roman"/>
              </w:rPr>
            </w:pPr>
            <w:r w:rsidRPr="001C46AF">
              <w:rPr>
                <w:rFonts w:cs="Times New Roman"/>
              </w:rPr>
              <w:t> </w:t>
            </w:r>
          </w:p>
        </w:tc>
      </w:tr>
      <w:tr w:rsidR="007F0E03" w:rsidRPr="001C46AF" w:rsidTr="007F0E03">
        <w:trPr>
          <w:trHeight w:val="223"/>
        </w:trPr>
        <w:tc>
          <w:tcPr>
            <w:tcW w:w="6539" w:type="dxa"/>
            <w:tcBorders>
              <w:top w:val="nil"/>
              <w:left w:val="single" w:sz="4" w:space="0" w:color="auto"/>
              <w:bottom w:val="single" w:sz="4" w:space="0" w:color="auto"/>
              <w:right w:val="single" w:sz="4" w:space="0" w:color="auto"/>
            </w:tcBorders>
          </w:tcPr>
          <w:p w:rsidR="007F0E03" w:rsidRPr="001C46AF" w:rsidRDefault="007F0E03" w:rsidP="007F0E03">
            <w:pPr>
              <w:rPr>
                <w:rFonts w:cs="Times New Roman"/>
                <w:sz w:val="20"/>
                <w:szCs w:val="20"/>
                <w:vertAlign w:val="superscript"/>
              </w:rPr>
            </w:pPr>
            <w:r w:rsidRPr="001C46AF">
              <w:rPr>
                <w:rFonts w:cs="Times New Roman"/>
                <w:sz w:val="20"/>
                <w:szCs w:val="20"/>
              </w:rPr>
              <w:t xml:space="preserve">  Tovary a služby (630)</w:t>
            </w:r>
            <w:r w:rsidRPr="001C46AF">
              <w:rPr>
                <w:rFonts w:cs="Times New Roman"/>
                <w:sz w:val="20"/>
                <w:szCs w:val="20"/>
                <w:vertAlign w:val="superscript"/>
              </w:rPr>
              <w:t>2 *</w:t>
            </w:r>
          </w:p>
        </w:tc>
        <w:tc>
          <w:tcPr>
            <w:tcW w:w="1448" w:type="dxa"/>
            <w:tcBorders>
              <w:top w:val="nil"/>
              <w:left w:val="nil"/>
              <w:bottom w:val="single" w:sz="4" w:space="0" w:color="auto"/>
              <w:right w:val="single" w:sz="4" w:space="0" w:color="auto"/>
            </w:tcBorders>
            <w:vAlign w:val="center"/>
          </w:tcPr>
          <w:p w:rsidR="007F0E03" w:rsidRPr="001C46AF" w:rsidRDefault="007F0E03" w:rsidP="007F0E03">
            <w:pPr>
              <w:jc w:val="center"/>
              <w:rPr>
                <w:rFonts w:cs="Times New Roman"/>
                <w:sz w:val="20"/>
                <w:szCs w:val="20"/>
              </w:rPr>
            </w:pPr>
            <w:r w:rsidRPr="001C46AF">
              <w:rPr>
                <w:rFonts w:cs="Times New Roman"/>
                <w:sz w:val="20"/>
                <w:szCs w:val="20"/>
              </w:rPr>
              <w:t>0</w:t>
            </w:r>
          </w:p>
        </w:tc>
        <w:tc>
          <w:tcPr>
            <w:tcW w:w="1554"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r w:rsidRPr="001C46AF">
              <w:rPr>
                <w:rFonts w:cs="Times New Roman"/>
                <w:sz w:val="20"/>
                <w:szCs w:val="20"/>
              </w:rPr>
              <w:t>+36 539</w:t>
            </w:r>
          </w:p>
        </w:tc>
        <w:tc>
          <w:tcPr>
            <w:tcW w:w="1554"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r w:rsidRPr="001C46AF">
              <w:rPr>
                <w:rFonts w:cs="Times New Roman"/>
                <w:sz w:val="20"/>
                <w:szCs w:val="20"/>
              </w:rPr>
              <w:t xml:space="preserve"> +29 539</w:t>
            </w:r>
          </w:p>
        </w:tc>
        <w:tc>
          <w:tcPr>
            <w:tcW w:w="1554"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r w:rsidRPr="001C46AF">
              <w:rPr>
                <w:rFonts w:cs="Times New Roman"/>
                <w:sz w:val="20"/>
                <w:szCs w:val="20"/>
              </w:rPr>
              <w:t>+29 539</w:t>
            </w:r>
          </w:p>
        </w:tc>
        <w:tc>
          <w:tcPr>
            <w:tcW w:w="2122" w:type="dxa"/>
            <w:tcBorders>
              <w:top w:val="nil"/>
              <w:left w:val="nil"/>
              <w:bottom w:val="single" w:sz="4" w:space="0" w:color="auto"/>
              <w:right w:val="single" w:sz="4" w:space="0" w:color="auto"/>
            </w:tcBorders>
            <w:noWrap/>
            <w:vAlign w:val="bottom"/>
          </w:tcPr>
          <w:p w:rsidR="007F0E03" w:rsidRPr="001C46AF" w:rsidRDefault="007F0E03" w:rsidP="007F0E03">
            <w:pPr>
              <w:rPr>
                <w:rFonts w:cs="Times New Roman"/>
              </w:rPr>
            </w:pPr>
            <w:r w:rsidRPr="001C46AF">
              <w:rPr>
                <w:rFonts w:cs="Times New Roman"/>
              </w:rPr>
              <w:t> </w:t>
            </w:r>
          </w:p>
        </w:tc>
      </w:tr>
      <w:tr w:rsidR="007F0E03" w:rsidRPr="001C46AF" w:rsidTr="007F0E03">
        <w:trPr>
          <w:trHeight w:val="223"/>
        </w:trPr>
        <w:tc>
          <w:tcPr>
            <w:tcW w:w="6539" w:type="dxa"/>
            <w:tcBorders>
              <w:top w:val="nil"/>
              <w:left w:val="single" w:sz="4" w:space="0" w:color="auto"/>
              <w:bottom w:val="single" w:sz="4" w:space="0" w:color="auto"/>
              <w:right w:val="single" w:sz="4" w:space="0" w:color="auto"/>
            </w:tcBorders>
          </w:tcPr>
          <w:p w:rsidR="007F0E03" w:rsidRPr="001C46AF" w:rsidRDefault="007F0E03" w:rsidP="007F0E03">
            <w:pPr>
              <w:rPr>
                <w:rFonts w:cs="Times New Roman"/>
                <w:sz w:val="20"/>
                <w:szCs w:val="20"/>
              </w:rPr>
            </w:pPr>
            <w:r w:rsidRPr="001C46AF">
              <w:rPr>
                <w:rFonts w:cs="Times New Roman"/>
                <w:sz w:val="20"/>
                <w:szCs w:val="20"/>
              </w:rPr>
              <w:t xml:space="preserve">  Bežné transfery (640)</w:t>
            </w:r>
            <w:r w:rsidRPr="001C46AF">
              <w:rPr>
                <w:rFonts w:cs="Times New Roman"/>
                <w:sz w:val="20"/>
                <w:szCs w:val="20"/>
                <w:vertAlign w:val="superscript"/>
              </w:rPr>
              <w:t>2 **</w:t>
            </w:r>
          </w:p>
        </w:tc>
        <w:tc>
          <w:tcPr>
            <w:tcW w:w="1448" w:type="dxa"/>
            <w:tcBorders>
              <w:top w:val="nil"/>
              <w:left w:val="nil"/>
              <w:bottom w:val="single" w:sz="4" w:space="0" w:color="auto"/>
              <w:right w:val="single" w:sz="4" w:space="0" w:color="auto"/>
            </w:tcBorders>
            <w:vAlign w:val="center"/>
          </w:tcPr>
          <w:p w:rsidR="007F0E03" w:rsidRPr="001C46AF" w:rsidRDefault="007F0E03" w:rsidP="007F0E03">
            <w:pPr>
              <w:jc w:val="center"/>
              <w:rPr>
                <w:rFonts w:cs="Times New Roman"/>
                <w:sz w:val="20"/>
                <w:szCs w:val="20"/>
              </w:rPr>
            </w:pPr>
            <w:r w:rsidRPr="001C46AF">
              <w:rPr>
                <w:rFonts w:cs="Times New Roman"/>
                <w:sz w:val="20"/>
                <w:szCs w:val="20"/>
              </w:rPr>
              <w:t>0</w:t>
            </w:r>
          </w:p>
        </w:tc>
        <w:tc>
          <w:tcPr>
            <w:tcW w:w="1554"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r w:rsidRPr="001C46AF">
              <w:rPr>
                <w:rFonts w:cs="Times New Roman"/>
                <w:sz w:val="20"/>
                <w:szCs w:val="20"/>
              </w:rPr>
              <w:t>+12 440</w:t>
            </w:r>
          </w:p>
        </w:tc>
        <w:tc>
          <w:tcPr>
            <w:tcW w:w="1554"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r w:rsidRPr="001C46AF">
              <w:rPr>
                <w:rFonts w:cs="Times New Roman"/>
                <w:sz w:val="20"/>
                <w:szCs w:val="20"/>
              </w:rPr>
              <w:t>+12 440</w:t>
            </w:r>
          </w:p>
        </w:tc>
        <w:tc>
          <w:tcPr>
            <w:tcW w:w="1554"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r w:rsidRPr="001C46AF">
              <w:rPr>
                <w:rFonts w:cs="Times New Roman"/>
                <w:sz w:val="20"/>
                <w:szCs w:val="20"/>
              </w:rPr>
              <w:t>+12 440</w:t>
            </w:r>
          </w:p>
        </w:tc>
        <w:tc>
          <w:tcPr>
            <w:tcW w:w="2122" w:type="dxa"/>
            <w:tcBorders>
              <w:top w:val="nil"/>
              <w:left w:val="nil"/>
              <w:bottom w:val="single" w:sz="4" w:space="0" w:color="auto"/>
              <w:right w:val="single" w:sz="4" w:space="0" w:color="auto"/>
            </w:tcBorders>
            <w:noWrap/>
            <w:vAlign w:val="bottom"/>
          </w:tcPr>
          <w:p w:rsidR="007F0E03" w:rsidRPr="001C46AF" w:rsidRDefault="007F0E03" w:rsidP="007F0E03">
            <w:pPr>
              <w:rPr>
                <w:rFonts w:cs="Times New Roman"/>
              </w:rPr>
            </w:pPr>
            <w:r w:rsidRPr="001C46AF">
              <w:rPr>
                <w:rFonts w:cs="Times New Roman"/>
              </w:rPr>
              <w:t> </w:t>
            </w:r>
          </w:p>
        </w:tc>
      </w:tr>
      <w:tr w:rsidR="007F0E03" w:rsidRPr="001C46AF" w:rsidTr="007F0E03">
        <w:trPr>
          <w:trHeight w:val="223"/>
        </w:trPr>
        <w:tc>
          <w:tcPr>
            <w:tcW w:w="6539" w:type="dxa"/>
            <w:tcBorders>
              <w:top w:val="nil"/>
              <w:left w:val="single" w:sz="4" w:space="0" w:color="auto"/>
              <w:bottom w:val="single" w:sz="4" w:space="0" w:color="auto"/>
              <w:right w:val="single" w:sz="4" w:space="0" w:color="auto"/>
            </w:tcBorders>
            <w:vAlign w:val="center"/>
          </w:tcPr>
          <w:p w:rsidR="007F0E03" w:rsidRPr="001C46AF" w:rsidRDefault="007F0E03" w:rsidP="007F0E03">
            <w:pPr>
              <w:rPr>
                <w:rFonts w:cs="Times New Roman"/>
                <w:sz w:val="20"/>
                <w:szCs w:val="20"/>
              </w:rPr>
            </w:pPr>
            <w:r w:rsidRPr="001C46AF">
              <w:rPr>
                <w:rFonts w:cs="Times New Roman"/>
                <w:sz w:val="20"/>
                <w:szCs w:val="20"/>
              </w:rPr>
              <w:t xml:space="preserve">  Splácanie úrokov a ostatné platby súvisiace s </w:t>
            </w:r>
            <w:r w:rsidRPr="001C46AF">
              <w:t xml:space="preserve"> </w:t>
            </w:r>
            <w:r w:rsidRPr="001C46AF">
              <w:rPr>
                <w:rFonts w:cs="Times New Roman"/>
                <w:sz w:val="20"/>
                <w:szCs w:val="20"/>
              </w:rPr>
              <w:t>úverom, pôžičkou, návratnou finančnou výpomocou a finančným prenájmom (650)</w:t>
            </w:r>
            <w:r w:rsidRPr="001C46AF">
              <w:rPr>
                <w:rFonts w:cs="Times New Roman"/>
                <w:sz w:val="20"/>
                <w:szCs w:val="20"/>
                <w:vertAlign w:val="superscript"/>
              </w:rPr>
              <w:t>2</w:t>
            </w:r>
          </w:p>
        </w:tc>
        <w:tc>
          <w:tcPr>
            <w:tcW w:w="1448"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p>
        </w:tc>
        <w:tc>
          <w:tcPr>
            <w:tcW w:w="1554"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p>
        </w:tc>
        <w:tc>
          <w:tcPr>
            <w:tcW w:w="1554"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p>
        </w:tc>
        <w:tc>
          <w:tcPr>
            <w:tcW w:w="1554" w:type="dxa"/>
            <w:tcBorders>
              <w:top w:val="nil"/>
              <w:left w:val="nil"/>
              <w:bottom w:val="single" w:sz="4" w:space="0" w:color="auto"/>
              <w:right w:val="single" w:sz="4" w:space="0" w:color="auto"/>
            </w:tcBorders>
          </w:tcPr>
          <w:p w:rsidR="007F0E03" w:rsidRPr="001C46AF" w:rsidRDefault="007F0E03" w:rsidP="007F0E03">
            <w:pPr>
              <w:jc w:val="center"/>
              <w:rPr>
                <w:rFonts w:cs="Times New Roman"/>
              </w:rPr>
            </w:pPr>
          </w:p>
        </w:tc>
        <w:tc>
          <w:tcPr>
            <w:tcW w:w="2122" w:type="dxa"/>
            <w:tcBorders>
              <w:top w:val="nil"/>
              <w:left w:val="nil"/>
              <w:bottom w:val="single" w:sz="4" w:space="0" w:color="auto"/>
              <w:right w:val="single" w:sz="4" w:space="0" w:color="auto"/>
            </w:tcBorders>
            <w:noWrap/>
            <w:vAlign w:val="bottom"/>
          </w:tcPr>
          <w:p w:rsidR="007F0E03" w:rsidRPr="001C46AF" w:rsidRDefault="007F0E03" w:rsidP="007F0E03">
            <w:pPr>
              <w:rPr>
                <w:rFonts w:cs="Times New Roman"/>
              </w:rPr>
            </w:pPr>
          </w:p>
        </w:tc>
      </w:tr>
      <w:tr w:rsidR="007F0E03" w:rsidRPr="001C46AF" w:rsidTr="007F0E03">
        <w:trPr>
          <w:trHeight w:val="223"/>
        </w:trPr>
        <w:tc>
          <w:tcPr>
            <w:tcW w:w="6539" w:type="dxa"/>
            <w:tcBorders>
              <w:top w:val="nil"/>
              <w:left w:val="single" w:sz="4" w:space="0" w:color="auto"/>
              <w:bottom w:val="single" w:sz="4" w:space="0" w:color="auto"/>
              <w:right w:val="single" w:sz="4" w:space="0" w:color="auto"/>
            </w:tcBorders>
          </w:tcPr>
          <w:p w:rsidR="007F0E03" w:rsidRPr="001C46AF" w:rsidRDefault="007F0E03" w:rsidP="007F0E03">
            <w:pPr>
              <w:rPr>
                <w:rFonts w:cs="Times New Roman"/>
                <w:b/>
                <w:bCs/>
                <w:sz w:val="20"/>
                <w:szCs w:val="20"/>
              </w:rPr>
            </w:pPr>
            <w:r w:rsidRPr="001C46AF">
              <w:rPr>
                <w:rFonts w:cs="Times New Roman"/>
                <w:b/>
                <w:bCs/>
                <w:sz w:val="20"/>
                <w:szCs w:val="20"/>
              </w:rPr>
              <w:t>Kapitálové výdavky (700)</w:t>
            </w:r>
          </w:p>
        </w:tc>
        <w:tc>
          <w:tcPr>
            <w:tcW w:w="1448" w:type="dxa"/>
            <w:tcBorders>
              <w:top w:val="nil"/>
              <w:left w:val="nil"/>
              <w:bottom w:val="single" w:sz="4" w:space="0" w:color="auto"/>
              <w:right w:val="single" w:sz="4" w:space="0" w:color="auto"/>
            </w:tcBorders>
          </w:tcPr>
          <w:p w:rsidR="007F0E03" w:rsidRPr="001C46AF" w:rsidRDefault="007F0E03" w:rsidP="007F0E03">
            <w:pPr>
              <w:jc w:val="center"/>
              <w:rPr>
                <w:rFonts w:cs="Times New Roman"/>
                <w:b/>
                <w:bCs/>
                <w:sz w:val="20"/>
                <w:szCs w:val="20"/>
              </w:rPr>
            </w:pPr>
          </w:p>
        </w:tc>
        <w:tc>
          <w:tcPr>
            <w:tcW w:w="1554" w:type="dxa"/>
            <w:tcBorders>
              <w:top w:val="nil"/>
              <w:left w:val="nil"/>
              <w:bottom w:val="single" w:sz="4" w:space="0" w:color="auto"/>
              <w:right w:val="single" w:sz="4" w:space="0" w:color="auto"/>
            </w:tcBorders>
          </w:tcPr>
          <w:p w:rsidR="007F0E03" w:rsidRPr="001C46AF" w:rsidRDefault="007F0E03" w:rsidP="007F0E03">
            <w:pPr>
              <w:jc w:val="center"/>
              <w:rPr>
                <w:rFonts w:cs="Times New Roman"/>
                <w:b/>
                <w:bCs/>
                <w:sz w:val="20"/>
                <w:szCs w:val="20"/>
              </w:rPr>
            </w:pPr>
          </w:p>
        </w:tc>
        <w:tc>
          <w:tcPr>
            <w:tcW w:w="1554" w:type="dxa"/>
            <w:tcBorders>
              <w:top w:val="nil"/>
              <w:left w:val="nil"/>
              <w:bottom w:val="single" w:sz="4" w:space="0" w:color="auto"/>
              <w:right w:val="single" w:sz="4" w:space="0" w:color="auto"/>
            </w:tcBorders>
          </w:tcPr>
          <w:p w:rsidR="007F0E03" w:rsidRPr="001C46AF" w:rsidRDefault="007F0E03" w:rsidP="007F0E03">
            <w:pPr>
              <w:jc w:val="center"/>
              <w:rPr>
                <w:rFonts w:cs="Times New Roman"/>
                <w:b/>
                <w:bCs/>
                <w:sz w:val="20"/>
                <w:szCs w:val="20"/>
              </w:rPr>
            </w:pPr>
          </w:p>
        </w:tc>
        <w:tc>
          <w:tcPr>
            <w:tcW w:w="1554" w:type="dxa"/>
            <w:tcBorders>
              <w:top w:val="nil"/>
              <w:left w:val="nil"/>
              <w:bottom w:val="single" w:sz="4" w:space="0" w:color="auto"/>
              <w:right w:val="single" w:sz="4" w:space="0" w:color="auto"/>
            </w:tcBorders>
          </w:tcPr>
          <w:p w:rsidR="007F0E03" w:rsidRPr="001C46AF" w:rsidRDefault="007F0E03" w:rsidP="007F0E03">
            <w:pPr>
              <w:jc w:val="center"/>
              <w:rPr>
                <w:rFonts w:cs="Times New Roman"/>
                <w:b/>
                <w:bCs/>
              </w:rPr>
            </w:pPr>
          </w:p>
        </w:tc>
        <w:tc>
          <w:tcPr>
            <w:tcW w:w="2122" w:type="dxa"/>
            <w:tcBorders>
              <w:top w:val="nil"/>
              <w:left w:val="nil"/>
              <w:bottom w:val="single" w:sz="4" w:space="0" w:color="auto"/>
              <w:right w:val="single" w:sz="4" w:space="0" w:color="auto"/>
            </w:tcBorders>
            <w:noWrap/>
            <w:vAlign w:val="bottom"/>
          </w:tcPr>
          <w:p w:rsidR="007F0E03" w:rsidRPr="001C46AF" w:rsidRDefault="007F0E03" w:rsidP="007F0E03">
            <w:pPr>
              <w:rPr>
                <w:rFonts w:cs="Times New Roman"/>
              </w:rPr>
            </w:pPr>
            <w:r w:rsidRPr="001C46AF">
              <w:rPr>
                <w:rFonts w:cs="Times New Roman"/>
              </w:rPr>
              <w:t> </w:t>
            </w:r>
          </w:p>
        </w:tc>
      </w:tr>
      <w:tr w:rsidR="007F0E03" w:rsidRPr="001C46AF" w:rsidTr="007F0E03">
        <w:trPr>
          <w:trHeight w:val="223"/>
        </w:trPr>
        <w:tc>
          <w:tcPr>
            <w:tcW w:w="6539" w:type="dxa"/>
            <w:tcBorders>
              <w:top w:val="nil"/>
              <w:left w:val="single" w:sz="4" w:space="0" w:color="auto"/>
              <w:bottom w:val="single" w:sz="4" w:space="0" w:color="auto"/>
              <w:right w:val="single" w:sz="4" w:space="0" w:color="auto"/>
            </w:tcBorders>
          </w:tcPr>
          <w:p w:rsidR="007F0E03" w:rsidRPr="001C46AF" w:rsidRDefault="007F0E03" w:rsidP="007F0E03">
            <w:pPr>
              <w:rPr>
                <w:rFonts w:cs="Times New Roman"/>
                <w:sz w:val="20"/>
                <w:szCs w:val="20"/>
              </w:rPr>
            </w:pPr>
            <w:r w:rsidRPr="001C46AF">
              <w:rPr>
                <w:rFonts w:cs="Times New Roman"/>
                <w:sz w:val="20"/>
                <w:szCs w:val="20"/>
              </w:rPr>
              <w:t xml:space="preserve">  Obstarávanie kapitálových aktív (710)</w:t>
            </w:r>
            <w:r w:rsidRPr="001C46AF">
              <w:rPr>
                <w:rFonts w:cs="Times New Roman"/>
                <w:sz w:val="20"/>
                <w:szCs w:val="20"/>
                <w:vertAlign w:val="superscript"/>
              </w:rPr>
              <w:t>2</w:t>
            </w:r>
          </w:p>
        </w:tc>
        <w:tc>
          <w:tcPr>
            <w:tcW w:w="1448"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p>
        </w:tc>
        <w:tc>
          <w:tcPr>
            <w:tcW w:w="1554"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p>
        </w:tc>
        <w:tc>
          <w:tcPr>
            <w:tcW w:w="1554"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p>
        </w:tc>
        <w:tc>
          <w:tcPr>
            <w:tcW w:w="1554" w:type="dxa"/>
            <w:tcBorders>
              <w:top w:val="nil"/>
              <w:left w:val="nil"/>
              <w:bottom w:val="single" w:sz="4" w:space="0" w:color="auto"/>
              <w:right w:val="single" w:sz="4" w:space="0" w:color="auto"/>
            </w:tcBorders>
          </w:tcPr>
          <w:p w:rsidR="007F0E03" w:rsidRPr="001C46AF" w:rsidRDefault="007F0E03" w:rsidP="007F0E03">
            <w:pPr>
              <w:jc w:val="center"/>
              <w:rPr>
                <w:rFonts w:cs="Times New Roman"/>
              </w:rPr>
            </w:pPr>
          </w:p>
        </w:tc>
        <w:tc>
          <w:tcPr>
            <w:tcW w:w="2122" w:type="dxa"/>
            <w:tcBorders>
              <w:top w:val="nil"/>
              <w:left w:val="nil"/>
              <w:bottom w:val="single" w:sz="4" w:space="0" w:color="auto"/>
              <w:right w:val="single" w:sz="4" w:space="0" w:color="auto"/>
            </w:tcBorders>
            <w:noWrap/>
            <w:vAlign w:val="bottom"/>
          </w:tcPr>
          <w:p w:rsidR="007F0E03" w:rsidRPr="001C46AF" w:rsidRDefault="007F0E03" w:rsidP="007F0E03">
            <w:pPr>
              <w:rPr>
                <w:rFonts w:cs="Times New Roman"/>
              </w:rPr>
            </w:pPr>
            <w:r w:rsidRPr="001C46AF">
              <w:rPr>
                <w:rFonts w:cs="Times New Roman"/>
              </w:rPr>
              <w:t> </w:t>
            </w:r>
          </w:p>
        </w:tc>
      </w:tr>
      <w:tr w:rsidR="007F0E03" w:rsidRPr="001C46AF" w:rsidTr="007F0E03">
        <w:trPr>
          <w:trHeight w:val="223"/>
        </w:trPr>
        <w:tc>
          <w:tcPr>
            <w:tcW w:w="6539" w:type="dxa"/>
            <w:tcBorders>
              <w:top w:val="nil"/>
              <w:left w:val="single" w:sz="4" w:space="0" w:color="auto"/>
              <w:bottom w:val="single" w:sz="4" w:space="0" w:color="auto"/>
              <w:right w:val="single" w:sz="4" w:space="0" w:color="auto"/>
            </w:tcBorders>
          </w:tcPr>
          <w:p w:rsidR="007F0E03" w:rsidRPr="001C46AF" w:rsidRDefault="007F0E03" w:rsidP="007F0E03">
            <w:pPr>
              <w:rPr>
                <w:rFonts w:cs="Times New Roman"/>
                <w:sz w:val="20"/>
                <w:szCs w:val="20"/>
              </w:rPr>
            </w:pPr>
            <w:r w:rsidRPr="001C46AF">
              <w:rPr>
                <w:rFonts w:cs="Times New Roman"/>
                <w:sz w:val="20"/>
                <w:szCs w:val="20"/>
              </w:rPr>
              <w:t xml:space="preserve">  Kapitálové transfery (720)</w:t>
            </w:r>
            <w:r w:rsidRPr="001C46AF">
              <w:rPr>
                <w:rFonts w:cs="Times New Roman"/>
                <w:sz w:val="20"/>
                <w:szCs w:val="20"/>
                <w:vertAlign w:val="superscript"/>
              </w:rPr>
              <w:t>2</w:t>
            </w:r>
          </w:p>
        </w:tc>
        <w:tc>
          <w:tcPr>
            <w:tcW w:w="1448"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p>
        </w:tc>
        <w:tc>
          <w:tcPr>
            <w:tcW w:w="1554"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p>
        </w:tc>
        <w:tc>
          <w:tcPr>
            <w:tcW w:w="1554"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p>
        </w:tc>
        <w:tc>
          <w:tcPr>
            <w:tcW w:w="1554" w:type="dxa"/>
            <w:tcBorders>
              <w:top w:val="nil"/>
              <w:left w:val="nil"/>
              <w:bottom w:val="single" w:sz="4" w:space="0" w:color="auto"/>
              <w:right w:val="single" w:sz="4" w:space="0" w:color="auto"/>
            </w:tcBorders>
          </w:tcPr>
          <w:p w:rsidR="007F0E03" w:rsidRPr="001C46AF" w:rsidRDefault="007F0E03" w:rsidP="007F0E03">
            <w:pPr>
              <w:jc w:val="center"/>
              <w:rPr>
                <w:rFonts w:cs="Times New Roman"/>
              </w:rPr>
            </w:pPr>
          </w:p>
        </w:tc>
        <w:tc>
          <w:tcPr>
            <w:tcW w:w="2122" w:type="dxa"/>
            <w:tcBorders>
              <w:top w:val="nil"/>
              <w:left w:val="nil"/>
              <w:bottom w:val="single" w:sz="4" w:space="0" w:color="auto"/>
              <w:right w:val="single" w:sz="4" w:space="0" w:color="auto"/>
            </w:tcBorders>
            <w:noWrap/>
            <w:vAlign w:val="bottom"/>
          </w:tcPr>
          <w:p w:rsidR="007F0E03" w:rsidRPr="001C46AF" w:rsidRDefault="007F0E03" w:rsidP="007F0E03">
            <w:pPr>
              <w:rPr>
                <w:rFonts w:cs="Times New Roman"/>
              </w:rPr>
            </w:pPr>
            <w:r w:rsidRPr="001C46AF">
              <w:rPr>
                <w:rFonts w:cs="Times New Roman"/>
              </w:rPr>
              <w:t> </w:t>
            </w:r>
          </w:p>
        </w:tc>
      </w:tr>
      <w:tr w:rsidR="007F0E03" w:rsidRPr="001C46AF" w:rsidTr="007F0E03">
        <w:trPr>
          <w:trHeight w:val="223"/>
        </w:trPr>
        <w:tc>
          <w:tcPr>
            <w:tcW w:w="6539" w:type="dxa"/>
            <w:tcBorders>
              <w:top w:val="nil"/>
              <w:left w:val="single" w:sz="4" w:space="0" w:color="auto"/>
              <w:bottom w:val="single" w:sz="4" w:space="0" w:color="auto"/>
              <w:right w:val="single" w:sz="4" w:space="0" w:color="auto"/>
            </w:tcBorders>
          </w:tcPr>
          <w:p w:rsidR="007F0E03" w:rsidRPr="001C46AF" w:rsidRDefault="007F0E03" w:rsidP="007F0E03">
            <w:pPr>
              <w:rPr>
                <w:rFonts w:cs="Times New Roman"/>
                <w:b/>
                <w:bCs/>
                <w:sz w:val="20"/>
                <w:szCs w:val="20"/>
              </w:rPr>
            </w:pPr>
            <w:r w:rsidRPr="001C46AF">
              <w:rPr>
                <w:rFonts w:cs="Times New Roman"/>
                <w:b/>
                <w:bCs/>
                <w:sz w:val="20"/>
                <w:szCs w:val="20"/>
              </w:rPr>
              <w:t>Výdavky z transakcií s finančnými aktívami a finančnými pasívami (800)</w:t>
            </w:r>
          </w:p>
        </w:tc>
        <w:tc>
          <w:tcPr>
            <w:tcW w:w="1448" w:type="dxa"/>
            <w:tcBorders>
              <w:top w:val="nil"/>
              <w:left w:val="nil"/>
              <w:bottom w:val="single" w:sz="4" w:space="0" w:color="auto"/>
              <w:right w:val="single" w:sz="4" w:space="0" w:color="auto"/>
            </w:tcBorders>
          </w:tcPr>
          <w:p w:rsidR="007F0E03" w:rsidRPr="001C46AF" w:rsidRDefault="007F0E03" w:rsidP="007F0E03">
            <w:pPr>
              <w:jc w:val="center"/>
              <w:rPr>
                <w:rFonts w:cs="Times New Roman"/>
                <w:b/>
                <w:bCs/>
                <w:sz w:val="20"/>
                <w:szCs w:val="20"/>
              </w:rPr>
            </w:pPr>
            <w:r w:rsidRPr="001C46AF">
              <w:rPr>
                <w:rFonts w:cs="Times New Roman"/>
                <w:b/>
                <w:bCs/>
                <w:sz w:val="20"/>
                <w:szCs w:val="20"/>
              </w:rPr>
              <w:t> </w:t>
            </w:r>
          </w:p>
        </w:tc>
        <w:tc>
          <w:tcPr>
            <w:tcW w:w="1554" w:type="dxa"/>
            <w:tcBorders>
              <w:top w:val="nil"/>
              <w:left w:val="nil"/>
              <w:bottom w:val="single" w:sz="4" w:space="0" w:color="auto"/>
              <w:right w:val="single" w:sz="4" w:space="0" w:color="auto"/>
            </w:tcBorders>
          </w:tcPr>
          <w:p w:rsidR="007F0E03" w:rsidRPr="001C46AF" w:rsidRDefault="007F0E03" w:rsidP="007F0E03">
            <w:pPr>
              <w:jc w:val="center"/>
              <w:rPr>
                <w:rFonts w:cs="Times New Roman"/>
                <w:b/>
                <w:bCs/>
                <w:sz w:val="20"/>
                <w:szCs w:val="20"/>
              </w:rPr>
            </w:pPr>
            <w:r w:rsidRPr="001C46AF">
              <w:rPr>
                <w:rFonts w:cs="Times New Roman"/>
                <w:b/>
                <w:bCs/>
                <w:sz w:val="20"/>
                <w:szCs w:val="20"/>
              </w:rPr>
              <w:t> </w:t>
            </w:r>
          </w:p>
        </w:tc>
        <w:tc>
          <w:tcPr>
            <w:tcW w:w="1554" w:type="dxa"/>
            <w:tcBorders>
              <w:top w:val="nil"/>
              <w:left w:val="nil"/>
              <w:bottom w:val="single" w:sz="4" w:space="0" w:color="auto"/>
              <w:right w:val="single" w:sz="4" w:space="0" w:color="auto"/>
            </w:tcBorders>
          </w:tcPr>
          <w:p w:rsidR="007F0E03" w:rsidRPr="001C46AF" w:rsidRDefault="007F0E03" w:rsidP="007F0E03">
            <w:pPr>
              <w:jc w:val="center"/>
              <w:rPr>
                <w:rFonts w:cs="Times New Roman"/>
                <w:b/>
                <w:bCs/>
                <w:sz w:val="20"/>
                <w:szCs w:val="20"/>
              </w:rPr>
            </w:pPr>
            <w:r w:rsidRPr="001C46AF">
              <w:rPr>
                <w:rFonts w:cs="Times New Roman"/>
                <w:b/>
                <w:bCs/>
                <w:sz w:val="20"/>
                <w:szCs w:val="20"/>
              </w:rPr>
              <w:t> </w:t>
            </w:r>
          </w:p>
        </w:tc>
        <w:tc>
          <w:tcPr>
            <w:tcW w:w="1554" w:type="dxa"/>
            <w:tcBorders>
              <w:top w:val="nil"/>
              <w:left w:val="nil"/>
              <w:bottom w:val="single" w:sz="4" w:space="0" w:color="auto"/>
              <w:right w:val="single" w:sz="4" w:space="0" w:color="auto"/>
            </w:tcBorders>
          </w:tcPr>
          <w:p w:rsidR="007F0E03" w:rsidRPr="001C46AF" w:rsidRDefault="007F0E03" w:rsidP="007F0E03">
            <w:pPr>
              <w:jc w:val="center"/>
              <w:rPr>
                <w:rFonts w:cs="Times New Roman"/>
                <w:b/>
                <w:bCs/>
              </w:rPr>
            </w:pPr>
            <w:r w:rsidRPr="001C46AF">
              <w:rPr>
                <w:rFonts w:cs="Times New Roman"/>
                <w:b/>
                <w:bCs/>
              </w:rPr>
              <w:t> </w:t>
            </w:r>
          </w:p>
        </w:tc>
        <w:tc>
          <w:tcPr>
            <w:tcW w:w="2122" w:type="dxa"/>
            <w:tcBorders>
              <w:top w:val="nil"/>
              <w:left w:val="nil"/>
              <w:bottom w:val="single" w:sz="4" w:space="0" w:color="auto"/>
              <w:right w:val="single" w:sz="4" w:space="0" w:color="auto"/>
            </w:tcBorders>
            <w:noWrap/>
            <w:vAlign w:val="bottom"/>
          </w:tcPr>
          <w:p w:rsidR="007F0E03" w:rsidRPr="001C46AF" w:rsidRDefault="007F0E03" w:rsidP="007F0E03">
            <w:pPr>
              <w:rPr>
                <w:rFonts w:cs="Times New Roman"/>
              </w:rPr>
            </w:pPr>
            <w:r w:rsidRPr="001C46AF">
              <w:rPr>
                <w:rFonts w:cs="Times New Roman"/>
              </w:rPr>
              <w:t> </w:t>
            </w:r>
          </w:p>
        </w:tc>
      </w:tr>
      <w:tr w:rsidR="007F0E03" w:rsidRPr="001C46AF" w:rsidTr="007F0E03">
        <w:trPr>
          <w:trHeight w:val="223"/>
        </w:trPr>
        <w:tc>
          <w:tcPr>
            <w:tcW w:w="65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F0E03" w:rsidRPr="001C46AF" w:rsidRDefault="007F0E03" w:rsidP="007F0E03">
            <w:pPr>
              <w:rPr>
                <w:rFonts w:cs="Times New Roman"/>
                <w:b/>
                <w:bCs/>
                <w:sz w:val="20"/>
                <w:szCs w:val="20"/>
              </w:rPr>
            </w:pPr>
            <w:r w:rsidRPr="001C46AF">
              <w:rPr>
                <w:rFonts w:cs="Times New Roman"/>
                <w:b/>
                <w:bCs/>
                <w:sz w:val="20"/>
                <w:szCs w:val="20"/>
              </w:rPr>
              <w:t>Dopad na výdavky verejnej správy celkom</w:t>
            </w:r>
          </w:p>
        </w:tc>
        <w:tc>
          <w:tcPr>
            <w:tcW w:w="1448" w:type="dxa"/>
            <w:tcBorders>
              <w:top w:val="single" w:sz="4" w:space="0" w:color="auto"/>
              <w:left w:val="nil"/>
              <w:bottom w:val="single" w:sz="4" w:space="0" w:color="auto"/>
              <w:right w:val="single" w:sz="4" w:space="0" w:color="auto"/>
            </w:tcBorders>
            <w:shd w:val="clear" w:color="auto" w:fill="BFBFBF" w:themeFill="background1" w:themeFillShade="BF"/>
          </w:tcPr>
          <w:p w:rsidR="007F0E03" w:rsidRPr="001C46AF" w:rsidRDefault="007F0E03" w:rsidP="007F0E03">
            <w:pPr>
              <w:jc w:val="center"/>
              <w:rPr>
                <w:rFonts w:cs="Times New Roman"/>
                <w:b/>
                <w:bCs/>
                <w:sz w:val="20"/>
                <w:szCs w:val="20"/>
              </w:rPr>
            </w:pPr>
            <w:r w:rsidRPr="001C46AF">
              <w:rPr>
                <w:rFonts w:cs="Times New Roman"/>
                <w:b/>
                <w:bCs/>
                <w:sz w:val="20"/>
                <w:szCs w:val="20"/>
              </w:rPr>
              <w:t>0</w:t>
            </w:r>
          </w:p>
        </w:tc>
        <w:tc>
          <w:tcPr>
            <w:tcW w:w="1554" w:type="dxa"/>
            <w:tcBorders>
              <w:top w:val="single" w:sz="4" w:space="0" w:color="auto"/>
              <w:left w:val="nil"/>
              <w:bottom w:val="single" w:sz="4" w:space="0" w:color="auto"/>
              <w:right w:val="single" w:sz="4" w:space="0" w:color="auto"/>
            </w:tcBorders>
            <w:shd w:val="clear" w:color="auto" w:fill="BFBFBF" w:themeFill="background1" w:themeFillShade="BF"/>
          </w:tcPr>
          <w:p w:rsidR="007F0E03" w:rsidRPr="001C46AF" w:rsidRDefault="007F0E03" w:rsidP="007F0E03">
            <w:pPr>
              <w:jc w:val="center"/>
              <w:rPr>
                <w:rFonts w:cs="Times New Roman"/>
                <w:b/>
                <w:bCs/>
                <w:sz w:val="20"/>
                <w:szCs w:val="20"/>
              </w:rPr>
            </w:pPr>
            <w:r w:rsidRPr="001C46AF">
              <w:rPr>
                <w:rFonts w:cs="Times New Roman"/>
                <w:b/>
                <w:sz w:val="20"/>
                <w:szCs w:val="20"/>
              </w:rPr>
              <w:t>+216 752</w:t>
            </w:r>
          </w:p>
        </w:tc>
        <w:tc>
          <w:tcPr>
            <w:tcW w:w="1554" w:type="dxa"/>
            <w:tcBorders>
              <w:top w:val="single" w:sz="4" w:space="0" w:color="auto"/>
              <w:left w:val="nil"/>
              <w:bottom w:val="single" w:sz="4" w:space="0" w:color="auto"/>
              <w:right w:val="single" w:sz="4" w:space="0" w:color="auto"/>
            </w:tcBorders>
            <w:shd w:val="clear" w:color="auto" w:fill="BFBFBF" w:themeFill="background1" w:themeFillShade="BF"/>
          </w:tcPr>
          <w:p w:rsidR="007F0E03" w:rsidRPr="001C46AF" w:rsidRDefault="007F0E03" w:rsidP="007F0E03">
            <w:pPr>
              <w:jc w:val="center"/>
              <w:rPr>
                <w:rFonts w:cs="Times New Roman"/>
                <w:b/>
                <w:bCs/>
                <w:sz w:val="20"/>
                <w:szCs w:val="20"/>
              </w:rPr>
            </w:pPr>
            <w:r w:rsidRPr="001C46AF">
              <w:rPr>
                <w:rFonts w:cs="Times New Roman"/>
                <w:b/>
                <w:sz w:val="20"/>
                <w:szCs w:val="20"/>
              </w:rPr>
              <w:t>+209 752</w:t>
            </w:r>
          </w:p>
        </w:tc>
        <w:tc>
          <w:tcPr>
            <w:tcW w:w="1554" w:type="dxa"/>
            <w:tcBorders>
              <w:top w:val="single" w:sz="4" w:space="0" w:color="auto"/>
              <w:left w:val="nil"/>
              <w:bottom w:val="single" w:sz="4" w:space="0" w:color="auto"/>
              <w:right w:val="single" w:sz="4" w:space="0" w:color="auto"/>
            </w:tcBorders>
            <w:shd w:val="clear" w:color="auto" w:fill="BFBFBF" w:themeFill="background1" w:themeFillShade="BF"/>
          </w:tcPr>
          <w:p w:rsidR="007F0E03" w:rsidRPr="001C46AF" w:rsidRDefault="007F0E03" w:rsidP="007F0E03">
            <w:pPr>
              <w:jc w:val="center"/>
              <w:rPr>
                <w:rFonts w:cs="Times New Roman"/>
                <w:b/>
                <w:bCs/>
              </w:rPr>
            </w:pPr>
            <w:r w:rsidRPr="001C46AF">
              <w:rPr>
                <w:rFonts w:cs="Times New Roman"/>
                <w:b/>
                <w:sz w:val="20"/>
                <w:szCs w:val="20"/>
              </w:rPr>
              <w:t>+209 752</w:t>
            </w:r>
          </w:p>
        </w:tc>
        <w:tc>
          <w:tcPr>
            <w:tcW w:w="2122"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7F0E03" w:rsidRPr="001C46AF" w:rsidRDefault="007F0E03" w:rsidP="007F0E03">
            <w:pPr>
              <w:rPr>
                <w:rFonts w:cs="Times New Roman"/>
              </w:rPr>
            </w:pPr>
            <w:r w:rsidRPr="001C46AF">
              <w:rPr>
                <w:rFonts w:cs="Times New Roman"/>
              </w:rPr>
              <w:t> </w:t>
            </w:r>
          </w:p>
        </w:tc>
      </w:tr>
    </w:tbl>
    <w:p w:rsidR="007F0E03" w:rsidRPr="001C46AF" w:rsidRDefault="007F0E03" w:rsidP="007F0E03">
      <w:pPr>
        <w:tabs>
          <w:tab w:val="num" w:pos="1080"/>
        </w:tabs>
        <w:spacing w:after="120"/>
        <w:ind w:left="-902"/>
        <w:jc w:val="both"/>
        <w:rPr>
          <w:rFonts w:cs="Times New Roman"/>
          <w:bCs/>
          <w:sz w:val="20"/>
          <w:szCs w:val="20"/>
        </w:rPr>
      </w:pPr>
      <w:r w:rsidRPr="001C46AF">
        <w:rPr>
          <w:rFonts w:cs="Times New Roman"/>
          <w:bCs/>
          <w:sz w:val="20"/>
          <w:szCs w:val="20"/>
        </w:rPr>
        <w:t>2 –  výdavky rozpísať až do položiek platnej ekonomickej klasifikácie</w:t>
      </w:r>
    </w:p>
    <w:p w:rsidR="007F0E03" w:rsidRPr="001C46AF" w:rsidRDefault="007F0E03" w:rsidP="007F0E03">
      <w:pPr>
        <w:tabs>
          <w:tab w:val="num" w:pos="1080"/>
        </w:tabs>
        <w:ind w:left="-900"/>
        <w:jc w:val="both"/>
        <w:rPr>
          <w:rFonts w:cs="Times New Roman"/>
          <w:b/>
          <w:bCs/>
          <w:sz w:val="20"/>
          <w:szCs w:val="20"/>
        </w:rPr>
      </w:pPr>
      <w:r w:rsidRPr="001C46AF">
        <w:rPr>
          <w:rFonts w:cs="Times New Roman"/>
          <w:b/>
          <w:bCs/>
          <w:szCs w:val="20"/>
        </w:rPr>
        <w:t>Poznámka:</w:t>
      </w:r>
    </w:p>
    <w:p w:rsidR="007F0E03" w:rsidRPr="001C46AF" w:rsidRDefault="007F0E03" w:rsidP="007F0E03">
      <w:pPr>
        <w:tabs>
          <w:tab w:val="num" w:pos="1080"/>
        </w:tabs>
        <w:ind w:left="-900"/>
        <w:jc w:val="both"/>
        <w:rPr>
          <w:rFonts w:cs="Times New Roman"/>
          <w:bCs/>
          <w:sz w:val="20"/>
          <w:szCs w:val="20"/>
        </w:rPr>
      </w:pPr>
      <w:r w:rsidRPr="001C46AF">
        <w:rPr>
          <w:rFonts w:cs="Times New Roman"/>
          <w:bCs/>
          <w:szCs w:val="20"/>
        </w:rPr>
        <w:t>Ak sa vplyv týka viacerých subjektov verejnej správy, vypĺňa sa samostatná tabuľka za každý subjekt.</w:t>
      </w:r>
    </w:p>
    <w:p w:rsidR="007F0E03" w:rsidRPr="001C46AF" w:rsidRDefault="007F0E03" w:rsidP="007F0E03">
      <w:pPr>
        <w:tabs>
          <w:tab w:val="num" w:pos="1080"/>
        </w:tabs>
        <w:jc w:val="both"/>
        <w:rPr>
          <w:rFonts w:cs="Times New Roman"/>
          <w:bCs/>
          <w:sz w:val="20"/>
          <w:szCs w:val="20"/>
        </w:rPr>
      </w:pP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 xml:space="preserve">* </w:t>
      </w:r>
      <w:r w:rsidRPr="001C46AF">
        <w:rPr>
          <w:rFonts w:cs="Times New Roman"/>
          <w:b/>
          <w:bCs/>
          <w:i/>
        </w:rPr>
        <w:t>630 – Tovary a služby</w:t>
      </w:r>
      <w:r w:rsidRPr="001C46AF">
        <w:rPr>
          <w:rFonts w:cs="Times New Roman"/>
          <w:bCs/>
          <w:sz w:val="20"/>
          <w:szCs w:val="20"/>
        </w:rPr>
        <w:t xml:space="preserve"> </w:t>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r>
      <w:r>
        <w:rPr>
          <w:rFonts w:cs="Times New Roman"/>
          <w:bCs/>
          <w:sz w:val="20"/>
          <w:szCs w:val="20"/>
        </w:rPr>
        <w:t>**</w:t>
      </w:r>
      <w:r w:rsidRPr="001C46AF">
        <w:rPr>
          <w:rFonts w:cs="Times New Roman"/>
          <w:b/>
          <w:bCs/>
          <w:i/>
        </w:rPr>
        <w:t>640 – Bežné transfery</w:t>
      </w:r>
      <w:r w:rsidRPr="001C46AF">
        <w:rPr>
          <w:rFonts w:cs="Times New Roman"/>
          <w:bCs/>
          <w:sz w:val="20"/>
          <w:szCs w:val="20"/>
        </w:rPr>
        <w:t xml:space="preserve"> </w:t>
      </w:r>
      <w:r w:rsidRPr="001C46AF">
        <w:rPr>
          <w:rFonts w:cs="Times New Roman"/>
          <w:bCs/>
          <w:sz w:val="20"/>
          <w:szCs w:val="20"/>
        </w:rPr>
        <w:tab/>
      </w: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 xml:space="preserve">                                                                                                                     642014 Jednotlivcovi (</w:t>
      </w:r>
      <w:proofErr w:type="spellStart"/>
      <w:r w:rsidRPr="001C46AF">
        <w:rPr>
          <w:rFonts w:cs="Times New Roman"/>
          <w:bCs/>
          <w:sz w:val="20"/>
          <w:szCs w:val="20"/>
        </w:rPr>
        <w:t>fin.prísp</w:t>
      </w:r>
      <w:proofErr w:type="spellEnd"/>
      <w:r w:rsidRPr="001C46AF">
        <w:rPr>
          <w:rFonts w:cs="Times New Roman"/>
          <w:bCs/>
          <w:sz w:val="20"/>
          <w:szCs w:val="20"/>
        </w:rPr>
        <w:t>.)    7 440,00 EUR</w:t>
      </w: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631001 Cestovné náhrady tuzemské</w:t>
      </w:r>
      <w:r w:rsidRPr="001C46AF">
        <w:rPr>
          <w:rFonts w:cs="Times New Roman"/>
          <w:bCs/>
          <w:sz w:val="20"/>
          <w:szCs w:val="20"/>
        </w:rPr>
        <w:tab/>
        <w:t xml:space="preserve">1 900,00 EUR </w:t>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t xml:space="preserve">642015 Na nemocenské dávky </w:t>
      </w:r>
      <w:r w:rsidRPr="001C46AF">
        <w:rPr>
          <w:rFonts w:cs="Times New Roman"/>
          <w:bCs/>
          <w:sz w:val="20"/>
          <w:szCs w:val="20"/>
        </w:rPr>
        <w:tab/>
        <w:t>3 000,00 EUR</w:t>
      </w: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 xml:space="preserve">631002 Cestovné náhrady </w:t>
      </w:r>
      <w:proofErr w:type="spellStart"/>
      <w:r w:rsidRPr="001C46AF">
        <w:rPr>
          <w:rFonts w:cs="Times New Roman"/>
          <w:bCs/>
          <w:sz w:val="20"/>
          <w:szCs w:val="20"/>
        </w:rPr>
        <w:t>zahr</w:t>
      </w:r>
      <w:proofErr w:type="spellEnd"/>
      <w:r w:rsidRPr="001C46AF">
        <w:rPr>
          <w:rFonts w:cs="Times New Roman"/>
          <w:bCs/>
          <w:sz w:val="20"/>
          <w:szCs w:val="20"/>
        </w:rPr>
        <w:t xml:space="preserve">. </w:t>
      </w:r>
      <w:r w:rsidRPr="001C46AF">
        <w:rPr>
          <w:rFonts w:cs="Times New Roman"/>
          <w:bCs/>
          <w:sz w:val="20"/>
          <w:szCs w:val="20"/>
        </w:rPr>
        <w:tab/>
        <w:t xml:space="preserve">   500,00 EUR</w:t>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t xml:space="preserve">642030 Príplatky a príspevky </w:t>
      </w:r>
      <w:r w:rsidRPr="001C46AF">
        <w:rPr>
          <w:rFonts w:cs="Times New Roman"/>
          <w:bCs/>
          <w:sz w:val="20"/>
          <w:szCs w:val="20"/>
        </w:rPr>
        <w:tab/>
      </w:r>
      <w:r w:rsidRPr="001C46AF">
        <w:rPr>
          <w:rFonts w:cs="Times New Roman"/>
          <w:bCs/>
          <w:sz w:val="20"/>
          <w:szCs w:val="20"/>
          <w:u w:val="single"/>
        </w:rPr>
        <w:t>2 000,00 EUR</w:t>
      </w:r>
      <w:r w:rsidRPr="001C46AF">
        <w:rPr>
          <w:rFonts w:cs="Times New Roman"/>
          <w:bCs/>
          <w:sz w:val="20"/>
          <w:szCs w:val="20"/>
        </w:rPr>
        <w:t xml:space="preserve"> </w:t>
      </w: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 xml:space="preserve">632001 Energie </w:t>
      </w:r>
      <w:r w:rsidRPr="001C46AF">
        <w:rPr>
          <w:rFonts w:cs="Times New Roman"/>
          <w:bCs/>
          <w:sz w:val="20"/>
          <w:szCs w:val="20"/>
        </w:rPr>
        <w:tab/>
      </w:r>
      <w:r w:rsidRPr="001C46AF">
        <w:rPr>
          <w:rFonts w:cs="Times New Roman"/>
          <w:bCs/>
          <w:sz w:val="20"/>
          <w:szCs w:val="20"/>
        </w:rPr>
        <w:tab/>
        <w:t xml:space="preserve">              6 600,00 EUR </w:t>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t xml:space="preserve">            </w:t>
      </w:r>
      <w:r w:rsidRPr="001C46AF">
        <w:rPr>
          <w:rFonts w:cs="Times New Roman"/>
          <w:b/>
          <w:bCs/>
          <w:sz w:val="20"/>
          <w:szCs w:val="20"/>
        </w:rPr>
        <w:t>12 440,00 EUR</w:t>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 xml:space="preserve">632002 Vodné, stočné </w:t>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t xml:space="preserve">   200,00 EUR </w:t>
      </w: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632004 Komunikačná infraštruktúra</w:t>
      </w:r>
      <w:r w:rsidRPr="001C46AF">
        <w:rPr>
          <w:rFonts w:cs="Times New Roman"/>
          <w:bCs/>
          <w:sz w:val="20"/>
          <w:szCs w:val="20"/>
        </w:rPr>
        <w:tab/>
        <w:t xml:space="preserve">   600,00 EUR </w:t>
      </w: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 xml:space="preserve">632005 Telekomunikačné služby </w:t>
      </w:r>
      <w:r w:rsidRPr="001C46AF">
        <w:rPr>
          <w:rFonts w:cs="Times New Roman"/>
          <w:bCs/>
          <w:sz w:val="20"/>
          <w:szCs w:val="20"/>
        </w:rPr>
        <w:tab/>
        <w:t xml:space="preserve">   700,00 EUR </w:t>
      </w: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 xml:space="preserve">633001 Interiérové vybavenie </w:t>
      </w:r>
      <w:r w:rsidRPr="001C46AF">
        <w:rPr>
          <w:rFonts w:cs="Times New Roman"/>
          <w:bCs/>
          <w:sz w:val="20"/>
          <w:szCs w:val="20"/>
        </w:rPr>
        <w:tab/>
        <w:t xml:space="preserve">2 000,00 EUR </w:t>
      </w: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 xml:space="preserve">633002 Výpočtová technika </w:t>
      </w:r>
      <w:r w:rsidRPr="001C46AF">
        <w:rPr>
          <w:rFonts w:cs="Times New Roman"/>
          <w:bCs/>
          <w:sz w:val="20"/>
          <w:szCs w:val="20"/>
        </w:rPr>
        <w:tab/>
        <w:t xml:space="preserve">              5 000,00 EUR </w:t>
      </w: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 xml:space="preserve">633006 Všeobecný materiál </w:t>
      </w:r>
      <w:r w:rsidRPr="001C46AF">
        <w:rPr>
          <w:rFonts w:cs="Times New Roman"/>
          <w:bCs/>
          <w:sz w:val="20"/>
          <w:szCs w:val="20"/>
        </w:rPr>
        <w:tab/>
      </w:r>
      <w:r w:rsidRPr="001C46AF">
        <w:rPr>
          <w:rFonts w:cs="Times New Roman"/>
          <w:bCs/>
          <w:sz w:val="20"/>
          <w:szCs w:val="20"/>
        </w:rPr>
        <w:tab/>
        <w:t xml:space="preserve">4 039,00EUR </w:t>
      </w: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 xml:space="preserve">637011 Štúdie, expertízy, posudky   </w:t>
      </w:r>
      <w:r w:rsidRPr="001C46AF">
        <w:rPr>
          <w:rFonts w:cs="Times New Roman"/>
          <w:bCs/>
          <w:sz w:val="20"/>
          <w:szCs w:val="20"/>
          <w:u w:val="single"/>
        </w:rPr>
        <w:t>15 000,00 EUR</w:t>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r>
    </w:p>
    <w:p w:rsidR="007F0E03" w:rsidRPr="001C46AF" w:rsidRDefault="007F0E03" w:rsidP="007F0E03">
      <w:pPr>
        <w:tabs>
          <w:tab w:val="num" w:pos="1080"/>
        </w:tabs>
        <w:ind w:left="-900"/>
        <w:jc w:val="both"/>
        <w:rPr>
          <w:rFonts w:cs="Times New Roman"/>
          <w:b/>
          <w:bCs/>
          <w:sz w:val="20"/>
          <w:szCs w:val="20"/>
        </w:rPr>
      </w:pPr>
      <w:r w:rsidRPr="001C46AF">
        <w:rPr>
          <w:rFonts w:cs="Times New Roman"/>
          <w:b/>
          <w:bCs/>
          <w:sz w:val="20"/>
          <w:szCs w:val="20"/>
        </w:rPr>
        <w:t xml:space="preserve">          </w:t>
      </w:r>
      <w:r w:rsidRPr="001C46AF">
        <w:rPr>
          <w:rFonts w:cs="Times New Roman"/>
          <w:b/>
          <w:bCs/>
          <w:sz w:val="20"/>
          <w:szCs w:val="20"/>
        </w:rPr>
        <w:tab/>
      </w:r>
      <w:r w:rsidRPr="001C46AF">
        <w:rPr>
          <w:rFonts w:cs="Times New Roman"/>
          <w:b/>
          <w:bCs/>
          <w:sz w:val="20"/>
          <w:szCs w:val="20"/>
        </w:rPr>
        <w:tab/>
        <w:t xml:space="preserve">            36 539,00 EUR </w:t>
      </w:r>
      <w:r w:rsidRPr="001C46AF">
        <w:rPr>
          <w:rFonts w:cs="Times New Roman"/>
          <w:b/>
          <w:bCs/>
          <w:sz w:val="20"/>
          <w:szCs w:val="20"/>
        </w:rPr>
        <w:tab/>
      </w:r>
    </w:p>
    <w:p w:rsidR="007F0E03" w:rsidRPr="001C46AF" w:rsidRDefault="007F0E03" w:rsidP="007F0E03">
      <w:pPr>
        <w:tabs>
          <w:tab w:val="num" w:pos="1080"/>
        </w:tabs>
        <w:rPr>
          <w:rFonts w:cs="Times New Roman"/>
          <w:bCs/>
          <w:sz w:val="20"/>
          <w:szCs w:val="20"/>
        </w:rPr>
      </w:pPr>
    </w:p>
    <w:p w:rsidR="007F0E03" w:rsidRPr="001C46AF" w:rsidRDefault="007F0E03" w:rsidP="007F0E03">
      <w:pPr>
        <w:tabs>
          <w:tab w:val="num" w:pos="1080"/>
        </w:tabs>
        <w:spacing w:after="120"/>
        <w:ind w:left="-902" w:firstLine="193"/>
        <w:jc w:val="both"/>
        <w:rPr>
          <w:rFonts w:cs="Times New Roman"/>
          <w:bCs/>
        </w:rPr>
      </w:pPr>
    </w:p>
    <w:p w:rsidR="007F0E03" w:rsidRPr="001C46AF" w:rsidRDefault="007F0E03" w:rsidP="007F0E03">
      <w:pPr>
        <w:tabs>
          <w:tab w:val="num" w:pos="1080"/>
        </w:tabs>
        <w:ind w:left="11328"/>
        <w:jc w:val="both"/>
        <w:rPr>
          <w:rFonts w:cs="Times New Roman"/>
          <w:bCs/>
          <w:sz w:val="20"/>
          <w:szCs w:val="20"/>
        </w:rPr>
      </w:pPr>
      <w:r w:rsidRPr="001C46AF">
        <w:rPr>
          <w:rFonts w:cs="Times New Roman"/>
          <w:bCs/>
          <w:sz w:val="20"/>
          <w:szCs w:val="20"/>
        </w:rPr>
        <w:t xml:space="preserve">                                                                                                                                                                                                                                                                             Tabuľka č. 4/B</w:t>
      </w:r>
    </w:p>
    <w:tbl>
      <w:tblPr>
        <w:tblpPr w:leftFromText="141" w:rightFromText="141" w:bottomFromText="200" w:vertAnchor="text" w:horzAnchor="page" w:tblpX="629" w:tblpY="2"/>
        <w:tblW w:w="14879" w:type="dxa"/>
        <w:tblCellMar>
          <w:left w:w="70" w:type="dxa"/>
          <w:right w:w="70" w:type="dxa"/>
        </w:tblCellMar>
        <w:tblLook w:val="04A0" w:firstRow="1" w:lastRow="0" w:firstColumn="1" w:lastColumn="0" w:noHBand="0" w:noVBand="1"/>
      </w:tblPr>
      <w:tblGrid>
        <w:gridCol w:w="7070"/>
        <w:gridCol w:w="1430"/>
        <w:gridCol w:w="1650"/>
        <w:gridCol w:w="1540"/>
        <w:gridCol w:w="1540"/>
        <w:gridCol w:w="1649"/>
      </w:tblGrid>
      <w:tr w:rsidR="007F0E03" w:rsidRPr="001C46AF" w:rsidTr="007F0E03">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7F0E03" w:rsidRPr="001C46AF" w:rsidRDefault="007F0E03" w:rsidP="007F0E03">
            <w:pPr>
              <w:jc w:val="center"/>
              <w:rPr>
                <w:rFonts w:cs="Times New Roman"/>
                <w:b/>
                <w:bCs/>
                <w:color w:val="000000" w:themeColor="text1"/>
                <w:sz w:val="20"/>
                <w:szCs w:val="20"/>
              </w:rPr>
            </w:pPr>
            <w:r w:rsidRPr="001C46AF">
              <w:rPr>
                <w:rFonts w:cs="Times New Roman"/>
                <w:b/>
                <w:bCs/>
                <w:color w:val="000000" w:themeColor="text1"/>
                <w:sz w:val="20"/>
                <w:szCs w:val="20"/>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hideMark/>
          </w:tcPr>
          <w:p w:rsidR="007F0E03" w:rsidRPr="001C46AF" w:rsidRDefault="007F0E03" w:rsidP="007F0E03">
            <w:pPr>
              <w:jc w:val="center"/>
              <w:rPr>
                <w:rFonts w:cs="Times New Roman"/>
                <w:b/>
                <w:bCs/>
                <w:color w:val="000000" w:themeColor="text1"/>
                <w:sz w:val="20"/>
                <w:szCs w:val="20"/>
              </w:rPr>
            </w:pPr>
            <w:r w:rsidRPr="001C46AF">
              <w:rPr>
                <w:rFonts w:cs="Times New Roman"/>
                <w:b/>
                <w:bCs/>
                <w:color w:val="000000" w:themeColor="text1"/>
                <w:sz w:val="20"/>
                <w:szCs w:val="20"/>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7F0E03" w:rsidRPr="001C46AF" w:rsidRDefault="007F0E03" w:rsidP="007F0E03">
            <w:pPr>
              <w:jc w:val="center"/>
              <w:rPr>
                <w:rFonts w:cs="Times New Roman"/>
                <w:b/>
                <w:bCs/>
                <w:color w:val="000000" w:themeColor="text1"/>
              </w:rPr>
            </w:pPr>
            <w:r w:rsidRPr="001C46AF">
              <w:rPr>
                <w:rFonts w:cs="Times New Roman"/>
                <w:b/>
                <w:bCs/>
                <w:color w:val="000000" w:themeColor="text1"/>
              </w:rPr>
              <w:t>poznámka</w:t>
            </w:r>
          </w:p>
        </w:tc>
      </w:tr>
      <w:tr w:rsidR="007F0E03" w:rsidRPr="001C46AF" w:rsidTr="007F0E03">
        <w:trPr>
          <w:cantSplit/>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F0E03" w:rsidRPr="001C46AF" w:rsidRDefault="007F0E03" w:rsidP="007F0E03">
            <w:pPr>
              <w:rPr>
                <w:rFonts w:cs="Times New Roman"/>
                <w:b/>
                <w:bCs/>
                <w:color w:val="000000" w:themeColor="text1"/>
                <w:sz w:val="20"/>
                <w:szCs w:val="20"/>
              </w:rPr>
            </w:pPr>
          </w:p>
        </w:tc>
        <w:tc>
          <w:tcPr>
            <w:tcW w:w="1430" w:type="dxa"/>
            <w:tcBorders>
              <w:top w:val="nil"/>
              <w:left w:val="nil"/>
              <w:bottom w:val="single" w:sz="4" w:space="0" w:color="auto"/>
              <w:right w:val="single" w:sz="4" w:space="0" w:color="auto"/>
            </w:tcBorders>
            <w:shd w:val="clear" w:color="auto" w:fill="BFBFBF" w:themeFill="background1" w:themeFillShade="BF"/>
            <w:hideMark/>
          </w:tcPr>
          <w:p w:rsidR="007F0E03" w:rsidRPr="001C46AF" w:rsidRDefault="007F0E03" w:rsidP="007F0E03">
            <w:pPr>
              <w:jc w:val="center"/>
              <w:rPr>
                <w:rFonts w:cs="Times New Roman"/>
                <w:b/>
                <w:bCs/>
                <w:color w:val="000000" w:themeColor="text1"/>
                <w:sz w:val="20"/>
                <w:szCs w:val="20"/>
              </w:rPr>
            </w:pPr>
            <w:r w:rsidRPr="001C46AF">
              <w:rPr>
                <w:rFonts w:cs="Times New Roman"/>
                <w:b/>
                <w:bCs/>
                <w:color w:val="000000" w:themeColor="text1"/>
                <w:sz w:val="20"/>
                <w:szCs w:val="20"/>
              </w:rPr>
              <w:t>2025</w:t>
            </w:r>
          </w:p>
        </w:tc>
        <w:tc>
          <w:tcPr>
            <w:tcW w:w="1650" w:type="dxa"/>
            <w:tcBorders>
              <w:top w:val="nil"/>
              <w:left w:val="nil"/>
              <w:bottom w:val="single" w:sz="4" w:space="0" w:color="auto"/>
              <w:right w:val="single" w:sz="4" w:space="0" w:color="auto"/>
            </w:tcBorders>
            <w:shd w:val="clear" w:color="auto" w:fill="BFBFBF" w:themeFill="background1" w:themeFillShade="BF"/>
            <w:hideMark/>
          </w:tcPr>
          <w:p w:rsidR="007F0E03" w:rsidRPr="001C46AF" w:rsidRDefault="007F0E03" w:rsidP="007F0E03">
            <w:pPr>
              <w:jc w:val="center"/>
              <w:rPr>
                <w:rFonts w:cs="Times New Roman"/>
                <w:b/>
                <w:bCs/>
                <w:color w:val="000000" w:themeColor="text1"/>
                <w:sz w:val="20"/>
                <w:szCs w:val="20"/>
              </w:rPr>
            </w:pPr>
            <w:r w:rsidRPr="001C46AF">
              <w:rPr>
                <w:rFonts w:cs="Times New Roman"/>
                <w:b/>
                <w:bCs/>
                <w:color w:val="000000" w:themeColor="text1"/>
                <w:sz w:val="20"/>
                <w:szCs w:val="20"/>
              </w:rPr>
              <w:t>2026</w:t>
            </w:r>
          </w:p>
        </w:tc>
        <w:tc>
          <w:tcPr>
            <w:tcW w:w="1540" w:type="dxa"/>
            <w:tcBorders>
              <w:top w:val="nil"/>
              <w:left w:val="nil"/>
              <w:bottom w:val="single" w:sz="4" w:space="0" w:color="auto"/>
              <w:right w:val="single" w:sz="4" w:space="0" w:color="auto"/>
            </w:tcBorders>
            <w:shd w:val="clear" w:color="auto" w:fill="BFBFBF" w:themeFill="background1" w:themeFillShade="BF"/>
            <w:hideMark/>
          </w:tcPr>
          <w:p w:rsidR="007F0E03" w:rsidRPr="001C46AF" w:rsidRDefault="007F0E03" w:rsidP="007F0E03">
            <w:pPr>
              <w:jc w:val="center"/>
              <w:rPr>
                <w:rFonts w:cs="Times New Roman"/>
                <w:b/>
                <w:bCs/>
                <w:color w:val="000000" w:themeColor="text1"/>
                <w:sz w:val="20"/>
                <w:szCs w:val="20"/>
              </w:rPr>
            </w:pPr>
            <w:r w:rsidRPr="001C46AF">
              <w:rPr>
                <w:rFonts w:cs="Times New Roman"/>
                <w:b/>
                <w:bCs/>
                <w:color w:val="000000" w:themeColor="text1"/>
                <w:sz w:val="20"/>
                <w:szCs w:val="20"/>
              </w:rPr>
              <w:t>2027</w:t>
            </w:r>
          </w:p>
        </w:tc>
        <w:tc>
          <w:tcPr>
            <w:tcW w:w="1540" w:type="dxa"/>
            <w:tcBorders>
              <w:top w:val="nil"/>
              <w:left w:val="nil"/>
              <w:bottom w:val="single" w:sz="4" w:space="0" w:color="auto"/>
              <w:right w:val="single" w:sz="4" w:space="0" w:color="auto"/>
            </w:tcBorders>
            <w:shd w:val="clear" w:color="auto" w:fill="BFBFBF" w:themeFill="background1" w:themeFillShade="BF"/>
            <w:hideMark/>
          </w:tcPr>
          <w:p w:rsidR="007F0E03" w:rsidRPr="001C46AF" w:rsidRDefault="007F0E03" w:rsidP="007F0E03">
            <w:pPr>
              <w:jc w:val="center"/>
              <w:rPr>
                <w:rFonts w:cs="Times New Roman"/>
                <w:b/>
                <w:bCs/>
                <w:color w:val="000000" w:themeColor="text1"/>
                <w:sz w:val="20"/>
                <w:szCs w:val="20"/>
              </w:rPr>
            </w:pPr>
            <w:r w:rsidRPr="001C46AF">
              <w:rPr>
                <w:rFonts w:cs="Times New Roman"/>
                <w:b/>
                <w:bCs/>
                <w:color w:val="000000" w:themeColor="text1"/>
                <w:sz w:val="20"/>
                <w:szCs w:val="20"/>
              </w:rPr>
              <w:t>2028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F0E03" w:rsidRPr="001C46AF" w:rsidRDefault="007F0E03" w:rsidP="007F0E03">
            <w:pPr>
              <w:rPr>
                <w:rFonts w:cs="Times New Roman"/>
                <w:b/>
                <w:bCs/>
                <w:color w:val="000000" w:themeColor="text1"/>
              </w:rPr>
            </w:pPr>
          </w:p>
        </w:tc>
      </w:tr>
      <w:tr w:rsidR="007F0E03" w:rsidRPr="001C46AF" w:rsidTr="007F0E03">
        <w:trPr>
          <w:trHeight w:val="255"/>
        </w:trPr>
        <w:tc>
          <w:tcPr>
            <w:tcW w:w="7070" w:type="dxa"/>
            <w:tcBorders>
              <w:top w:val="nil"/>
              <w:left w:val="single" w:sz="4" w:space="0" w:color="auto"/>
              <w:bottom w:val="single" w:sz="4" w:space="0" w:color="auto"/>
              <w:right w:val="single" w:sz="4" w:space="0" w:color="auto"/>
            </w:tcBorders>
            <w:hideMark/>
          </w:tcPr>
          <w:p w:rsidR="007F0E03" w:rsidRPr="001C46AF" w:rsidRDefault="007F0E03" w:rsidP="007F0E03">
            <w:pPr>
              <w:rPr>
                <w:rFonts w:cs="Times New Roman"/>
                <w:b/>
                <w:bCs/>
                <w:color w:val="000000" w:themeColor="text1"/>
                <w:sz w:val="20"/>
                <w:szCs w:val="20"/>
              </w:rPr>
            </w:pPr>
            <w:r w:rsidRPr="001C46AF">
              <w:rPr>
                <w:rFonts w:cs="Times New Roman"/>
                <w:b/>
                <w:bCs/>
                <w:color w:val="000000" w:themeColor="text1"/>
                <w:sz w:val="20"/>
                <w:szCs w:val="20"/>
              </w:rPr>
              <w:t>Kapitálové príjmy (230)</w:t>
            </w:r>
          </w:p>
        </w:tc>
        <w:tc>
          <w:tcPr>
            <w:tcW w:w="1430" w:type="dxa"/>
            <w:tcBorders>
              <w:top w:val="nil"/>
              <w:left w:val="nil"/>
              <w:bottom w:val="single" w:sz="4" w:space="0" w:color="auto"/>
              <w:right w:val="single" w:sz="4" w:space="0" w:color="auto"/>
            </w:tcBorders>
          </w:tcPr>
          <w:p w:rsidR="007F0E03" w:rsidRPr="001C46AF" w:rsidRDefault="007F0E03" w:rsidP="007F0E03">
            <w:pPr>
              <w:jc w:val="center"/>
              <w:rPr>
                <w:rFonts w:cs="Times New Roman"/>
                <w:b/>
                <w:bCs/>
                <w:color w:val="000000" w:themeColor="text1"/>
                <w:sz w:val="20"/>
                <w:szCs w:val="20"/>
              </w:rPr>
            </w:pPr>
          </w:p>
        </w:tc>
        <w:tc>
          <w:tcPr>
            <w:tcW w:w="1650" w:type="dxa"/>
            <w:tcBorders>
              <w:top w:val="nil"/>
              <w:left w:val="nil"/>
              <w:bottom w:val="single" w:sz="4" w:space="0" w:color="auto"/>
              <w:right w:val="single" w:sz="4" w:space="0" w:color="auto"/>
            </w:tcBorders>
          </w:tcPr>
          <w:p w:rsidR="007F0E03" w:rsidRPr="001C46AF" w:rsidRDefault="007F0E03" w:rsidP="007F0E03">
            <w:pPr>
              <w:jc w:val="center"/>
              <w:rPr>
                <w:rFonts w:cs="Times New Roman"/>
                <w:b/>
                <w:bCs/>
                <w:color w:val="000000" w:themeColor="text1"/>
                <w:sz w:val="20"/>
                <w:szCs w:val="20"/>
              </w:rPr>
            </w:pP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b/>
                <w:bCs/>
                <w:color w:val="000000" w:themeColor="text1"/>
                <w:sz w:val="20"/>
                <w:szCs w:val="20"/>
              </w:rPr>
            </w:pP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b/>
                <w:bCs/>
                <w:color w:val="000000" w:themeColor="text1"/>
              </w:rPr>
            </w:pPr>
          </w:p>
        </w:tc>
        <w:tc>
          <w:tcPr>
            <w:tcW w:w="1649" w:type="dxa"/>
            <w:tcBorders>
              <w:top w:val="nil"/>
              <w:left w:val="nil"/>
              <w:bottom w:val="single" w:sz="4" w:space="0" w:color="auto"/>
              <w:right w:val="single" w:sz="4" w:space="0" w:color="auto"/>
            </w:tcBorders>
            <w:noWrap/>
            <w:vAlign w:val="bottom"/>
          </w:tcPr>
          <w:p w:rsidR="007F0E03" w:rsidRPr="001C46AF" w:rsidRDefault="007F0E03" w:rsidP="007F0E03">
            <w:pPr>
              <w:rPr>
                <w:rFonts w:cs="Times New Roman"/>
                <w:color w:val="000000" w:themeColor="text1"/>
              </w:rPr>
            </w:pPr>
          </w:p>
        </w:tc>
      </w:tr>
      <w:tr w:rsidR="007F0E03" w:rsidRPr="001C46AF" w:rsidTr="007F0E03">
        <w:trPr>
          <w:trHeight w:val="255"/>
        </w:trPr>
        <w:tc>
          <w:tcPr>
            <w:tcW w:w="7070" w:type="dxa"/>
            <w:tcBorders>
              <w:top w:val="nil"/>
              <w:left w:val="single" w:sz="4" w:space="0" w:color="auto"/>
              <w:bottom w:val="single" w:sz="4" w:space="0" w:color="auto"/>
              <w:right w:val="single" w:sz="4" w:space="0" w:color="auto"/>
            </w:tcBorders>
            <w:hideMark/>
          </w:tcPr>
          <w:p w:rsidR="007F0E03" w:rsidRPr="001C46AF" w:rsidRDefault="007F0E03" w:rsidP="007F0E03">
            <w:pPr>
              <w:rPr>
                <w:rFonts w:cs="Times New Roman"/>
                <w:b/>
                <w:bCs/>
                <w:color w:val="000000" w:themeColor="text1"/>
                <w:sz w:val="20"/>
                <w:szCs w:val="20"/>
              </w:rPr>
            </w:pPr>
            <w:r w:rsidRPr="001C46AF">
              <w:rPr>
                <w:rFonts w:cs="Times New Roman"/>
                <w:b/>
                <w:bCs/>
                <w:color w:val="000000" w:themeColor="text1"/>
                <w:sz w:val="20"/>
                <w:szCs w:val="20"/>
              </w:rPr>
              <w:t>Bežné výdavky (600)</w:t>
            </w:r>
          </w:p>
        </w:tc>
        <w:tc>
          <w:tcPr>
            <w:tcW w:w="1430" w:type="dxa"/>
            <w:tcBorders>
              <w:top w:val="nil"/>
              <w:left w:val="nil"/>
              <w:bottom w:val="single" w:sz="4" w:space="0" w:color="auto"/>
              <w:right w:val="single" w:sz="4" w:space="0" w:color="auto"/>
            </w:tcBorders>
          </w:tcPr>
          <w:p w:rsidR="007F0E03" w:rsidRPr="001C46AF" w:rsidRDefault="007F0E03" w:rsidP="007F0E03">
            <w:pPr>
              <w:jc w:val="center"/>
              <w:rPr>
                <w:rFonts w:cs="Times New Roman"/>
                <w:b/>
                <w:bCs/>
                <w:color w:val="000000" w:themeColor="text1"/>
                <w:sz w:val="20"/>
                <w:szCs w:val="20"/>
              </w:rPr>
            </w:pPr>
            <w:r w:rsidRPr="001C46AF">
              <w:rPr>
                <w:rFonts w:cs="Times New Roman"/>
                <w:sz w:val="20"/>
                <w:szCs w:val="20"/>
              </w:rPr>
              <w:t>0</w:t>
            </w:r>
          </w:p>
        </w:tc>
        <w:tc>
          <w:tcPr>
            <w:tcW w:w="1650" w:type="dxa"/>
            <w:tcBorders>
              <w:top w:val="nil"/>
              <w:left w:val="nil"/>
              <w:bottom w:val="single" w:sz="4" w:space="0" w:color="auto"/>
              <w:right w:val="single" w:sz="4" w:space="0" w:color="auto"/>
            </w:tcBorders>
            <w:vAlign w:val="center"/>
          </w:tcPr>
          <w:p w:rsidR="007F0E03" w:rsidRPr="001C46AF" w:rsidRDefault="007F0E03" w:rsidP="007F0E03">
            <w:pPr>
              <w:jc w:val="center"/>
              <w:rPr>
                <w:rFonts w:cs="Times New Roman"/>
                <w:b/>
                <w:bCs/>
                <w:sz w:val="20"/>
                <w:szCs w:val="20"/>
              </w:rPr>
            </w:pPr>
            <w:r w:rsidRPr="001C46AF">
              <w:rPr>
                <w:rFonts w:cs="Times New Roman"/>
                <w:sz w:val="20"/>
                <w:szCs w:val="20"/>
              </w:rPr>
              <w:t>+465 368</w:t>
            </w:r>
          </w:p>
        </w:tc>
        <w:tc>
          <w:tcPr>
            <w:tcW w:w="1540" w:type="dxa"/>
            <w:tcBorders>
              <w:top w:val="nil"/>
              <w:left w:val="nil"/>
              <w:bottom w:val="single" w:sz="4" w:space="0" w:color="auto"/>
              <w:right w:val="single" w:sz="4" w:space="0" w:color="auto"/>
            </w:tcBorders>
            <w:vAlign w:val="center"/>
          </w:tcPr>
          <w:p w:rsidR="007F0E03" w:rsidRPr="001C46AF" w:rsidRDefault="007F0E03" w:rsidP="007F0E03">
            <w:pPr>
              <w:jc w:val="center"/>
              <w:rPr>
                <w:rFonts w:cs="Times New Roman"/>
                <w:b/>
                <w:bCs/>
                <w:sz w:val="20"/>
                <w:szCs w:val="20"/>
                <w:highlight w:val="green"/>
              </w:rPr>
            </w:pPr>
            <w:r w:rsidRPr="001C46AF">
              <w:rPr>
                <w:rFonts w:cs="Times New Roman"/>
                <w:sz w:val="20"/>
                <w:szCs w:val="20"/>
              </w:rPr>
              <w:t>+451 368</w:t>
            </w:r>
          </w:p>
        </w:tc>
        <w:tc>
          <w:tcPr>
            <w:tcW w:w="1540" w:type="dxa"/>
            <w:tcBorders>
              <w:top w:val="nil"/>
              <w:left w:val="nil"/>
              <w:bottom w:val="single" w:sz="4" w:space="0" w:color="auto"/>
              <w:right w:val="single" w:sz="4" w:space="0" w:color="auto"/>
            </w:tcBorders>
            <w:vAlign w:val="center"/>
          </w:tcPr>
          <w:p w:rsidR="007F0E03" w:rsidRPr="001C46AF" w:rsidRDefault="007F0E03" w:rsidP="007F0E03">
            <w:pPr>
              <w:jc w:val="center"/>
              <w:rPr>
                <w:rFonts w:cs="Times New Roman"/>
                <w:b/>
                <w:bCs/>
                <w:sz w:val="20"/>
                <w:szCs w:val="20"/>
                <w:highlight w:val="green"/>
              </w:rPr>
            </w:pPr>
            <w:r w:rsidRPr="001C46AF">
              <w:rPr>
                <w:rFonts w:cs="Times New Roman"/>
                <w:sz w:val="20"/>
                <w:szCs w:val="20"/>
              </w:rPr>
              <w:t>+451 368</w:t>
            </w:r>
          </w:p>
        </w:tc>
        <w:tc>
          <w:tcPr>
            <w:tcW w:w="1649" w:type="dxa"/>
            <w:tcBorders>
              <w:top w:val="nil"/>
              <w:left w:val="nil"/>
              <w:bottom w:val="single" w:sz="4" w:space="0" w:color="auto"/>
              <w:right w:val="single" w:sz="4" w:space="0" w:color="auto"/>
            </w:tcBorders>
            <w:noWrap/>
            <w:vAlign w:val="bottom"/>
            <w:hideMark/>
          </w:tcPr>
          <w:p w:rsidR="007F0E03" w:rsidRPr="001C46AF" w:rsidRDefault="007F0E03" w:rsidP="007F0E03">
            <w:pPr>
              <w:rPr>
                <w:rFonts w:cs="Times New Roman"/>
                <w:color w:val="000000" w:themeColor="text1"/>
              </w:rPr>
            </w:pPr>
            <w:r w:rsidRPr="001C46AF">
              <w:rPr>
                <w:rFonts w:cs="Times New Roman"/>
                <w:color w:val="000000" w:themeColor="text1"/>
              </w:rPr>
              <w:t> </w:t>
            </w:r>
          </w:p>
        </w:tc>
      </w:tr>
      <w:tr w:rsidR="007F0E03" w:rsidRPr="001C46AF" w:rsidTr="007F0E03">
        <w:trPr>
          <w:trHeight w:val="255"/>
        </w:trPr>
        <w:tc>
          <w:tcPr>
            <w:tcW w:w="7070" w:type="dxa"/>
            <w:tcBorders>
              <w:top w:val="nil"/>
              <w:left w:val="single" w:sz="4" w:space="0" w:color="auto"/>
              <w:bottom w:val="single" w:sz="4" w:space="0" w:color="auto"/>
              <w:right w:val="single" w:sz="4" w:space="0" w:color="auto"/>
            </w:tcBorders>
            <w:hideMark/>
          </w:tcPr>
          <w:p w:rsidR="007F0E03" w:rsidRPr="001C46AF" w:rsidRDefault="007F0E03" w:rsidP="007F0E03">
            <w:pPr>
              <w:rPr>
                <w:rFonts w:cs="Times New Roman"/>
                <w:color w:val="000000" w:themeColor="text1"/>
                <w:sz w:val="20"/>
                <w:szCs w:val="20"/>
              </w:rPr>
            </w:pPr>
            <w:r w:rsidRPr="001C46AF">
              <w:rPr>
                <w:rFonts w:cs="Times New Roman"/>
                <w:color w:val="000000" w:themeColor="text1"/>
                <w:sz w:val="20"/>
                <w:szCs w:val="20"/>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7F0E03" w:rsidRPr="001C46AF" w:rsidRDefault="007F0E03" w:rsidP="007F0E03">
            <w:pPr>
              <w:jc w:val="center"/>
              <w:rPr>
                <w:rFonts w:cs="Times New Roman"/>
                <w:color w:val="000000" w:themeColor="text1"/>
                <w:sz w:val="20"/>
                <w:szCs w:val="20"/>
              </w:rPr>
            </w:pPr>
            <w:r w:rsidRPr="001C46AF">
              <w:rPr>
                <w:rFonts w:cs="Times New Roman"/>
                <w:sz w:val="20"/>
                <w:szCs w:val="20"/>
              </w:rPr>
              <w:t>0</w:t>
            </w:r>
          </w:p>
        </w:tc>
        <w:tc>
          <w:tcPr>
            <w:tcW w:w="1650"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r w:rsidRPr="001C46AF">
              <w:rPr>
                <w:rFonts w:cs="Times New Roman"/>
                <w:sz w:val="20"/>
                <w:szCs w:val="20"/>
              </w:rPr>
              <w:t>+261 216</w:t>
            </w: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highlight w:val="green"/>
              </w:rPr>
            </w:pPr>
            <w:r w:rsidRPr="001C46AF">
              <w:rPr>
                <w:rFonts w:cs="Times New Roman"/>
                <w:sz w:val="20"/>
                <w:szCs w:val="20"/>
              </w:rPr>
              <w:t>+261 216</w:t>
            </w: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highlight w:val="green"/>
              </w:rPr>
            </w:pPr>
            <w:r w:rsidRPr="001C46AF">
              <w:rPr>
                <w:rFonts w:cs="Times New Roman"/>
                <w:sz w:val="20"/>
                <w:szCs w:val="20"/>
              </w:rPr>
              <w:t>+261 21688</w:t>
            </w:r>
          </w:p>
        </w:tc>
        <w:tc>
          <w:tcPr>
            <w:tcW w:w="1649" w:type="dxa"/>
            <w:tcBorders>
              <w:top w:val="nil"/>
              <w:left w:val="nil"/>
              <w:bottom w:val="single" w:sz="4" w:space="0" w:color="auto"/>
              <w:right w:val="single" w:sz="4" w:space="0" w:color="auto"/>
            </w:tcBorders>
            <w:noWrap/>
            <w:vAlign w:val="bottom"/>
            <w:hideMark/>
          </w:tcPr>
          <w:p w:rsidR="007F0E03" w:rsidRPr="001C46AF" w:rsidRDefault="007F0E03" w:rsidP="007F0E03">
            <w:pPr>
              <w:rPr>
                <w:rFonts w:cs="Times New Roman"/>
                <w:color w:val="000000" w:themeColor="text1"/>
              </w:rPr>
            </w:pPr>
            <w:r w:rsidRPr="001C46AF">
              <w:rPr>
                <w:rFonts w:cs="Times New Roman"/>
                <w:color w:val="000000" w:themeColor="text1"/>
              </w:rPr>
              <w:t> </w:t>
            </w:r>
          </w:p>
        </w:tc>
      </w:tr>
      <w:tr w:rsidR="007F0E03" w:rsidRPr="001C46AF" w:rsidTr="007F0E03">
        <w:trPr>
          <w:trHeight w:val="255"/>
        </w:trPr>
        <w:tc>
          <w:tcPr>
            <w:tcW w:w="7070" w:type="dxa"/>
            <w:tcBorders>
              <w:top w:val="nil"/>
              <w:left w:val="single" w:sz="4" w:space="0" w:color="auto"/>
              <w:bottom w:val="single" w:sz="4" w:space="0" w:color="auto"/>
              <w:right w:val="single" w:sz="4" w:space="0" w:color="auto"/>
            </w:tcBorders>
            <w:hideMark/>
          </w:tcPr>
          <w:p w:rsidR="007F0E03" w:rsidRPr="001C46AF" w:rsidRDefault="007F0E03" w:rsidP="007F0E03">
            <w:pPr>
              <w:rPr>
                <w:rFonts w:cs="Times New Roman"/>
                <w:color w:val="000000" w:themeColor="text1"/>
                <w:sz w:val="20"/>
                <w:szCs w:val="20"/>
                <w:vertAlign w:val="superscript"/>
              </w:rPr>
            </w:pPr>
            <w:r w:rsidRPr="001C46AF">
              <w:rPr>
                <w:rFonts w:cs="Times New Roman"/>
                <w:color w:val="000000" w:themeColor="text1"/>
                <w:sz w:val="20"/>
                <w:szCs w:val="20"/>
              </w:rPr>
              <w:t xml:space="preserve">  Poistné a príspevok do poisťovní (620)</w:t>
            </w:r>
          </w:p>
        </w:tc>
        <w:tc>
          <w:tcPr>
            <w:tcW w:w="1430" w:type="dxa"/>
            <w:tcBorders>
              <w:top w:val="nil"/>
              <w:left w:val="nil"/>
              <w:bottom w:val="single" w:sz="4" w:space="0" w:color="auto"/>
              <w:right w:val="single" w:sz="4" w:space="0" w:color="auto"/>
            </w:tcBorders>
          </w:tcPr>
          <w:p w:rsidR="007F0E03" w:rsidRPr="001C46AF" w:rsidRDefault="007F0E03" w:rsidP="007F0E03">
            <w:pPr>
              <w:jc w:val="center"/>
              <w:rPr>
                <w:rFonts w:cs="Times New Roman"/>
                <w:color w:val="000000" w:themeColor="text1"/>
                <w:sz w:val="20"/>
                <w:szCs w:val="20"/>
              </w:rPr>
            </w:pPr>
            <w:r w:rsidRPr="001C46AF">
              <w:rPr>
                <w:rFonts w:cs="Times New Roman"/>
                <w:sz w:val="20"/>
                <w:szCs w:val="20"/>
              </w:rPr>
              <w:t>0</w:t>
            </w:r>
          </w:p>
        </w:tc>
        <w:tc>
          <w:tcPr>
            <w:tcW w:w="1650"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r w:rsidRPr="001C46AF">
              <w:rPr>
                <w:rFonts w:cs="Times New Roman"/>
                <w:sz w:val="20"/>
                <w:szCs w:val="20"/>
              </w:rPr>
              <w:t>+93 907</w:t>
            </w: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highlight w:val="green"/>
              </w:rPr>
            </w:pPr>
            <w:r w:rsidRPr="001C46AF">
              <w:rPr>
                <w:rFonts w:cs="Times New Roman"/>
                <w:sz w:val="20"/>
                <w:szCs w:val="20"/>
              </w:rPr>
              <w:t>+93 907</w:t>
            </w: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highlight w:val="green"/>
              </w:rPr>
            </w:pPr>
            <w:r w:rsidRPr="001C46AF">
              <w:rPr>
                <w:rFonts w:cs="Times New Roman"/>
                <w:sz w:val="20"/>
                <w:szCs w:val="20"/>
              </w:rPr>
              <w:t>+93 907</w:t>
            </w:r>
          </w:p>
        </w:tc>
        <w:tc>
          <w:tcPr>
            <w:tcW w:w="1649" w:type="dxa"/>
            <w:tcBorders>
              <w:top w:val="nil"/>
              <w:left w:val="nil"/>
              <w:bottom w:val="single" w:sz="4" w:space="0" w:color="auto"/>
              <w:right w:val="single" w:sz="4" w:space="0" w:color="auto"/>
            </w:tcBorders>
            <w:noWrap/>
            <w:vAlign w:val="bottom"/>
            <w:hideMark/>
          </w:tcPr>
          <w:p w:rsidR="007F0E03" w:rsidRPr="001C46AF" w:rsidRDefault="007F0E03" w:rsidP="007F0E03">
            <w:pPr>
              <w:rPr>
                <w:rFonts w:cs="Times New Roman"/>
                <w:color w:val="000000" w:themeColor="text1"/>
              </w:rPr>
            </w:pPr>
            <w:r w:rsidRPr="001C46AF">
              <w:rPr>
                <w:rFonts w:cs="Times New Roman"/>
                <w:color w:val="000000" w:themeColor="text1"/>
              </w:rPr>
              <w:t> </w:t>
            </w:r>
          </w:p>
        </w:tc>
      </w:tr>
      <w:tr w:rsidR="007F0E03" w:rsidRPr="001C46AF" w:rsidTr="007F0E03">
        <w:trPr>
          <w:trHeight w:val="255"/>
        </w:trPr>
        <w:tc>
          <w:tcPr>
            <w:tcW w:w="7070" w:type="dxa"/>
            <w:tcBorders>
              <w:top w:val="nil"/>
              <w:left w:val="single" w:sz="4" w:space="0" w:color="auto"/>
              <w:bottom w:val="single" w:sz="4" w:space="0" w:color="auto"/>
              <w:right w:val="single" w:sz="4" w:space="0" w:color="auto"/>
            </w:tcBorders>
            <w:hideMark/>
          </w:tcPr>
          <w:p w:rsidR="007F0E03" w:rsidRPr="001C46AF" w:rsidRDefault="007F0E03" w:rsidP="007F0E03">
            <w:pPr>
              <w:rPr>
                <w:rFonts w:cs="Times New Roman"/>
                <w:color w:val="000000" w:themeColor="text1"/>
                <w:sz w:val="20"/>
                <w:szCs w:val="20"/>
                <w:vertAlign w:val="superscript"/>
              </w:rPr>
            </w:pPr>
            <w:r w:rsidRPr="001C46AF">
              <w:rPr>
                <w:rFonts w:cs="Times New Roman"/>
                <w:color w:val="000000" w:themeColor="text1"/>
                <w:sz w:val="20"/>
                <w:szCs w:val="20"/>
              </w:rPr>
              <w:t xml:space="preserve">  Tovary a služby (630)</w:t>
            </w:r>
            <w:r w:rsidRPr="001C46AF">
              <w:rPr>
                <w:rFonts w:cs="Times New Roman"/>
                <w:color w:val="000000" w:themeColor="text1"/>
                <w:sz w:val="20"/>
                <w:szCs w:val="20"/>
                <w:vertAlign w:val="superscript"/>
              </w:rPr>
              <w:t>2</w:t>
            </w:r>
          </w:p>
        </w:tc>
        <w:tc>
          <w:tcPr>
            <w:tcW w:w="1430" w:type="dxa"/>
            <w:tcBorders>
              <w:top w:val="nil"/>
              <w:left w:val="nil"/>
              <w:bottom w:val="single" w:sz="4" w:space="0" w:color="auto"/>
              <w:right w:val="single" w:sz="4" w:space="0" w:color="auto"/>
            </w:tcBorders>
          </w:tcPr>
          <w:p w:rsidR="007F0E03" w:rsidRPr="001C46AF" w:rsidRDefault="007F0E03" w:rsidP="007F0E03">
            <w:pPr>
              <w:jc w:val="center"/>
              <w:rPr>
                <w:rFonts w:cs="Times New Roman"/>
                <w:color w:val="000000" w:themeColor="text1"/>
                <w:sz w:val="20"/>
                <w:szCs w:val="20"/>
              </w:rPr>
            </w:pPr>
            <w:r w:rsidRPr="001C46AF">
              <w:rPr>
                <w:rFonts w:cs="Times New Roman"/>
                <w:sz w:val="20"/>
                <w:szCs w:val="20"/>
              </w:rPr>
              <w:t>0</w:t>
            </w:r>
          </w:p>
        </w:tc>
        <w:tc>
          <w:tcPr>
            <w:tcW w:w="1650"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r w:rsidRPr="001C46AF">
              <w:rPr>
                <w:rFonts w:cs="Times New Roman"/>
                <w:sz w:val="20"/>
                <w:szCs w:val="20"/>
              </w:rPr>
              <w:t>+85 365</w:t>
            </w: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highlight w:val="green"/>
              </w:rPr>
            </w:pPr>
            <w:r w:rsidRPr="001C46AF">
              <w:rPr>
                <w:rFonts w:cs="Times New Roman"/>
                <w:sz w:val="20"/>
                <w:szCs w:val="20"/>
              </w:rPr>
              <w:t>+71 365</w:t>
            </w: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highlight w:val="green"/>
              </w:rPr>
            </w:pPr>
            <w:r w:rsidRPr="001C46AF">
              <w:rPr>
                <w:rFonts w:cs="Times New Roman"/>
                <w:sz w:val="20"/>
                <w:szCs w:val="20"/>
              </w:rPr>
              <w:t>+71 365</w:t>
            </w:r>
          </w:p>
        </w:tc>
        <w:tc>
          <w:tcPr>
            <w:tcW w:w="1649" w:type="dxa"/>
            <w:tcBorders>
              <w:top w:val="nil"/>
              <w:left w:val="nil"/>
              <w:bottom w:val="single" w:sz="4" w:space="0" w:color="auto"/>
              <w:right w:val="single" w:sz="4" w:space="0" w:color="auto"/>
            </w:tcBorders>
            <w:noWrap/>
            <w:vAlign w:val="bottom"/>
            <w:hideMark/>
          </w:tcPr>
          <w:p w:rsidR="007F0E03" w:rsidRPr="001C46AF" w:rsidRDefault="007F0E03" w:rsidP="007F0E03">
            <w:pPr>
              <w:rPr>
                <w:rFonts w:cs="Times New Roman"/>
                <w:color w:val="000000" w:themeColor="text1"/>
              </w:rPr>
            </w:pPr>
            <w:r w:rsidRPr="001C46AF">
              <w:rPr>
                <w:rFonts w:cs="Times New Roman"/>
                <w:color w:val="000000" w:themeColor="text1"/>
              </w:rPr>
              <w:t> </w:t>
            </w:r>
          </w:p>
        </w:tc>
      </w:tr>
      <w:tr w:rsidR="007F0E03" w:rsidRPr="001C46AF" w:rsidTr="007F0E03">
        <w:trPr>
          <w:trHeight w:val="255"/>
        </w:trPr>
        <w:tc>
          <w:tcPr>
            <w:tcW w:w="7070" w:type="dxa"/>
            <w:tcBorders>
              <w:top w:val="nil"/>
              <w:left w:val="single" w:sz="4" w:space="0" w:color="auto"/>
              <w:bottom w:val="single" w:sz="4" w:space="0" w:color="auto"/>
              <w:right w:val="single" w:sz="4" w:space="0" w:color="auto"/>
            </w:tcBorders>
            <w:hideMark/>
          </w:tcPr>
          <w:p w:rsidR="007F0E03" w:rsidRPr="001C46AF" w:rsidRDefault="007F0E03" w:rsidP="007F0E03">
            <w:pPr>
              <w:rPr>
                <w:rFonts w:cs="Times New Roman"/>
                <w:color w:val="000000" w:themeColor="text1"/>
                <w:sz w:val="20"/>
                <w:szCs w:val="20"/>
              </w:rPr>
            </w:pPr>
            <w:r w:rsidRPr="001C46AF">
              <w:rPr>
                <w:rFonts w:cs="Times New Roman"/>
                <w:color w:val="000000" w:themeColor="text1"/>
                <w:sz w:val="20"/>
                <w:szCs w:val="20"/>
              </w:rPr>
              <w:t xml:space="preserve">  Bežné transfery (640)</w:t>
            </w:r>
            <w:r w:rsidRPr="001C46AF">
              <w:rPr>
                <w:rFonts w:cs="Times New Roman"/>
                <w:color w:val="000000" w:themeColor="text1"/>
                <w:sz w:val="20"/>
                <w:szCs w:val="20"/>
                <w:vertAlign w:val="superscript"/>
              </w:rPr>
              <w:t>2</w:t>
            </w:r>
          </w:p>
        </w:tc>
        <w:tc>
          <w:tcPr>
            <w:tcW w:w="1430" w:type="dxa"/>
            <w:tcBorders>
              <w:top w:val="nil"/>
              <w:left w:val="nil"/>
              <w:bottom w:val="single" w:sz="4" w:space="0" w:color="auto"/>
              <w:right w:val="single" w:sz="4" w:space="0" w:color="auto"/>
            </w:tcBorders>
          </w:tcPr>
          <w:p w:rsidR="007F0E03" w:rsidRPr="001C46AF" w:rsidRDefault="007F0E03" w:rsidP="007F0E03">
            <w:pPr>
              <w:jc w:val="center"/>
              <w:rPr>
                <w:rFonts w:cs="Times New Roman"/>
                <w:color w:val="000000" w:themeColor="text1"/>
                <w:sz w:val="20"/>
                <w:szCs w:val="20"/>
              </w:rPr>
            </w:pPr>
            <w:r w:rsidRPr="001C46AF">
              <w:rPr>
                <w:rFonts w:cs="Times New Roman"/>
                <w:sz w:val="20"/>
                <w:szCs w:val="20"/>
              </w:rPr>
              <w:t>0</w:t>
            </w:r>
          </w:p>
        </w:tc>
        <w:tc>
          <w:tcPr>
            <w:tcW w:w="1650"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r w:rsidRPr="001C46AF">
              <w:rPr>
                <w:rFonts w:cs="Times New Roman"/>
                <w:sz w:val="20"/>
                <w:szCs w:val="20"/>
              </w:rPr>
              <w:t>+24 880</w:t>
            </w: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highlight w:val="green"/>
              </w:rPr>
            </w:pPr>
            <w:r w:rsidRPr="001C46AF">
              <w:rPr>
                <w:rFonts w:cs="Times New Roman"/>
                <w:sz w:val="20"/>
                <w:szCs w:val="20"/>
              </w:rPr>
              <w:t>+24 880</w:t>
            </w: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highlight w:val="green"/>
              </w:rPr>
            </w:pPr>
            <w:r w:rsidRPr="001C46AF">
              <w:rPr>
                <w:rFonts w:cs="Times New Roman"/>
                <w:sz w:val="20"/>
                <w:szCs w:val="20"/>
              </w:rPr>
              <w:t>+24 880</w:t>
            </w:r>
          </w:p>
        </w:tc>
        <w:tc>
          <w:tcPr>
            <w:tcW w:w="1649" w:type="dxa"/>
            <w:tcBorders>
              <w:top w:val="nil"/>
              <w:left w:val="nil"/>
              <w:bottom w:val="single" w:sz="4" w:space="0" w:color="auto"/>
              <w:right w:val="single" w:sz="4" w:space="0" w:color="auto"/>
            </w:tcBorders>
            <w:noWrap/>
            <w:vAlign w:val="bottom"/>
            <w:hideMark/>
          </w:tcPr>
          <w:p w:rsidR="007F0E03" w:rsidRPr="001C46AF" w:rsidRDefault="007F0E03" w:rsidP="007F0E03">
            <w:pPr>
              <w:rPr>
                <w:rFonts w:cs="Times New Roman"/>
                <w:color w:val="000000" w:themeColor="text1"/>
              </w:rPr>
            </w:pPr>
            <w:r w:rsidRPr="001C46AF">
              <w:rPr>
                <w:rFonts w:cs="Times New Roman"/>
                <w:color w:val="000000" w:themeColor="text1"/>
              </w:rPr>
              <w:t> </w:t>
            </w:r>
          </w:p>
        </w:tc>
      </w:tr>
      <w:tr w:rsidR="007F0E03" w:rsidRPr="001C46AF" w:rsidTr="007F0E03">
        <w:trPr>
          <w:trHeight w:val="255"/>
        </w:trPr>
        <w:tc>
          <w:tcPr>
            <w:tcW w:w="7070" w:type="dxa"/>
            <w:tcBorders>
              <w:top w:val="nil"/>
              <w:left w:val="single" w:sz="4" w:space="0" w:color="auto"/>
              <w:bottom w:val="single" w:sz="4" w:space="0" w:color="auto"/>
              <w:right w:val="single" w:sz="4" w:space="0" w:color="auto"/>
            </w:tcBorders>
            <w:vAlign w:val="center"/>
            <w:hideMark/>
          </w:tcPr>
          <w:p w:rsidR="007F0E03" w:rsidRPr="001C46AF" w:rsidRDefault="007F0E03" w:rsidP="007F0E03">
            <w:pPr>
              <w:rPr>
                <w:rFonts w:cs="Times New Roman"/>
                <w:color w:val="000000" w:themeColor="text1"/>
                <w:sz w:val="20"/>
                <w:szCs w:val="20"/>
              </w:rPr>
            </w:pPr>
            <w:r w:rsidRPr="001C46AF">
              <w:rPr>
                <w:rFonts w:cs="Times New Roman"/>
                <w:color w:val="000000" w:themeColor="text1"/>
                <w:sz w:val="20"/>
                <w:szCs w:val="20"/>
              </w:rPr>
              <w:t xml:space="preserve">  Splácanie úrokov a ostatné platby súvisiace s </w:t>
            </w:r>
            <w:r w:rsidRPr="001C46AF">
              <w:rPr>
                <w:color w:val="000000" w:themeColor="text1"/>
              </w:rPr>
              <w:t xml:space="preserve"> </w:t>
            </w:r>
            <w:r w:rsidRPr="001C46AF">
              <w:rPr>
                <w:rFonts w:cs="Times New Roman"/>
                <w:color w:val="000000" w:themeColor="text1"/>
                <w:sz w:val="20"/>
                <w:szCs w:val="20"/>
              </w:rPr>
              <w:t>úverom, pôžičkou, návratnou finančnou výpomocou a finančným prenájmom (650)</w:t>
            </w:r>
            <w:r w:rsidRPr="001C46AF">
              <w:rPr>
                <w:rFonts w:cs="Times New Roman"/>
                <w:color w:val="000000" w:themeColor="text1"/>
                <w:sz w:val="20"/>
                <w:szCs w:val="20"/>
                <w:vertAlign w:val="superscript"/>
              </w:rPr>
              <w:t>2</w:t>
            </w:r>
          </w:p>
        </w:tc>
        <w:tc>
          <w:tcPr>
            <w:tcW w:w="1430" w:type="dxa"/>
            <w:tcBorders>
              <w:top w:val="nil"/>
              <w:left w:val="nil"/>
              <w:bottom w:val="single" w:sz="4" w:space="0" w:color="auto"/>
              <w:right w:val="single" w:sz="4" w:space="0" w:color="auto"/>
            </w:tcBorders>
          </w:tcPr>
          <w:p w:rsidR="007F0E03" w:rsidRPr="001C46AF" w:rsidRDefault="007F0E03" w:rsidP="007F0E03">
            <w:pPr>
              <w:jc w:val="center"/>
              <w:rPr>
                <w:rFonts w:cs="Times New Roman"/>
                <w:color w:val="000000" w:themeColor="text1"/>
                <w:sz w:val="20"/>
                <w:szCs w:val="20"/>
              </w:rPr>
            </w:pPr>
          </w:p>
        </w:tc>
        <w:tc>
          <w:tcPr>
            <w:tcW w:w="1650"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highlight w:val="green"/>
              </w:rPr>
            </w:pP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highlight w:val="green"/>
              </w:rPr>
            </w:pPr>
          </w:p>
        </w:tc>
        <w:tc>
          <w:tcPr>
            <w:tcW w:w="1649" w:type="dxa"/>
            <w:tcBorders>
              <w:top w:val="nil"/>
              <w:left w:val="nil"/>
              <w:bottom w:val="single" w:sz="4" w:space="0" w:color="auto"/>
              <w:right w:val="single" w:sz="4" w:space="0" w:color="auto"/>
            </w:tcBorders>
            <w:noWrap/>
            <w:vAlign w:val="bottom"/>
          </w:tcPr>
          <w:p w:rsidR="007F0E03" w:rsidRPr="001C46AF" w:rsidRDefault="007F0E03" w:rsidP="007F0E03">
            <w:pPr>
              <w:rPr>
                <w:rFonts w:cs="Times New Roman"/>
                <w:color w:val="000000" w:themeColor="text1"/>
              </w:rPr>
            </w:pPr>
          </w:p>
        </w:tc>
      </w:tr>
      <w:tr w:rsidR="007F0E03" w:rsidRPr="001C46AF" w:rsidTr="007F0E03">
        <w:trPr>
          <w:trHeight w:val="255"/>
        </w:trPr>
        <w:tc>
          <w:tcPr>
            <w:tcW w:w="7070" w:type="dxa"/>
            <w:tcBorders>
              <w:top w:val="nil"/>
              <w:left w:val="single" w:sz="4" w:space="0" w:color="auto"/>
              <w:bottom w:val="single" w:sz="4" w:space="0" w:color="auto"/>
              <w:right w:val="single" w:sz="4" w:space="0" w:color="auto"/>
            </w:tcBorders>
            <w:hideMark/>
          </w:tcPr>
          <w:p w:rsidR="007F0E03" w:rsidRPr="001C46AF" w:rsidRDefault="007F0E03" w:rsidP="007F0E03">
            <w:pPr>
              <w:rPr>
                <w:rFonts w:cs="Times New Roman"/>
                <w:b/>
                <w:bCs/>
                <w:color w:val="000000" w:themeColor="text1"/>
                <w:sz w:val="20"/>
                <w:szCs w:val="20"/>
              </w:rPr>
            </w:pPr>
            <w:r w:rsidRPr="001C46AF">
              <w:rPr>
                <w:rFonts w:cs="Times New Roman"/>
                <w:b/>
                <w:bCs/>
                <w:color w:val="000000" w:themeColor="text1"/>
                <w:sz w:val="20"/>
                <w:szCs w:val="20"/>
              </w:rPr>
              <w:t>Kapitálové výdavky (700)</w:t>
            </w:r>
          </w:p>
        </w:tc>
        <w:tc>
          <w:tcPr>
            <w:tcW w:w="1430" w:type="dxa"/>
            <w:tcBorders>
              <w:top w:val="nil"/>
              <w:left w:val="nil"/>
              <w:bottom w:val="single" w:sz="4" w:space="0" w:color="auto"/>
              <w:right w:val="single" w:sz="4" w:space="0" w:color="auto"/>
            </w:tcBorders>
          </w:tcPr>
          <w:p w:rsidR="007F0E03" w:rsidRPr="001C46AF" w:rsidRDefault="007F0E03" w:rsidP="007F0E03">
            <w:pPr>
              <w:jc w:val="center"/>
              <w:rPr>
                <w:rFonts w:cs="Times New Roman"/>
                <w:b/>
                <w:bCs/>
                <w:color w:val="000000" w:themeColor="text1"/>
                <w:sz w:val="20"/>
                <w:szCs w:val="20"/>
              </w:rPr>
            </w:pPr>
          </w:p>
        </w:tc>
        <w:tc>
          <w:tcPr>
            <w:tcW w:w="1650" w:type="dxa"/>
            <w:tcBorders>
              <w:top w:val="nil"/>
              <w:left w:val="nil"/>
              <w:bottom w:val="single" w:sz="4" w:space="0" w:color="auto"/>
              <w:right w:val="single" w:sz="4" w:space="0" w:color="auto"/>
            </w:tcBorders>
          </w:tcPr>
          <w:p w:rsidR="007F0E03" w:rsidRPr="001C46AF" w:rsidRDefault="007F0E03" w:rsidP="007F0E03">
            <w:pPr>
              <w:jc w:val="center"/>
              <w:rPr>
                <w:rFonts w:cs="Times New Roman"/>
                <w:b/>
                <w:bCs/>
                <w:sz w:val="20"/>
                <w:szCs w:val="20"/>
              </w:rPr>
            </w:pP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b/>
                <w:bCs/>
                <w:sz w:val="20"/>
                <w:szCs w:val="20"/>
                <w:highlight w:val="green"/>
              </w:rPr>
            </w:pP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b/>
                <w:bCs/>
                <w:sz w:val="20"/>
                <w:szCs w:val="20"/>
                <w:highlight w:val="green"/>
              </w:rPr>
            </w:pPr>
          </w:p>
        </w:tc>
        <w:tc>
          <w:tcPr>
            <w:tcW w:w="1649" w:type="dxa"/>
            <w:tcBorders>
              <w:top w:val="nil"/>
              <w:left w:val="nil"/>
              <w:bottom w:val="single" w:sz="4" w:space="0" w:color="auto"/>
              <w:right w:val="single" w:sz="4" w:space="0" w:color="auto"/>
            </w:tcBorders>
            <w:noWrap/>
            <w:vAlign w:val="bottom"/>
            <w:hideMark/>
          </w:tcPr>
          <w:p w:rsidR="007F0E03" w:rsidRPr="001C46AF" w:rsidRDefault="007F0E03" w:rsidP="007F0E03">
            <w:pPr>
              <w:rPr>
                <w:rFonts w:cs="Times New Roman"/>
                <w:color w:val="000000" w:themeColor="text1"/>
              </w:rPr>
            </w:pPr>
            <w:r w:rsidRPr="001C46AF">
              <w:rPr>
                <w:rFonts w:cs="Times New Roman"/>
                <w:color w:val="000000" w:themeColor="text1"/>
              </w:rPr>
              <w:t> </w:t>
            </w:r>
          </w:p>
        </w:tc>
      </w:tr>
      <w:tr w:rsidR="007F0E03" w:rsidRPr="001C46AF" w:rsidTr="007F0E03">
        <w:trPr>
          <w:trHeight w:val="255"/>
        </w:trPr>
        <w:tc>
          <w:tcPr>
            <w:tcW w:w="7070" w:type="dxa"/>
            <w:tcBorders>
              <w:top w:val="nil"/>
              <w:left w:val="single" w:sz="4" w:space="0" w:color="auto"/>
              <w:bottom w:val="single" w:sz="4" w:space="0" w:color="auto"/>
              <w:right w:val="single" w:sz="4" w:space="0" w:color="auto"/>
            </w:tcBorders>
            <w:hideMark/>
          </w:tcPr>
          <w:p w:rsidR="007F0E03" w:rsidRPr="001C46AF" w:rsidRDefault="007F0E03" w:rsidP="007F0E03">
            <w:pPr>
              <w:rPr>
                <w:rFonts w:cs="Times New Roman"/>
                <w:color w:val="000000" w:themeColor="text1"/>
                <w:sz w:val="20"/>
                <w:szCs w:val="20"/>
              </w:rPr>
            </w:pPr>
            <w:r w:rsidRPr="001C46AF">
              <w:rPr>
                <w:rFonts w:cs="Times New Roman"/>
                <w:color w:val="000000" w:themeColor="text1"/>
                <w:sz w:val="20"/>
                <w:szCs w:val="20"/>
              </w:rPr>
              <w:t xml:space="preserve">  Obstarávanie kapitálových aktív (710)</w:t>
            </w:r>
            <w:r w:rsidRPr="001C46AF">
              <w:rPr>
                <w:rFonts w:cs="Times New Roman"/>
                <w:color w:val="000000" w:themeColor="text1"/>
                <w:sz w:val="20"/>
                <w:szCs w:val="20"/>
                <w:vertAlign w:val="superscript"/>
              </w:rPr>
              <w:t>2</w:t>
            </w:r>
          </w:p>
        </w:tc>
        <w:tc>
          <w:tcPr>
            <w:tcW w:w="1430" w:type="dxa"/>
            <w:tcBorders>
              <w:top w:val="nil"/>
              <w:left w:val="nil"/>
              <w:bottom w:val="single" w:sz="4" w:space="0" w:color="auto"/>
              <w:right w:val="single" w:sz="4" w:space="0" w:color="auto"/>
            </w:tcBorders>
          </w:tcPr>
          <w:p w:rsidR="007F0E03" w:rsidRPr="001C46AF" w:rsidRDefault="007F0E03" w:rsidP="007F0E03">
            <w:pPr>
              <w:jc w:val="center"/>
              <w:rPr>
                <w:rFonts w:cs="Times New Roman"/>
                <w:color w:val="000000" w:themeColor="text1"/>
                <w:sz w:val="20"/>
                <w:szCs w:val="20"/>
              </w:rPr>
            </w:pPr>
          </w:p>
        </w:tc>
        <w:tc>
          <w:tcPr>
            <w:tcW w:w="1650"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highlight w:val="green"/>
              </w:rPr>
            </w:pP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highlight w:val="green"/>
              </w:rPr>
            </w:pPr>
          </w:p>
        </w:tc>
        <w:tc>
          <w:tcPr>
            <w:tcW w:w="1649" w:type="dxa"/>
            <w:tcBorders>
              <w:top w:val="nil"/>
              <w:left w:val="nil"/>
              <w:bottom w:val="single" w:sz="4" w:space="0" w:color="auto"/>
              <w:right w:val="single" w:sz="4" w:space="0" w:color="auto"/>
            </w:tcBorders>
            <w:noWrap/>
            <w:vAlign w:val="bottom"/>
            <w:hideMark/>
          </w:tcPr>
          <w:p w:rsidR="007F0E03" w:rsidRPr="001C46AF" w:rsidRDefault="007F0E03" w:rsidP="007F0E03">
            <w:pPr>
              <w:rPr>
                <w:rFonts w:cs="Times New Roman"/>
                <w:color w:val="000000" w:themeColor="text1"/>
              </w:rPr>
            </w:pPr>
            <w:r w:rsidRPr="001C46AF">
              <w:rPr>
                <w:rFonts w:cs="Times New Roman"/>
                <w:color w:val="000000" w:themeColor="text1"/>
              </w:rPr>
              <w:t> </w:t>
            </w:r>
          </w:p>
        </w:tc>
      </w:tr>
      <w:tr w:rsidR="007F0E03" w:rsidRPr="001C46AF" w:rsidTr="007F0E03">
        <w:trPr>
          <w:trHeight w:val="255"/>
        </w:trPr>
        <w:tc>
          <w:tcPr>
            <w:tcW w:w="7070" w:type="dxa"/>
            <w:tcBorders>
              <w:top w:val="nil"/>
              <w:left w:val="single" w:sz="4" w:space="0" w:color="auto"/>
              <w:bottom w:val="single" w:sz="4" w:space="0" w:color="auto"/>
              <w:right w:val="single" w:sz="4" w:space="0" w:color="auto"/>
            </w:tcBorders>
            <w:hideMark/>
          </w:tcPr>
          <w:p w:rsidR="007F0E03" w:rsidRPr="001C46AF" w:rsidRDefault="007F0E03" w:rsidP="007F0E03">
            <w:pPr>
              <w:rPr>
                <w:rFonts w:cs="Times New Roman"/>
                <w:color w:val="000000" w:themeColor="text1"/>
                <w:sz w:val="20"/>
                <w:szCs w:val="20"/>
              </w:rPr>
            </w:pPr>
            <w:r w:rsidRPr="001C46AF">
              <w:rPr>
                <w:rFonts w:cs="Times New Roman"/>
                <w:color w:val="000000" w:themeColor="text1"/>
                <w:sz w:val="20"/>
                <w:szCs w:val="20"/>
              </w:rPr>
              <w:t xml:space="preserve">  Kapitálové transfery (720)</w:t>
            </w:r>
            <w:r w:rsidRPr="001C46AF">
              <w:rPr>
                <w:rFonts w:cs="Times New Roman"/>
                <w:color w:val="000000" w:themeColor="text1"/>
                <w:sz w:val="20"/>
                <w:szCs w:val="20"/>
                <w:vertAlign w:val="superscript"/>
              </w:rPr>
              <w:t>2</w:t>
            </w:r>
          </w:p>
        </w:tc>
        <w:tc>
          <w:tcPr>
            <w:tcW w:w="1430" w:type="dxa"/>
            <w:tcBorders>
              <w:top w:val="nil"/>
              <w:left w:val="nil"/>
              <w:bottom w:val="single" w:sz="4" w:space="0" w:color="auto"/>
              <w:right w:val="single" w:sz="4" w:space="0" w:color="auto"/>
            </w:tcBorders>
          </w:tcPr>
          <w:p w:rsidR="007F0E03" w:rsidRPr="001C46AF" w:rsidRDefault="007F0E03" w:rsidP="007F0E03">
            <w:pPr>
              <w:jc w:val="center"/>
              <w:rPr>
                <w:rFonts w:cs="Times New Roman"/>
                <w:color w:val="000000" w:themeColor="text1"/>
                <w:sz w:val="20"/>
                <w:szCs w:val="20"/>
              </w:rPr>
            </w:pPr>
          </w:p>
        </w:tc>
        <w:tc>
          <w:tcPr>
            <w:tcW w:w="1650"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rPr>
            </w:pP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highlight w:val="green"/>
              </w:rPr>
            </w:pPr>
          </w:p>
        </w:tc>
        <w:tc>
          <w:tcPr>
            <w:tcW w:w="1540" w:type="dxa"/>
            <w:tcBorders>
              <w:top w:val="nil"/>
              <w:left w:val="nil"/>
              <w:bottom w:val="single" w:sz="4" w:space="0" w:color="auto"/>
              <w:right w:val="single" w:sz="4" w:space="0" w:color="auto"/>
            </w:tcBorders>
          </w:tcPr>
          <w:p w:rsidR="007F0E03" w:rsidRPr="001C46AF" w:rsidRDefault="007F0E03" w:rsidP="007F0E03">
            <w:pPr>
              <w:jc w:val="center"/>
              <w:rPr>
                <w:rFonts w:cs="Times New Roman"/>
                <w:sz w:val="20"/>
                <w:szCs w:val="20"/>
                <w:highlight w:val="green"/>
              </w:rPr>
            </w:pPr>
          </w:p>
        </w:tc>
        <w:tc>
          <w:tcPr>
            <w:tcW w:w="1649" w:type="dxa"/>
            <w:tcBorders>
              <w:top w:val="nil"/>
              <w:left w:val="nil"/>
              <w:bottom w:val="single" w:sz="4" w:space="0" w:color="auto"/>
              <w:right w:val="single" w:sz="4" w:space="0" w:color="auto"/>
            </w:tcBorders>
            <w:noWrap/>
            <w:vAlign w:val="bottom"/>
            <w:hideMark/>
          </w:tcPr>
          <w:p w:rsidR="007F0E03" w:rsidRPr="001C46AF" w:rsidRDefault="007F0E03" w:rsidP="007F0E03">
            <w:pPr>
              <w:rPr>
                <w:rFonts w:cs="Times New Roman"/>
                <w:color w:val="000000" w:themeColor="text1"/>
              </w:rPr>
            </w:pPr>
            <w:r w:rsidRPr="001C46AF">
              <w:rPr>
                <w:rFonts w:cs="Times New Roman"/>
                <w:color w:val="000000" w:themeColor="text1"/>
              </w:rPr>
              <w:t> </w:t>
            </w:r>
          </w:p>
        </w:tc>
      </w:tr>
      <w:tr w:rsidR="007F0E03" w:rsidRPr="001C46AF" w:rsidTr="007F0E03">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F0E03" w:rsidRPr="001C46AF" w:rsidRDefault="007F0E03" w:rsidP="007F0E03">
            <w:pPr>
              <w:rPr>
                <w:rFonts w:cs="Times New Roman"/>
                <w:b/>
                <w:bCs/>
                <w:color w:val="000000" w:themeColor="text1"/>
                <w:sz w:val="20"/>
                <w:szCs w:val="20"/>
              </w:rPr>
            </w:pPr>
            <w:r w:rsidRPr="001C46AF">
              <w:rPr>
                <w:rFonts w:cs="Times New Roman"/>
                <w:b/>
                <w:bCs/>
                <w:color w:val="000000" w:themeColor="text1"/>
                <w:sz w:val="20"/>
                <w:szCs w:val="20"/>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hideMark/>
          </w:tcPr>
          <w:p w:rsidR="007F0E03" w:rsidRPr="001C46AF" w:rsidRDefault="007F0E03" w:rsidP="007F0E03">
            <w:pPr>
              <w:jc w:val="center"/>
              <w:rPr>
                <w:rFonts w:cs="Times New Roman"/>
                <w:b/>
                <w:bCs/>
                <w:color w:val="000000" w:themeColor="text1"/>
                <w:sz w:val="20"/>
                <w:szCs w:val="20"/>
              </w:rPr>
            </w:pPr>
            <w:r w:rsidRPr="001C46AF">
              <w:rPr>
                <w:rFonts w:cs="Times New Roman"/>
                <w:sz w:val="20"/>
                <w:szCs w:val="20"/>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7F0E03" w:rsidRPr="001C46AF" w:rsidRDefault="007F0E03" w:rsidP="007F0E03">
            <w:pPr>
              <w:jc w:val="center"/>
              <w:rPr>
                <w:rFonts w:cs="Times New Roman"/>
                <w:b/>
                <w:bCs/>
                <w:sz w:val="20"/>
                <w:szCs w:val="20"/>
              </w:rPr>
            </w:pPr>
            <w:r w:rsidRPr="001C46AF">
              <w:rPr>
                <w:rFonts w:cs="Times New Roman"/>
                <w:sz w:val="20"/>
                <w:szCs w:val="20"/>
              </w:rPr>
              <w:t>+465 368</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7F0E03" w:rsidRPr="001C46AF" w:rsidRDefault="007F0E03" w:rsidP="007F0E03">
            <w:pPr>
              <w:jc w:val="center"/>
              <w:rPr>
                <w:rFonts w:cs="Times New Roman"/>
                <w:b/>
                <w:bCs/>
                <w:sz w:val="20"/>
                <w:szCs w:val="20"/>
                <w:highlight w:val="green"/>
              </w:rPr>
            </w:pPr>
            <w:r w:rsidRPr="001C46AF">
              <w:rPr>
                <w:rFonts w:cs="Times New Roman"/>
                <w:sz w:val="20"/>
                <w:szCs w:val="20"/>
              </w:rPr>
              <w:t>+451 368</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7F0E03" w:rsidRPr="001C46AF" w:rsidRDefault="007F0E03" w:rsidP="007F0E03">
            <w:pPr>
              <w:jc w:val="center"/>
              <w:rPr>
                <w:rFonts w:cs="Times New Roman"/>
                <w:b/>
                <w:bCs/>
                <w:sz w:val="20"/>
                <w:szCs w:val="20"/>
                <w:highlight w:val="green"/>
              </w:rPr>
            </w:pPr>
            <w:r w:rsidRPr="001C46AF">
              <w:rPr>
                <w:rFonts w:cs="Times New Roman"/>
                <w:sz w:val="20"/>
                <w:szCs w:val="20"/>
              </w:rPr>
              <w:t>+451 368</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7F0E03" w:rsidRPr="001C46AF" w:rsidRDefault="007F0E03" w:rsidP="007F0E03">
            <w:pPr>
              <w:rPr>
                <w:rFonts w:cs="Times New Roman"/>
                <w:color w:val="000000" w:themeColor="text1"/>
              </w:rPr>
            </w:pPr>
            <w:r w:rsidRPr="001C46AF">
              <w:rPr>
                <w:rFonts w:cs="Times New Roman"/>
                <w:color w:val="000000" w:themeColor="text1"/>
              </w:rPr>
              <w:t> </w:t>
            </w:r>
          </w:p>
        </w:tc>
      </w:tr>
    </w:tbl>
    <w:p w:rsidR="007F0E03" w:rsidRPr="001C46AF" w:rsidRDefault="007F0E03" w:rsidP="007F0E03">
      <w:pPr>
        <w:tabs>
          <w:tab w:val="num" w:pos="1080"/>
        </w:tabs>
        <w:ind w:left="-900"/>
        <w:jc w:val="both"/>
        <w:rPr>
          <w:rFonts w:cs="Times New Roman"/>
          <w:bCs/>
          <w:sz w:val="20"/>
          <w:szCs w:val="20"/>
        </w:rPr>
      </w:pPr>
      <w:r w:rsidRPr="001C46AF">
        <w:rPr>
          <w:rFonts w:cs="Times New Roman"/>
          <w:bCs/>
          <w:color w:val="000000" w:themeColor="text1"/>
          <w:sz w:val="20"/>
          <w:szCs w:val="20"/>
        </w:rPr>
        <w:t xml:space="preserve">  2 –  výdavky rozpísať až do podpo</w:t>
      </w:r>
      <w:r w:rsidRPr="001C46AF">
        <w:rPr>
          <w:rFonts w:cs="Times New Roman"/>
          <w:bCs/>
          <w:sz w:val="20"/>
          <w:szCs w:val="20"/>
        </w:rPr>
        <w:t>ložiek platnej ekonomickej klasifikácie</w:t>
      </w:r>
    </w:p>
    <w:p w:rsidR="007F0E03" w:rsidRPr="001C46AF" w:rsidRDefault="007F0E03" w:rsidP="007F0E03">
      <w:pPr>
        <w:tabs>
          <w:tab w:val="num" w:pos="1080"/>
        </w:tabs>
        <w:ind w:left="-900"/>
        <w:jc w:val="both"/>
        <w:rPr>
          <w:rFonts w:cs="Times New Roman"/>
          <w:bCs/>
          <w:szCs w:val="20"/>
        </w:rPr>
      </w:pPr>
    </w:p>
    <w:p w:rsidR="007F0E03" w:rsidRPr="007F0E03" w:rsidRDefault="007F0E03" w:rsidP="007F0E03">
      <w:pPr>
        <w:tabs>
          <w:tab w:val="num" w:pos="1080"/>
        </w:tabs>
        <w:ind w:left="-900"/>
        <w:jc w:val="both"/>
        <w:rPr>
          <w:rFonts w:cs="Times New Roman"/>
          <w:b/>
          <w:bCs/>
          <w:sz w:val="20"/>
          <w:szCs w:val="20"/>
        </w:rPr>
      </w:pPr>
      <w:r w:rsidRPr="007F0E03">
        <w:rPr>
          <w:rFonts w:cs="Times New Roman"/>
          <w:b/>
          <w:bCs/>
          <w:sz w:val="20"/>
          <w:szCs w:val="20"/>
        </w:rPr>
        <w:t xml:space="preserve">  Poznámka:</w:t>
      </w:r>
    </w:p>
    <w:p w:rsidR="007F0E03" w:rsidRPr="007F0E03" w:rsidRDefault="007F0E03" w:rsidP="007F0E03">
      <w:pPr>
        <w:tabs>
          <w:tab w:val="num" w:pos="1080"/>
        </w:tabs>
        <w:ind w:left="-900"/>
        <w:jc w:val="both"/>
        <w:rPr>
          <w:rFonts w:cs="Times New Roman"/>
          <w:bCs/>
          <w:sz w:val="20"/>
          <w:szCs w:val="20"/>
        </w:rPr>
      </w:pPr>
      <w:r w:rsidRPr="007F0E03">
        <w:rPr>
          <w:rFonts w:cs="Times New Roman"/>
          <w:bCs/>
          <w:sz w:val="20"/>
          <w:szCs w:val="20"/>
        </w:rPr>
        <w:t xml:space="preserve">  Ak sa vplyv týka viacerých subjektov verejnej správy, vypĺňa sa samostatná tabuľka za každý subjekt.</w:t>
      </w:r>
    </w:p>
    <w:p w:rsidR="007F0E03" w:rsidRPr="001C46AF" w:rsidRDefault="007F0E03" w:rsidP="007F0E03">
      <w:pPr>
        <w:tabs>
          <w:tab w:val="num" w:pos="1080"/>
        </w:tabs>
        <w:ind w:left="-900"/>
        <w:jc w:val="both"/>
        <w:rPr>
          <w:rFonts w:cs="Times New Roman"/>
          <w:bCs/>
          <w:sz w:val="20"/>
          <w:szCs w:val="20"/>
        </w:rPr>
      </w:pP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 xml:space="preserve">* </w:t>
      </w:r>
      <w:r w:rsidRPr="001C46AF">
        <w:rPr>
          <w:rFonts w:cs="Times New Roman"/>
          <w:b/>
          <w:bCs/>
          <w:i/>
        </w:rPr>
        <w:t>630 – Tovary a služby</w:t>
      </w:r>
      <w:r w:rsidRPr="001C46AF">
        <w:rPr>
          <w:rFonts w:cs="Times New Roman"/>
          <w:bCs/>
          <w:sz w:val="20"/>
          <w:szCs w:val="20"/>
        </w:rPr>
        <w:t xml:space="preserve"> </w:t>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t xml:space="preserve">          **</w:t>
      </w:r>
      <w:r w:rsidRPr="001C46AF">
        <w:rPr>
          <w:rFonts w:cs="Times New Roman"/>
          <w:bCs/>
          <w:sz w:val="20"/>
          <w:szCs w:val="20"/>
        </w:rPr>
        <w:tab/>
      </w:r>
      <w:r w:rsidRPr="001C46AF">
        <w:rPr>
          <w:rFonts w:cs="Times New Roman"/>
          <w:b/>
          <w:bCs/>
          <w:i/>
        </w:rPr>
        <w:t>640 – Bežné transfery</w:t>
      </w:r>
      <w:r w:rsidRPr="001C46AF">
        <w:rPr>
          <w:rFonts w:cs="Times New Roman"/>
          <w:bCs/>
          <w:sz w:val="20"/>
          <w:szCs w:val="20"/>
        </w:rPr>
        <w:t xml:space="preserve"> </w:t>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t xml:space="preserve">                                           </w:t>
      </w: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631001 Cestovné náhrady tuzemské</w:t>
      </w:r>
      <w:r w:rsidRPr="001C46AF">
        <w:rPr>
          <w:rFonts w:cs="Times New Roman"/>
          <w:bCs/>
          <w:sz w:val="20"/>
          <w:szCs w:val="20"/>
        </w:rPr>
        <w:tab/>
        <w:t xml:space="preserve">3 800,00 EUR </w:t>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t xml:space="preserve">642014 Jednotlivci     (fin. </w:t>
      </w:r>
      <w:proofErr w:type="spellStart"/>
      <w:r w:rsidRPr="001C46AF">
        <w:rPr>
          <w:rFonts w:cs="Times New Roman"/>
          <w:bCs/>
          <w:sz w:val="20"/>
          <w:szCs w:val="20"/>
        </w:rPr>
        <w:t>prísp</w:t>
      </w:r>
      <w:proofErr w:type="spellEnd"/>
      <w:r w:rsidRPr="001C46AF">
        <w:rPr>
          <w:rFonts w:cs="Times New Roman"/>
          <w:bCs/>
          <w:sz w:val="20"/>
          <w:szCs w:val="20"/>
        </w:rPr>
        <w:t>.) 14 880,00 EUR</w:t>
      </w: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 xml:space="preserve">631002 Cestovné náhrady </w:t>
      </w:r>
      <w:proofErr w:type="spellStart"/>
      <w:r w:rsidRPr="001C46AF">
        <w:rPr>
          <w:rFonts w:cs="Times New Roman"/>
          <w:bCs/>
          <w:sz w:val="20"/>
          <w:szCs w:val="20"/>
        </w:rPr>
        <w:t>zahr</w:t>
      </w:r>
      <w:proofErr w:type="spellEnd"/>
      <w:r w:rsidRPr="001C46AF">
        <w:rPr>
          <w:rFonts w:cs="Times New Roman"/>
          <w:bCs/>
          <w:sz w:val="20"/>
          <w:szCs w:val="20"/>
        </w:rPr>
        <w:t xml:space="preserve">. </w:t>
      </w:r>
      <w:r w:rsidRPr="001C46AF">
        <w:rPr>
          <w:rFonts w:cs="Times New Roman"/>
          <w:bCs/>
          <w:sz w:val="20"/>
          <w:szCs w:val="20"/>
        </w:rPr>
        <w:tab/>
        <w:t>1 000,00 EUR</w:t>
      </w:r>
      <w:r w:rsidRPr="001C46AF">
        <w:rPr>
          <w:rFonts w:cs="Times New Roman"/>
          <w:bCs/>
          <w:sz w:val="20"/>
          <w:szCs w:val="20"/>
        </w:rPr>
        <w:tab/>
      </w:r>
      <w:r w:rsidRPr="001C46AF">
        <w:rPr>
          <w:rFonts w:cs="Times New Roman"/>
          <w:bCs/>
          <w:sz w:val="20"/>
          <w:szCs w:val="20"/>
        </w:rPr>
        <w:tab/>
        <w:t xml:space="preserve">              642015 Na nemocenské dávky </w:t>
      </w:r>
      <w:r w:rsidRPr="001C46AF">
        <w:rPr>
          <w:rFonts w:cs="Times New Roman"/>
          <w:bCs/>
          <w:sz w:val="20"/>
          <w:szCs w:val="20"/>
        </w:rPr>
        <w:tab/>
        <w:t>6 000,00 EUR</w:t>
      </w: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 xml:space="preserve">632001 Energie </w:t>
      </w:r>
      <w:r w:rsidRPr="001C46AF">
        <w:rPr>
          <w:rFonts w:cs="Times New Roman"/>
          <w:bCs/>
          <w:sz w:val="20"/>
          <w:szCs w:val="20"/>
        </w:rPr>
        <w:tab/>
      </w:r>
      <w:r w:rsidRPr="001C46AF">
        <w:rPr>
          <w:rFonts w:cs="Times New Roman"/>
          <w:bCs/>
          <w:sz w:val="20"/>
          <w:szCs w:val="20"/>
        </w:rPr>
        <w:tab/>
        <w:t xml:space="preserve">            13 200,00 EUR </w:t>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t xml:space="preserve">642030 Príplatky a príspevky </w:t>
      </w:r>
      <w:r w:rsidRPr="001C46AF">
        <w:rPr>
          <w:rFonts w:cs="Times New Roman"/>
          <w:bCs/>
          <w:sz w:val="20"/>
          <w:szCs w:val="20"/>
        </w:rPr>
        <w:tab/>
      </w:r>
      <w:r w:rsidRPr="001C46AF">
        <w:rPr>
          <w:rFonts w:cs="Times New Roman"/>
          <w:bCs/>
          <w:sz w:val="20"/>
          <w:szCs w:val="20"/>
          <w:u w:val="single"/>
        </w:rPr>
        <w:t xml:space="preserve">4 000,00 EUR </w:t>
      </w:r>
      <w:r w:rsidRPr="001C46AF">
        <w:rPr>
          <w:rFonts w:cs="Times New Roman"/>
          <w:bCs/>
          <w:sz w:val="20"/>
          <w:szCs w:val="20"/>
          <w:u w:val="single"/>
        </w:rPr>
        <w:tab/>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t xml:space="preserve">               </w:t>
      </w: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 xml:space="preserve">632002 Vodné, stočné </w:t>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t xml:space="preserve">   400,00 EUR </w:t>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r>
      <w:r w:rsidRPr="001C46AF">
        <w:rPr>
          <w:rFonts w:cs="Times New Roman"/>
          <w:bCs/>
          <w:sz w:val="20"/>
          <w:szCs w:val="20"/>
        </w:rPr>
        <w:tab/>
        <w:t xml:space="preserve">                          </w:t>
      </w:r>
      <w:r w:rsidRPr="001C46AF">
        <w:rPr>
          <w:rFonts w:cs="Times New Roman"/>
          <w:b/>
          <w:bCs/>
          <w:sz w:val="20"/>
          <w:szCs w:val="20"/>
        </w:rPr>
        <w:t>24 880,00 EUR</w:t>
      </w: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632004 Komunikačná infraštruktúra</w:t>
      </w:r>
      <w:r w:rsidRPr="001C46AF">
        <w:rPr>
          <w:rFonts w:cs="Times New Roman"/>
          <w:bCs/>
          <w:sz w:val="20"/>
          <w:szCs w:val="20"/>
        </w:rPr>
        <w:tab/>
        <w:t xml:space="preserve"> 1200,00 EUR </w:t>
      </w: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 xml:space="preserve">632005 Telekomunikačné služby </w:t>
      </w:r>
      <w:r w:rsidRPr="001C46AF">
        <w:rPr>
          <w:rFonts w:cs="Times New Roman"/>
          <w:bCs/>
          <w:sz w:val="20"/>
          <w:szCs w:val="20"/>
        </w:rPr>
        <w:tab/>
        <w:t xml:space="preserve"> 1400,00 EUR </w:t>
      </w: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 xml:space="preserve">633001 Interiérové vybavenie </w:t>
      </w:r>
      <w:r w:rsidRPr="001C46AF">
        <w:rPr>
          <w:rFonts w:cs="Times New Roman"/>
          <w:bCs/>
          <w:sz w:val="20"/>
          <w:szCs w:val="20"/>
        </w:rPr>
        <w:tab/>
        <w:t xml:space="preserve">4 000,00 EUR </w:t>
      </w: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 xml:space="preserve">633002 Výpočtová technika </w:t>
      </w:r>
      <w:r w:rsidRPr="001C46AF">
        <w:rPr>
          <w:rFonts w:cs="Times New Roman"/>
          <w:bCs/>
          <w:sz w:val="20"/>
          <w:szCs w:val="20"/>
        </w:rPr>
        <w:tab/>
        <w:t xml:space="preserve">            10 000,00 EUR </w:t>
      </w: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 xml:space="preserve">633006 Všeobecný materiál </w:t>
      </w:r>
      <w:r w:rsidRPr="001C46AF">
        <w:rPr>
          <w:rFonts w:cs="Times New Roman"/>
          <w:bCs/>
          <w:sz w:val="20"/>
          <w:szCs w:val="20"/>
        </w:rPr>
        <w:tab/>
      </w:r>
      <w:r w:rsidRPr="001C46AF">
        <w:rPr>
          <w:rFonts w:cs="Times New Roman"/>
          <w:bCs/>
          <w:sz w:val="20"/>
          <w:szCs w:val="20"/>
        </w:rPr>
        <w:tab/>
        <w:t xml:space="preserve"> 8 365,00 EUR </w:t>
      </w:r>
    </w:p>
    <w:p w:rsidR="007F0E03" w:rsidRPr="001C46AF" w:rsidRDefault="007F0E03" w:rsidP="007F0E03">
      <w:pPr>
        <w:tabs>
          <w:tab w:val="num" w:pos="1080"/>
        </w:tabs>
        <w:ind w:left="-900"/>
        <w:jc w:val="both"/>
        <w:rPr>
          <w:rFonts w:cs="Times New Roman"/>
          <w:bCs/>
          <w:sz w:val="20"/>
          <w:szCs w:val="20"/>
        </w:rPr>
      </w:pPr>
      <w:r w:rsidRPr="001C46AF">
        <w:rPr>
          <w:rFonts w:cs="Times New Roman"/>
          <w:bCs/>
          <w:sz w:val="20"/>
          <w:szCs w:val="20"/>
        </w:rPr>
        <w:t xml:space="preserve">637011 Štúdie, expertízy, posudky   </w:t>
      </w:r>
      <w:r w:rsidRPr="001C46AF">
        <w:rPr>
          <w:rFonts w:cs="Times New Roman"/>
          <w:bCs/>
          <w:sz w:val="20"/>
          <w:szCs w:val="20"/>
          <w:u w:val="single"/>
        </w:rPr>
        <w:t>42 000,00 EUR</w:t>
      </w:r>
    </w:p>
    <w:p w:rsidR="007F0E03" w:rsidRPr="001C46AF" w:rsidRDefault="007F0E03" w:rsidP="007F0E03">
      <w:pPr>
        <w:tabs>
          <w:tab w:val="num" w:pos="1080"/>
        </w:tabs>
        <w:ind w:left="-900"/>
        <w:jc w:val="both"/>
        <w:rPr>
          <w:rFonts w:cs="Times New Roman"/>
          <w:b/>
          <w:bCs/>
          <w:sz w:val="20"/>
          <w:szCs w:val="20"/>
        </w:rPr>
      </w:pPr>
      <w:r w:rsidRPr="001C46AF">
        <w:rPr>
          <w:rFonts w:cs="Times New Roman"/>
          <w:b/>
          <w:bCs/>
          <w:sz w:val="20"/>
          <w:szCs w:val="20"/>
        </w:rPr>
        <w:tab/>
      </w:r>
      <w:r w:rsidRPr="001C46AF">
        <w:rPr>
          <w:rFonts w:cs="Times New Roman"/>
          <w:b/>
          <w:bCs/>
          <w:sz w:val="20"/>
          <w:szCs w:val="20"/>
        </w:rPr>
        <w:tab/>
        <w:t xml:space="preserve">            85 365,00 EUR</w:t>
      </w:r>
    </w:p>
    <w:p w:rsidR="007F0E03" w:rsidRPr="001C46AF" w:rsidRDefault="007F0E03" w:rsidP="007F0E03">
      <w:pPr>
        <w:tabs>
          <w:tab w:val="num" w:pos="1080"/>
        </w:tabs>
        <w:ind w:left="-900"/>
        <w:jc w:val="both"/>
        <w:rPr>
          <w:rFonts w:cs="Times New Roman"/>
          <w:bCs/>
          <w:sz w:val="20"/>
          <w:szCs w:val="20"/>
        </w:rPr>
      </w:pPr>
      <w:r w:rsidRPr="001C46AF">
        <w:rPr>
          <w:rFonts w:cs="Times New Roman"/>
          <w:b/>
          <w:bCs/>
          <w:sz w:val="20"/>
          <w:szCs w:val="20"/>
        </w:rPr>
        <w:br w:type="page"/>
      </w:r>
    </w:p>
    <w:p w:rsidR="007F0E03" w:rsidRPr="007F0E03" w:rsidRDefault="007F0E03" w:rsidP="007F0E03">
      <w:pPr>
        <w:widowControl/>
        <w:tabs>
          <w:tab w:val="num" w:pos="1080"/>
        </w:tabs>
        <w:adjustRightInd/>
        <w:spacing w:after="120"/>
        <w:ind w:left="-902" w:firstLine="193"/>
        <w:jc w:val="both"/>
        <w:rPr>
          <w:rFonts w:cs="Times New Roman"/>
          <w:bCs/>
          <w:sz w:val="20"/>
          <w:szCs w:val="20"/>
        </w:rPr>
      </w:pPr>
      <w:r w:rsidRPr="007F0E03">
        <w:rPr>
          <w:rFonts w:cs="Times New Roman"/>
          <w:bCs/>
          <w:sz w:val="20"/>
          <w:szCs w:val="20"/>
        </w:rPr>
        <w:t xml:space="preserve">Tabuľka č. 5 za subjekt Ministerstvo hospodárstva SR/SOI – </w:t>
      </w:r>
      <w:r w:rsidRPr="007F0E03">
        <w:rPr>
          <w:rFonts w:cs="Times New Roman"/>
          <w:b/>
          <w:bCs/>
          <w:sz w:val="20"/>
          <w:szCs w:val="20"/>
        </w:rPr>
        <w:t>T</w:t>
      </w:r>
      <w:r w:rsidRPr="007F0E03">
        <w:rPr>
          <w:rFonts w:cs="Times New Roman"/>
          <w:b/>
          <w:bCs/>
          <w:iCs/>
          <w:sz w:val="20"/>
          <w:szCs w:val="20"/>
        </w:rPr>
        <w:t xml:space="preserve">abuľka vplyvov na zamestnanosť </w:t>
      </w:r>
      <w:r w:rsidRPr="007F0E03">
        <w:rPr>
          <w:rFonts w:cs="Times New Roman"/>
          <w:bCs/>
          <w:sz w:val="20"/>
          <w:szCs w:val="20"/>
        </w:rPr>
        <w:t>spolu /Nariadenie (EÚ) 2023/1542 a Zákon č. 351/2022 Z. z./</w:t>
      </w:r>
    </w:p>
    <w:tbl>
      <w:tblPr>
        <w:tblW w:w="14813" w:type="dxa"/>
        <w:tblInd w:w="-784" w:type="dxa"/>
        <w:tblCellMar>
          <w:left w:w="70" w:type="dxa"/>
          <w:right w:w="70" w:type="dxa"/>
        </w:tblCellMar>
        <w:tblLook w:val="0000" w:firstRow="0" w:lastRow="0" w:firstColumn="0" w:lastColumn="0" w:noHBand="0" w:noVBand="0"/>
      </w:tblPr>
      <w:tblGrid>
        <w:gridCol w:w="6024"/>
        <w:gridCol w:w="1559"/>
        <w:gridCol w:w="1788"/>
        <w:gridCol w:w="2418"/>
        <w:gridCol w:w="1722"/>
        <w:gridCol w:w="6"/>
        <w:gridCol w:w="1296"/>
      </w:tblGrid>
      <w:tr w:rsidR="007F0E03" w:rsidRPr="007F0E03" w:rsidTr="007F0E03">
        <w:trPr>
          <w:cantSplit/>
          <w:trHeight w:val="255"/>
        </w:trPr>
        <w:tc>
          <w:tcPr>
            <w:tcW w:w="602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F0E03" w:rsidRPr="007F0E03" w:rsidRDefault="007F0E03" w:rsidP="007F0E03">
            <w:pPr>
              <w:widowControl/>
              <w:adjustRightInd/>
              <w:jc w:val="center"/>
              <w:rPr>
                <w:rFonts w:cs="Times New Roman"/>
                <w:b/>
                <w:bCs/>
              </w:rPr>
            </w:pPr>
            <w:r w:rsidRPr="007F0E03">
              <w:rPr>
                <w:rFonts w:cs="Times New Roman"/>
                <w:b/>
                <w:bCs/>
              </w:rPr>
              <w:t>Zamestnanosť</w:t>
            </w:r>
          </w:p>
        </w:tc>
        <w:tc>
          <w:tcPr>
            <w:tcW w:w="7493"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7F0E03" w:rsidRPr="007F0E03" w:rsidRDefault="007F0E03" w:rsidP="007F0E03">
            <w:pPr>
              <w:widowControl/>
              <w:adjustRightInd/>
              <w:jc w:val="center"/>
              <w:rPr>
                <w:rFonts w:cs="Times New Roman"/>
                <w:b/>
                <w:bCs/>
              </w:rPr>
            </w:pPr>
            <w:r w:rsidRPr="007F0E03">
              <w:rPr>
                <w:rFonts w:cs="Times New Roman"/>
                <w:b/>
                <w:bCs/>
              </w:rPr>
              <w:t>Vplyv na rozpočet verejnej správy</w:t>
            </w:r>
          </w:p>
        </w:tc>
        <w:tc>
          <w:tcPr>
            <w:tcW w:w="129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F0E03" w:rsidRPr="007F0E03" w:rsidRDefault="007F0E03" w:rsidP="007F0E03">
            <w:pPr>
              <w:widowControl/>
              <w:adjustRightInd/>
              <w:jc w:val="center"/>
              <w:rPr>
                <w:rFonts w:cs="Times New Roman"/>
                <w:b/>
                <w:bCs/>
              </w:rPr>
            </w:pPr>
            <w:r w:rsidRPr="007F0E03">
              <w:rPr>
                <w:rFonts w:cs="Times New Roman"/>
                <w:b/>
                <w:bCs/>
              </w:rPr>
              <w:t>poznámka</w:t>
            </w:r>
          </w:p>
        </w:tc>
      </w:tr>
      <w:tr w:rsidR="007F0E03" w:rsidRPr="007F0E03" w:rsidTr="007F0E03">
        <w:trPr>
          <w:cantSplit/>
          <w:trHeight w:val="255"/>
        </w:trPr>
        <w:tc>
          <w:tcPr>
            <w:tcW w:w="6024"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F0E03" w:rsidRPr="007F0E03" w:rsidRDefault="007F0E03" w:rsidP="007F0E03">
            <w:pPr>
              <w:widowControl/>
              <w:adjustRightInd/>
              <w:rPr>
                <w:rFonts w:cs="Times New Roman"/>
                <w:b/>
                <w:bCs/>
              </w:rPr>
            </w:pPr>
          </w:p>
        </w:tc>
        <w:tc>
          <w:tcPr>
            <w:tcW w:w="1559" w:type="dxa"/>
            <w:tcBorders>
              <w:top w:val="nil"/>
              <w:left w:val="nil"/>
              <w:bottom w:val="single" w:sz="4" w:space="0" w:color="auto"/>
              <w:right w:val="single" w:sz="4" w:space="0" w:color="auto"/>
            </w:tcBorders>
            <w:shd w:val="clear" w:color="auto" w:fill="BFBFBF" w:themeFill="background1" w:themeFillShade="BF"/>
          </w:tcPr>
          <w:p w:rsidR="007F0E03" w:rsidRPr="007F0E03" w:rsidRDefault="007F0E03" w:rsidP="007F0E03">
            <w:pPr>
              <w:widowControl/>
              <w:adjustRightInd/>
              <w:jc w:val="center"/>
              <w:rPr>
                <w:rFonts w:cs="Times New Roman"/>
                <w:b/>
                <w:bCs/>
              </w:rPr>
            </w:pPr>
            <w:r w:rsidRPr="007F0E03">
              <w:rPr>
                <w:rFonts w:cs="Times New Roman"/>
                <w:b/>
                <w:bCs/>
              </w:rPr>
              <w:t>2025</w:t>
            </w:r>
          </w:p>
        </w:tc>
        <w:tc>
          <w:tcPr>
            <w:tcW w:w="1788" w:type="dxa"/>
            <w:tcBorders>
              <w:top w:val="nil"/>
              <w:left w:val="nil"/>
              <w:bottom w:val="single" w:sz="4" w:space="0" w:color="auto"/>
              <w:right w:val="single" w:sz="4" w:space="0" w:color="auto"/>
            </w:tcBorders>
            <w:shd w:val="clear" w:color="auto" w:fill="BFBFBF" w:themeFill="background1" w:themeFillShade="BF"/>
          </w:tcPr>
          <w:p w:rsidR="007F0E03" w:rsidRPr="007F0E03" w:rsidRDefault="007F0E03" w:rsidP="007F0E03">
            <w:pPr>
              <w:widowControl/>
              <w:adjustRightInd/>
              <w:jc w:val="center"/>
              <w:rPr>
                <w:rFonts w:cs="Times New Roman"/>
                <w:b/>
                <w:bCs/>
              </w:rPr>
            </w:pPr>
            <w:r w:rsidRPr="007F0E03">
              <w:rPr>
                <w:rFonts w:cs="Times New Roman"/>
                <w:b/>
                <w:bCs/>
              </w:rPr>
              <w:t>2026</w:t>
            </w:r>
          </w:p>
        </w:tc>
        <w:tc>
          <w:tcPr>
            <w:tcW w:w="2418" w:type="dxa"/>
            <w:tcBorders>
              <w:top w:val="nil"/>
              <w:left w:val="nil"/>
              <w:bottom w:val="single" w:sz="4" w:space="0" w:color="auto"/>
              <w:right w:val="single" w:sz="4" w:space="0" w:color="auto"/>
            </w:tcBorders>
            <w:shd w:val="clear" w:color="auto" w:fill="BFBFBF" w:themeFill="background1" w:themeFillShade="BF"/>
          </w:tcPr>
          <w:p w:rsidR="007F0E03" w:rsidRPr="007F0E03" w:rsidRDefault="007F0E03" w:rsidP="007F0E03">
            <w:pPr>
              <w:widowControl/>
              <w:adjustRightInd/>
              <w:jc w:val="center"/>
              <w:rPr>
                <w:rFonts w:cs="Times New Roman"/>
                <w:b/>
                <w:bCs/>
              </w:rPr>
            </w:pPr>
            <w:r w:rsidRPr="007F0E03">
              <w:rPr>
                <w:rFonts w:cs="Times New Roman"/>
                <w:b/>
                <w:bCs/>
              </w:rPr>
              <w:t>2027</w:t>
            </w:r>
          </w:p>
        </w:tc>
        <w:tc>
          <w:tcPr>
            <w:tcW w:w="1722" w:type="dxa"/>
            <w:tcBorders>
              <w:top w:val="nil"/>
              <w:left w:val="nil"/>
              <w:bottom w:val="single" w:sz="4" w:space="0" w:color="auto"/>
              <w:right w:val="single" w:sz="4" w:space="0" w:color="auto"/>
            </w:tcBorders>
            <w:shd w:val="clear" w:color="auto" w:fill="BFBFBF" w:themeFill="background1" w:themeFillShade="BF"/>
          </w:tcPr>
          <w:p w:rsidR="007F0E03" w:rsidRPr="007F0E03" w:rsidRDefault="007F0E03" w:rsidP="007F0E03">
            <w:pPr>
              <w:widowControl/>
              <w:adjustRightInd/>
              <w:jc w:val="center"/>
              <w:rPr>
                <w:rFonts w:cs="Times New Roman"/>
                <w:b/>
                <w:bCs/>
              </w:rPr>
            </w:pPr>
            <w:r w:rsidRPr="007F0E03">
              <w:rPr>
                <w:rFonts w:cs="Times New Roman"/>
                <w:b/>
                <w:bCs/>
              </w:rPr>
              <w:t>2028</w:t>
            </w:r>
          </w:p>
        </w:tc>
        <w:tc>
          <w:tcPr>
            <w:tcW w:w="130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F0E03" w:rsidRPr="007F0E03" w:rsidRDefault="007F0E03" w:rsidP="007F0E03">
            <w:pPr>
              <w:widowControl/>
              <w:adjustRightInd/>
              <w:rPr>
                <w:rFonts w:cs="Times New Roman"/>
                <w:b/>
                <w:bCs/>
              </w:rPr>
            </w:pPr>
          </w:p>
        </w:tc>
      </w:tr>
      <w:tr w:rsidR="007F0E03" w:rsidRPr="007F0E03" w:rsidTr="007F0E03">
        <w:trPr>
          <w:trHeight w:val="442"/>
        </w:trPr>
        <w:tc>
          <w:tcPr>
            <w:tcW w:w="6024" w:type="dxa"/>
            <w:tcBorders>
              <w:top w:val="nil"/>
              <w:left w:val="single" w:sz="4" w:space="0" w:color="auto"/>
              <w:bottom w:val="single" w:sz="4" w:space="0" w:color="auto"/>
              <w:right w:val="single" w:sz="4" w:space="0" w:color="auto"/>
            </w:tcBorders>
          </w:tcPr>
          <w:p w:rsidR="007F0E03" w:rsidRPr="007F0E03" w:rsidRDefault="007F0E03" w:rsidP="007F0E03">
            <w:pPr>
              <w:widowControl/>
              <w:adjustRightInd/>
              <w:rPr>
                <w:rFonts w:cs="Times New Roman"/>
                <w:b/>
                <w:bCs/>
              </w:rPr>
            </w:pPr>
            <w:r w:rsidRPr="007F0E03">
              <w:rPr>
                <w:rFonts w:cs="Times New Roman"/>
                <w:b/>
                <w:bCs/>
              </w:rPr>
              <w:t>Počet zamestnancov celkom</w:t>
            </w:r>
          </w:p>
        </w:tc>
        <w:tc>
          <w:tcPr>
            <w:tcW w:w="1559"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0</w:t>
            </w:r>
          </w:p>
        </w:tc>
        <w:tc>
          <w:tcPr>
            <w:tcW w:w="1788"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+12</w:t>
            </w:r>
          </w:p>
        </w:tc>
        <w:tc>
          <w:tcPr>
            <w:tcW w:w="2418"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+12</w:t>
            </w:r>
          </w:p>
        </w:tc>
        <w:tc>
          <w:tcPr>
            <w:tcW w:w="1722"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+12</w:t>
            </w:r>
          </w:p>
        </w:tc>
        <w:tc>
          <w:tcPr>
            <w:tcW w:w="1302" w:type="dxa"/>
            <w:gridSpan w:val="2"/>
            <w:tcBorders>
              <w:top w:val="nil"/>
              <w:left w:val="nil"/>
              <w:bottom w:val="single" w:sz="4" w:space="0" w:color="auto"/>
              <w:right w:val="single" w:sz="4" w:space="0" w:color="auto"/>
            </w:tcBorders>
            <w:noWrap/>
            <w:vAlign w:val="bottom"/>
          </w:tcPr>
          <w:p w:rsidR="007F0E03" w:rsidRPr="007F0E03" w:rsidRDefault="007F0E03" w:rsidP="007F0E03">
            <w:pPr>
              <w:widowControl/>
              <w:adjustRightInd/>
              <w:rPr>
                <w:rFonts w:cs="Times New Roman"/>
              </w:rPr>
            </w:pPr>
            <w:r w:rsidRPr="007F0E03">
              <w:rPr>
                <w:rFonts w:cs="Times New Roman"/>
              </w:rPr>
              <w:t> </w:t>
            </w:r>
          </w:p>
        </w:tc>
      </w:tr>
      <w:tr w:rsidR="007F0E03" w:rsidRPr="007F0E03" w:rsidTr="007F0E03">
        <w:trPr>
          <w:trHeight w:val="419"/>
        </w:trPr>
        <w:tc>
          <w:tcPr>
            <w:tcW w:w="6024" w:type="dxa"/>
            <w:tcBorders>
              <w:top w:val="nil"/>
              <w:left w:val="single" w:sz="4" w:space="0" w:color="auto"/>
              <w:bottom w:val="single" w:sz="4" w:space="0" w:color="auto"/>
              <w:right w:val="single" w:sz="4" w:space="0" w:color="auto"/>
            </w:tcBorders>
          </w:tcPr>
          <w:p w:rsidR="007F0E03" w:rsidRPr="007F0E03" w:rsidRDefault="007F0E03" w:rsidP="007F0E03">
            <w:pPr>
              <w:widowControl/>
              <w:adjustRightInd/>
              <w:rPr>
                <w:rFonts w:cs="Times New Roman"/>
                <w:b/>
                <w:bCs/>
              </w:rPr>
            </w:pPr>
            <w:r w:rsidRPr="007F0E03">
              <w:rPr>
                <w:rFonts w:cs="Times New Roman"/>
                <w:b/>
                <w:bCs/>
              </w:rPr>
              <w:t xml:space="preserve">   z toho vplyv na ŠR</w:t>
            </w:r>
          </w:p>
        </w:tc>
        <w:tc>
          <w:tcPr>
            <w:tcW w:w="1559" w:type="dxa"/>
            <w:tcBorders>
              <w:top w:val="single" w:sz="4" w:space="0" w:color="auto"/>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0</w:t>
            </w:r>
          </w:p>
        </w:tc>
        <w:tc>
          <w:tcPr>
            <w:tcW w:w="1788" w:type="dxa"/>
            <w:tcBorders>
              <w:top w:val="single" w:sz="4" w:space="0" w:color="auto"/>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+12</w:t>
            </w:r>
          </w:p>
        </w:tc>
        <w:tc>
          <w:tcPr>
            <w:tcW w:w="2418" w:type="dxa"/>
            <w:tcBorders>
              <w:top w:val="single" w:sz="4" w:space="0" w:color="auto"/>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+12</w:t>
            </w:r>
          </w:p>
        </w:tc>
        <w:tc>
          <w:tcPr>
            <w:tcW w:w="1722" w:type="dxa"/>
            <w:tcBorders>
              <w:top w:val="single" w:sz="4" w:space="0" w:color="auto"/>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+12</w:t>
            </w:r>
          </w:p>
        </w:tc>
        <w:tc>
          <w:tcPr>
            <w:tcW w:w="1302" w:type="dxa"/>
            <w:gridSpan w:val="2"/>
            <w:tcBorders>
              <w:top w:val="nil"/>
              <w:left w:val="nil"/>
              <w:bottom w:val="single" w:sz="4" w:space="0" w:color="auto"/>
              <w:right w:val="single" w:sz="4" w:space="0" w:color="auto"/>
            </w:tcBorders>
            <w:noWrap/>
            <w:vAlign w:val="bottom"/>
          </w:tcPr>
          <w:p w:rsidR="007F0E03" w:rsidRPr="007F0E03" w:rsidRDefault="007F0E03" w:rsidP="007F0E03">
            <w:pPr>
              <w:widowControl/>
              <w:adjustRightInd/>
              <w:rPr>
                <w:rFonts w:cs="Times New Roman"/>
              </w:rPr>
            </w:pPr>
          </w:p>
        </w:tc>
      </w:tr>
      <w:tr w:rsidR="007F0E03" w:rsidRPr="007F0E03" w:rsidTr="007F0E03">
        <w:trPr>
          <w:trHeight w:val="255"/>
        </w:trPr>
        <w:tc>
          <w:tcPr>
            <w:tcW w:w="6024" w:type="dxa"/>
            <w:tcBorders>
              <w:top w:val="nil"/>
              <w:left w:val="single" w:sz="4" w:space="0" w:color="auto"/>
              <w:bottom w:val="single" w:sz="4" w:space="0" w:color="auto"/>
              <w:right w:val="single" w:sz="4" w:space="0" w:color="auto"/>
            </w:tcBorders>
          </w:tcPr>
          <w:p w:rsidR="007F0E03" w:rsidRPr="007F0E03" w:rsidRDefault="007F0E03" w:rsidP="007F0E03">
            <w:pPr>
              <w:widowControl/>
              <w:adjustRightInd/>
              <w:rPr>
                <w:rFonts w:cs="Times New Roman"/>
                <w:b/>
                <w:bCs/>
              </w:rPr>
            </w:pPr>
            <w:r w:rsidRPr="007F0E03">
              <w:rPr>
                <w:rFonts w:cs="Times New Roman"/>
                <w:b/>
                <w:bCs/>
              </w:rPr>
              <w:t>Priemerný mzdový výdavok (v eurách)</w:t>
            </w:r>
          </w:p>
        </w:tc>
        <w:tc>
          <w:tcPr>
            <w:tcW w:w="1559" w:type="dxa"/>
            <w:tcBorders>
              <w:top w:val="single" w:sz="4" w:space="0" w:color="auto"/>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0</w:t>
            </w:r>
          </w:p>
        </w:tc>
        <w:tc>
          <w:tcPr>
            <w:tcW w:w="1788" w:type="dxa"/>
            <w:tcBorders>
              <w:top w:val="single" w:sz="4" w:space="0" w:color="auto"/>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+1 814</w:t>
            </w:r>
          </w:p>
        </w:tc>
        <w:tc>
          <w:tcPr>
            <w:tcW w:w="2418" w:type="dxa"/>
            <w:tcBorders>
              <w:top w:val="single" w:sz="4" w:space="0" w:color="auto"/>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+1 814</w:t>
            </w:r>
          </w:p>
        </w:tc>
        <w:tc>
          <w:tcPr>
            <w:tcW w:w="1722" w:type="dxa"/>
            <w:tcBorders>
              <w:top w:val="single" w:sz="4" w:space="0" w:color="auto"/>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+1 814</w:t>
            </w:r>
          </w:p>
        </w:tc>
        <w:tc>
          <w:tcPr>
            <w:tcW w:w="1302" w:type="dxa"/>
            <w:gridSpan w:val="2"/>
            <w:tcBorders>
              <w:top w:val="nil"/>
              <w:left w:val="nil"/>
              <w:bottom w:val="single" w:sz="4" w:space="0" w:color="auto"/>
              <w:right w:val="single" w:sz="4" w:space="0" w:color="auto"/>
            </w:tcBorders>
            <w:noWrap/>
            <w:vAlign w:val="bottom"/>
          </w:tcPr>
          <w:p w:rsidR="007F0E03" w:rsidRPr="007F0E03" w:rsidRDefault="007F0E03" w:rsidP="007F0E03">
            <w:pPr>
              <w:widowControl/>
              <w:adjustRightInd/>
              <w:rPr>
                <w:rFonts w:cs="Times New Roman"/>
              </w:rPr>
            </w:pPr>
            <w:r w:rsidRPr="007F0E03">
              <w:rPr>
                <w:rFonts w:cs="Times New Roman"/>
              </w:rPr>
              <w:t> </w:t>
            </w:r>
          </w:p>
        </w:tc>
      </w:tr>
      <w:tr w:rsidR="007F0E03" w:rsidRPr="007F0E03" w:rsidTr="007F0E03">
        <w:trPr>
          <w:trHeight w:val="255"/>
        </w:trPr>
        <w:tc>
          <w:tcPr>
            <w:tcW w:w="6024" w:type="dxa"/>
            <w:tcBorders>
              <w:top w:val="nil"/>
              <w:left w:val="single" w:sz="4" w:space="0" w:color="auto"/>
              <w:bottom w:val="single" w:sz="4" w:space="0" w:color="auto"/>
              <w:right w:val="single" w:sz="4" w:space="0" w:color="auto"/>
            </w:tcBorders>
          </w:tcPr>
          <w:p w:rsidR="007F0E03" w:rsidRPr="007F0E03" w:rsidRDefault="007F0E03" w:rsidP="007F0E03">
            <w:pPr>
              <w:widowControl/>
              <w:adjustRightInd/>
              <w:rPr>
                <w:rFonts w:cs="Times New Roman"/>
              </w:rPr>
            </w:pPr>
            <w:r w:rsidRPr="007F0E03">
              <w:rPr>
                <w:rFonts w:cs="Times New Roman"/>
                <w:b/>
                <w:bCs/>
              </w:rPr>
              <w:t xml:space="preserve">   z toho vplyv na ŠR</w:t>
            </w:r>
          </w:p>
        </w:tc>
        <w:tc>
          <w:tcPr>
            <w:tcW w:w="1559" w:type="dxa"/>
            <w:tcBorders>
              <w:top w:val="single" w:sz="4" w:space="0" w:color="auto"/>
              <w:left w:val="nil"/>
              <w:bottom w:val="single" w:sz="4" w:space="0" w:color="auto"/>
              <w:right w:val="single" w:sz="4" w:space="0" w:color="auto"/>
            </w:tcBorders>
          </w:tcPr>
          <w:p w:rsidR="007F0E03" w:rsidRPr="007F0E03" w:rsidRDefault="007F0E03" w:rsidP="007F0E03">
            <w:pPr>
              <w:widowControl/>
              <w:adjustRightInd/>
              <w:jc w:val="center"/>
              <w:rPr>
                <w:rFonts w:cs="Times New Roman"/>
                <w:b/>
              </w:rPr>
            </w:pPr>
            <w:r w:rsidRPr="007F0E03">
              <w:rPr>
                <w:rFonts w:cs="Times New Roman"/>
                <w:b/>
              </w:rPr>
              <w:t>0</w:t>
            </w:r>
          </w:p>
        </w:tc>
        <w:tc>
          <w:tcPr>
            <w:tcW w:w="1788" w:type="dxa"/>
            <w:tcBorders>
              <w:top w:val="single" w:sz="4" w:space="0" w:color="auto"/>
              <w:left w:val="nil"/>
              <w:bottom w:val="single" w:sz="4" w:space="0" w:color="auto"/>
              <w:right w:val="single" w:sz="4" w:space="0" w:color="auto"/>
            </w:tcBorders>
          </w:tcPr>
          <w:p w:rsidR="007F0E03" w:rsidRPr="007F0E03" w:rsidRDefault="007F0E03" w:rsidP="007F0E03">
            <w:pPr>
              <w:widowControl/>
              <w:adjustRightInd/>
              <w:jc w:val="center"/>
              <w:rPr>
                <w:rFonts w:cs="Times New Roman"/>
                <w:b/>
              </w:rPr>
            </w:pPr>
            <w:r w:rsidRPr="007F0E03">
              <w:rPr>
                <w:rFonts w:cs="Times New Roman"/>
                <w:b/>
                <w:bCs/>
              </w:rPr>
              <w:t>+1 814</w:t>
            </w:r>
          </w:p>
        </w:tc>
        <w:tc>
          <w:tcPr>
            <w:tcW w:w="2418" w:type="dxa"/>
            <w:tcBorders>
              <w:top w:val="single" w:sz="4" w:space="0" w:color="auto"/>
              <w:left w:val="nil"/>
              <w:bottom w:val="single" w:sz="4" w:space="0" w:color="auto"/>
              <w:right w:val="single" w:sz="4" w:space="0" w:color="auto"/>
            </w:tcBorders>
          </w:tcPr>
          <w:p w:rsidR="007F0E03" w:rsidRPr="007F0E03" w:rsidRDefault="007F0E03" w:rsidP="007F0E03">
            <w:pPr>
              <w:widowControl/>
              <w:adjustRightInd/>
              <w:jc w:val="center"/>
              <w:rPr>
                <w:rFonts w:cs="Times New Roman"/>
                <w:b/>
              </w:rPr>
            </w:pPr>
            <w:r w:rsidRPr="007F0E03">
              <w:rPr>
                <w:rFonts w:cs="Times New Roman"/>
                <w:b/>
                <w:bCs/>
              </w:rPr>
              <w:t>+1 814</w:t>
            </w:r>
          </w:p>
        </w:tc>
        <w:tc>
          <w:tcPr>
            <w:tcW w:w="1722" w:type="dxa"/>
            <w:tcBorders>
              <w:top w:val="single" w:sz="4" w:space="0" w:color="auto"/>
              <w:left w:val="nil"/>
              <w:bottom w:val="single" w:sz="4" w:space="0" w:color="auto"/>
              <w:right w:val="single" w:sz="4" w:space="0" w:color="auto"/>
            </w:tcBorders>
          </w:tcPr>
          <w:p w:rsidR="007F0E03" w:rsidRPr="007F0E03" w:rsidRDefault="007F0E03" w:rsidP="007F0E03">
            <w:pPr>
              <w:widowControl/>
              <w:adjustRightInd/>
              <w:jc w:val="center"/>
              <w:rPr>
                <w:rFonts w:cs="Times New Roman"/>
                <w:b/>
              </w:rPr>
            </w:pPr>
            <w:r w:rsidRPr="007F0E03">
              <w:rPr>
                <w:rFonts w:cs="Times New Roman"/>
                <w:b/>
                <w:bCs/>
              </w:rPr>
              <w:t>+1 814</w:t>
            </w:r>
          </w:p>
        </w:tc>
        <w:tc>
          <w:tcPr>
            <w:tcW w:w="1302" w:type="dxa"/>
            <w:gridSpan w:val="2"/>
            <w:tcBorders>
              <w:top w:val="nil"/>
              <w:left w:val="nil"/>
              <w:bottom w:val="single" w:sz="4" w:space="0" w:color="auto"/>
              <w:right w:val="single" w:sz="4" w:space="0" w:color="auto"/>
            </w:tcBorders>
            <w:noWrap/>
            <w:vAlign w:val="bottom"/>
          </w:tcPr>
          <w:p w:rsidR="007F0E03" w:rsidRPr="007F0E03" w:rsidRDefault="007F0E03" w:rsidP="007F0E03">
            <w:pPr>
              <w:widowControl/>
              <w:adjustRightInd/>
              <w:rPr>
                <w:rFonts w:cs="Times New Roman"/>
              </w:rPr>
            </w:pPr>
            <w:r w:rsidRPr="007F0E03">
              <w:rPr>
                <w:rFonts w:cs="Times New Roman"/>
              </w:rPr>
              <w:t> </w:t>
            </w:r>
          </w:p>
        </w:tc>
      </w:tr>
      <w:tr w:rsidR="007F0E03" w:rsidRPr="007F0E03" w:rsidTr="007F0E03">
        <w:trPr>
          <w:trHeight w:val="255"/>
        </w:trPr>
        <w:tc>
          <w:tcPr>
            <w:tcW w:w="6024" w:type="dxa"/>
            <w:tcBorders>
              <w:top w:val="nil"/>
              <w:left w:val="single" w:sz="4" w:space="0" w:color="auto"/>
              <w:bottom w:val="single" w:sz="4" w:space="0" w:color="auto"/>
              <w:right w:val="single" w:sz="4" w:space="0" w:color="auto"/>
            </w:tcBorders>
            <w:shd w:val="clear" w:color="auto" w:fill="BFBFBF" w:themeFill="background1" w:themeFillShade="BF"/>
          </w:tcPr>
          <w:p w:rsidR="007F0E03" w:rsidRPr="007F0E03" w:rsidRDefault="007F0E03" w:rsidP="007F0E03">
            <w:pPr>
              <w:widowControl/>
              <w:adjustRightInd/>
              <w:rPr>
                <w:rFonts w:cs="Times New Roman"/>
                <w:b/>
                <w:bCs/>
              </w:rPr>
            </w:pPr>
            <w:r w:rsidRPr="007F0E03">
              <w:rPr>
                <w:rFonts w:cs="Times New Roman"/>
                <w:b/>
                <w:bCs/>
              </w:rPr>
              <w:t>Osobné výdavky celkom (v eurách)</w:t>
            </w:r>
          </w:p>
        </w:tc>
        <w:tc>
          <w:tcPr>
            <w:tcW w:w="1559" w:type="dxa"/>
            <w:tcBorders>
              <w:top w:val="nil"/>
              <w:left w:val="nil"/>
              <w:bottom w:val="single" w:sz="4" w:space="0" w:color="auto"/>
              <w:right w:val="single" w:sz="4" w:space="0" w:color="auto"/>
            </w:tcBorders>
            <w:shd w:val="clear" w:color="auto" w:fill="BFBFBF" w:themeFill="background1" w:themeFillShade="BF"/>
          </w:tcPr>
          <w:p w:rsidR="007F0E03" w:rsidRPr="007F0E03" w:rsidRDefault="007F0E03" w:rsidP="007F0E03">
            <w:pPr>
              <w:widowControl/>
              <w:adjustRightInd/>
              <w:jc w:val="center"/>
              <w:rPr>
                <w:rFonts w:cs="Times New Roman"/>
                <w:b/>
                <w:bCs/>
              </w:rPr>
            </w:pPr>
            <w:r w:rsidRPr="007F0E03">
              <w:rPr>
                <w:rFonts w:cs="Times New Roman"/>
                <w:b/>
                <w:bCs/>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7F0E03" w:rsidRPr="007F0E03" w:rsidRDefault="007F0E03" w:rsidP="007F0E03">
            <w:pPr>
              <w:widowControl/>
              <w:adjustRightInd/>
              <w:jc w:val="center"/>
              <w:rPr>
                <w:rFonts w:cs="Times New Roman"/>
                <w:b/>
                <w:bCs/>
              </w:rPr>
            </w:pPr>
            <w:r w:rsidRPr="007F0E03">
              <w:rPr>
                <w:rFonts w:cs="Times New Roman"/>
                <w:b/>
                <w:bCs/>
              </w:rPr>
              <w:t>+355 123</w:t>
            </w:r>
          </w:p>
        </w:tc>
        <w:tc>
          <w:tcPr>
            <w:tcW w:w="2418" w:type="dxa"/>
            <w:tcBorders>
              <w:top w:val="nil"/>
              <w:left w:val="nil"/>
              <w:bottom w:val="single" w:sz="4" w:space="0" w:color="auto"/>
              <w:right w:val="single" w:sz="4" w:space="0" w:color="auto"/>
            </w:tcBorders>
            <w:shd w:val="clear" w:color="auto" w:fill="BFBFBF" w:themeFill="background1" w:themeFillShade="BF"/>
          </w:tcPr>
          <w:p w:rsidR="007F0E03" w:rsidRPr="007F0E03" w:rsidRDefault="007F0E03" w:rsidP="007F0E03">
            <w:pPr>
              <w:widowControl/>
              <w:adjustRightInd/>
              <w:jc w:val="center"/>
              <w:rPr>
                <w:rFonts w:cs="Times New Roman"/>
                <w:b/>
                <w:bCs/>
              </w:rPr>
            </w:pPr>
            <w:r w:rsidRPr="007F0E03">
              <w:rPr>
                <w:rFonts w:cs="Times New Roman"/>
                <w:b/>
                <w:bCs/>
              </w:rPr>
              <w:t>+355 123</w:t>
            </w:r>
          </w:p>
        </w:tc>
        <w:tc>
          <w:tcPr>
            <w:tcW w:w="1722" w:type="dxa"/>
            <w:tcBorders>
              <w:top w:val="nil"/>
              <w:left w:val="nil"/>
              <w:bottom w:val="single" w:sz="4" w:space="0" w:color="auto"/>
              <w:right w:val="single" w:sz="4" w:space="0" w:color="auto"/>
            </w:tcBorders>
            <w:shd w:val="clear" w:color="auto" w:fill="BFBFBF" w:themeFill="background1" w:themeFillShade="BF"/>
          </w:tcPr>
          <w:p w:rsidR="007F0E03" w:rsidRPr="007F0E03" w:rsidRDefault="007F0E03" w:rsidP="007F0E03">
            <w:pPr>
              <w:widowControl/>
              <w:adjustRightInd/>
              <w:jc w:val="center"/>
              <w:rPr>
                <w:rFonts w:cs="Times New Roman"/>
                <w:b/>
                <w:bCs/>
              </w:rPr>
            </w:pPr>
            <w:r w:rsidRPr="007F0E03">
              <w:rPr>
                <w:rFonts w:cs="Times New Roman"/>
                <w:b/>
                <w:bCs/>
              </w:rPr>
              <w:t>+355 123</w:t>
            </w:r>
          </w:p>
        </w:tc>
        <w:tc>
          <w:tcPr>
            <w:tcW w:w="1302"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7F0E03" w:rsidRPr="007F0E03" w:rsidRDefault="007F0E03" w:rsidP="007F0E03">
            <w:pPr>
              <w:widowControl/>
              <w:adjustRightInd/>
              <w:rPr>
                <w:rFonts w:cs="Times New Roman"/>
                <w:b/>
                <w:bCs/>
              </w:rPr>
            </w:pPr>
            <w:r w:rsidRPr="007F0E03">
              <w:rPr>
                <w:rFonts w:cs="Times New Roman"/>
                <w:b/>
                <w:bCs/>
              </w:rPr>
              <w:t> </w:t>
            </w:r>
          </w:p>
        </w:tc>
      </w:tr>
      <w:tr w:rsidR="007F0E03" w:rsidRPr="007F0E03" w:rsidTr="007F0E03">
        <w:trPr>
          <w:trHeight w:val="255"/>
        </w:trPr>
        <w:tc>
          <w:tcPr>
            <w:tcW w:w="6024" w:type="dxa"/>
            <w:tcBorders>
              <w:top w:val="nil"/>
              <w:left w:val="single" w:sz="4" w:space="0" w:color="auto"/>
              <w:bottom w:val="single" w:sz="4" w:space="0" w:color="auto"/>
              <w:right w:val="single" w:sz="4" w:space="0" w:color="auto"/>
            </w:tcBorders>
          </w:tcPr>
          <w:p w:rsidR="007F0E03" w:rsidRPr="007F0E03" w:rsidRDefault="007F0E03" w:rsidP="007F0E03">
            <w:pPr>
              <w:widowControl/>
              <w:adjustRightInd/>
              <w:rPr>
                <w:rFonts w:cs="Times New Roman"/>
                <w:b/>
                <w:bCs/>
              </w:rPr>
            </w:pPr>
            <w:r w:rsidRPr="007F0E03">
              <w:rPr>
                <w:rFonts w:cs="Times New Roman"/>
                <w:b/>
                <w:bCs/>
              </w:rPr>
              <w:t>Mzdy, platy, služobné príjmy a ostatné osobné vyrovnania (610)</w:t>
            </w:r>
          </w:p>
        </w:tc>
        <w:tc>
          <w:tcPr>
            <w:tcW w:w="1559"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0</w:t>
            </w:r>
          </w:p>
        </w:tc>
        <w:tc>
          <w:tcPr>
            <w:tcW w:w="1788" w:type="dxa"/>
            <w:tcBorders>
              <w:top w:val="nil"/>
              <w:left w:val="nil"/>
              <w:bottom w:val="single" w:sz="4" w:space="0" w:color="auto"/>
              <w:right w:val="single" w:sz="4" w:space="0" w:color="auto"/>
            </w:tcBorders>
            <w:vAlign w:val="center"/>
          </w:tcPr>
          <w:p w:rsidR="007F0E03" w:rsidRPr="007F0E03" w:rsidRDefault="007F0E03" w:rsidP="007F0E03">
            <w:pPr>
              <w:widowControl/>
              <w:adjustRightInd/>
              <w:jc w:val="center"/>
              <w:rPr>
                <w:rFonts w:cs="Times New Roman"/>
                <w:b/>
                <w:bCs/>
              </w:rPr>
            </w:pPr>
            <w:r w:rsidRPr="007F0E03">
              <w:rPr>
                <w:rFonts w:cs="Times New Roman"/>
                <w:b/>
                <w:bCs/>
              </w:rPr>
              <w:t>+261 216</w:t>
            </w:r>
          </w:p>
        </w:tc>
        <w:tc>
          <w:tcPr>
            <w:tcW w:w="2418" w:type="dxa"/>
            <w:tcBorders>
              <w:top w:val="nil"/>
              <w:left w:val="nil"/>
              <w:bottom w:val="single" w:sz="4" w:space="0" w:color="auto"/>
              <w:right w:val="single" w:sz="4" w:space="0" w:color="auto"/>
            </w:tcBorders>
            <w:vAlign w:val="center"/>
          </w:tcPr>
          <w:p w:rsidR="007F0E03" w:rsidRPr="007F0E03" w:rsidRDefault="007F0E03" w:rsidP="007F0E03">
            <w:pPr>
              <w:widowControl/>
              <w:adjustRightInd/>
              <w:jc w:val="center"/>
              <w:rPr>
                <w:rFonts w:cs="Times New Roman"/>
                <w:b/>
                <w:bCs/>
              </w:rPr>
            </w:pPr>
            <w:r w:rsidRPr="007F0E03">
              <w:rPr>
                <w:rFonts w:cs="Times New Roman"/>
                <w:b/>
                <w:bCs/>
              </w:rPr>
              <w:t>+261 216</w:t>
            </w:r>
          </w:p>
        </w:tc>
        <w:tc>
          <w:tcPr>
            <w:tcW w:w="1722" w:type="dxa"/>
            <w:tcBorders>
              <w:top w:val="nil"/>
              <w:left w:val="nil"/>
              <w:bottom w:val="single" w:sz="4" w:space="0" w:color="auto"/>
              <w:right w:val="single" w:sz="4" w:space="0" w:color="auto"/>
            </w:tcBorders>
            <w:vAlign w:val="center"/>
          </w:tcPr>
          <w:p w:rsidR="007F0E03" w:rsidRPr="007F0E03" w:rsidRDefault="007F0E03" w:rsidP="007F0E03">
            <w:pPr>
              <w:widowControl/>
              <w:adjustRightInd/>
              <w:jc w:val="center"/>
              <w:rPr>
                <w:rFonts w:cs="Times New Roman"/>
                <w:b/>
                <w:bCs/>
              </w:rPr>
            </w:pPr>
            <w:r w:rsidRPr="007F0E03">
              <w:rPr>
                <w:rFonts w:cs="Times New Roman"/>
                <w:b/>
                <w:bCs/>
              </w:rPr>
              <w:t>+261 216</w:t>
            </w:r>
          </w:p>
        </w:tc>
        <w:tc>
          <w:tcPr>
            <w:tcW w:w="1302" w:type="dxa"/>
            <w:gridSpan w:val="2"/>
            <w:tcBorders>
              <w:top w:val="nil"/>
              <w:left w:val="nil"/>
              <w:bottom w:val="single" w:sz="4" w:space="0" w:color="auto"/>
              <w:right w:val="single" w:sz="4" w:space="0" w:color="auto"/>
            </w:tcBorders>
            <w:noWrap/>
            <w:vAlign w:val="bottom"/>
          </w:tcPr>
          <w:p w:rsidR="007F0E03" w:rsidRPr="007F0E03" w:rsidRDefault="007F0E03" w:rsidP="007F0E03">
            <w:pPr>
              <w:widowControl/>
              <w:adjustRightInd/>
              <w:rPr>
                <w:rFonts w:cs="Times New Roman"/>
                <w:b/>
                <w:bCs/>
              </w:rPr>
            </w:pPr>
            <w:r w:rsidRPr="007F0E03">
              <w:rPr>
                <w:rFonts w:cs="Times New Roman"/>
                <w:b/>
                <w:bCs/>
              </w:rPr>
              <w:t> </w:t>
            </w:r>
          </w:p>
        </w:tc>
      </w:tr>
      <w:tr w:rsidR="007F0E03" w:rsidRPr="007F0E03" w:rsidTr="007F0E03">
        <w:trPr>
          <w:trHeight w:val="255"/>
        </w:trPr>
        <w:tc>
          <w:tcPr>
            <w:tcW w:w="6024" w:type="dxa"/>
            <w:tcBorders>
              <w:top w:val="nil"/>
              <w:left w:val="single" w:sz="4" w:space="0" w:color="auto"/>
              <w:bottom w:val="single" w:sz="4" w:space="0" w:color="auto"/>
              <w:right w:val="single" w:sz="4" w:space="0" w:color="auto"/>
            </w:tcBorders>
          </w:tcPr>
          <w:p w:rsidR="007F0E03" w:rsidRPr="007F0E03" w:rsidRDefault="007F0E03" w:rsidP="007F0E03">
            <w:pPr>
              <w:widowControl/>
              <w:adjustRightInd/>
              <w:rPr>
                <w:rFonts w:cs="Times New Roman"/>
              </w:rPr>
            </w:pPr>
            <w:r w:rsidRPr="007F0E03">
              <w:rPr>
                <w:rFonts w:cs="Times New Roman"/>
                <w:b/>
                <w:bCs/>
              </w:rPr>
              <w:t xml:space="preserve">   z toho vplyv na ŠR</w:t>
            </w:r>
          </w:p>
        </w:tc>
        <w:tc>
          <w:tcPr>
            <w:tcW w:w="1559"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rPr>
            </w:pPr>
            <w:r w:rsidRPr="007F0E03">
              <w:rPr>
                <w:rFonts w:cs="Times New Roman"/>
                <w:b/>
              </w:rPr>
              <w:t>0</w:t>
            </w:r>
          </w:p>
        </w:tc>
        <w:tc>
          <w:tcPr>
            <w:tcW w:w="1788"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+261 216</w:t>
            </w:r>
          </w:p>
        </w:tc>
        <w:tc>
          <w:tcPr>
            <w:tcW w:w="2418"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+261 216</w:t>
            </w:r>
          </w:p>
        </w:tc>
        <w:tc>
          <w:tcPr>
            <w:tcW w:w="1722"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+261 216</w:t>
            </w:r>
          </w:p>
        </w:tc>
        <w:tc>
          <w:tcPr>
            <w:tcW w:w="1302" w:type="dxa"/>
            <w:gridSpan w:val="2"/>
            <w:tcBorders>
              <w:top w:val="nil"/>
              <w:left w:val="nil"/>
              <w:bottom w:val="single" w:sz="4" w:space="0" w:color="auto"/>
              <w:right w:val="single" w:sz="4" w:space="0" w:color="auto"/>
            </w:tcBorders>
            <w:noWrap/>
            <w:vAlign w:val="bottom"/>
          </w:tcPr>
          <w:p w:rsidR="007F0E03" w:rsidRPr="007F0E03" w:rsidRDefault="007F0E03" w:rsidP="007F0E03">
            <w:pPr>
              <w:widowControl/>
              <w:adjustRightInd/>
              <w:rPr>
                <w:rFonts w:cs="Times New Roman"/>
              </w:rPr>
            </w:pPr>
            <w:r w:rsidRPr="007F0E03">
              <w:rPr>
                <w:rFonts w:cs="Times New Roman"/>
              </w:rPr>
              <w:t> </w:t>
            </w:r>
          </w:p>
        </w:tc>
      </w:tr>
      <w:tr w:rsidR="007F0E03" w:rsidRPr="007F0E03" w:rsidTr="007F0E03">
        <w:trPr>
          <w:trHeight w:val="255"/>
        </w:trPr>
        <w:tc>
          <w:tcPr>
            <w:tcW w:w="6024" w:type="dxa"/>
            <w:tcBorders>
              <w:top w:val="nil"/>
              <w:left w:val="single" w:sz="4" w:space="0" w:color="auto"/>
              <w:bottom w:val="single" w:sz="4" w:space="0" w:color="auto"/>
              <w:right w:val="single" w:sz="4" w:space="0" w:color="auto"/>
            </w:tcBorders>
          </w:tcPr>
          <w:p w:rsidR="007F0E03" w:rsidRPr="007F0E03" w:rsidRDefault="007F0E03" w:rsidP="007F0E03">
            <w:pPr>
              <w:widowControl/>
              <w:adjustRightInd/>
              <w:rPr>
                <w:rFonts w:cs="Times New Roman"/>
                <w:b/>
                <w:bCs/>
              </w:rPr>
            </w:pPr>
            <w:r w:rsidRPr="007F0E03">
              <w:rPr>
                <w:rFonts w:cs="Times New Roman"/>
                <w:b/>
                <w:bCs/>
              </w:rPr>
              <w:t>Poistné a príspevok do poisťovní (620)</w:t>
            </w:r>
          </w:p>
        </w:tc>
        <w:tc>
          <w:tcPr>
            <w:tcW w:w="1559"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0</w:t>
            </w:r>
          </w:p>
        </w:tc>
        <w:tc>
          <w:tcPr>
            <w:tcW w:w="1788"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+93 907</w:t>
            </w:r>
          </w:p>
        </w:tc>
        <w:tc>
          <w:tcPr>
            <w:tcW w:w="2418"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+93 907</w:t>
            </w:r>
          </w:p>
        </w:tc>
        <w:tc>
          <w:tcPr>
            <w:tcW w:w="1722"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+93 907</w:t>
            </w:r>
          </w:p>
        </w:tc>
        <w:tc>
          <w:tcPr>
            <w:tcW w:w="1302" w:type="dxa"/>
            <w:gridSpan w:val="2"/>
            <w:tcBorders>
              <w:top w:val="nil"/>
              <w:left w:val="nil"/>
              <w:bottom w:val="single" w:sz="4" w:space="0" w:color="auto"/>
              <w:right w:val="single" w:sz="4" w:space="0" w:color="auto"/>
            </w:tcBorders>
            <w:noWrap/>
            <w:vAlign w:val="bottom"/>
          </w:tcPr>
          <w:p w:rsidR="007F0E03" w:rsidRPr="007F0E03" w:rsidRDefault="007F0E03" w:rsidP="007F0E03">
            <w:pPr>
              <w:widowControl/>
              <w:adjustRightInd/>
              <w:rPr>
                <w:rFonts w:cs="Times New Roman"/>
                <w:b/>
                <w:bCs/>
              </w:rPr>
            </w:pPr>
            <w:r w:rsidRPr="007F0E03">
              <w:rPr>
                <w:rFonts w:cs="Times New Roman"/>
                <w:b/>
                <w:bCs/>
              </w:rPr>
              <w:t> </w:t>
            </w:r>
          </w:p>
        </w:tc>
      </w:tr>
      <w:tr w:rsidR="007F0E03" w:rsidRPr="007F0E03" w:rsidTr="007F0E03">
        <w:trPr>
          <w:trHeight w:val="255"/>
        </w:trPr>
        <w:tc>
          <w:tcPr>
            <w:tcW w:w="6024" w:type="dxa"/>
            <w:tcBorders>
              <w:top w:val="nil"/>
              <w:left w:val="single" w:sz="4" w:space="0" w:color="auto"/>
              <w:bottom w:val="single" w:sz="4" w:space="0" w:color="auto"/>
              <w:right w:val="single" w:sz="4" w:space="0" w:color="auto"/>
            </w:tcBorders>
          </w:tcPr>
          <w:p w:rsidR="007F0E03" w:rsidRPr="007F0E03" w:rsidRDefault="007F0E03" w:rsidP="007F0E03">
            <w:pPr>
              <w:widowControl/>
              <w:adjustRightInd/>
              <w:rPr>
                <w:rFonts w:cs="Times New Roman"/>
              </w:rPr>
            </w:pPr>
            <w:r w:rsidRPr="007F0E03">
              <w:rPr>
                <w:rFonts w:cs="Times New Roman"/>
                <w:b/>
                <w:bCs/>
              </w:rPr>
              <w:t xml:space="preserve">   z toho vplyv na ŠR</w:t>
            </w:r>
          </w:p>
        </w:tc>
        <w:tc>
          <w:tcPr>
            <w:tcW w:w="1559"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rPr>
            </w:pPr>
            <w:r w:rsidRPr="007F0E03">
              <w:rPr>
                <w:rFonts w:cs="Times New Roman"/>
                <w:b/>
              </w:rPr>
              <w:t>0</w:t>
            </w:r>
          </w:p>
        </w:tc>
        <w:tc>
          <w:tcPr>
            <w:tcW w:w="1788"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 xml:space="preserve">+93 907 </w:t>
            </w:r>
          </w:p>
        </w:tc>
        <w:tc>
          <w:tcPr>
            <w:tcW w:w="2418"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 xml:space="preserve">+93 907 </w:t>
            </w:r>
          </w:p>
        </w:tc>
        <w:tc>
          <w:tcPr>
            <w:tcW w:w="1722"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 xml:space="preserve">+93 907 </w:t>
            </w:r>
          </w:p>
        </w:tc>
        <w:tc>
          <w:tcPr>
            <w:tcW w:w="1302" w:type="dxa"/>
            <w:gridSpan w:val="2"/>
            <w:tcBorders>
              <w:top w:val="nil"/>
              <w:left w:val="nil"/>
              <w:bottom w:val="single" w:sz="4" w:space="0" w:color="auto"/>
              <w:right w:val="single" w:sz="4" w:space="0" w:color="auto"/>
            </w:tcBorders>
            <w:noWrap/>
            <w:vAlign w:val="bottom"/>
          </w:tcPr>
          <w:p w:rsidR="007F0E03" w:rsidRPr="007F0E03" w:rsidRDefault="007F0E03" w:rsidP="007F0E03">
            <w:pPr>
              <w:widowControl/>
              <w:adjustRightInd/>
              <w:rPr>
                <w:rFonts w:cs="Times New Roman"/>
              </w:rPr>
            </w:pPr>
            <w:r w:rsidRPr="007F0E03">
              <w:rPr>
                <w:rFonts w:cs="Times New Roman"/>
              </w:rPr>
              <w:t> </w:t>
            </w:r>
          </w:p>
        </w:tc>
      </w:tr>
    </w:tbl>
    <w:p w:rsidR="007F0E03" w:rsidRPr="007F0E03" w:rsidRDefault="007F0E03" w:rsidP="007F0E03">
      <w:pPr>
        <w:widowControl/>
        <w:adjustRightInd/>
        <w:rPr>
          <w:rFonts w:cs="Times New Roman"/>
          <w:b/>
          <w:bCs/>
        </w:rPr>
      </w:pPr>
    </w:p>
    <w:p w:rsidR="007F0E03" w:rsidRPr="007F0E03" w:rsidRDefault="007F0E03" w:rsidP="007F0E03">
      <w:pPr>
        <w:widowControl/>
        <w:tabs>
          <w:tab w:val="num" w:pos="1080"/>
        </w:tabs>
        <w:adjustRightInd/>
        <w:ind w:left="-900"/>
        <w:jc w:val="both"/>
        <w:rPr>
          <w:rFonts w:cs="Times New Roman"/>
          <w:bCs/>
          <w:sz w:val="20"/>
          <w:szCs w:val="20"/>
        </w:rPr>
      </w:pPr>
      <w:r w:rsidRPr="007F0E03">
        <w:rPr>
          <w:rFonts w:cs="Times New Roman"/>
          <w:bCs/>
          <w:szCs w:val="20"/>
        </w:rPr>
        <w:t xml:space="preserve">Poznámka: Rozpis </w:t>
      </w:r>
      <w:r w:rsidRPr="007F0E03">
        <w:rPr>
          <w:rFonts w:cs="Times New Roman"/>
          <w:b/>
          <w:bCs/>
          <w:iCs/>
          <w:szCs w:val="20"/>
        </w:rPr>
        <w:t>vplyvov na zamestnanosť</w:t>
      </w:r>
      <w:r w:rsidRPr="007F0E03">
        <w:rPr>
          <w:rFonts w:cs="Times New Roman"/>
          <w:bCs/>
          <w:szCs w:val="20"/>
        </w:rPr>
        <w:t xml:space="preserve"> </w:t>
      </w:r>
      <w:r w:rsidRPr="007F0E03">
        <w:rPr>
          <w:rFonts w:cs="Times New Roman"/>
          <w:bCs/>
        </w:rPr>
        <w:t xml:space="preserve">Tabuľka č. 5 </w:t>
      </w:r>
      <w:r w:rsidRPr="007F0E03">
        <w:rPr>
          <w:rFonts w:cs="Times New Roman"/>
          <w:bCs/>
          <w:szCs w:val="20"/>
        </w:rPr>
        <w:t xml:space="preserve">v členení na jednotlivé  časti podľa príslušnosti k </w:t>
      </w:r>
      <w:r w:rsidRPr="007F0E03">
        <w:rPr>
          <w:rFonts w:cs="Times New Roman"/>
          <w:bCs/>
        </w:rPr>
        <w:t>Nariadeniu (EÚ) 2023/1542, resp.  Zákonu č. 351/2022 Z. z. je rozpracovaný v tabuľkách Tabuľka č.5/1</w:t>
      </w:r>
      <w:r w:rsidRPr="007F0E03">
        <w:rPr>
          <w:rFonts w:cs="Times New Roman"/>
          <w:b/>
        </w:rPr>
        <w:t xml:space="preserve"> </w:t>
      </w:r>
      <w:r w:rsidRPr="007F0E03">
        <w:rPr>
          <w:rFonts w:cs="Times New Roman"/>
          <w:bCs/>
        </w:rPr>
        <w:t>a 5/2.</w:t>
      </w:r>
    </w:p>
    <w:p w:rsidR="007F0E03" w:rsidRPr="007F0E03" w:rsidRDefault="007F0E03" w:rsidP="007F0E03">
      <w:pPr>
        <w:widowControl/>
        <w:adjustRightInd/>
        <w:rPr>
          <w:rFonts w:cs="Times New Roman"/>
          <w:b/>
          <w:bCs/>
        </w:rPr>
      </w:pPr>
    </w:p>
    <w:p w:rsidR="00146C23" w:rsidRDefault="00146C23" w:rsidP="00146C23">
      <w:pPr>
        <w:widowControl/>
        <w:adjustRightInd/>
        <w:rPr>
          <w:rFonts w:cs="Times New Roman"/>
          <w:bCs/>
        </w:rPr>
      </w:pPr>
    </w:p>
    <w:p w:rsidR="007F0E03" w:rsidRDefault="007F0E03">
      <w:pPr>
        <w:widowControl/>
        <w:adjustRightInd/>
        <w:rPr>
          <w:rFonts w:cs="Times New Roman"/>
          <w:bCs/>
        </w:rPr>
      </w:pPr>
      <w:r>
        <w:rPr>
          <w:rFonts w:cs="Times New Roman"/>
          <w:bCs/>
        </w:rPr>
        <w:br w:type="page"/>
      </w:r>
    </w:p>
    <w:p w:rsidR="007F0E03" w:rsidRPr="00762333" w:rsidRDefault="007F0E03" w:rsidP="00146C23">
      <w:pPr>
        <w:widowControl/>
        <w:adjustRightInd/>
        <w:rPr>
          <w:rFonts w:asciiTheme="minorHAnsi" w:eastAsiaTheme="minorHAnsi" w:hAnsiTheme="minorHAnsi" w:cstheme="minorBidi"/>
          <w:sz w:val="20"/>
          <w:szCs w:val="20"/>
          <w:lang w:eastAsia="en-US"/>
        </w:rPr>
      </w:pPr>
    </w:p>
    <w:p w:rsidR="007F0E03" w:rsidRPr="00762333" w:rsidRDefault="007F0E03" w:rsidP="007F0E03">
      <w:pPr>
        <w:widowControl/>
        <w:tabs>
          <w:tab w:val="num" w:pos="1080"/>
        </w:tabs>
        <w:adjustRightInd/>
        <w:spacing w:after="120"/>
        <w:ind w:left="-902" w:firstLine="193"/>
        <w:jc w:val="both"/>
        <w:rPr>
          <w:rFonts w:cs="Times New Roman"/>
          <w:bCs/>
          <w:sz w:val="20"/>
          <w:szCs w:val="20"/>
        </w:rPr>
      </w:pPr>
      <w:r w:rsidRPr="00762333">
        <w:rPr>
          <w:rFonts w:cs="Times New Roman"/>
          <w:bCs/>
          <w:sz w:val="20"/>
          <w:szCs w:val="20"/>
        </w:rPr>
        <w:t xml:space="preserve">Tabuľka č. 5/1 za subjekt Ministerstvo hospodárstva SR/SOI – </w:t>
      </w:r>
      <w:r w:rsidRPr="00762333">
        <w:rPr>
          <w:rFonts w:cs="Times New Roman"/>
          <w:b/>
          <w:bCs/>
          <w:sz w:val="20"/>
          <w:szCs w:val="20"/>
        </w:rPr>
        <w:t>T</w:t>
      </w:r>
      <w:r w:rsidRPr="00762333">
        <w:rPr>
          <w:rFonts w:cs="Times New Roman"/>
          <w:b/>
          <w:bCs/>
          <w:iCs/>
          <w:sz w:val="20"/>
          <w:szCs w:val="20"/>
        </w:rPr>
        <w:t>abuľka vplyvov na zamestnanosť</w:t>
      </w:r>
      <w:r w:rsidRPr="00762333">
        <w:rPr>
          <w:rFonts w:cs="Times New Roman"/>
          <w:bCs/>
          <w:sz w:val="20"/>
          <w:szCs w:val="20"/>
        </w:rPr>
        <w:t xml:space="preserve"> - Nariadenie (EÚ) 2023/1542</w:t>
      </w:r>
    </w:p>
    <w:p w:rsidR="007F0E03" w:rsidRPr="007F0E03" w:rsidRDefault="007F0E03" w:rsidP="007F0E03">
      <w:pPr>
        <w:widowControl/>
        <w:adjustRightInd/>
        <w:rPr>
          <w:rFonts w:cs="Times New Roman"/>
          <w:b/>
          <w:bCs/>
        </w:rPr>
      </w:pPr>
    </w:p>
    <w:tbl>
      <w:tblPr>
        <w:tblW w:w="14938" w:type="dxa"/>
        <w:tblInd w:w="-784" w:type="dxa"/>
        <w:tblCellMar>
          <w:left w:w="70" w:type="dxa"/>
          <w:right w:w="70" w:type="dxa"/>
        </w:tblCellMar>
        <w:tblLook w:val="0000" w:firstRow="0" w:lastRow="0" w:firstColumn="0" w:lastColumn="0" w:noHBand="0" w:noVBand="0"/>
      </w:tblPr>
      <w:tblGrid>
        <w:gridCol w:w="5599"/>
        <w:gridCol w:w="1676"/>
        <w:gridCol w:w="1820"/>
        <w:gridCol w:w="2403"/>
        <w:gridCol w:w="1820"/>
        <w:gridCol w:w="1620"/>
      </w:tblGrid>
      <w:tr w:rsidR="007F0E03" w:rsidRPr="007F0E03" w:rsidTr="007F0E03">
        <w:trPr>
          <w:cantSplit/>
          <w:trHeight w:val="255"/>
        </w:trPr>
        <w:tc>
          <w:tcPr>
            <w:tcW w:w="559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F0E03" w:rsidRPr="007F0E03" w:rsidRDefault="007F0E03" w:rsidP="007F0E03">
            <w:pPr>
              <w:widowControl/>
              <w:adjustRightInd/>
              <w:jc w:val="center"/>
              <w:rPr>
                <w:rFonts w:cs="Times New Roman"/>
                <w:b/>
                <w:bCs/>
              </w:rPr>
            </w:pPr>
            <w:r w:rsidRPr="007F0E03">
              <w:rPr>
                <w:rFonts w:cs="Times New Roman"/>
                <w:b/>
                <w:bCs/>
              </w:rPr>
              <w:br w:type="page"/>
              <w:t>Zamestnanosť</w:t>
            </w:r>
          </w:p>
        </w:tc>
        <w:tc>
          <w:tcPr>
            <w:tcW w:w="7719"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7F0E03" w:rsidRPr="007F0E03" w:rsidRDefault="007F0E03" w:rsidP="007F0E03">
            <w:pPr>
              <w:widowControl/>
              <w:adjustRightInd/>
              <w:jc w:val="center"/>
              <w:rPr>
                <w:rFonts w:cs="Times New Roman"/>
                <w:b/>
                <w:bCs/>
              </w:rPr>
            </w:pPr>
            <w:r w:rsidRPr="007F0E03">
              <w:rPr>
                <w:rFonts w:cs="Times New Roman"/>
                <w:b/>
                <w:bCs/>
              </w:rPr>
              <w:t>Vplyv na rozpočet verejnej správy</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F0E03" w:rsidRPr="007F0E03" w:rsidRDefault="007F0E03" w:rsidP="007F0E03">
            <w:pPr>
              <w:widowControl/>
              <w:adjustRightInd/>
              <w:jc w:val="center"/>
              <w:rPr>
                <w:rFonts w:cs="Times New Roman"/>
                <w:b/>
                <w:bCs/>
              </w:rPr>
            </w:pPr>
            <w:r w:rsidRPr="007F0E03">
              <w:rPr>
                <w:rFonts w:cs="Times New Roman"/>
                <w:b/>
                <w:bCs/>
              </w:rPr>
              <w:t>poznámka</w:t>
            </w:r>
          </w:p>
        </w:tc>
      </w:tr>
      <w:tr w:rsidR="007F0E03" w:rsidRPr="007F0E03" w:rsidTr="007F0E03">
        <w:trPr>
          <w:cantSplit/>
          <w:trHeight w:val="255"/>
        </w:trPr>
        <w:tc>
          <w:tcPr>
            <w:tcW w:w="559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F0E03" w:rsidRPr="007F0E03" w:rsidRDefault="007F0E03" w:rsidP="007F0E03">
            <w:pPr>
              <w:widowControl/>
              <w:adjustRightInd/>
              <w:rPr>
                <w:rFonts w:cs="Times New Roman"/>
                <w:b/>
                <w:bCs/>
              </w:rPr>
            </w:pPr>
          </w:p>
        </w:tc>
        <w:tc>
          <w:tcPr>
            <w:tcW w:w="1676" w:type="dxa"/>
            <w:tcBorders>
              <w:top w:val="nil"/>
              <w:left w:val="nil"/>
              <w:bottom w:val="single" w:sz="4" w:space="0" w:color="auto"/>
              <w:right w:val="single" w:sz="4" w:space="0" w:color="auto"/>
            </w:tcBorders>
            <w:shd w:val="clear" w:color="auto" w:fill="BFBFBF" w:themeFill="background1" w:themeFillShade="BF"/>
          </w:tcPr>
          <w:p w:rsidR="007F0E03" w:rsidRPr="007F0E03" w:rsidRDefault="007F0E03" w:rsidP="007F0E03">
            <w:pPr>
              <w:widowControl/>
              <w:adjustRightInd/>
              <w:jc w:val="center"/>
              <w:rPr>
                <w:rFonts w:cs="Times New Roman"/>
                <w:b/>
                <w:bCs/>
              </w:rPr>
            </w:pPr>
            <w:r w:rsidRPr="007F0E03">
              <w:rPr>
                <w:rFonts w:cs="Times New Roman"/>
                <w:b/>
                <w:bCs/>
              </w:rPr>
              <w:t>2025</w:t>
            </w:r>
          </w:p>
        </w:tc>
        <w:tc>
          <w:tcPr>
            <w:tcW w:w="1820" w:type="dxa"/>
            <w:tcBorders>
              <w:top w:val="nil"/>
              <w:left w:val="nil"/>
              <w:bottom w:val="single" w:sz="4" w:space="0" w:color="auto"/>
              <w:right w:val="single" w:sz="4" w:space="0" w:color="auto"/>
            </w:tcBorders>
            <w:shd w:val="clear" w:color="auto" w:fill="BFBFBF" w:themeFill="background1" w:themeFillShade="BF"/>
          </w:tcPr>
          <w:p w:rsidR="007F0E03" w:rsidRPr="007F0E03" w:rsidRDefault="007F0E03" w:rsidP="007F0E03">
            <w:pPr>
              <w:widowControl/>
              <w:adjustRightInd/>
              <w:jc w:val="center"/>
              <w:rPr>
                <w:rFonts w:cs="Times New Roman"/>
                <w:b/>
                <w:bCs/>
              </w:rPr>
            </w:pPr>
            <w:r w:rsidRPr="007F0E03">
              <w:rPr>
                <w:rFonts w:cs="Times New Roman"/>
                <w:b/>
                <w:bCs/>
              </w:rPr>
              <w:t>2026</w:t>
            </w:r>
          </w:p>
        </w:tc>
        <w:tc>
          <w:tcPr>
            <w:tcW w:w="2403" w:type="dxa"/>
            <w:tcBorders>
              <w:top w:val="nil"/>
              <w:left w:val="nil"/>
              <w:bottom w:val="single" w:sz="4" w:space="0" w:color="auto"/>
              <w:right w:val="single" w:sz="4" w:space="0" w:color="auto"/>
            </w:tcBorders>
            <w:shd w:val="clear" w:color="auto" w:fill="BFBFBF" w:themeFill="background1" w:themeFillShade="BF"/>
          </w:tcPr>
          <w:p w:rsidR="007F0E03" w:rsidRPr="007F0E03" w:rsidRDefault="007F0E03" w:rsidP="007F0E03">
            <w:pPr>
              <w:widowControl/>
              <w:adjustRightInd/>
              <w:jc w:val="center"/>
              <w:rPr>
                <w:rFonts w:cs="Times New Roman"/>
                <w:b/>
                <w:bCs/>
              </w:rPr>
            </w:pPr>
            <w:r w:rsidRPr="007F0E03">
              <w:rPr>
                <w:rFonts w:cs="Times New Roman"/>
                <w:b/>
                <w:bCs/>
              </w:rPr>
              <w:t>2027</w:t>
            </w:r>
          </w:p>
        </w:tc>
        <w:tc>
          <w:tcPr>
            <w:tcW w:w="1820" w:type="dxa"/>
            <w:tcBorders>
              <w:top w:val="nil"/>
              <w:left w:val="nil"/>
              <w:bottom w:val="single" w:sz="4" w:space="0" w:color="auto"/>
              <w:right w:val="single" w:sz="4" w:space="0" w:color="auto"/>
            </w:tcBorders>
            <w:shd w:val="clear" w:color="auto" w:fill="BFBFBF" w:themeFill="background1" w:themeFillShade="BF"/>
          </w:tcPr>
          <w:p w:rsidR="007F0E03" w:rsidRPr="007F0E03" w:rsidRDefault="007F0E03" w:rsidP="007F0E03">
            <w:pPr>
              <w:widowControl/>
              <w:adjustRightInd/>
              <w:jc w:val="center"/>
              <w:rPr>
                <w:rFonts w:cs="Times New Roman"/>
                <w:b/>
                <w:bCs/>
              </w:rPr>
            </w:pPr>
            <w:r w:rsidRPr="007F0E03">
              <w:rPr>
                <w:rFonts w:cs="Times New Roman"/>
                <w:b/>
                <w:bCs/>
              </w:rPr>
              <w:t>2028</w:t>
            </w:r>
          </w:p>
        </w:tc>
        <w:tc>
          <w:tcPr>
            <w:tcW w:w="162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F0E03" w:rsidRPr="007F0E03" w:rsidRDefault="007F0E03" w:rsidP="007F0E03">
            <w:pPr>
              <w:widowControl/>
              <w:adjustRightInd/>
              <w:rPr>
                <w:rFonts w:cs="Times New Roman"/>
                <w:b/>
                <w:bCs/>
              </w:rPr>
            </w:pPr>
          </w:p>
        </w:tc>
      </w:tr>
      <w:tr w:rsidR="007F0E03" w:rsidRPr="007F0E03" w:rsidTr="007F0E03">
        <w:trPr>
          <w:trHeight w:val="255"/>
        </w:trPr>
        <w:tc>
          <w:tcPr>
            <w:tcW w:w="5599" w:type="dxa"/>
            <w:tcBorders>
              <w:top w:val="nil"/>
              <w:left w:val="single" w:sz="4" w:space="0" w:color="auto"/>
              <w:bottom w:val="single" w:sz="4" w:space="0" w:color="auto"/>
              <w:right w:val="single" w:sz="4" w:space="0" w:color="auto"/>
            </w:tcBorders>
          </w:tcPr>
          <w:p w:rsidR="007F0E03" w:rsidRPr="007F0E03" w:rsidRDefault="007F0E03" w:rsidP="007F0E03">
            <w:pPr>
              <w:widowControl/>
              <w:adjustRightInd/>
              <w:rPr>
                <w:rFonts w:cs="Times New Roman"/>
                <w:b/>
                <w:bCs/>
              </w:rPr>
            </w:pPr>
            <w:r w:rsidRPr="007F0E03">
              <w:rPr>
                <w:rFonts w:cs="Times New Roman"/>
                <w:b/>
                <w:bCs/>
              </w:rPr>
              <w:t>Počet zamestnancov celkom</w:t>
            </w:r>
          </w:p>
        </w:tc>
        <w:tc>
          <w:tcPr>
            <w:tcW w:w="1676"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0</w:t>
            </w:r>
          </w:p>
        </w:tc>
        <w:tc>
          <w:tcPr>
            <w:tcW w:w="1820"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+6</w:t>
            </w:r>
          </w:p>
        </w:tc>
        <w:tc>
          <w:tcPr>
            <w:tcW w:w="2403"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+6</w:t>
            </w:r>
          </w:p>
        </w:tc>
        <w:tc>
          <w:tcPr>
            <w:tcW w:w="1820"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+6</w:t>
            </w:r>
          </w:p>
        </w:tc>
        <w:tc>
          <w:tcPr>
            <w:tcW w:w="1620" w:type="dxa"/>
            <w:tcBorders>
              <w:top w:val="nil"/>
              <w:left w:val="nil"/>
              <w:bottom w:val="single" w:sz="4" w:space="0" w:color="auto"/>
              <w:right w:val="single" w:sz="4" w:space="0" w:color="auto"/>
            </w:tcBorders>
            <w:noWrap/>
            <w:vAlign w:val="bottom"/>
          </w:tcPr>
          <w:p w:rsidR="007F0E03" w:rsidRPr="007F0E03" w:rsidRDefault="007F0E03" w:rsidP="007F0E03">
            <w:pPr>
              <w:widowControl/>
              <w:adjustRightInd/>
              <w:rPr>
                <w:rFonts w:cs="Times New Roman"/>
              </w:rPr>
            </w:pPr>
            <w:r w:rsidRPr="007F0E03">
              <w:rPr>
                <w:rFonts w:cs="Times New Roman"/>
              </w:rPr>
              <w:t> </w:t>
            </w:r>
          </w:p>
        </w:tc>
      </w:tr>
      <w:tr w:rsidR="007F0E03" w:rsidRPr="007F0E03" w:rsidTr="007F0E03">
        <w:trPr>
          <w:trHeight w:val="255"/>
        </w:trPr>
        <w:tc>
          <w:tcPr>
            <w:tcW w:w="5599" w:type="dxa"/>
            <w:tcBorders>
              <w:top w:val="nil"/>
              <w:left w:val="single" w:sz="4" w:space="0" w:color="auto"/>
              <w:bottom w:val="single" w:sz="4" w:space="0" w:color="auto"/>
              <w:right w:val="single" w:sz="4" w:space="0" w:color="auto"/>
            </w:tcBorders>
          </w:tcPr>
          <w:p w:rsidR="007F0E03" w:rsidRPr="007F0E03" w:rsidRDefault="007F0E03" w:rsidP="007F0E03">
            <w:pPr>
              <w:widowControl/>
              <w:adjustRightInd/>
              <w:rPr>
                <w:rFonts w:cs="Times New Roman"/>
                <w:b/>
                <w:bCs/>
              </w:rPr>
            </w:pPr>
            <w:r w:rsidRPr="007F0E03">
              <w:rPr>
                <w:rFonts w:cs="Times New Roman"/>
                <w:b/>
                <w:bCs/>
              </w:rPr>
              <w:t xml:space="preserve">   z toho vplyv na ŠR</w:t>
            </w:r>
          </w:p>
        </w:tc>
        <w:tc>
          <w:tcPr>
            <w:tcW w:w="1676" w:type="dxa"/>
            <w:tcBorders>
              <w:top w:val="single" w:sz="4" w:space="0" w:color="auto"/>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0</w:t>
            </w:r>
          </w:p>
        </w:tc>
        <w:tc>
          <w:tcPr>
            <w:tcW w:w="1820" w:type="dxa"/>
            <w:tcBorders>
              <w:top w:val="single" w:sz="4" w:space="0" w:color="auto"/>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+6</w:t>
            </w:r>
          </w:p>
        </w:tc>
        <w:tc>
          <w:tcPr>
            <w:tcW w:w="2403" w:type="dxa"/>
            <w:tcBorders>
              <w:top w:val="single" w:sz="4" w:space="0" w:color="auto"/>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+6</w:t>
            </w:r>
          </w:p>
        </w:tc>
        <w:tc>
          <w:tcPr>
            <w:tcW w:w="1820" w:type="dxa"/>
            <w:tcBorders>
              <w:top w:val="single" w:sz="4" w:space="0" w:color="auto"/>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+6</w:t>
            </w:r>
          </w:p>
        </w:tc>
        <w:tc>
          <w:tcPr>
            <w:tcW w:w="1620" w:type="dxa"/>
            <w:tcBorders>
              <w:top w:val="nil"/>
              <w:left w:val="nil"/>
              <w:bottom w:val="single" w:sz="4" w:space="0" w:color="auto"/>
              <w:right w:val="single" w:sz="4" w:space="0" w:color="auto"/>
            </w:tcBorders>
            <w:noWrap/>
            <w:vAlign w:val="bottom"/>
          </w:tcPr>
          <w:p w:rsidR="007F0E03" w:rsidRPr="007F0E03" w:rsidRDefault="007F0E03" w:rsidP="007F0E03">
            <w:pPr>
              <w:widowControl/>
              <w:adjustRightInd/>
              <w:rPr>
                <w:rFonts w:cs="Times New Roman"/>
              </w:rPr>
            </w:pPr>
          </w:p>
        </w:tc>
      </w:tr>
      <w:tr w:rsidR="007F0E03" w:rsidRPr="007F0E03" w:rsidTr="007F0E03">
        <w:trPr>
          <w:trHeight w:val="255"/>
        </w:trPr>
        <w:tc>
          <w:tcPr>
            <w:tcW w:w="5599" w:type="dxa"/>
            <w:tcBorders>
              <w:top w:val="nil"/>
              <w:left w:val="single" w:sz="4" w:space="0" w:color="auto"/>
              <w:bottom w:val="single" w:sz="4" w:space="0" w:color="auto"/>
              <w:right w:val="single" w:sz="4" w:space="0" w:color="auto"/>
            </w:tcBorders>
          </w:tcPr>
          <w:p w:rsidR="007F0E03" w:rsidRPr="007F0E03" w:rsidRDefault="007F0E03" w:rsidP="007F0E03">
            <w:pPr>
              <w:widowControl/>
              <w:adjustRightInd/>
              <w:rPr>
                <w:rFonts w:cs="Times New Roman"/>
                <w:b/>
                <w:bCs/>
              </w:rPr>
            </w:pPr>
            <w:r w:rsidRPr="007F0E03">
              <w:rPr>
                <w:rFonts w:cs="Times New Roman"/>
                <w:b/>
                <w:bCs/>
              </w:rPr>
              <w:t>Priemerný mzdový výdavok (v eurách)</w:t>
            </w:r>
          </w:p>
        </w:tc>
        <w:tc>
          <w:tcPr>
            <w:tcW w:w="1676" w:type="dxa"/>
            <w:tcBorders>
              <w:top w:val="single" w:sz="4" w:space="0" w:color="auto"/>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0</w:t>
            </w:r>
          </w:p>
        </w:tc>
        <w:tc>
          <w:tcPr>
            <w:tcW w:w="1820" w:type="dxa"/>
            <w:tcBorders>
              <w:top w:val="single" w:sz="4" w:space="0" w:color="auto"/>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+1 914</w:t>
            </w:r>
          </w:p>
        </w:tc>
        <w:tc>
          <w:tcPr>
            <w:tcW w:w="2403" w:type="dxa"/>
            <w:tcBorders>
              <w:top w:val="single" w:sz="4" w:space="0" w:color="auto"/>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+1 914</w:t>
            </w:r>
          </w:p>
        </w:tc>
        <w:tc>
          <w:tcPr>
            <w:tcW w:w="1820" w:type="dxa"/>
            <w:tcBorders>
              <w:top w:val="single" w:sz="4" w:space="0" w:color="auto"/>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+1 914</w:t>
            </w:r>
          </w:p>
        </w:tc>
        <w:tc>
          <w:tcPr>
            <w:tcW w:w="1620" w:type="dxa"/>
            <w:tcBorders>
              <w:top w:val="nil"/>
              <w:left w:val="nil"/>
              <w:bottom w:val="single" w:sz="4" w:space="0" w:color="auto"/>
              <w:right w:val="single" w:sz="4" w:space="0" w:color="auto"/>
            </w:tcBorders>
            <w:noWrap/>
            <w:vAlign w:val="bottom"/>
          </w:tcPr>
          <w:p w:rsidR="007F0E03" w:rsidRPr="007F0E03" w:rsidRDefault="007F0E03" w:rsidP="007F0E03">
            <w:pPr>
              <w:widowControl/>
              <w:adjustRightInd/>
              <w:rPr>
                <w:rFonts w:cs="Times New Roman"/>
              </w:rPr>
            </w:pPr>
            <w:r w:rsidRPr="007F0E03">
              <w:rPr>
                <w:rFonts w:cs="Times New Roman"/>
              </w:rPr>
              <w:t> </w:t>
            </w:r>
          </w:p>
        </w:tc>
      </w:tr>
      <w:tr w:rsidR="007F0E03" w:rsidRPr="007F0E03" w:rsidTr="007F0E03">
        <w:trPr>
          <w:trHeight w:val="255"/>
        </w:trPr>
        <w:tc>
          <w:tcPr>
            <w:tcW w:w="5599" w:type="dxa"/>
            <w:tcBorders>
              <w:top w:val="nil"/>
              <w:left w:val="single" w:sz="4" w:space="0" w:color="auto"/>
              <w:bottom w:val="single" w:sz="4" w:space="0" w:color="auto"/>
              <w:right w:val="single" w:sz="4" w:space="0" w:color="auto"/>
            </w:tcBorders>
          </w:tcPr>
          <w:p w:rsidR="007F0E03" w:rsidRPr="007F0E03" w:rsidRDefault="007F0E03" w:rsidP="007F0E03">
            <w:pPr>
              <w:widowControl/>
              <w:adjustRightInd/>
              <w:rPr>
                <w:rFonts w:cs="Times New Roman"/>
              </w:rPr>
            </w:pPr>
            <w:r w:rsidRPr="007F0E03">
              <w:rPr>
                <w:rFonts w:cs="Times New Roman"/>
                <w:b/>
                <w:bCs/>
              </w:rPr>
              <w:t xml:space="preserve">   z toho vplyv na ŠR</w:t>
            </w:r>
          </w:p>
        </w:tc>
        <w:tc>
          <w:tcPr>
            <w:tcW w:w="1676" w:type="dxa"/>
            <w:tcBorders>
              <w:top w:val="single" w:sz="4" w:space="0" w:color="auto"/>
              <w:left w:val="nil"/>
              <w:bottom w:val="single" w:sz="4" w:space="0" w:color="auto"/>
              <w:right w:val="single" w:sz="4" w:space="0" w:color="auto"/>
            </w:tcBorders>
          </w:tcPr>
          <w:p w:rsidR="007F0E03" w:rsidRPr="007F0E03" w:rsidRDefault="007F0E03" w:rsidP="007F0E03">
            <w:pPr>
              <w:widowControl/>
              <w:adjustRightInd/>
              <w:jc w:val="center"/>
              <w:rPr>
                <w:rFonts w:cs="Times New Roman"/>
                <w:b/>
              </w:rPr>
            </w:pPr>
            <w:r w:rsidRPr="007F0E03">
              <w:rPr>
                <w:rFonts w:cs="Times New Roman"/>
                <w:b/>
              </w:rPr>
              <w:t>0</w:t>
            </w:r>
          </w:p>
        </w:tc>
        <w:tc>
          <w:tcPr>
            <w:tcW w:w="1820" w:type="dxa"/>
            <w:tcBorders>
              <w:top w:val="single" w:sz="4" w:space="0" w:color="auto"/>
              <w:left w:val="nil"/>
              <w:bottom w:val="single" w:sz="4" w:space="0" w:color="auto"/>
              <w:right w:val="single" w:sz="4" w:space="0" w:color="auto"/>
            </w:tcBorders>
          </w:tcPr>
          <w:p w:rsidR="007F0E03" w:rsidRPr="007F0E03" w:rsidRDefault="007F0E03" w:rsidP="007F0E03">
            <w:pPr>
              <w:widowControl/>
              <w:adjustRightInd/>
              <w:jc w:val="center"/>
              <w:rPr>
                <w:rFonts w:cs="Times New Roman"/>
                <w:b/>
              </w:rPr>
            </w:pPr>
            <w:r w:rsidRPr="007F0E03">
              <w:rPr>
                <w:rFonts w:cs="Times New Roman"/>
                <w:b/>
                <w:bCs/>
              </w:rPr>
              <w:t>+1 914</w:t>
            </w:r>
          </w:p>
        </w:tc>
        <w:tc>
          <w:tcPr>
            <w:tcW w:w="2403" w:type="dxa"/>
            <w:tcBorders>
              <w:top w:val="single" w:sz="4" w:space="0" w:color="auto"/>
              <w:left w:val="nil"/>
              <w:bottom w:val="single" w:sz="4" w:space="0" w:color="auto"/>
              <w:right w:val="single" w:sz="4" w:space="0" w:color="auto"/>
            </w:tcBorders>
          </w:tcPr>
          <w:p w:rsidR="007F0E03" w:rsidRPr="007F0E03" w:rsidRDefault="007F0E03" w:rsidP="007F0E03">
            <w:pPr>
              <w:widowControl/>
              <w:adjustRightInd/>
              <w:jc w:val="center"/>
              <w:rPr>
                <w:rFonts w:cs="Times New Roman"/>
                <w:b/>
              </w:rPr>
            </w:pPr>
            <w:r w:rsidRPr="007F0E03">
              <w:rPr>
                <w:rFonts w:cs="Times New Roman"/>
                <w:b/>
                <w:bCs/>
              </w:rPr>
              <w:t>+1 914</w:t>
            </w:r>
          </w:p>
        </w:tc>
        <w:tc>
          <w:tcPr>
            <w:tcW w:w="1820" w:type="dxa"/>
            <w:tcBorders>
              <w:top w:val="single" w:sz="4" w:space="0" w:color="auto"/>
              <w:left w:val="nil"/>
              <w:bottom w:val="single" w:sz="4" w:space="0" w:color="auto"/>
              <w:right w:val="single" w:sz="4" w:space="0" w:color="auto"/>
            </w:tcBorders>
          </w:tcPr>
          <w:p w:rsidR="007F0E03" w:rsidRPr="007F0E03" w:rsidRDefault="007F0E03" w:rsidP="007F0E03">
            <w:pPr>
              <w:widowControl/>
              <w:adjustRightInd/>
              <w:jc w:val="center"/>
              <w:rPr>
                <w:rFonts w:cs="Times New Roman"/>
                <w:b/>
              </w:rPr>
            </w:pPr>
            <w:r w:rsidRPr="007F0E03">
              <w:rPr>
                <w:rFonts w:cs="Times New Roman"/>
                <w:b/>
                <w:bCs/>
              </w:rPr>
              <w:t>+1 914</w:t>
            </w:r>
          </w:p>
        </w:tc>
        <w:tc>
          <w:tcPr>
            <w:tcW w:w="1620" w:type="dxa"/>
            <w:tcBorders>
              <w:top w:val="nil"/>
              <w:left w:val="nil"/>
              <w:bottom w:val="single" w:sz="4" w:space="0" w:color="auto"/>
              <w:right w:val="single" w:sz="4" w:space="0" w:color="auto"/>
            </w:tcBorders>
            <w:noWrap/>
            <w:vAlign w:val="bottom"/>
          </w:tcPr>
          <w:p w:rsidR="007F0E03" w:rsidRPr="007F0E03" w:rsidRDefault="007F0E03" w:rsidP="007F0E03">
            <w:pPr>
              <w:widowControl/>
              <w:adjustRightInd/>
              <w:rPr>
                <w:rFonts w:cs="Times New Roman"/>
              </w:rPr>
            </w:pPr>
            <w:r w:rsidRPr="007F0E03">
              <w:rPr>
                <w:rFonts w:cs="Times New Roman"/>
              </w:rPr>
              <w:t> </w:t>
            </w:r>
          </w:p>
        </w:tc>
      </w:tr>
      <w:tr w:rsidR="007F0E03" w:rsidRPr="007F0E03" w:rsidTr="007F0E03">
        <w:trPr>
          <w:trHeight w:val="255"/>
        </w:trPr>
        <w:tc>
          <w:tcPr>
            <w:tcW w:w="5599" w:type="dxa"/>
            <w:tcBorders>
              <w:top w:val="nil"/>
              <w:left w:val="single" w:sz="4" w:space="0" w:color="auto"/>
              <w:bottom w:val="single" w:sz="4" w:space="0" w:color="auto"/>
              <w:right w:val="single" w:sz="4" w:space="0" w:color="auto"/>
            </w:tcBorders>
            <w:shd w:val="clear" w:color="auto" w:fill="BFBFBF" w:themeFill="background1" w:themeFillShade="BF"/>
          </w:tcPr>
          <w:p w:rsidR="007F0E03" w:rsidRPr="007F0E03" w:rsidRDefault="007F0E03" w:rsidP="007F0E03">
            <w:pPr>
              <w:widowControl/>
              <w:adjustRightInd/>
              <w:rPr>
                <w:rFonts w:cs="Times New Roman"/>
                <w:b/>
                <w:bCs/>
              </w:rPr>
            </w:pPr>
            <w:r w:rsidRPr="007F0E03">
              <w:rPr>
                <w:rFonts w:cs="Times New Roman"/>
                <w:b/>
                <w:bCs/>
              </w:rPr>
              <w:t>Osobné výdavky celkom (v eurách)</w:t>
            </w:r>
          </w:p>
        </w:tc>
        <w:tc>
          <w:tcPr>
            <w:tcW w:w="1676" w:type="dxa"/>
            <w:tcBorders>
              <w:top w:val="nil"/>
              <w:left w:val="nil"/>
              <w:bottom w:val="single" w:sz="4" w:space="0" w:color="auto"/>
              <w:right w:val="single" w:sz="4" w:space="0" w:color="auto"/>
            </w:tcBorders>
            <w:shd w:val="clear" w:color="auto" w:fill="BFBFBF" w:themeFill="background1" w:themeFillShade="BF"/>
          </w:tcPr>
          <w:p w:rsidR="007F0E03" w:rsidRPr="007F0E03" w:rsidRDefault="007F0E03" w:rsidP="007F0E03">
            <w:pPr>
              <w:widowControl/>
              <w:adjustRightInd/>
              <w:jc w:val="center"/>
              <w:rPr>
                <w:rFonts w:cs="Times New Roman"/>
                <w:b/>
                <w:bCs/>
              </w:rPr>
            </w:pPr>
            <w:r w:rsidRPr="007F0E03">
              <w:rPr>
                <w:rFonts w:cs="Times New Roman"/>
                <w:b/>
                <w:bCs/>
              </w:rPr>
              <w:t>0</w:t>
            </w:r>
          </w:p>
        </w:tc>
        <w:tc>
          <w:tcPr>
            <w:tcW w:w="1820" w:type="dxa"/>
            <w:tcBorders>
              <w:top w:val="nil"/>
              <w:left w:val="nil"/>
              <w:bottom w:val="single" w:sz="4" w:space="0" w:color="auto"/>
              <w:right w:val="single" w:sz="4" w:space="0" w:color="auto"/>
            </w:tcBorders>
            <w:shd w:val="clear" w:color="auto" w:fill="BFBFBF" w:themeFill="background1" w:themeFillShade="BF"/>
          </w:tcPr>
          <w:p w:rsidR="007F0E03" w:rsidRPr="007F0E03" w:rsidRDefault="007F0E03" w:rsidP="007F0E03">
            <w:pPr>
              <w:widowControl/>
              <w:adjustRightInd/>
              <w:jc w:val="center"/>
              <w:rPr>
                <w:rFonts w:cs="Times New Roman"/>
                <w:b/>
                <w:bCs/>
              </w:rPr>
            </w:pPr>
            <w:r w:rsidRPr="007F0E03">
              <w:rPr>
                <w:rFonts w:cs="Times New Roman"/>
                <w:b/>
                <w:bCs/>
              </w:rPr>
              <w:t>+187 350</w:t>
            </w:r>
          </w:p>
        </w:tc>
        <w:tc>
          <w:tcPr>
            <w:tcW w:w="2403" w:type="dxa"/>
            <w:tcBorders>
              <w:top w:val="nil"/>
              <w:left w:val="nil"/>
              <w:bottom w:val="single" w:sz="4" w:space="0" w:color="auto"/>
              <w:right w:val="single" w:sz="4" w:space="0" w:color="auto"/>
            </w:tcBorders>
            <w:shd w:val="clear" w:color="auto" w:fill="BFBFBF" w:themeFill="background1" w:themeFillShade="BF"/>
          </w:tcPr>
          <w:p w:rsidR="007F0E03" w:rsidRPr="007F0E03" w:rsidRDefault="007F0E03" w:rsidP="007F0E03">
            <w:pPr>
              <w:widowControl/>
              <w:adjustRightInd/>
              <w:jc w:val="center"/>
              <w:rPr>
                <w:rFonts w:cs="Times New Roman"/>
                <w:b/>
                <w:bCs/>
              </w:rPr>
            </w:pPr>
            <w:r w:rsidRPr="007F0E03">
              <w:rPr>
                <w:rFonts w:cs="Times New Roman"/>
                <w:b/>
                <w:bCs/>
              </w:rPr>
              <w:t>+187 350</w:t>
            </w:r>
          </w:p>
        </w:tc>
        <w:tc>
          <w:tcPr>
            <w:tcW w:w="1820" w:type="dxa"/>
            <w:tcBorders>
              <w:top w:val="nil"/>
              <w:left w:val="nil"/>
              <w:bottom w:val="single" w:sz="4" w:space="0" w:color="auto"/>
              <w:right w:val="single" w:sz="4" w:space="0" w:color="auto"/>
            </w:tcBorders>
            <w:shd w:val="clear" w:color="auto" w:fill="BFBFBF" w:themeFill="background1" w:themeFillShade="BF"/>
          </w:tcPr>
          <w:p w:rsidR="007F0E03" w:rsidRPr="007F0E03" w:rsidRDefault="007F0E03" w:rsidP="007F0E03">
            <w:pPr>
              <w:widowControl/>
              <w:adjustRightInd/>
              <w:jc w:val="center"/>
              <w:rPr>
                <w:rFonts w:cs="Times New Roman"/>
                <w:b/>
                <w:bCs/>
              </w:rPr>
            </w:pPr>
            <w:r w:rsidRPr="007F0E03">
              <w:rPr>
                <w:rFonts w:cs="Times New Roman"/>
                <w:b/>
                <w:bCs/>
              </w:rPr>
              <w:t>+187 350</w:t>
            </w:r>
          </w:p>
        </w:tc>
        <w:tc>
          <w:tcPr>
            <w:tcW w:w="1620" w:type="dxa"/>
            <w:tcBorders>
              <w:top w:val="nil"/>
              <w:left w:val="nil"/>
              <w:bottom w:val="single" w:sz="4" w:space="0" w:color="auto"/>
              <w:right w:val="single" w:sz="4" w:space="0" w:color="auto"/>
            </w:tcBorders>
            <w:shd w:val="clear" w:color="auto" w:fill="BFBFBF" w:themeFill="background1" w:themeFillShade="BF"/>
            <w:noWrap/>
            <w:vAlign w:val="bottom"/>
          </w:tcPr>
          <w:p w:rsidR="007F0E03" w:rsidRPr="007F0E03" w:rsidRDefault="007F0E03" w:rsidP="007F0E03">
            <w:pPr>
              <w:widowControl/>
              <w:adjustRightInd/>
              <w:rPr>
                <w:rFonts w:cs="Times New Roman"/>
                <w:b/>
                <w:bCs/>
              </w:rPr>
            </w:pPr>
            <w:r w:rsidRPr="007F0E03">
              <w:rPr>
                <w:rFonts w:cs="Times New Roman"/>
                <w:b/>
                <w:bCs/>
              </w:rPr>
              <w:t> </w:t>
            </w:r>
          </w:p>
        </w:tc>
      </w:tr>
      <w:tr w:rsidR="007F0E03" w:rsidRPr="007F0E03" w:rsidTr="007F0E03">
        <w:trPr>
          <w:trHeight w:val="255"/>
        </w:trPr>
        <w:tc>
          <w:tcPr>
            <w:tcW w:w="5599" w:type="dxa"/>
            <w:tcBorders>
              <w:top w:val="nil"/>
              <w:left w:val="single" w:sz="4" w:space="0" w:color="auto"/>
              <w:bottom w:val="single" w:sz="4" w:space="0" w:color="auto"/>
              <w:right w:val="single" w:sz="4" w:space="0" w:color="auto"/>
            </w:tcBorders>
          </w:tcPr>
          <w:p w:rsidR="007F0E03" w:rsidRPr="007F0E03" w:rsidRDefault="007F0E03" w:rsidP="007F0E03">
            <w:pPr>
              <w:widowControl/>
              <w:adjustRightInd/>
              <w:rPr>
                <w:rFonts w:cs="Times New Roman"/>
                <w:b/>
                <w:bCs/>
              </w:rPr>
            </w:pPr>
            <w:r w:rsidRPr="007F0E03">
              <w:rPr>
                <w:rFonts w:cs="Times New Roman"/>
                <w:b/>
                <w:bCs/>
              </w:rPr>
              <w:t>Mzdy, platy, služobné príjmy a ostatné osobné vyrovnania (610)</w:t>
            </w:r>
          </w:p>
        </w:tc>
        <w:tc>
          <w:tcPr>
            <w:tcW w:w="1676"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0</w:t>
            </w:r>
          </w:p>
        </w:tc>
        <w:tc>
          <w:tcPr>
            <w:tcW w:w="1820" w:type="dxa"/>
            <w:tcBorders>
              <w:top w:val="nil"/>
              <w:left w:val="nil"/>
              <w:bottom w:val="single" w:sz="4" w:space="0" w:color="auto"/>
              <w:right w:val="single" w:sz="4" w:space="0" w:color="auto"/>
            </w:tcBorders>
            <w:vAlign w:val="center"/>
          </w:tcPr>
          <w:p w:rsidR="007F0E03" w:rsidRPr="007F0E03" w:rsidRDefault="007F0E03" w:rsidP="007F0E03">
            <w:pPr>
              <w:widowControl/>
              <w:adjustRightInd/>
              <w:jc w:val="center"/>
              <w:rPr>
                <w:rFonts w:cs="Times New Roman"/>
                <w:b/>
                <w:bCs/>
              </w:rPr>
            </w:pPr>
            <w:r w:rsidRPr="007F0E03">
              <w:rPr>
                <w:rFonts w:cs="Times New Roman"/>
                <w:b/>
                <w:bCs/>
              </w:rPr>
              <w:t>+137 808</w:t>
            </w:r>
          </w:p>
        </w:tc>
        <w:tc>
          <w:tcPr>
            <w:tcW w:w="2403" w:type="dxa"/>
            <w:tcBorders>
              <w:top w:val="nil"/>
              <w:left w:val="nil"/>
              <w:bottom w:val="single" w:sz="4" w:space="0" w:color="auto"/>
              <w:right w:val="single" w:sz="4" w:space="0" w:color="auto"/>
            </w:tcBorders>
            <w:vAlign w:val="center"/>
          </w:tcPr>
          <w:p w:rsidR="007F0E03" w:rsidRPr="007F0E03" w:rsidRDefault="007F0E03" w:rsidP="007F0E03">
            <w:pPr>
              <w:widowControl/>
              <w:adjustRightInd/>
              <w:jc w:val="center"/>
              <w:rPr>
                <w:rFonts w:cs="Times New Roman"/>
                <w:b/>
                <w:bCs/>
              </w:rPr>
            </w:pPr>
            <w:r w:rsidRPr="007F0E03">
              <w:rPr>
                <w:rFonts w:cs="Times New Roman"/>
                <w:b/>
                <w:bCs/>
              </w:rPr>
              <w:t>+137 808</w:t>
            </w:r>
          </w:p>
        </w:tc>
        <w:tc>
          <w:tcPr>
            <w:tcW w:w="1820" w:type="dxa"/>
            <w:tcBorders>
              <w:top w:val="nil"/>
              <w:left w:val="nil"/>
              <w:bottom w:val="single" w:sz="4" w:space="0" w:color="auto"/>
              <w:right w:val="single" w:sz="4" w:space="0" w:color="auto"/>
            </w:tcBorders>
            <w:vAlign w:val="center"/>
          </w:tcPr>
          <w:p w:rsidR="007F0E03" w:rsidRPr="007F0E03" w:rsidRDefault="007F0E03" w:rsidP="007F0E03">
            <w:pPr>
              <w:widowControl/>
              <w:adjustRightInd/>
              <w:jc w:val="center"/>
              <w:rPr>
                <w:rFonts w:cs="Times New Roman"/>
                <w:b/>
                <w:bCs/>
              </w:rPr>
            </w:pPr>
            <w:r w:rsidRPr="007F0E03">
              <w:rPr>
                <w:rFonts w:cs="Times New Roman"/>
                <w:b/>
                <w:bCs/>
              </w:rPr>
              <w:t>+137 8080</w:t>
            </w:r>
          </w:p>
        </w:tc>
        <w:tc>
          <w:tcPr>
            <w:tcW w:w="1620" w:type="dxa"/>
            <w:tcBorders>
              <w:top w:val="nil"/>
              <w:left w:val="nil"/>
              <w:bottom w:val="single" w:sz="4" w:space="0" w:color="auto"/>
              <w:right w:val="single" w:sz="4" w:space="0" w:color="auto"/>
            </w:tcBorders>
            <w:noWrap/>
            <w:vAlign w:val="bottom"/>
          </w:tcPr>
          <w:p w:rsidR="007F0E03" w:rsidRPr="007F0E03" w:rsidRDefault="007F0E03" w:rsidP="007F0E03">
            <w:pPr>
              <w:widowControl/>
              <w:adjustRightInd/>
              <w:rPr>
                <w:rFonts w:cs="Times New Roman"/>
                <w:b/>
                <w:bCs/>
              </w:rPr>
            </w:pPr>
            <w:r w:rsidRPr="007F0E03">
              <w:rPr>
                <w:rFonts w:cs="Times New Roman"/>
                <w:b/>
                <w:bCs/>
              </w:rPr>
              <w:t> </w:t>
            </w:r>
          </w:p>
        </w:tc>
      </w:tr>
      <w:tr w:rsidR="007F0E03" w:rsidRPr="007F0E03" w:rsidTr="007F0E03">
        <w:trPr>
          <w:trHeight w:val="255"/>
        </w:trPr>
        <w:tc>
          <w:tcPr>
            <w:tcW w:w="5599" w:type="dxa"/>
            <w:tcBorders>
              <w:top w:val="nil"/>
              <w:left w:val="single" w:sz="4" w:space="0" w:color="auto"/>
              <w:bottom w:val="single" w:sz="4" w:space="0" w:color="auto"/>
              <w:right w:val="single" w:sz="4" w:space="0" w:color="auto"/>
            </w:tcBorders>
          </w:tcPr>
          <w:p w:rsidR="007F0E03" w:rsidRPr="007F0E03" w:rsidRDefault="007F0E03" w:rsidP="007F0E03">
            <w:pPr>
              <w:widowControl/>
              <w:adjustRightInd/>
              <w:rPr>
                <w:rFonts w:cs="Times New Roman"/>
              </w:rPr>
            </w:pPr>
            <w:r w:rsidRPr="007F0E03">
              <w:rPr>
                <w:rFonts w:cs="Times New Roman"/>
                <w:b/>
                <w:bCs/>
              </w:rPr>
              <w:t xml:space="preserve">   z toho vplyv na ŠR</w:t>
            </w:r>
          </w:p>
        </w:tc>
        <w:tc>
          <w:tcPr>
            <w:tcW w:w="1676"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rPr>
            </w:pPr>
            <w:r w:rsidRPr="007F0E03">
              <w:rPr>
                <w:rFonts w:cs="Times New Roman"/>
                <w:b/>
              </w:rPr>
              <w:t>0</w:t>
            </w:r>
          </w:p>
        </w:tc>
        <w:tc>
          <w:tcPr>
            <w:tcW w:w="1820"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+137 808</w:t>
            </w:r>
          </w:p>
        </w:tc>
        <w:tc>
          <w:tcPr>
            <w:tcW w:w="2403"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+137 808</w:t>
            </w:r>
          </w:p>
        </w:tc>
        <w:tc>
          <w:tcPr>
            <w:tcW w:w="1820"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+137 808</w:t>
            </w:r>
          </w:p>
        </w:tc>
        <w:tc>
          <w:tcPr>
            <w:tcW w:w="1620" w:type="dxa"/>
            <w:tcBorders>
              <w:top w:val="nil"/>
              <w:left w:val="nil"/>
              <w:bottom w:val="single" w:sz="4" w:space="0" w:color="auto"/>
              <w:right w:val="single" w:sz="4" w:space="0" w:color="auto"/>
            </w:tcBorders>
            <w:noWrap/>
            <w:vAlign w:val="bottom"/>
          </w:tcPr>
          <w:p w:rsidR="007F0E03" w:rsidRPr="007F0E03" w:rsidRDefault="007F0E03" w:rsidP="007F0E03">
            <w:pPr>
              <w:widowControl/>
              <w:adjustRightInd/>
              <w:rPr>
                <w:rFonts w:cs="Times New Roman"/>
              </w:rPr>
            </w:pPr>
            <w:r w:rsidRPr="007F0E03">
              <w:rPr>
                <w:rFonts w:cs="Times New Roman"/>
              </w:rPr>
              <w:t> </w:t>
            </w:r>
          </w:p>
        </w:tc>
      </w:tr>
      <w:tr w:rsidR="007F0E03" w:rsidRPr="007F0E03" w:rsidTr="007F0E03">
        <w:trPr>
          <w:trHeight w:val="255"/>
        </w:trPr>
        <w:tc>
          <w:tcPr>
            <w:tcW w:w="5599" w:type="dxa"/>
            <w:tcBorders>
              <w:top w:val="nil"/>
              <w:left w:val="single" w:sz="4" w:space="0" w:color="auto"/>
              <w:bottom w:val="single" w:sz="4" w:space="0" w:color="auto"/>
              <w:right w:val="single" w:sz="4" w:space="0" w:color="auto"/>
            </w:tcBorders>
          </w:tcPr>
          <w:p w:rsidR="007F0E03" w:rsidRPr="007F0E03" w:rsidRDefault="007F0E03" w:rsidP="007F0E03">
            <w:pPr>
              <w:widowControl/>
              <w:adjustRightInd/>
              <w:rPr>
                <w:rFonts w:cs="Times New Roman"/>
                <w:b/>
                <w:bCs/>
              </w:rPr>
            </w:pPr>
            <w:r w:rsidRPr="007F0E03">
              <w:rPr>
                <w:rFonts w:cs="Times New Roman"/>
                <w:b/>
                <w:bCs/>
              </w:rPr>
              <w:t>Poistné a príspevok do poisťovní (620)</w:t>
            </w:r>
          </w:p>
        </w:tc>
        <w:tc>
          <w:tcPr>
            <w:tcW w:w="1676"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0</w:t>
            </w:r>
          </w:p>
        </w:tc>
        <w:tc>
          <w:tcPr>
            <w:tcW w:w="1820"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+49 542</w:t>
            </w:r>
          </w:p>
        </w:tc>
        <w:tc>
          <w:tcPr>
            <w:tcW w:w="2403"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+49 542</w:t>
            </w:r>
          </w:p>
        </w:tc>
        <w:tc>
          <w:tcPr>
            <w:tcW w:w="1820"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+49 542</w:t>
            </w:r>
          </w:p>
        </w:tc>
        <w:tc>
          <w:tcPr>
            <w:tcW w:w="1620" w:type="dxa"/>
            <w:tcBorders>
              <w:top w:val="nil"/>
              <w:left w:val="nil"/>
              <w:bottom w:val="single" w:sz="4" w:space="0" w:color="auto"/>
              <w:right w:val="single" w:sz="4" w:space="0" w:color="auto"/>
            </w:tcBorders>
            <w:noWrap/>
            <w:vAlign w:val="bottom"/>
          </w:tcPr>
          <w:p w:rsidR="007F0E03" w:rsidRPr="007F0E03" w:rsidRDefault="007F0E03" w:rsidP="007F0E03">
            <w:pPr>
              <w:widowControl/>
              <w:adjustRightInd/>
              <w:rPr>
                <w:rFonts w:cs="Times New Roman"/>
                <w:b/>
                <w:bCs/>
              </w:rPr>
            </w:pPr>
            <w:r w:rsidRPr="007F0E03">
              <w:rPr>
                <w:rFonts w:cs="Times New Roman"/>
                <w:b/>
                <w:bCs/>
              </w:rPr>
              <w:t> </w:t>
            </w:r>
          </w:p>
        </w:tc>
      </w:tr>
      <w:tr w:rsidR="007F0E03" w:rsidRPr="007F0E03" w:rsidTr="007F0E03">
        <w:trPr>
          <w:trHeight w:val="255"/>
        </w:trPr>
        <w:tc>
          <w:tcPr>
            <w:tcW w:w="5599" w:type="dxa"/>
            <w:tcBorders>
              <w:top w:val="nil"/>
              <w:left w:val="single" w:sz="4" w:space="0" w:color="auto"/>
              <w:bottom w:val="single" w:sz="4" w:space="0" w:color="auto"/>
              <w:right w:val="single" w:sz="4" w:space="0" w:color="auto"/>
            </w:tcBorders>
          </w:tcPr>
          <w:p w:rsidR="007F0E03" w:rsidRPr="007F0E03" w:rsidRDefault="007F0E03" w:rsidP="007F0E03">
            <w:pPr>
              <w:widowControl/>
              <w:adjustRightInd/>
              <w:rPr>
                <w:rFonts w:cs="Times New Roman"/>
              </w:rPr>
            </w:pPr>
            <w:r w:rsidRPr="007F0E03">
              <w:rPr>
                <w:rFonts w:cs="Times New Roman"/>
                <w:b/>
                <w:bCs/>
              </w:rPr>
              <w:t xml:space="preserve">   z toho vplyv na ŠR</w:t>
            </w:r>
          </w:p>
        </w:tc>
        <w:tc>
          <w:tcPr>
            <w:tcW w:w="1676"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rPr>
            </w:pPr>
            <w:r w:rsidRPr="007F0E03">
              <w:rPr>
                <w:rFonts w:cs="Times New Roman"/>
                <w:b/>
              </w:rPr>
              <w:t>0</w:t>
            </w:r>
          </w:p>
        </w:tc>
        <w:tc>
          <w:tcPr>
            <w:tcW w:w="1820"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+49 542</w:t>
            </w:r>
          </w:p>
        </w:tc>
        <w:tc>
          <w:tcPr>
            <w:tcW w:w="2403"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+49 542</w:t>
            </w:r>
          </w:p>
        </w:tc>
        <w:tc>
          <w:tcPr>
            <w:tcW w:w="1820"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+49 542</w:t>
            </w:r>
          </w:p>
        </w:tc>
        <w:tc>
          <w:tcPr>
            <w:tcW w:w="1620" w:type="dxa"/>
            <w:tcBorders>
              <w:top w:val="nil"/>
              <w:left w:val="nil"/>
              <w:bottom w:val="single" w:sz="4" w:space="0" w:color="auto"/>
              <w:right w:val="single" w:sz="4" w:space="0" w:color="auto"/>
            </w:tcBorders>
            <w:noWrap/>
            <w:vAlign w:val="bottom"/>
          </w:tcPr>
          <w:p w:rsidR="007F0E03" w:rsidRPr="007F0E03" w:rsidRDefault="007F0E03" w:rsidP="007F0E03">
            <w:pPr>
              <w:widowControl/>
              <w:adjustRightInd/>
              <w:rPr>
                <w:rFonts w:cs="Times New Roman"/>
              </w:rPr>
            </w:pPr>
            <w:r w:rsidRPr="007F0E03">
              <w:rPr>
                <w:rFonts w:cs="Times New Roman"/>
              </w:rPr>
              <w:t> </w:t>
            </w:r>
          </w:p>
        </w:tc>
      </w:tr>
    </w:tbl>
    <w:p w:rsidR="007F0E03" w:rsidRPr="007F0E03" w:rsidRDefault="007F0E03" w:rsidP="007F0E03">
      <w:pPr>
        <w:widowControl/>
        <w:adjustRightInd/>
        <w:spacing w:after="200" w:line="276" w:lineRule="auto"/>
        <w:rPr>
          <w:rFonts w:cs="Times New Roman"/>
          <w:b/>
          <w:bCs/>
        </w:rPr>
      </w:pPr>
    </w:p>
    <w:p w:rsidR="007F0E03" w:rsidRPr="00762333" w:rsidRDefault="007F0E03" w:rsidP="007F0E03">
      <w:pPr>
        <w:widowControl/>
        <w:tabs>
          <w:tab w:val="num" w:pos="1080"/>
        </w:tabs>
        <w:adjustRightInd/>
        <w:spacing w:after="120"/>
        <w:ind w:left="-709"/>
        <w:jc w:val="both"/>
        <w:rPr>
          <w:rFonts w:cs="Times New Roman"/>
          <w:bCs/>
          <w:sz w:val="20"/>
          <w:szCs w:val="20"/>
        </w:rPr>
      </w:pPr>
      <w:r w:rsidRPr="00762333">
        <w:rPr>
          <w:rFonts w:cs="Times New Roman"/>
          <w:bCs/>
          <w:sz w:val="20"/>
          <w:szCs w:val="20"/>
        </w:rPr>
        <w:t xml:space="preserve">Tabuľka č.5/2 za subjekt Ministerstvo hospodárstva SR/SOI  – </w:t>
      </w:r>
      <w:r w:rsidRPr="00762333">
        <w:rPr>
          <w:rFonts w:cs="Times New Roman"/>
          <w:b/>
          <w:bCs/>
          <w:sz w:val="20"/>
          <w:szCs w:val="20"/>
        </w:rPr>
        <w:t>T</w:t>
      </w:r>
      <w:r w:rsidRPr="00762333">
        <w:rPr>
          <w:rFonts w:cs="Times New Roman"/>
          <w:b/>
          <w:bCs/>
          <w:iCs/>
          <w:sz w:val="20"/>
          <w:szCs w:val="20"/>
        </w:rPr>
        <w:t xml:space="preserve">abuľka vplyvov na zamestnanosť </w:t>
      </w:r>
      <w:r w:rsidRPr="00762333">
        <w:rPr>
          <w:rFonts w:cs="Times New Roman"/>
          <w:bCs/>
          <w:sz w:val="20"/>
          <w:szCs w:val="20"/>
        </w:rPr>
        <w:t>Zákon č. 351/2022 Z. z.</w:t>
      </w:r>
    </w:p>
    <w:p w:rsidR="007F0E03" w:rsidRPr="007F0E03" w:rsidRDefault="007F0E03" w:rsidP="007F0E03">
      <w:pPr>
        <w:widowControl/>
        <w:tabs>
          <w:tab w:val="num" w:pos="1080"/>
        </w:tabs>
        <w:adjustRightInd/>
        <w:spacing w:after="120"/>
        <w:ind w:left="-709"/>
        <w:jc w:val="both"/>
        <w:rPr>
          <w:rFonts w:cs="Times New Roman"/>
          <w:bCs/>
          <w:sz w:val="20"/>
          <w:szCs w:val="20"/>
        </w:rPr>
      </w:pPr>
    </w:p>
    <w:tbl>
      <w:tblPr>
        <w:tblW w:w="14845" w:type="dxa"/>
        <w:tblInd w:w="-784" w:type="dxa"/>
        <w:tblCellMar>
          <w:left w:w="70" w:type="dxa"/>
          <w:right w:w="70" w:type="dxa"/>
        </w:tblCellMar>
        <w:tblLook w:val="0000" w:firstRow="0" w:lastRow="0" w:firstColumn="0" w:lastColumn="0" w:noHBand="0" w:noVBand="0"/>
      </w:tblPr>
      <w:tblGrid>
        <w:gridCol w:w="5599"/>
        <w:gridCol w:w="1698"/>
        <w:gridCol w:w="1788"/>
        <w:gridCol w:w="2418"/>
        <w:gridCol w:w="1722"/>
        <w:gridCol w:w="1620"/>
      </w:tblGrid>
      <w:tr w:rsidR="007F0E03" w:rsidRPr="007F0E03" w:rsidTr="007F0E03">
        <w:trPr>
          <w:cantSplit/>
          <w:trHeight w:val="255"/>
        </w:trPr>
        <w:tc>
          <w:tcPr>
            <w:tcW w:w="559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F0E03" w:rsidRPr="007F0E03" w:rsidRDefault="007F0E03" w:rsidP="007F0E03">
            <w:pPr>
              <w:widowControl/>
              <w:adjustRightInd/>
              <w:jc w:val="center"/>
              <w:rPr>
                <w:rFonts w:cs="Times New Roman"/>
                <w:b/>
                <w:bCs/>
              </w:rPr>
            </w:pPr>
            <w:r w:rsidRPr="007F0E03">
              <w:rPr>
                <w:rFonts w:cs="Times New Roman"/>
                <w:b/>
                <w:bCs/>
              </w:rPr>
              <w:t>Zamestnanosť</w:t>
            </w:r>
          </w:p>
        </w:tc>
        <w:tc>
          <w:tcPr>
            <w:tcW w:w="7626"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7F0E03" w:rsidRPr="007F0E03" w:rsidRDefault="007F0E03" w:rsidP="007F0E03">
            <w:pPr>
              <w:widowControl/>
              <w:adjustRightInd/>
              <w:jc w:val="center"/>
              <w:rPr>
                <w:rFonts w:cs="Times New Roman"/>
                <w:b/>
                <w:bCs/>
              </w:rPr>
            </w:pPr>
            <w:r w:rsidRPr="007F0E03">
              <w:rPr>
                <w:rFonts w:cs="Times New Roman"/>
                <w:b/>
                <w:bCs/>
              </w:rPr>
              <w:t>Vplyv na rozpočet verejnej správy</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F0E03" w:rsidRPr="007F0E03" w:rsidRDefault="007F0E03" w:rsidP="007F0E03">
            <w:pPr>
              <w:widowControl/>
              <w:adjustRightInd/>
              <w:jc w:val="center"/>
              <w:rPr>
                <w:rFonts w:cs="Times New Roman"/>
                <w:b/>
                <w:bCs/>
              </w:rPr>
            </w:pPr>
            <w:r w:rsidRPr="007F0E03">
              <w:rPr>
                <w:rFonts w:cs="Times New Roman"/>
                <w:b/>
                <w:bCs/>
              </w:rPr>
              <w:t>poznámka</w:t>
            </w:r>
          </w:p>
        </w:tc>
      </w:tr>
      <w:tr w:rsidR="007F0E03" w:rsidRPr="007F0E03" w:rsidTr="007F0E03">
        <w:trPr>
          <w:cantSplit/>
          <w:trHeight w:val="255"/>
        </w:trPr>
        <w:tc>
          <w:tcPr>
            <w:tcW w:w="559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F0E03" w:rsidRPr="007F0E03" w:rsidRDefault="007F0E03" w:rsidP="007F0E03">
            <w:pPr>
              <w:widowControl/>
              <w:adjustRightInd/>
              <w:rPr>
                <w:rFonts w:cs="Times New Roman"/>
                <w:b/>
                <w:bCs/>
              </w:rPr>
            </w:pPr>
          </w:p>
        </w:tc>
        <w:tc>
          <w:tcPr>
            <w:tcW w:w="1698" w:type="dxa"/>
            <w:tcBorders>
              <w:top w:val="nil"/>
              <w:left w:val="nil"/>
              <w:bottom w:val="single" w:sz="4" w:space="0" w:color="auto"/>
              <w:right w:val="single" w:sz="4" w:space="0" w:color="auto"/>
            </w:tcBorders>
            <w:shd w:val="clear" w:color="auto" w:fill="BFBFBF" w:themeFill="background1" w:themeFillShade="BF"/>
          </w:tcPr>
          <w:p w:rsidR="007F0E03" w:rsidRPr="007F0E03" w:rsidRDefault="007F0E03" w:rsidP="007F0E03">
            <w:pPr>
              <w:widowControl/>
              <w:adjustRightInd/>
              <w:jc w:val="center"/>
              <w:rPr>
                <w:rFonts w:cs="Times New Roman"/>
                <w:b/>
                <w:bCs/>
              </w:rPr>
            </w:pPr>
            <w:r w:rsidRPr="007F0E03">
              <w:rPr>
                <w:rFonts w:cs="Times New Roman"/>
                <w:b/>
                <w:bCs/>
              </w:rPr>
              <w:t>2025</w:t>
            </w:r>
          </w:p>
        </w:tc>
        <w:tc>
          <w:tcPr>
            <w:tcW w:w="1788" w:type="dxa"/>
            <w:tcBorders>
              <w:top w:val="nil"/>
              <w:left w:val="nil"/>
              <w:bottom w:val="single" w:sz="4" w:space="0" w:color="auto"/>
              <w:right w:val="single" w:sz="4" w:space="0" w:color="auto"/>
            </w:tcBorders>
            <w:shd w:val="clear" w:color="auto" w:fill="BFBFBF" w:themeFill="background1" w:themeFillShade="BF"/>
          </w:tcPr>
          <w:p w:rsidR="007F0E03" w:rsidRPr="007F0E03" w:rsidRDefault="007F0E03" w:rsidP="007F0E03">
            <w:pPr>
              <w:widowControl/>
              <w:adjustRightInd/>
              <w:jc w:val="center"/>
              <w:rPr>
                <w:rFonts w:cs="Times New Roman"/>
                <w:b/>
                <w:bCs/>
              </w:rPr>
            </w:pPr>
            <w:r w:rsidRPr="007F0E03">
              <w:rPr>
                <w:rFonts w:cs="Times New Roman"/>
                <w:b/>
                <w:bCs/>
              </w:rPr>
              <w:t>2026</w:t>
            </w:r>
          </w:p>
        </w:tc>
        <w:tc>
          <w:tcPr>
            <w:tcW w:w="2418" w:type="dxa"/>
            <w:tcBorders>
              <w:top w:val="nil"/>
              <w:left w:val="nil"/>
              <w:bottom w:val="single" w:sz="4" w:space="0" w:color="auto"/>
              <w:right w:val="single" w:sz="4" w:space="0" w:color="auto"/>
            </w:tcBorders>
            <w:shd w:val="clear" w:color="auto" w:fill="BFBFBF" w:themeFill="background1" w:themeFillShade="BF"/>
          </w:tcPr>
          <w:p w:rsidR="007F0E03" w:rsidRPr="007F0E03" w:rsidRDefault="007F0E03" w:rsidP="007F0E03">
            <w:pPr>
              <w:widowControl/>
              <w:adjustRightInd/>
              <w:jc w:val="center"/>
              <w:rPr>
                <w:rFonts w:cs="Times New Roman"/>
                <w:b/>
                <w:bCs/>
              </w:rPr>
            </w:pPr>
            <w:r w:rsidRPr="007F0E03">
              <w:rPr>
                <w:rFonts w:cs="Times New Roman"/>
                <w:b/>
                <w:bCs/>
              </w:rPr>
              <w:t>2027</w:t>
            </w:r>
          </w:p>
        </w:tc>
        <w:tc>
          <w:tcPr>
            <w:tcW w:w="1722" w:type="dxa"/>
            <w:tcBorders>
              <w:top w:val="nil"/>
              <w:left w:val="nil"/>
              <w:bottom w:val="single" w:sz="4" w:space="0" w:color="auto"/>
              <w:right w:val="single" w:sz="4" w:space="0" w:color="auto"/>
            </w:tcBorders>
            <w:shd w:val="clear" w:color="auto" w:fill="BFBFBF" w:themeFill="background1" w:themeFillShade="BF"/>
          </w:tcPr>
          <w:p w:rsidR="007F0E03" w:rsidRPr="007F0E03" w:rsidRDefault="007F0E03" w:rsidP="007F0E03">
            <w:pPr>
              <w:widowControl/>
              <w:adjustRightInd/>
              <w:jc w:val="center"/>
              <w:rPr>
                <w:rFonts w:cs="Times New Roman"/>
                <w:b/>
                <w:bCs/>
              </w:rPr>
            </w:pPr>
            <w:r w:rsidRPr="007F0E03">
              <w:rPr>
                <w:rFonts w:cs="Times New Roman"/>
                <w:b/>
                <w:bCs/>
              </w:rPr>
              <w:t>2028</w:t>
            </w:r>
          </w:p>
        </w:tc>
        <w:tc>
          <w:tcPr>
            <w:tcW w:w="162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F0E03" w:rsidRPr="007F0E03" w:rsidRDefault="007F0E03" w:rsidP="007F0E03">
            <w:pPr>
              <w:widowControl/>
              <w:adjustRightInd/>
              <w:rPr>
                <w:rFonts w:cs="Times New Roman"/>
                <w:b/>
                <w:bCs/>
              </w:rPr>
            </w:pPr>
          </w:p>
        </w:tc>
      </w:tr>
      <w:tr w:rsidR="007F0E03" w:rsidRPr="007F0E03" w:rsidTr="007F0E03">
        <w:trPr>
          <w:trHeight w:val="255"/>
        </w:trPr>
        <w:tc>
          <w:tcPr>
            <w:tcW w:w="5599" w:type="dxa"/>
            <w:tcBorders>
              <w:top w:val="nil"/>
              <w:left w:val="single" w:sz="4" w:space="0" w:color="auto"/>
              <w:bottom w:val="single" w:sz="4" w:space="0" w:color="auto"/>
              <w:right w:val="single" w:sz="4" w:space="0" w:color="auto"/>
            </w:tcBorders>
          </w:tcPr>
          <w:p w:rsidR="007F0E03" w:rsidRPr="007F0E03" w:rsidRDefault="007F0E03" w:rsidP="007F0E03">
            <w:pPr>
              <w:widowControl/>
              <w:adjustRightInd/>
              <w:rPr>
                <w:rFonts w:cs="Times New Roman"/>
                <w:b/>
                <w:bCs/>
              </w:rPr>
            </w:pPr>
            <w:r w:rsidRPr="007F0E03">
              <w:rPr>
                <w:rFonts w:cs="Times New Roman"/>
                <w:b/>
                <w:bCs/>
              </w:rPr>
              <w:t>Počet zamestnancov celkom</w:t>
            </w:r>
          </w:p>
        </w:tc>
        <w:tc>
          <w:tcPr>
            <w:tcW w:w="1698"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0</w:t>
            </w:r>
          </w:p>
        </w:tc>
        <w:tc>
          <w:tcPr>
            <w:tcW w:w="1788"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+6</w:t>
            </w:r>
          </w:p>
        </w:tc>
        <w:tc>
          <w:tcPr>
            <w:tcW w:w="2418"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+6</w:t>
            </w:r>
          </w:p>
        </w:tc>
        <w:tc>
          <w:tcPr>
            <w:tcW w:w="1722"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+6</w:t>
            </w:r>
          </w:p>
        </w:tc>
        <w:tc>
          <w:tcPr>
            <w:tcW w:w="1620" w:type="dxa"/>
            <w:tcBorders>
              <w:top w:val="nil"/>
              <w:left w:val="nil"/>
              <w:bottom w:val="single" w:sz="4" w:space="0" w:color="auto"/>
              <w:right w:val="single" w:sz="4" w:space="0" w:color="auto"/>
            </w:tcBorders>
            <w:noWrap/>
            <w:vAlign w:val="bottom"/>
          </w:tcPr>
          <w:p w:rsidR="007F0E03" w:rsidRPr="007F0E03" w:rsidRDefault="007F0E03" w:rsidP="007F0E03">
            <w:pPr>
              <w:widowControl/>
              <w:adjustRightInd/>
              <w:rPr>
                <w:rFonts w:cs="Times New Roman"/>
              </w:rPr>
            </w:pPr>
            <w:r w:rsidRPr="007F0E03">
              <w:rPr>
                <w:rFonts w:cs="Times New Roman"/>
              </w:rPr>
              <w:t> </w:t>
            </w:r>
          </w:p>
        </w:tc>
      </w:tr>
      <w:tr w:rsidR="007F0E03" w:rsidRPr="007F0E03" w:rsidTr="007F0E03">
        <w:trPr>
          <w:trHeight w:val="255"/>
        </w:trPr>
        <w:tc>
          <w:tcPr>
            <w:tcW w:w="5599" w:type="dxa"/>
            <w:tcBorders>
              <w:top w:val="nil"/>
              <w:left w:val="single" w:sz="4" w:space="0" w:color="auto"/>
              <w:bottom w:val="single" w:sz="4" w:space="0" w:color="auto"/>
              <w:right w:val="single" w:sz="4" w:space="0" w:color="auto"/>
            </w:tcBorders>
          </w:tcPr>
          <w:p w:rsidR="007F0E03" w:rsidRPr="007F0E03" w:rsidRDefault="007F0E03" w:rsidP="007F0E03">
            <w:pPr>
              <w:widowControl/>
              <w:adjustRightInd/>
              <w:rPr>
                <w:rFonts w:cs="Times New Roman"/>
                <w:b/>
                <w:bCs/>
              </w:rPr>
            </w:pPr>
            <w:r w:rsidRPr="007F0E03">
              <w:rPr>
                <w:rFonts w:cs="Times New Roman"/>
                <w:b/>
                <w:bCs/>
              </w:rPr>
              <w:t xml:space="preserve">   z toho vplyv na ŠR</w:t>
            </w:r>
          </w:p>
        </w:tc>
        <w:tc>
          <w:tcPr>
            <w:tcW w:w="1698" w:type="dxa"/>
            <w:tcBorders>
              <w:top w:val="single" w:sz="4" w:space="0" w:color="auto"/>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0</w:t>
            </w:r>
          </w:p>
        </w:tc>
        <w:tc>
          <w:tcPr>
            <w:tcW w:w="1788" w:type="dxa"/>
            <w:tcBorders>
              <w:top w:val="single" w:sz="4" w:space="0" w:color="auto"/>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+6</w:t>
            </w:r>
          </w:p>
        </w:tc>
        <w:tc>
          <w:tcPr>
            <w:tcW w:w="2418" w:type="dxa"/>
            <w:tcBorders>
              <w:top w:val="single" w:sz="4" w:space="0" w:color="auto"/>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+6</w:t>
            </w:r>
          </w:p>
        </w:tc>
        <w:tc>
          <w:tcPr>
            <w:tcW w:w="1722" w:type="dxa"/>
            <w:tcBorders>
              <w:top w:val="single" w:sz="4" w:space="0" w:color="auto"/>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+6</w:t>
            </w:r>
          </w:p>
        </w:tc>
        <w:tc>
          <w:tcPr>
            <w:tcW w:w="1620" w:type="dxa"/>
            <w:tcBorders>
              <w:top w:val="nil"/>
              <w:left w:val="nil"/>
              <w:bottom w:val="single" w:sz="4" w:space="0" w:color="auto"/>
              <w:right w:val="single" w:sz="4" w:space="0" w:color="auto"/>
            </w:tcBorders>
            <w:noWrap/>
            <w:vAlign w:val="bottom"/>
          </w:tcPr>
          <w:p w:rsidR="007F0E03" w:rsidRPr="007F0E03" w:rsidRDefault="007F0E03" w:rsidP="007F0E03">
            <w:pPr>
              <w:widowControl/>
              <w:adjustRightInd/>
              <w:rPr>
                <w:rFonts w:cs="Times New Roman"/>
              </w:rPr>
            </w:pPr>
          </w:p>
        </w:tc>
      </w:tr>
      <w:tr w:rsidR="007F0E03" w:rsidRPr="007F0E03" w:rsidTr="007F0E03">
        <w:trPr>
          <w:trHeight w:val="255"/>
        </w:trPr>
        <w:tc>
          <w:tcPr>
            <w:tcW w:w="5599" w:type="dxa"/>
            <w:tcBorders>
              <w:top w:val="nil"/>
              <w:left w:val="single" w:sz="4" w:space="0" w:color="auto"/>
              <w:bottom w:val="single" w:sz="4" w:space="0" w:color="auto"/>
              <w:right w:val="single" w:sz="4" w:space="0" w:color="auto"/>
            </w:tcBorders>
          </w:tcPr>
          <w:p w:rsidR="007F0E03" w:rsidRPr="007F0E03" w:rsidRDefault="007F0E03" w:rsidP="007F0E03">
            <w:pPr>
              <w:widowControl/>
              <w:adjustRightInd/>
              <w:rPr>
                <w:rFonts w:cs="Times New Roman"/>
                <w:b/>
                <w:bCs/>
              </w:rPr>
            </w:pPr>
            <w:r w:rsidRPr="007F0E03">
              <w:rPr>
                <w:rFonts w:cs="Times New Roman"/>
                <w:b/>
                <w:bCs/>
              </w:rPr>
              <w:t>Priemerný mzdový výdavok (v eurách)</w:t>
            </w:r>
          </w:p>
        </w:tc>
        <w:tc>
          <w:tcPr>
            <w:tcW w:w="1698" w:type="dxa"/>
            <w:tcBorders>
              <w:top w:val="single" w:sz="4" w:space="0" w:color="auto"/>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0</w:t>
            </w:r>
          </w:p>
        </w:tc>
        <w:tc>
          <w:tcPr>
            <w:tcW w:w="1788" w:type="dxa"/>
            <w:tcBorders>
              <w:top w:val="single" w:sz="4" w:space="0" w:color="auto"/>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+1 714</w:t>
            </w:r>
          </w:p>
        </w:tc>
        <w:tc>
          <w:tcPr>
            <w:tcW w:w="2418" w:type="dxa"/>
            <w:tcBorders>
              <w:top w:val="single" w:sz="4" w:space="0" w:color="auto"/>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+1 714</w:t>
            </w:r>
          </w:p>
        </w:tc>
        <w:tc>
          <w:tcPr>
            <w:tcW w:w="1722" w:type="dxa"/>
            <w:tcBorders>
              <w:top w:val="single" w:sz="4" w:space="0" w:color="auto"/>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+1 714</w:t>
            </w:r>
          </w:p>
        </w:tc>
        <w:tc>
          <w:tcPr>
            <w:tcW w:w="1620" w:type="dxa"/>
            <w:tcBorders>
              <w:top w:val="nil"/>
              <w:left w:val="nil"/>
              <w:bottom w:val="single" w:sz="4" w:space="0" w:color="auto"/>
              <w:right w:val="single" w:sz="4" w:space="0" w:color="auto"/>
            </w:tcBorders>
            <w:noWrap/>
            <w:vAlign w:val="bottom"/>
          </w:tcPr>
          <w:p w:rsidR="007F0E03" w:rsidRPr="007F0E03" w:rsidRDefault="007F0E03" w:rsidP="007F0E03">
            <w:pPr>
              <w:widowControl/>
              <w:adjustRightInd/>
              <w:rPr>
                <w:rFonts w:cs="Times New Roman"/>
              </w:rPr>
            </w:pPr>
            <w:r w:rsidRPr="007F0E03">
              <w:rPr>
                <w:rFonts w:cs="Times New Roman"/>
              </w:rPr>
              <w:t> </w:t>
            </w:r>
          </w:p>
        </w:tc>
      </w:tr>
      <w:tr w:rsidR="007F0E03" w:rsidRPr="007F0E03" w:rsidTr="007F0E03">
        <w:trPr>
          <w:trHeight w:val="255"/>
        </w:trPr>
        <w:tc>
          <w:tcPr>
            <w:tcW w:w="5599" w:type="dxa"/>
            <w:tcBorders>
              <w:top w:val="nil"/>
              <w:left w:val="single" w:sz="4" w:space="0" w:color="auto"/>
              <w:bottom w:val="single" w:sz="4" w:space="0" w:color="auto"/>
              <w:right w:val="single" w:sz="4" w:space="0" w:color="auto"/>
            </w:tcBorders>
          </w:tcPr>
          <w:p w:rsidR="007F0E03" w:rsidRPr="007F0E03" w:rsidRDefault="007F0E03" w:rsidP="007F0E03">
            <w:pPr>
              <w:widowControl/>
              <w:adjustRightInd/>
              <w:rPr>
                <w:rFonts w:cs="Times New Roman"/>
              </w:rPr>
            </w:pPr>
            <w:r w:rsidRPr="007F0E03">
              <w:rPr>
                <w:rFonts w:cs="Times New Roman"/>
                <w:b/>
                <w:bCs/>
              </w:rPr>
              <w:t xml:space="preserve">   z toho vplyv na ŠR</w:t>
            </w:r>
          </w:p>
        </w:tc>
        <w:tc>
          <w:tcPr>
            <w:tcW w:w="1698" w:type="dxa"/>
            <w:tcBorders>
              <w:top w:val="single" w:sz="4" w:space="0" w:color="auto"/>
              <w:left w:val="nil"/>
              <w:bottom w:val="single" w:sz="4" w:space="0" w:color="auto"/>
              <w:right w:val="single" w:sz="4" w:space="0" w:color="auto"/>
            </w:tcBorders>
          </w:tcPr>
          <w:p w:rsidR="007F0E03" w:rsidRPr="007F0E03" w:rsidRDefault="007F0E03" w:rsidP="007F0E03">
            <w:pPr>
              <w:widowControl/>
              <w:adjustRightInd/>
              <w:jc w:val="center"/>
              <w:rPr>
                <w:rFonts w:cs="Times New Roman"/>
                <w:b/>
              </w:rPr>
            </w:pPr>
            <w:r w:rsidRPr="007F0E03">
              <w:rPr>
                <w:rFonts w:cs="Times New Roman"/>
                <w:b/>
              </w:rPr>
              <w:t>0</w:t>
            </w:r>
          </w:p>
        </w:tc>
        <w:tc>
          <w:tcPr>
            <w:tcW w:w="1788" w:type="dxa"/>
            <w:tcBorders>
              <w:top w:val="single" w:sz="4" w:space="0" w:color="auto"/>
              <w:left w:val="nil"/>
              <w:bottom w:val="single" w:sz="4" w:space="0" w:color="auto"/>
              <w:right w:val="single" w:sz="4" w:space="0" w:color="auto"/>
            </w:tcBorders>
          </w:tcPr>
          <w:p w:rsidR="007F0E03" w:rsidRPr="007F0E03" w:rsidRDefault="007F0E03" w:rsidP="007F0E03">
            <w:pPr>
              <w:widowControl/>
              <w:adjustRightInd/>
              <w:jc w:val="center"/>
              <w:rPr>
                <w:rFonts w:cs="Times New Roman"/>
                <w:b/>
              </w:rPr>
            </w:pPr>
            <w:r w:rsidRPr="007F0E03">
              <w:rPr>
                <w:rFonts w:cs="Times New Roman"/>
                <w:b/>
                <w:bCs/>
              </w:rPr>
              <w:t>+1 714</w:t>
            </w:r>
          </w:p>
        </w:tc>
        <w:tc>
          <w:tcPr>
            <w:tcW w:w="2418" w:type="dxa"/>
            <w:tcBorders>
              <w:top w:val="single" w:sz="4" w:space="0" w:color="auto"/>
              <w:left w:val="nil"/>
              <w:bottom w:val="single" w:sz="4" w:space="0" w:color="auto"/>
              <w:right w:val="single" w:sz="4" w:space="0" w:color="auto"/>
            </w:tcBorders>
          </w:tcPr>
          <w:p w:rsidR="007F0E03" w:rsidRPr="007F0E03" w:rsidRDefault="007F0E03" w:rsidP="007F0E03">
            <w:pPr>
              <w:widowControl/>
              <w:adjustRightInd/>
              <w:jc w:val="center"/>
              <w:rPr>
                <w:rFonts w:cs="Times New Roman"/>
                <w:b/>
              </w:rPr>
            </w:pPr>
            <w:r w:rsidRPr="007F0E03">
              <w:rPr>
                <w:rFonts w:cs="Times New Roman"/>
                <w:b/>
                <w:bCs/>
              </w:rPr>
              <w:t>+1 714</w:t>
            </w:r>
          </w:p>
        </w:tc>
        <w:tc>
          <w:tcPr>
            <w:tcW w:w="1722" w:type="dxa"/>
            <w:tcBorders>
              <w:top w:val="single" w:sz="4" w:space="0" w:color="auto"/>
              <w:left w:val="nil"/>
              <w:bottom w:val="single" w:sz="4" w:space="0" w:color="auto"/>
              <w:right w:val="single" w:sz="4" w:space="0" w:color="auto"/>
            </w:tcBorders>
          </w:tcPr>
          <w:p w:rsidR="007F0E03" w:rsidRPr="007F0E03" w:rsidRDefault="007F0E03" w:rsidP="007F0E03">
            <w:pPr>
              <w:widowControl/>
              <w:adjustRightInd/>
              <w:jc w:val="center"/>
              <w:rPr>
                <w:rFonts w:cs="Times New Roman"/>
                <w:b/>
              </w:rPr>
            </w:pPr>
            <w:r w:rsidRPr="007F0E03">
              <w:rPr>
                <w:rFonts w:cs="Times New Roman"/>
                <w:b/>
                <w:bCs/>
              </w:rPr>
              <w:t>+1 714</w:t>
            </w:r>
          </w:p>
        </w:tc>
        <w:tc>
          <w:tcPr>
            <w:tcW w:w="1620" w:type="dxa"/>
            <w:tcBorders>
              <w:top w:val="nil"/>
              <w:left w:val="nil"/>
              <w:bottom w:val="single" w:sz="4" w:space="0" w:color="auto"/>
              <w:right w:val="single" w:sz="4" w:space="0" w:color="auto"/>
            </w:tcBorders>
            <w:noWrap/>
            <w:vAlign w:val="bottom"/>
          </w:tcPr>
          <w:p w:rsidR="007F0E03" w:rsidRPr="007F0E03" w:rsidRDefault="007F0E03" w:rsidP="007F0E03">
            <w:pPr>
              <w:widowControl/>
              <w:adjustRightInd/>
              <w:rPr>
                <w:rFonts w:cs="Times New Roman"/>
              </w:rPr>
            </w:pPr>
            <w:r w:rsidRPr="007F0E03">
              <w:rPr>
                <w:rFonts w:cs="Times New Roman"/>
              </w:rPr>
              <w:t> </w:t>
            </w:r>
          </w:p>
        </w:tc>
      </w:tr>
      <w:tr w:rsidR="007F0E03" w:rsidRPr="007F0E03" w:rsidTr="007F0E03">
        <w:trPr>
          <w:trHeight w:val="255"/>
        </w:trPr>
        <w:tc>
          <w:tcPr>
            <w:tcW w:w="5599" w:type="dxa"/>
            <w:tcBorders>
              <w:top w:val="nil"/>
              <w:left w:val="single" w:sz="4" w:space="0" w:color="auto"/>
              <w:bottom w:val="single" w:sz="4" w:space="0" w:color="auto"/>
              <w:right w:val="single" w:sz="4" w:space="0" w:color="auto"/>
            </w:tcBorders>
            <w:shd w:val="clear" w:color="auto" w:fill="BFBFBF" w:themeFill="background1" w:themeFillShade="BF"/>
          </w:tcPr>
          <w:p w:rsidR="007F0E03" w:rsidRPr="007F0E03" w:rsidRDefault="007F0E03" w:rsidP="007F0E03">
            <w:pPr>
              <w:widowControl/>
              <w:adjustRightInd/>
              <w:rPr>
                <w:rFonts w:cs="Times New Roman"/>
                <w:b/>
                <w:bCs/>
              </w:rPr>
            </w:pPr>
            <w:r w:rsidRPr="007F0E03">
              <w:rPr>
                <w:rFonts w:cs="Times New Roman"/>
                <w:b/>
                <w:bCs/>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7F0E03" w:rsidRPr="007F0E03" w:rsidRDefault="007F0E03" w:rsidP="007F0E03">
            <w:pPr>
              <w:widowControl/>
              <w:adjustRightInd/>
              <w:jc w:val="center"/>
              <w:rPr>
                <w:rFonts w:cs="Times New Roman"/>
                <w:b/>
                <w:bCs/>
              </w:rPr>
            </w:pPr>
            <w:r w:rsidRPr="007F0E03">
              <w:rPr>
                <w:rFonts w:cs="Times New Roman"/>
                <w:b/>
                <w:bCs/>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7F0E03" w:rsidRPr="007F0E03" w:rsidRDefault="007F0E03" w:rsidP="007F0E03">
            <w:pPr>
              <w:widowControl/>
              <w:adjustRightInd/>
              <w:jc w:val="center"/>
              <w:rPr>
                <w:rFonts w:cs="Times New Roman"/>
                <w:b/>
                <w:bCs/>
              </w:rPr>
            </w:pPr>
            <w:r w:rsidRPr="007F0E03">
              <w:rPr>
                <w:rFonts w:cs="Times New Roman"/>
                <w:b/>
                <w:bCs/>
              </w:rPr>
              <w:t>+167 773</w:t>
            </w:r>
          </w:p>
        </w:tc>
        <w:tc>
          <w:tcPr>
            <w:tcW w:w="2418" w:type="dxa"/>
            <w:tcBorders>
              <w:top w:val="nil"/>
              <w:left w:val="nil"/>
              <w:bottom w:val="single" w:sz="4" w:space="0" w:color="auto"/>
              <w:right w:val="single" w:sz="4" w:space="0" w:color="auto"/>
            </w:tcBorders>
            <w:shd w:val="clear" w:color="auto" w:fill="BFBFBF" w:themeFill="background1" w:themeFillShade="BF"/>
          </w:tcPr>
          <w:p w:rsidR="007F0E03" w:rsidRPr="007F0E03" w:rsidRDefault="007F0E03" w:rsidP="007F0E03">
            <w:pPr>
              <w:widowControl/>
              <w:adjustRightInd/>
              <w:jc w:val="center"/>
              <w:rPr>
                <w:rFonts w:cs="Times New Roman"/>
                <w:b/>
                <w:bCs/>
              </w:rPr>
            </w:pPr>
            <w:r w:rsidRPr="007F0E03">
              <w:rPr>
                <w:rFonts w:cs="Times New Roman"/>
                <w:b/>
                <w:bCs/>
              </w:rPr>
              <w:t>+167 773</w:t>
            </w:r>
          </w:p>
        </w:tc>
        <w:tc>
          <w:tcPr>
            <w:tcW w:w="1722" w:type="dxa"/>
            <w:tcBorders>
              <w:top w:val="nil"/>
              <w:left w:val="nil"/>
              <w:bottom w:val="single" w:sz="4" w:space="0" w:color="auto"/>
              <w:right w:val="single" w:sz="4" w:space="0" w:color="auto"/>
            </w:tcBorders>
            <w:shd w:val="clear" w:color="auto" w:fill="BFBFBF" w:themeFill="background1" w:themeFillShade="BF"/>
          </w:tcPr>
          <w:p w:rsidR="007F0E03" w:rsidRPr="007F0E03" w:rsidRDefault="007F0E03" w:rsidP="007F0E03">
            <w:pPr>
              <w:widowControl/>
              <w:adjustRightInd/>
              <w:jc w:val="center"/>
              <w:rPr>
                <w:rFonts w:cs="Times New Roman"/>
                <w:b/>
                <w:bCs/>
              </w:rPr>
            </w:pPr>
            <w:r w:rsidRPr="007F0E03">
              <w:rPr>
                <w:rFonts w:cs="Times New Roman"/>
                <w:b/>
                <w:bCs/>
              </w:rPr>
              <w:t>+167 773</w:t>
            </w:r>
          </w:p>
        </w:tc>
        <w:tc>
          <w:tcPr>
            <w:tcW w:w="1620" w:type="dxa"/>
            <w:tcBorders>
              <w:top w:val="nil"/>
              <w:left w:val="nil"/>
              <w:bottom w:val="single" w:sz="4" w:space="0" w:color="auto"/>
              <w:right w:val="single" w:sz="4" w:space="0" w:color="auto"/>
            </w:tcBorders>
            <w:shd w:val="clear" w:color="auto" w:fill="BFBFBF" w:themeFill="background1" w:themeFillShade="BF"/>
            <w:noWrap/>
            <w:vAlign w:val="bottom"/>
          </w:tcPr>
          <w:p w:rsidR="007F0E03" w:rsidRPr="007F0E03" w:rsidRDefault="007F0E03" w:rsidP="007F0E03">
            <w:pPr>
              <w:widowControl/>
              <w:adjustRightInd/>
              <w:rPr>
                <w:rFonts w:cs="Times New Roman"/>
                <w:b/>
                <w:bCs/>
              </w:rPr>
            </w:pPr>
            <w:r w:rsidRPr="007F0E03">
              <w:rPr>
                <w:rFonts w:cs="Times New Roman"/>
                <w:b/>
                <w:bCs/>
              </w:rPr>
              <w:t> </w:t>
            </w:r>
          </w:p>
        </w:tc>
      </w:tr>
      <w:tr w:rsidR="007F0E03" w:rsidRPr="007F0E03" w:rsidTr="007F0E03">
        <w:trPr>
          <w:trHeight w:val="255"/>
        </w:trPr>
        <w:tc>
          <w:tcPr>
            <w:tcW w:w="5599" w:type="dxa"/>
            <w:tcBorders>
              <w:top w:val="nil"/>
              <w:left w:val="single" w:sz="4" w:space="0" w:color="auto"/>
              <w:bottom w:val="single" w:sz="4" w:space="0" w:color="auto"/>
              <w:right w:val="single" w:sz="4" w:space="0" w:color="auto"/>
            </w:tcBorders>
          </w:tcPr>
          <w:p w:rsidR="007F0E03" w:rsidRPr="007F0E03" w:rsidRDefault="007F0E03" w:rsidP="007F0E03">
            <w:pPr>
              <w:widowControl/>
              <w:adjustRightInd/>
              <w:rPr>
                <w:rFonts w:cs="Times New Roman"/>
                <w:b/>
                <w:bCs/>
              </w:rPr>
            </w:pPr>
            <w:r w:rsidRPr="007F0E03">
              <w:rPr>
                <w:rFonts w:cs="Times New Roman"/>
                <w:b/>
                <w:bCs/>
              </w:rPr>
              <w:t>Mzdy, platy, služobné príjmy a ostatné osobné vyrovnania (610)</w:t>
            </w:r>
          </w:p>
        </w:tc>
        <w:tc>
          <w:tcPr>
            <w:tcW w:w="1698"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0</w:t>
            </w:r>
          </w:p>
        </w:tc>
        <w:tc>
          <w:tcPr>
            <w:tcW w:w="1788" w:type="dxa"/>
            <w:tcBorders>
              <w:top w:val="nil"/>
              <w:left w:val="nil"/>
              <w:bottom w:val="single" w:sz="4" w:space="0" w:color="auto"/>
              <w:right w:val="single" w:sz="4" w:space="0" w:color="auto"/>
            </w:tcBorders>
            <w:vAlign w:val="center"/>
          </w:tcPr>
          <w:p w:rsidR="007F0E03" w:rsidRPr="007F0E03" w:rsidRDefault="007F0E03" w:rsidP="007F0E03">
            <w:pPr>
              <w:widowControl/>
              <w:adjustRightInd/>
              <w:jc w:val="center"/>
              <w:rPr>
                <w:rFonts w:cs="Times New Roman"/>
                <w:b/>
                <w:bCs/>
              </w:rPr>
            </w:pPr>
            <w:r w:rsidRPr="007F0E03">
              <w:rPr>
                <w:rFonts w:cs="Times New Roman"/>
                <w:b/>
                <w:bCs/>
              </w:rPr>
              <w:t>+123 408</w:t>
            </w:r>
          </w:p>
        </w:tc>
        <w:tc>
          <w:tcPr>
            <w:tcW w:w="2418" w:type="dxa"/>
            <w:tcBorders>
              <w:top w:val="nil"/>
              <w:left w:val="nil"/>
              <w:bottom w:val="single" w:sz="4" w:space="0" w:color="auto"/>
              <w:right w:val="single" w:sz="4" w:space="0" w:color="auto"/>
            </w:tcBorders>
            <w:vAlign w:val="center"/>
          </w:tcPr>
          <w:p w:rsidR="007F0E03" w:rsidRPr="007F0E03" w:rsidRDefault="007F0E03" w:rsidP="007F0E03">
            <w:pPr>
              <w:widowControl/>
              <w:adjustRightInd/>
              <w:jc w:val="center"/>
              <w:rPr>
                <w:rFonts w:cs="Times New Roman"/>
                <w:b/>
                <w:bCs/>
              </w:rPr>
            </w:pPr>
            <w:r w:rsidRPr="007F0E03">
              <w:rPr>
                <w:rFonts w:cs="Times New Roman"/>
                <w:b/>
                <w:bCs/>
              </w:rPr>
              <w:t>+123 408</w:t>
            </w:r>
          </w:p>
        </w:tc>
        <w:tc>
          <w:tcPr>
            <w:tcW w:w="1722" w:type="dxa"/>
            <w:tcBorders>
              <w:top w:val="nil"/>
              <w:left w:val="nil"/>
              <w:bottom w:val="single" w:sz="4" w:space="0" w:color="auto"/>
              <w:right w:val="single" w:sz="4" w:space="0" w:color="auto"/>
            </w:tcBorders>
            <w:vAlign w:val="center"/>
          </w:tcPr>
          <w:p w:rsidR="007F0E03" w:rsidRPr="007F0E03" w:rsidRDefault="007F0E03" w:rsidP="007F0E03">
            <w:pPr>
              <w:widowControl/>
              <w:adjustRightInd/>
              <w:jc w:val="center"/>
              <w:rPr>
                <w:rFonts w:cs="Times New Roman"/>
                <w:b/>
                <w:bCs/>
              </w:rPr>
            </w:pPr>
            <w:r w:rsidRPr="007F0E03">
              <w:rPr>
                <w:rFonts w:cs="Times New Roman"/>
                <w:b/>
                <w:bCs/>
              </w:rPr>
              <w:t>+123 408</w:t>
            </w:r>
          </w:p>
        </w:tc>
        <w:tc>
          <w:tcPr>
            <w:tcW w:w="1620" w:type="dxa"/>
            <w:tcBorders>
              <w:top w:val="nil"/>
              <w:left w:val="nil"/>
              <w:bottom w:val="single" w:sz="4" w:space="0" w:color="auto"/>
              <w:right w:val="single" w:sz="4" w:space="0" w:color="auto"/>
            </w:tcBorders>
            <w:noWrap/>
            <w:vAlign w:val="bottom"/>
          </w:tcPr>
          <w:p w:rsidR="007F0E03" w:rsidRPr="007F0E03" w:rsidRDefault="007F0E03" w:rsidP="007F0E03">
            <w:pPr>
              <w:widowControl/>
              <w:adjustRightInd/>
              <w:rPr>
                <w:rFonts w:cs="Times New Roman"/>
                <w:b/>
                <w:bCs/>
              </w:rPr>
            </w:pPr>
            <w:r w:rsidRPr="007F0E03">
              <w:rPr>
                <w:rFonts w:cs="Times New Roman"/>
                <w:b/>
                <w:bCs/>
              </w:rPr>
              <w:t> </w:t>
            </w:r>
          </w:p>
        </w:tc>
      </w:tr>
      <w:tr w:rsidR="007F0E03" w:rsidRPr="007F0E03" w:rsidTr="007F0E03">
        <w:trPr>
          <w:trHeight w:val="255"/>
        </w:trPr>
        <w:tc>
          <w:tcPr>
            <w:tcW w:w="5599" w:type="dxa"/>
            <w:tcBorders>
              <w:top w:val="nil"/>
              <w:left w:val="single" w:sz="4" w:space="0" w:color="auto"/>
              <w:bottom w:val="single" w:sz="4" w:space="0" w:color="auto"/>
              <w:right w:val="single" w:sz="4" w:space="0" w:color="auto"/>
            </w:tcBorders>
          </w:tcPr>
          <w:p w:rsidR="007F0E03" w:rsidRPr="007F0E03" w:rsidRDefault="007F0E03" w:rsidP="007F0E03">
            <w:pPr>
              <w:widowControl/>
              <w:adjustRightInd/>
              <w:rPr>
                <w:rFonts w:cs="Times New Roman"/>
              </w:rPr>
            </w:pPr>
            <w:r w:rsidRPr="007F0E03">
              <w:rPr>
                <w:rFonts w:cs="Times New Roman"/>
                <w:b/>
                <w:bCs/>
              </w:rPr>
              <w:t xml:space="preserve">   z toho vplyv na ŠR</w:t>
            </w:r>
          </w:p>
        </w:tc>
        <w:tc>
          <w:tcPr>
            <w:tcW w:w="1698"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rPr>
            </w:pPr>
            <w:r w:rsidRPr="007F0E03">
              <w:rPr>
                <w:rFonts w:cs="Times New Roman"/>
                <w:b/>
              </w:rPr>
              <w:t>0</w:t>
            </w:r>
          </w:p>
        </w:tc>
        <w:tc>
          <w:tcPr>
            <w:tcW w:w="1788"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+123 408</w:t>
            </w:r>
          </w:p>
        </w:tc>
        <w:tc>
          <w:tcPr>
            <w:tcW w:w="2418"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+123 408</w:t>
            </w:r>
          </w:p>
        </w:tc>
        <w:tc>
          <w:tcPr>
            <w:tcW w:w="1722"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+123 408</w:t>
            </w:r>
          </w:p>
        </w:tc>
        <w:tc>
          <w:tcPr>
            <w:tcW w:w="1620" w:type="dxa"/>
            <w:tcBorders>
              <w:top w:val="nil"/>
              <w:left w:val="nil"/>
              <w:bottom w:val="single" w:sz="4" w:space="0" w:color="auto"/>
              <w:right w:val="single" w:sz="4" w:space="0" w:color="auto"/>
            </w:tcBorders>
            <w:noWrap/>
            <w:vAlign w:val="bottom"/>
          </w:tcPr>
          <w:p w:rsidR="007F0E03" w:rsidRPr="007F0E03" w:rsidRDefault="007F0E03" w:rsidP="007F0E03">
            <w:pPr>
              <w:widowControl/>
              <w:adjustRightInd/>
              <w:rPr>
                <w:rFonts w:cs="Times New Roman"/>
              </w:rPr>
            </w:pPr>
            <w:r w:rsidRPr="007F0E03">
              <w:rPr>
                <w:rFonts w:cs="Times New Roman"/>
              </w:rPr>
              <w:t> </w:t>
            </w:r>
          </w:p>
        </w:tc>
      </w:tr>
      <w:tr w:rsidR="007F0E03" w:rsidRPr="007F0E03" w:rsidTr="007F0E03">
        <w:trPr>
          <w:trHeight w:val="255"/>
        </w:trPr>
        <w:tc>
          <w:tcPr>
            <w:tcW w:w="5599" w:type="dxa"/>
            <w:tcBorders>
              <w:top w:val="nil"/>
              <w:left w:val="single" w:sz="4" w:space="0" w:color="auto"/>
              <w:bottom w:val="single" w:sz="4" w:space="0" w:color="auto"/>
              <w:right w:val="single" w:sz="4" w:space="0" w:color="auto"/>
            </w:tcBorders>
          </w:tcPr>
          <w:p w:rsidR="007F0E03" w:rsidRPr="007F0E03" w:rsidRDefault="007F0E03" w:rsidP="007F0E03">
            <w:pPr>
              <w:widowControl/>
              <w:adjustRightInd/>
              <w:rPr>
                <w:rFonts w:cs="Times New Roman"/>
                <w:b/>
                <w:bCs/>
              </w:rPr>
            </w:pPr>
            <w:r w:rsidRPr="007F0E03">
              <w:rPr>
                <w:rFonts w:cs="Times New Roman"/>
                <w:b/>
                <w:bCs/>
              </w:rPr>
              <w:t>Poistné a príspevok do poisťovní (620)</w:t>
            </w:r>
          </w:p>
        </w:tc>
        <w:tc>
          <w:tcPr>
            <w:tcW w:w="1698"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0</w:t>
            </w:r>
          </w:p>
        </w:tc>
        <w:tc>
          <w:tcPr>
            <w:tcW w:w="1788"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 xml:space="preserve">+44 365 </w:t>
            </w:r>
          </w:p>
        </w:tc>
        <w:tc>
          <w:tcPr>
            <w:tcW w:w="2418"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 xml:space="preserve">+44 365 </w:t>
            </w:r>
          </w:p>
        </w:tc>
        <w:tc>
          <w:tcPr>
            <w:tcW w:w="1722"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+44 365</w:t>
            </w:r>
          </w:p>
        </w:tc>
        <w:tc>
          <w:tcPr>
            <w:tcW w:w="1620" w:type="dxa"/>
            <w:tcBorders>
              <w:top w:val="nil"/>
              <w:left w:val="nil"/>
              <w:bottom w:val="single" w:sz="4" w:space="0" w:color="auto"/>
              <w:right w:val="single" w:sz="4" w:space="0" w:color="auto"/>
            </w:tcBorders>
            <w:noWrap/>
            <w:vAlign w:val="bottom"/>
          </w:tcPr>
          <w:p w:rsidR="007F0E03" w:rsidRPr="007F0E03" w:rsidRDefault="007F0E03" w:rsidP="007F0E03">
            <w:pPr>
              <w:widowControl/>
              <w:adjustRightInd/>
              <w:rPr>
                <w:rFonts w:cs="Times New Roman"/>
                <w:b/>
                <w:bCs/>
              </w:rPr>
            </w:pPr>
            <w:r w:rsidRPr="007F0E03">
              <w:rPr>
                <w:rFonts w:cs="Times New Roman"/>
                <w:b/>
                <w:bCs/>
              </w:rPr>
              <w:t> </w:t>
            </w:r>
          </w:p>
        </w:tc>
      </w:tr>
      <w:tr w:rsidR="007F0E03" w:rsidRPr="007F0E03" w:rsidTr="007F0E03">
        <w:trPr>
          <w:trHeight w:val="255"/>
        </w:trPr>
        <w:tc>
          <w:tcPr>
            <w:tcW w:w="5599" w:type="dxa"/>
            <w:tcBorders>
              <w:top w:val="nil"/>
              <w:left w:val="single" w:sz="4" w:space="0" w:color="auto"/>
              <w:bottom w:val="single" w:sz="4" w:space="0" w:color="auto"/>
              <w:right w:val="single" w:sz="4" w:space="0" w:color="auto"/>
            </w:tcBorders>
          </w:tcPr>
          <w:p w:rsidR="007F0E03" w:rsidRPr="007F0E03" w:rsidRDefault="007F0E03" w:rsidP="007F0E03">
            <w:pPr>
              <w:widowControl/>
              <w:adjustRightInd/>
              <w:rPr>
                <w:rFonts w:cs="Times New Roman"/>
              </w:rPr>
            </w:pPr>
            <w:r w:rsidRPr="007F0E03">
              <w:rPr>
                <w:rFonts w:cs="Times New Roman"/>
                <w:b/>
                <w:bCs/>
              </w:rPr>
              <w:t xml:space="preserve">   z toho vplyv na ŠR</w:t>
            </w:r>
          </w:p>
        </w:tc>
        <w:tc>
          <w:tcPr>
            <w:tcW w:w="1698"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rPr>
            </w:pPr>
            <w:r w:rsidRPr="007F0E03">
              <w:rPr>
                <w:rFonts w:cs="Times New Roman"/>
                <w:b/>
              </w:rPr>
              <w:t>0</w:t>
            </w:r>
          </w:p>
        </w:tc>
        <w:tc>
          <w:tcPr>
            <w:tcW w:w="1788"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 xml:space="preserve">+44 365 </w:t>
            </w:r>
          </w:p>
        </w:tc>
        <w:tc>
          <w:tcPr>
            <w:tcW w:w="2418"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+44 365</w:t>
            </w:r>
          </w:p>
        </w:tc>
        <w:tc>
          <w:tcPr>
            <w:tcW w:w="1722" w:type="dxa"/>
            <w:tcBorders>
              <w:top w:val="nil"/>
              <w:left w:val="nil"/>
              <w:bottom w:val="single" w:sz="4" w:space="0" w:color="auto"/>
              <w:right w:val="single" w:sz="4" w:space="0" w:color="auto"/>
            </w:tcBorders>
          </w:tcPr>
          <w:p w:rsidR="007F0E03" w:rsidRPr="007F0E03" w:rsidRDefault="007F0E03" w:rsidP="007F0E03">
            <w:pPr>
              <w:widowControl/>
              <w:adjustRightInd/>
              <w:jc w:val="center"/>
              <w:rPr>
                <w:rFonts w:cs="Times New Roman"/>
                <w:b/>
                <w:bCs/>
              </w:rPr>
            </w:pPr>
            <w:r w:rsidRPr="007F0E03">
              <w:rPr>
                <w:rFonts w:cs="Times New Roman"/>
                <w:b/>
                <w:bCs/>
              </w:rPr>
              <w:t>+44 365</w:t>
            </w:r>
          </w:p>
        </w:tc>
        <w:tc>
          <w:tcPr>
            <w:tcW w:w="1620" w:type="dxa"/>
            <w:tcBorders>
              <w:top w:val="nil"/>
              <w:left w:val="nil"/>
              <w:bottom w:val="single" w:sz="4" w:space="0" w:color="auto"/>
              <w:right w:val="single" w:sz="4" w:space="0" w:color="auto"/>
            </w:tcBorders>
            <w:noWrap/>
            <w:vAlign w:val="bottom"/>
          </w:tcPr>
          <w:p w:rsidR="007F0E03" w:rsidRPr="007F0E03" w:rsidRDefault="007F0E03" w:rsidP="007F0E03">
            <w:pPr>
              <w:widowControl/>
              <w:adjustRightInd/>
              <w:rPr>
                <w:rFonts w:cs="Times New Roman"/>
              </w:rPr>
            </w:pPr>
            <w:r w:rsidRPr="007F0E03">
              <w:rPr>
                <w:rFonts w:cs="Times New Roman"/>
              </w:rPr>
              <w:t> </w:t>
            </w:r>
          </w:p>
        </w:tc>
      </w:tr>
    </w:tbl>
    <w:p w:rsidR="00762333" w:rsidRDefault="00762333" w:rsidP="007F0E03">
      <w:pPr>
        <w:widowControl/>
        <w:adjustRightInd/>
        <w:spacing w:after="200" w:line="276" w:lineRule="auto"/>
        <w:rPr>
          <w:rFonts w:cs="Times New Roman"/>
          <w:b/>
          <w:bCs/>
        </w:rPr>
        <w:sectPr w:rsidR="00762333" w:rsidSect="00156690">
          <w:footerReference w:type="default" r:id="rId18"/>
          <w:pgSz w:w="15840" w:h="12240" w:orient="landscape"/>
          <w:pgMar w:top="1440" w:right="1417" w:bottom="1440" w:left="1417" w:header="708" w:footer="708" w:gutter="0"/>
          <w:cols w:space="708"/>
          <w:docGrid w:linePitch="360"/>
        </w:sectPr>
      </w:pPr>
    </w:p>
    <w:p w:rsidR="007F0E03" w:rsidRPr="007F0E03" w:rsidRDefault="007F0E03" w:rsidP="007F0E03">
      <w:pPr>
        <w:widowControl/>
        <w:adjustRightInd/>
        <w:spacing w:after="200" w:line="276" w:lineRule="auto"/>
        <w:rPr>
          <w:rFonts w:cs="Times New Roman"/>
          <w:b/>
          <w:bCs/>
        </w:rPr>
      </w:pPr>
    </w:p>
    <w:p w:rsidR="00156690" w:rsidRPr="001B09EC" w:rsidRDefault="00156690" w:rsidP="00156690">
      <w:pPr>
        <w:jc w:val="center"/>
        <w:rPr>
          <w:b/>
          <w:caps/>
          <w:spacing w:val="30"/>
        </w:rPr>
      </w:pPr>
      <w:r w:rsidRPr="001B09EC">
        <w:rPr>
          <w:b/>
          <w:caps/>
          <w:spacing w:val="30"/>
        </w:rPr>
        <w:t>Doložka zlučiteľnosti</w:t>
      </w:r>
    </w:p>
    <w:p w:rsidR="00156690" w:rsidRPr="001B09EC" w:rsidRDefault="00156690" w:rsidP="00156690">
      <w:pPr>
        <w:jc w:val="center"/>
        <w:rPr>
          <w:b/>
        </w:rPr>
      </w:pPr>
      <w:r w:rsidRPr="001B09EC">
        <w:rPr>
          <w:b/>
        </w:rPr>
        <w:t>právneho predpisu s právom Európskej únie </w:t>
      </w:r>
    </w:p>
    <w:p w:rsidR="00156690" w:rsidRPr="001B09EC" w:rsidRDefault="00156690" w:rsidP="00156690">
      <w:pPr>
        <w:jc w:val="center"/>
        <w:rPr>
          <w:b/>
        </w:rPr>
      </w:pPr>
    </w:p>
    <w:p w:rsidR="00156690" w:rsidRPr="001B09EC" w:rsidRDefault="00156690" w:rsidP="00156690"/>
    <w:p w:rsidR="00156690" w:rsidRPr="000A4D63" w:rsidRDefault="00156690" w:rsidP="00156690">
      <w:pPr>
        <w:ind w:left="360" w:hanging="360"/>
        <w:jc w:val="both"/>
      </w:pPr>
      <w:r w:rsidRPr="000A4D63">
        <w:rPr>
          <w:b/>
        </w:rPr>
        <w:t>1.</w:t>
      </w:r>
      <w:r w:rsidRPr="000A4D63">
        <w:rPr>
          <w:b/>
        </w:rPr>
        <w:tab/>
        <w:t>Navrhovateľ právneho predpisu:</w:t>
      </w:r>
      <w:r w:rsidRPr="000A4D63">
        <w:t xml:space="preserve"> </w:t>
      </w:r>
    </w:p>
    <w:p w:rsidR="00156690" w:rsidRPr="000A4D63" w:rsidRDefault="00156690" w:rsidP="00156690">
      <w:pPr>
        <w:spacing w:before="120"/>
        <w:ind w:left="357" w:hanging="357"/>
        <w:jc w:val="both"/>
        <w:rPr>
          <w:b/>
        </w:rPr>
      </w:pPr>
      <w:r w:rsidRPr="000A4D63">
        <w:t>Úrad pre normalizáciu, metrológiu a skúšobníctvo Slovenskej republiky. </w:t>
      </w:r>
    </w:p>
    <w:p w:rsidR="00156690" w:rsidRPr="000A4D63" w:rsidRDefault="00156690" w:rsidP="00156690">
      <w:pPr>
        <w:tabs>
          <w:tab w:val="left" w:pos="360"/>
        </w:tabs>
        <w:ind w:left="360"/>
      </w:pPr>
      <w:r w:rsidRPr="000A4D63">
        <w:t xml:space="preserve"> </w:t>
      </w:r>
    </w:p>
    <w:p w:rsidR="00156690" w:rsidRPr="000A4D63" w:rsidRDefault="00156690" w:rsidP="00156690">
      <w:pPr>
        <w:pStyle w:val="Nadpis2"/>
        <w:ind w:left="426" w:hanging="426"/>
        <w:jc w:val="both"/>
        <w:rPr>
          <w:sz w:val="24"/>
          <w:szCs w:val="24"/>
        </w:rPr>
      </w:pPr>
      <w:r w:rsidRPr="000A4D63">
        <w:rPr>
          <w:sz w:val="24"/>
          <w:szCs w:val="24"/>
        </w:rPr>
        <w:t>2.</w:t>
      </w:r>
      <w:r w:rsidRPr="000A4D63">
        <w:rPr>
          <w:b w:val="0"/>
          <w:sz w:val="24"/>
          <w:szCs w:val="24"/>
        </w:rPr>
        <w:tab/>
      </w:r>
      <w:r w:rsidRPr="000A4D63">
        <w:rPr>
          <w:sz w:val="24"/>
          <w:szCs w:val="24"/>
        </w:rPr>
        <w:t xml:space="preserve">Názov návrhu právneho predpisu: </w:t>
      </w:r>
    </w:p>
    <w:p w:rsidR="00156690" w:rsidRPr="000A4D63" w:rsidRDefault="00156690" w:rsidP="00156690">
      <w:pPr>
        <w:pStyle w:val="Nadpis2"/>
        <w:spacing w:before="120"/>
        <w:jc w:val="both"/>
        <w:rPr>
          <w:b w:val="0"/>
          <w:sz w:val="24"/>
          <w:szCs w:val="24"/>
        </w:rPr>
      </w:pPr>
      <w:r w:rsidRPr="000A4D63">
        <w:rPr>
          <w:rStyle w:val="Zstupntext"/>
          <w:b w:val="0"/>
        </w:rPr>
        <w:t xml:space="preserve">Návrh zákona, </w:t>
      </w:r>
      <w:r w:rsidRPr="000A4D63">
        <w:rPr>
          <w:b w:val="0"/>
          <w:sz w:val="24"/>
          <w:szCs w:val="24"/>
        </w:rPr>
        <w:t>ktorým sa mení a dopĺňa zákon č. 56/2018 Z. z. o posudzovaní zhody výrobku, sprístupňovaní určeného výrobku na trhu a o zmene a doplnení niektorých zákonov v znení neskorších predpisov a ktorým sa menia a dopĺňajú niektoré zákony.</w:t>
      </w:r>
    </w:p>
    <w:p w:rsidR="00156690" w:rsidRPr="000A4D63" w:rsidRDefault="00156690" w:rsidP="00156690">
      <w:pPr>
        <w:rPr>
          <w:lang w:eastAsia="en-US"/>
        </w:rPr>
      </w:pPr>
    </w:p>
    <w:p w:rsidR="00156690" w:rsidRPr="000A4D63" w:rsidRDefault="00156690" w:rsidP="00156690">
      <w:pPr>
        <w:ind w:left="360" w:hanging="360"/>
        <w:rPr>
          <w:b/>
        </w:rPr>
      </w:pPr>
      <w:r w:rsidRPr="000A4D63">
        <w:rPr>
          <w:b/>
        </w:rPr>
        <w:t>3.</w:t>
      </w:r>
      <w:r w:rsidRPr="000A4D63">
        <w:rPr>
          <w:b/>
        </w:rPr>
        <w:tab/>
        <w:t>Predmet návrhu právneho predpisu je upravený v práve Európskej únie:</w:t>
      </w:r>
    </w:p>
    <w:p w:rsidR="00156690" w:rsidRPr="000A4D63" w:rsidRDefault="00156690" w:rsidP="00156690">
      <w:pPr>
        <w:ind w:firstLine="360"/>
      </w:pPr>
    </w:p>
    <w:p w:rsidR="00156690" w:rsidRPr="000A4D63" w:rsidRDefault="00156690" w:rsidP="00156690">
      <w:pPr>
        <w:ind w:left="709" w:hanging="349"/>
      </w:pPr>
      <w:r w:rsidRPr="000A4D63">
        <w:t>a)</w:t>
      </w:r>
      <w:r w:rsidRPr="000A4D63">
        <w:tab/>
        <w:t xml:space="preserve">v primárnom práve </w:t>
      </w:r>
    </w:p>
    <w:p w:rsidR="00156690" w:rsidRPr="000A4D63" w:rsidRDefault="00156690" w:rsidP="00156690">
      <w:pPr>
        <w:ind w:left="851"/>
      </w:pPr>
    </w:p>
    <w:p w:rsidR="00156690" w:rsidRPr="000A4D63" w:rsidRDefault="00156690" w:rsidP="00156690">
      <w:pPr>
        <w:ind w:left="708"/>
        <w:jc w:val="both"/>
      </w:pPr>
      <w:r w:rsidRPr="000A4D63">
        <w:t>Čl. 114 Zmluvy o fungovaní Európskej únie (Ú. v. EÚ C 202, 7.6.2016)</w:t>
      </w:r>
    </w:p>
    <w:p w:rsidR="00156690" w:rsidRPr="000A4D63" w:rsidRDefault="00156690" w:rsidP="00156690">
      <w:pPr>
        <w:ind w:left="360"/>
        <w:jc w:val="both"/>
      </w:pPr>
    </w:p>
    <w:p w:rsidR="00156690" w:rsidRPr="000A4D63" w:rsidRDefault="00156690" w:rsidP="00156690">
      <w:pPr>
        <w:ind w:left="360"/>
        <w:jc w:val="both"/>
      </w:pPr>
      <w:r w:rsidRPr="000A4D63">
        <w:t>b)</w:t>
      </w:r>
      <w:r w:rsidRPr="000A4D63">
        <w:tab/>
        <w:t xml:space="preserve">v sekundárnom práve </w:t>
      </w:r>
    </w:p>
    <w:p w:rsidR="00156690" w:rsidRPr="000A4D63" w:rsidRDefault="00156690" w:rsidP="00156690">
      <w:pPr>
        <w:ind w:left="360"/>
        <w:jc w:val="both"/>
        <w:rPr>
          <w:i/>
        </w:rPr>
      </w:pPr>
    </w:p>
    <w:p w:rsidR="00156690" w:rsidRPr="000A4D63" w:rsidRDefault="00156690" w:rsidP="00156690">
      <w:pPr>
        <w:pStyle w:val="Odsekzoznamu"/>
        <w:numPr>
          <w:ilvl w:val="0"/>
          <w:numId w:val="24"/>
        </w:numPr>
        <w:spacing w:before="120" w:after="0" w:line="240" w:lineRule="auto"/>
        <w:contextualSpacing w:val="0"/>
        <w:jc w:val="both"/>
        <w:rPr>
          <w:rFonts w:ascii="Times New Roman" w:hAnsi="Times New Roman"/>
          <w:sz w:val="24"/>
          <w:szCs w:val="24"/>
        </w:rPr>
      </w:pPr>
      <w:r w:rsidRPr="000A4D63">
        <w:rPr>
          <w:rFonts w:ascii="Times New Roman" w:hAnsi="Times New Roman"/>
          <w:bCs/>
          <w:sz w:val="24"/>
          <w:szCs w:val="24"/>
          <w:shd w:val="clear" w:color="auto" w:fill="FFFFFF"/>
        </w:rPr>
        <w:t>Smernica Európskeho parlamentu a Rady (EÚ) 2020/2184 zo 16. decembra 2020 o kvalite vody určenej na ľudskú spotrebu (prepracované znenie) (</w:t>
      </w:r>
      <w:r w:rsidRPr="000A4D63">
        <w:rPr>
          <w:rFonts w:ascii="Times New Roman" w:hAnsi="Times New Roman"/>
          <w:iCs/>
          <w:sz w:val="24"/>
          <w:szCs w:val="24"/>
          <w:shd w:val="clear" w:color="auto" w:fill="FFFFFF"/>
          <w:lang w:val="ru-RU" w:eastAsia="sk-SK"/>
        </w:rPr>
        <w:t>Ú. v. EÚ L 435, 23.12.2020</w:t>
      </w:r>
      <w:r w:rsidRPr="000A4D63">
        <w:rPr>
          <w:rFonts w:ascii="Times New Roman" w:hAnsi="Times New Roman"/>
          <w:iCs/>
          <w:sz w:val="24"/>
          <w:szCs w:val="24"/>
          <w:shd w:val="clear" w:color="auto" w:fill="FFFFFF"/>
          <w:lang w:eastAsia="sk-SK"/>
        </w:rPr>
        <w:t xml:space="preserve">) v platnom znení, gestor: MZ SR, </w:t>
      </w:r>
      <w:proofErr w:type="spellStart"/>
      <w:r w:rsidRPr="000A4D63">
        <w:rPr>
          <w:rFonts w:ascii="Times New Roman" w:hAnsi="Times New Roman"/>
          <w:iCs/>
          <w:sz w:val="24"/>
          <w:szCs w:val="24"/>
          <w:shd w:val="clear" w:color="auto" w:fill="FFFFFF"/>
          <w:lang w:eastAsia="sk-SK"/>
        </w:rPr>
        <w:t>spolugestor</w:t>
      </w:r>
      <w:proofErr w:type="spellEnd"/>
      <w:r w:rsidRPr="000A4D63">
        <w:rPr>
          <w:rFonts w:ascii="Times New Roman" w:hAnsi="Times New Roman"/>
          <w:iCs/>
          <w:sz w:val="24"/>
          <w:szCs w:val="24"/>
          <w:shd w:val="clear" w:color="auto" w:fill="FFFFFF"/>
          <w:lang w:eastAsia="sk-SK"/>
        </w:rPr>
        <w:t xml:space="preserve">: MŽP SR. </w:t>
      </w:r>
    </w:p>
    <w:p w:rsidR="00156690" w:rsidRPr="000A4D63" w:rsidRDefault="00156690" w:rsidP="00156690">
      <w:pPr>
        <w:pStyle w:val="Odsekzoznamu"/>
        <w:numPr>
          <w:ilvl w:val="0"/>
          <w:numId w:val="24"/>
        </w:numPr>
        <w:spacing w:before="120" w:after="0" w:line="240" w:lineRule="auto"/>
        <w:contextualSpacing w:val="0"/>
        <w:jc w:val="both"/>
        <w:rPr>
          <w:rFonts w:ascii="Times New Roman" w:hAnsi="Times New Roman"/>
          <w:sz w:val="24"/>
          <w:szCs w:val="24"/>
        </w:rPr>
      </w:pPr>
      <w:r w:rsidRPr="000A4D63">
        <w:rPr>
          <w:rFonts w:ascii="Times New Roman" w:hAnsi="Times New Roman"/>
          <w:bCs/>
          <w:sz w:val="24"/>
          <w:szCs w:val="24"/>
          <w:shd w:val="clear" w:color="auto" w:fill="FFFFFF"/>
        </w:rPr>
        <w:t>Smernica Európskeho parlamentu a Rady (EÚ) 2023/2413 z 18. októbra 2023, ktorou sa mení smernica (EÚ) 2018/2001, nariadenie (EÚ) 2018/1999 a smernica 98/70/ES, pokiaľ ide o podporu energie z obnoviteľných zdrojov, a ktorou sa zrušuje smernica Rady (EÚ) 2015/652 (</w:t>
      </w:r>
      <w:r w:rsidRPr="000A4D63">
        <w:rPr>
          <w:rFonts w:ascii="Times New Roman" w:hAnsi="Times New Roman"/>
          <w:iCs/>
          <w:sz w:val="24"/>
          <w:szCs w:val="24"/>
          <w:shd w:val="clear" w:color="auto" w:fill="FFFFFF"/>
          <w:lang w:eastAsia="sk-SK"/>
        </w:rPr>
        <w:t xml:space="preserve">Ú. v. EÚ L, 2023/2413, 31.10.2023), gestor: MH SR, </w:t>
      </w:r>
      <w:proofErr w:type="spellStart"/>
      <w:r w:rsidRPr="000A4D63">
        <w:rPr>
          <w:rFonts w:ascii="Times New Roman" w:hAnsi="Times New Roman"/>
          <w:iCs/>
          <w:sz w:val="24"/>
          <w:szCs w:val="24"/>
          <w:shd w:val="clear" w:color="auto" w:fill="FFFFFF"/>
          <w:lang w:eastAsia="sk-SK"/>
        </w:rPr>
        <w:t>spolugestori</w:t>
      </w:r>
      <w:proofErr w:type="spellEnd"/>
      <w:r w:rsidRPr="000A4D63">
        <w:rPr>
          <w:rFonts w:ascii="Times New Roman" w:hAnsi="Times New Roman"/>
          <w:iCs/>
          <w:sz w:val="24"/>
          <w:szCs w:val="24"/>
          <w:shd w:val="clear" w:color="auto" w:fill="FFFFFF"/>
          <w:lang w:eastAsia="sk-SK"/>
        </w:rPr>
        <w:t>: MŽP SR, MPRV SR.</w:t>
      </w:r>
    </w:p>
    <w:p w:rsidR="00156690" w:rsidRPr="000A4D63" w:rsidRDefault="00156690" w:rsidP="00156690">
      <w:pPr>
        <w:pStyle w:val="Odsekzoznamu"/>
        <w:numPr>
          <w:ilvl w:val="0"/>
          <w:numId w:val="24"/>
        </w:numPr>
        <w:spacing w:before="120" w:after="0" w:line="240" w:lineRule="auto"/>
        <w:contextualSpacing w:val="0"/>
        <w:jc w:val="both"/>
        <w:rPr>
          <w:rStyle w:val="placeholdertext0"/>
          <w:rFonts w:ascii="Times New Roman" w:hAnsi="Times New Roman"/>
          <w:sz w:val="24"/>
          <w:szCs w:val="24"/>
        </w:rPr>
      </w:pPr>
      <w:r w:rsidRPr="000A4D63">
        <w:rPr>
          <w:rFonts w:ascii="Times New Roman" w:hAnsi="Times New Roman"/>
          <w:sz w:val="24"/>
          <w:szCs w:val="24"/>
        </w:rPr>
        <w:t>S</w:t>
      </w:r>
      <w:r w:rsidRPr="000A4D63">
        <w:rPr>
          <w:rFonts w:ascii="Times New Roman" w:hAnsi="Times New Roman"/>
          <w:bCs/>
          <w:sz w:val="24"/>
          <w:szCs w:val="24"/>
        </w:rPr>
        <w:t>mernica</w:t>
      </w:r>
      <w:r w:rsidRPr="000A4D63">
        <w:rPr>
          <w:rFonts w:ascii="Times New Roman" w:hAnsi="Times New Roman"/>
          <w:sz w:val="24"/>
          <w:szCs w:val="24"/>
        </w:rPr>
        <w:t xml:space="preserve"> Európskeho parlamentu a Rady (EÚ) 2024/2839 z 23. októbra 2024, </w:t>
      </w:r>
      <w:r w:rsidRPr="000A4D63">
        <w:rPr>
          <w:rFonts w:ascii="Times New Roman" w:hAnsi="Times New Roman"/>
          <w:bCs/>
          <w:sz w:val="24"/>
          <w:szCs w:val="24"/>
        </w:rPr>
        <w:t xml:space="preserve">ktorou sa menia smernice 1999/2/ES, 2000/14/ES, 2011/24/EÚ a 2014/53/EÚ, pokiaľ ide o určité požiadavky na podávanie správ v oblasti potravín a prídavných látok do potravín, hluku vo voľnom priestranstve, práv pacientov a rádiových zariadení </w:t>
      </w:r>
      <w:r w:rsidRPr="000A4D63">
        <w:rPr>
          <w:rStyle w:val="placeholdertext0"/>
          <w:rFonts w:ascii="Times New Roman" w:hAnsi="Times New Roman"/>
          <w:sz w:val="24"/>
          <w:szCs w:val="24"/>
        </w:rPr>
        <w:t xml:space="preserve"> (</w:t>
      </w:r>
      <w:r w:rsidRPr="000A4D63">
        <w:rPr>
          <w:rStyle w:val="Zvraznenie"/>
          <w:rFonts w:ascii="Times New Roman" w:hAnsi="Times New Roman"/>
          <w:iCs/>
          <w:sz w:val="24"/>
          <w:szCs w:val="24"/>
        </w:rPr>
        <w:t>Ú. v. EÚ L, 2024/2839, 7.11.2024</w:t>
      </w:r>
      <w:r w:rsidRPr="000A4D63">
        <w:rPr>
          <w:rStyle w:val="placeholdertext0"/>
          <w:rFonts w:ascii="Times New Roman" w:hAnsi="Times New Roman"/>
          <w:sz w:val="24"/>
          <w:szCs w:val="24"/>
        </w:rPr>
        <w:t xml:space="preserve">) gestor: ÚNMS SR, </w:t>
      </w:r>
      <w:proofErr w:type="spellStart"/>
      <w:r w:rsidRPr="000A4D63">
        <w:rPr>
          <w:rStyle w:val="placeholdertext0"/>
          <w:rFonts w:ascii="Times New Roman" w:hAnsi="Times New Roman"/>
          <w:sz w:val="24"/>
          <w:szCs w:val="24"/>
        </w:rPr>
        <w:t>spolugestor</w:t>
      </w:r>
      <w:proofErr w:type="spellEnd"/>
      <w:r w:rsidRPr="000A4D63">
        <w:rPr>
          <w:rStyle w:val="placeholdertext0"/>
          <w:rFonts w:ascii="Times New Roman" w:hAnsi="Times New Roman"/>
          <w:sz w:val="24"/>
          <w:szCs w:val="24"/>
        </w:rPr>
        <w:t>: MZ SR.</w:t>
      </w:r>
    </w:p>
    <w:p w:rsidR="00156690" w:rsidRPr="000A4D63" w:rsidRDefault="00156690" w:rsidP="00156690">
      <w:pPr>
        <w:pStyle w:val="Odsekzoznamu"/>
        <w:numPr>
          <w:ilvl w:val="0"/>
          <w:numId w:val="24"/>
        </w:numPr>
        <w:spacing w:before="120" w:after="0" w:line="240" w:lineRule="auto"/>
        <w:contextualSpacing w:val="0"/>
        <w:jc w:val="both"/>
        <w:rPr>
          <w:rFonts w:ascii="Times New Roman" w:hAnsi="Times New Roman"/>
          <w:sz w:val="24"/>
          <w:szCs w:val="24"/>
        </w:rPr>
      </w:pPr>
      <w:r w:rsidRPr="000A4D63">
        <w:rPr>
          <w:rFonts w:ascii="Times New Roman" w:hAnsi="Times New Roman"/>
          <w:bCs/>
          <w:sz w:val="24"/>
          <w:szCs w:val="24"/>
          <w:shd w:val="clear" w:color="auto" w:fill="FFFFFF"/>
        </w:rPr>
        <w:t>Nariadenie Európskeho parlamentu a Rady (EÚ) 2022/2065 z 19. októbra 2022 o jednotnom trhu s digitálnymi službami a o zmene smernice 2000/31/ES (akt o digitálnych službách) (</w:t>
      </w:r>
      <w:r w:rsidRPr="000A4D63">
        <w:rPr>
          <w:rFonts w:ascii="Times New Roman" w:hAnsi="Times New Roman"/>
          <w:iCs/>
          <w:sz w:val="24"/>
          <w:szCs w:val="24"/>
          <w:shd w:val="clear" w:color="auto" w:fill="FFFFFF"/>
          <w:lang w:val="ru-RU" w:eastAsia="sk-SK"/>
        </w:rPr>
        <w:t>Ú. v. EÚ L 277, 27.10.2022</w:t>
      </w:r>
      <w:r w:rsidRPr="000A4D63">
        <w:rPr>
          <w:rFonts w:ascii="Times New Roman" w:hAnsi="Times New Roman"/>
          <w:iCs/>
          <w:sz w:val="24"/>
          <w:szCs w:val="24"/>
          <w:shd w:val="clear" w:color="auto" w:fill="FFFFFF"/>
          <w:lang w:eastAsia="sk-SK"/>
        </w:rPr>
        <w:t>) v platnom znení, gestori: MH SR, MK SR.</w:t>
      </w:r>
    </w:p>
    <w:p w:rsidR="00156690" w:rsidRPr="000A4D63" w:rsidRDefault="00156690" w:rsidP="00156690">
      <w:pPr>
        <w:pStyle w:val="Odsekzoznamu"/>
        <w:numPr>
          <w:ilvl w:val="0"/>
          <w:numId w:val="24"/>
        </w:numPr>
        <w:spacing w:before="120" w:after="0" w:line="240" w:lineRule="auto"/>
        <w:contextualSpacing w:val="0"/>
        <w:jc w:val="both"/>
        <w:rPr>
          <w:rStyle w:val="placeholdertext0"/>
          <w:rFonts w:ascii="Times New Roman" w:hAnsi="Times New Roman"/>
          <w:sz w:val="24"/>
          <w:szCs w:val="24"/>
        </w:rPr>
      </w:pPr>
      <w:r w:rsidRPr="000A4D63">
        <w:rPr>
          <w:rFonts w:ascii="Times New Roman" w:hAnsi="Times New Roman"/>
          <w:bCs/>
          <w:sz w:val="24"/>
          <w:szCs w:val="24"/>
          <w:shd w:val="clear" w:color="auto" w:fill="FFFFFF"/>
        </w:rPr>
        <w:t>Nariadenie Európskeho parlamentu a Rady (EÚ) 2023/988 z 10. mája 2023 o všeobecnej bezpečnosti výrobkov, ktorým sa mení nariadenie Európskeho parlamentu a Rady (EÚ) č. 1025/2012 a smernica Európskeho parlamentu a Rady (EÚ) 2020/1828 a zrušuje smernica Európskeho parlamentu a Rady 2001/95/ES a smernica Rady 87/357/EHS (</w:t>
      </w:r>
      <w:r w:rsidRPr="000A4D63">
        <w:rPr>
          <w:rFonts w:ascii="Times New Roman" w:hAnsi="Times New Roman"/>
          <w:iCs/>
          <w:sz w:val="24"/>
          <w:szCs w:val="24"/>
          <w:shd w:val="clear" w:color="auto" w:fill="FFFFFF"/>
          <w:lang w:val="ru-RU" w:eastAsia="sk-SK"/>
        </w:rPr>
        <w:t>Ú. v. EÚ L 135, 23.5.2023</w:t>
      </w:r>
      <w:r w:rsidRPr="000A4D63">
        <w:rPr>
          <w:rFonts w:ascii="Times New Roman" w:hAnsi="Times New Roman"/>
          <w:iCs/>
          <w:sz w:val="24"/>
          <w:szCs w:val="24"/>
          <w:shd w:val="clear" w:color="auto" w:fill="FFFFFF"/>
          <w:lang w:eastAsia="sk-SK"/>
        </w:rPr>
        <w:t>) v platnom znení, gestori: MH SR, ÚNMS SR.</w:t>
      </w:r>
    </w:p>
    <w:p w:rsidR="00156690" w:rsidRPr="000A4D63" w:rsidRDefault="00156690" w:rsidP="00156690">
      <w:pPr>
        <w:pStyle w:val="Odsekzoznamu"/>
        <w:numPr>
          <w:ilvl w:val="0"/>
          <w:numId w:val="24"/>
        </w:numPr>
        <w:spacing w:before="120" w:after="0" w:line="240" w:lineRule="auto"/>
        <w:contextualSpacing w:val="0"/>
        <w:jc w:val="both"/>
        <w:rPr>
          <w:rStyle w:val="Zvraznenie"/>
          <w:rFonts w:ascii="Times New Roman" w:hAnsi="Times New Roman"/>
          <w:iCs/>
          <w:sz w:val="24"/>
          <w:szCs w:val="24"/>
          <w:shd w:val="clear" w:color="auto" w:fill="FFFFFF"/>
        </w:rPr>
      </w:pPr>
      <w:r w:rsidRPr="000A4D63">
        <w:rPr>
          <w:rFonts w:ascii="Times New Roman" w:hAnsi="Times New Roman"/>
          <w:sz w:val="24"/>
          <w:szCs w:val="24"/>
        </w:rPr>
        <w:t>Nariadenie Európskeho parlamentu a Rady (EÚ) 2023/1542 z 12. júna 2023 o batériách a odpadových batériách, ktorým sa mení smernica 2008/98/ES a nariadenie (EÚ) 2019/1020 a zrušuje smernica 2006/66/ES (</w:t>
      </w:r>
      <w:r w:rsidRPr="000A4D63">
        <w:rPr>
          <w:rStyle w:val="Zvraznenie"/>
          <w:rFonts w:ascii="Times New Roman" w:hAnsi="Times New Roman"/>
          <w:iCs/>
          <w:sz w:val="24"/>
          <w:szCs w:val="24"/>
          <w:shd w:val="clear" w:color="auto" w:fill="FFFFFF"/>
        </w:rPr>
        <w:t>Ú. v. EÚ L 191, 28.7.2023) v platnom znení,</w:t>
      </w:r>
      <w:r w:rsidRPr="000A4D63">
        <w:rPr>
          <w:rStyle w:val="placeholdertext0"/>
          <w:rFonts w:ascii="Times New Roman" w:hAnsi="Times New Roman"/>
          <w:sz w:val="24"/>
          <w:szCs w:val="24"/>
        </w:rPr>
        <w:t xml:space="preserve"> gestori: MŽ SR, MH SR a ÚNMS SR.</w:t>
      </w:r>
    </w:p>
    <w:p w:rsidR="00156690" w:rsidRPr="000A4D63" w:rsidRDefault="00156690" w:rsidP="00156690">
      <w:pPr>
        <w:pStyle w:val="Odsekzoznamu"/>
        <w:numPr>
          <w:ilvl w:val="0"/>
          <w:numId w:val="24"/>
        </w:numPr>
        <w:spacing w:before="120" w:after="0" w:line="240" w:lineRule="auto"/>
        <w:contextualSpacing w:val="0"/>
        <w:jc w:val="both"/>
        <w:rPr>
          <w:rFonts w:ascii="Times New Roman" w:hAnsi="Times New Roman"/>
          <w:i/>
          <w:iCs/>
          <w:sz w:val="24"/>
          <w:szCs w:val="24"/>
          <w:shd w:val="clear" w:color="auto" w:fill="FFFFFF"/>
        </w:rPr>
      </w:pPr>
      <w:r w:rsidRPr="000A4D63">
        <w:rPr>
          <w:rFonts w:ascii="Times New Roman" w:hAnsi="Times New Roman"/>
          <w:sz w:val="24"/>
          <w:szCs w:val="24"/>
        </w:rPr>
        <w:t>Nariadenie</w:t>
      </w:r>
      <w:r w:rsidRPr="000A4D63">
        <w:rPr>
          <w:rFonts w:ascii="Times New Roman" w:hAnsi="Times New Roman"/>
          <w:bCs/>
          <w:sz w:val="24"/>
          <w:szCs w:val="24"/>
          <w:shd w:val="clear" w:color="auto" w:fill="FFFFFF"/>
        </w:rPr>
        <w:t xml:space="preserve"> Európskeho parlamentu a Rady (EÚ) 2023/1230 zo 14. júna 2023 o strojových zariadeniach a o zrušení smernice Európskeho parlamentu a Rady 2006/42/ES a smernice Rady 73/361/EHS (</w:t>
      </w:r>
      <w:r w:rsidRPr="000A4D63">
        <w:rPr>
          <w:rStyle w:val="Zvraznenie"/>
          <w:rFonts w:ascii="Times New Roman" w:hAnsi="Times New Roman"/>
          <w:iCs/>
          <w:sz w:val="24"/>
          <w:szCs w:val="24"/>
          <w:shd w:val="clear" w:color="auto" w:fill="FFFFFF"/>
        </w:rPr>
        <w:t>Ú. v. EÚ L 165, 29.6.2023) v platnom znení</w:t>
      </w:r>
      <w:r w:rsidRPr="000A4D63">
        <w:rPr>
          <w:rFonts w:ascii="Times New Roman" w:hAnsi="Times New Roman"/>
          <w:bCs/>
          <w:i/>
          <w:sz w:val="24"/>
          <w:szCs w:val="24"/>
          <w:shd w:val="clear" w:color="auto" w:fill="FFFFFF"/>
        </w:rPr>
        <w:t>,</w:t>
      </w:r>
      <w:r w:rsidRPr="000A4D63">
        <w:rPr>
          <w:rFonts w:ascii="Times New Roman" w:hAnsi="Times New Roman"/>
          <w:bCs/>
          <w:sz w:val="24"/>
          <w:szCs w:val="24"/>
          <w:shd w:val="clear" w:color="auto" w:fill="FFFFFF"/>
        </w:rPr>
        <w:t xml:space="preserve"> gestori: </w:t>
      </w:r>
      <w:r w:rsidRPr="000A4D63">
        <w:rPr>
          <w:rFonts w:ascii="Times New Roman" w:hAnsi="Times New Roman"/>
          <w:sz w:val="24"/>
          <w:szCs w:val="24"/>
        </w:rPr>
        <w:t>ÚNMS SR, MPSVR SR, MH SR</w:t>
      </w:r>
      <w:r w:rsidRPr="000A4D63">
        <w:rPr>
          <w:rStyle w:val="placeholdertext0"/>
          <w:rFonts w:ascii="Times New Roman" w:hAnsi="Times New Roman"/>
          <w:sz w:val="24"/>
          <w:szCs w:val="24"/>
        </w:rPr>
        <w:t>.</w:t>
      </w:r>
      <w:r w:rsidRPr="000A4D63">
        <w:rPr>
          <w:rFonts w:ascii="Times New Roman" w:hAnsi="Times New Roman"/>
          <w:bCs/>
          <w:sz w:val="24"/>
          <w:szCs w:val="24"/>
          <w:shd w:val="clear" w:color="auto" w:fill="FFFFFF"/>
        </w:rPr>
        <w:t xml:space="preserve"> </w:t>
      </w:r>
    </w:p>
    <w:p w:rsidR="00156690" w:rsidRPr="000A4D63" w:rsidRDefault="00156690" w:rsidP="00156690">
      <w:pPr>
        <w:pStyle w:val="Odsekzoznamu"/>
        <w:numPr>
          <w:ilvl w:val="0"/>
          <w:numId w:val="24"/>
        </w:numPr>
        <w:spacing w:before="120" w:after="0" w:line="240" w:lineRule="auto"/>
        <w:contextualSpacing w:val="0"/>
        <w:jc w:val="both"/>
        <w:rPr>
          <w:rFonts w:ascii="Times New Roman" w:hAnsi="Times New Roman"/>
          <w:i/>
          <w:iCs/>
          <w:sz w:val="24"/>
          <w:szCs w:val="24"/>
          <w:shd w:val="clear" w:color="auto" w:fill="FFFFFF"/>
        </w:rPr>
      </w:pPr>
      <w:r w:rsidRPr="000A4D63">
        <w:rPr>
          <w:rFonts w:ascii="Times New Roman" w:hAnsi="Times New Roman"/>
          <w:sz w:val="24"/>
          <w:szCs w:val="24"/>
        </w:rPr>
        <w:t>Nariadenie</w:t>
      </w:r>
      <w:r w:rsidRPr="000A4D63">
        <w:rPr>
          <w:rFonts w:ascii="Times New Roman" w:hAnsi="Times New Roman"/>
          <w:bCs/>
          <w:sz w:val="24"/>
          <w:szCs w:val="24"/>
          <w:shd w:val="clear" w:color="auto" w:fill="FFFFFF"/>
        </w:rPr>
        <w:t xml:space="preserve"> Európskeho parlamentu a Rady (EÚ) 2024/1252 z 11. apríla 2024, ktorým sa stanovuje rámec na zaistenie bezpečných a udržateľných dodávok kritických surovín a ktorým sa menia nariadenia (EÚ) č. 168/2013, (EÚ) 2018/858, (EÚ) 2018/1724 a (EÚ) 2019/1020 (</w:t>
      </w:r>
      <w:r w:rsidRPr="000A4D63">
        <w:rPr>
          <w:rStyle w:val="Zvraznenie"/>
          <w:rFonts w:ascii="Times New Roman" w:hAnsi="Times New Roman"/>
          <w:iCs/>
          <w:sz w:val="24"/>
          <w:szCs w:val="24"/>
          <w:shd w:val="clear" w:color="auto" w:fill="FFFFFF"/>
        </w:rPr>
        <w:t>Ú. v. EÚ L, 2024/1252, 3.5.2024)</w:t>
      </w:r>
      <w:r w:rsidRPr="000A4D63">
        <w:rPr>
          <w:rFonts w:ascii="Times New Roman" w:hAnsi="Times New Roman"/>
          <w:bCs/>
          <w:sz w:val="24"/>
          <w:szCs w:val="24"/>
          <w:shd w:val="clear" w:color="auto" w:fill="FFFFFF"/>
        </w:rPr>
        <w:t xml:space="preserve"> v platnom znení, gestori: MH SR, MD SR, MŽP SR, MF SR, MIRRI SR, ÚNMS SR</w:t>
      </w:r>
      <w:r w:rsidRPr="000A4D63">
        <w:rPr>
          <w:rStyle w:val="placeholdertext0"/>
          <w:rFonts w:ascii="Times New Roman" w:hAnsi="Times New Roman"/>
          <w:sz w:val="24"/>
          <w:szCs w:val="24"/>
        </w:rPr>
        <w:t>.</w:t>
      </w:r>
    </w:p>
    <w:p w:rsidR="00156690" w:rsidRPr="000A4D63" w:rsidRDefault="00156690" w:rsidP="00156690">
      <w:pPr>
        <w:pStyle w:val="Odsekzoznamu"/>
        <w:numPr>
          <w:ilvl w:val="0"/>
          <w:numId w:val="24"/>
        </w:numPr>
        <w:spacing w:before="120" w:after="0" w:line="240" w:lineRule="auto"/>
        <w:contextualSpacing w:val="0"/>
        <w:jc w:val="both"/>
        <w:rPr>
          <w:rStyle w:val="Zvraznenie"/>
          <w:rFonts w:ascii="Times New Roman" w:hAnsi="Times New Roman"/>
          <w:iCs/>
          <w:sz w:val="24"/>
          <w:szCs w:val="24"/>
          <w:shd w:val="clear" w:color="auto" w:fill="FFFFFF"/>
        </w:rPr>
      </w:pPr>
      <w:r w:rsidRPr="000A4D63">
        <w:rPr>
          <w:rFonts w:ascii="Times New Roman" w:hAnsi="Times New Roman"/>
          <w:sz w:val="24"/>
          <w:szCs w:val="24"/>
        </w:rPr>
        <w:t>Nariadenie</w:t>
      </w:r>
      <w:r w:rsidRPr="000A4D63">
        <w:rPr>
          <w:rFonts w:ascii="Times New Roman" w:hAnsi="Times New Roman"/>
          <w:bCs/>
          <w:sz w:val="24"/>
          <w:szCs w:val="24"/>
          <w:shd w:val="clear" w:color="auto" w:fill="FFFFFF"/>
        </w:rPr>
        <w:t xml:space="preserve"> Európskeho parlamentu a Rady (EÚ) 2024/1689 z 13. júna 2024, ktorým sa stanovujú harmonizované pravidlá v oblasti umelej inteligencie a ktorým sa menia nariadenia (ES) č. 300/2008, (EÚ) č. 167/2013, (EÚ) č. 168/2013, (EÚ) 2018/858, (EÚ) 2018/1139 a (EÚ) 2019/2144 a smernice 2014/90/EÚ, (EÚ) 2016/797 a (EÚ) 2020/1828 (akt o umelej inteligencii) (</w:t>
      </w:r>
      <w:r w:rsidRPr="000A4D63">
        <w:rPr>
          <w:rStyle w:val="Zvraznenie"/>
          <w:rFonts w:ascii="Times New Roman" w:hAnsi="Times New Roman"/>
          <w:iCs/>
          <w:sz w:val="24"/>
          <w:szCs w:val="24"/>
          <w:shd w:val="clear" w:color="auto" w:fill="FFFFFF"/>
        </w:rPr>
        <w:t>Ú. v. EÚ L, 2024/1689, 12.7.2024)</w:t>
      </w:r>
      <w:r w:rsidRPr="000A4D63">
        <w:rPr>
          <w:rFonts w:ascii="Times New Roman" w:hAnsi="Times New Roman"/>
          <w:bCs/>
          <w:sz w:val="24"/>
          <w:szCs w:val="24"/>
          <w:shd w:val="clear" w:color="auto" w:fill="FFFFFF"/>
        </w:rPr>
        <w:t>, gestori: MIRRI SR, MH SR, ÚNMS SR</w:t>
      </w:r>
      <w:r w:rsidRPr="000A4D63">
        <w:rPr>
          <w:rStyle w:val="placeholdertext0"/>
          <w:rFonts w:ascii="Times New Roman" w:hAnsi="Times New Roman"/>
          <w:sz w:val="24"/>
          <w:szCs w:val="24"/>
        </w:rPr>
        <w:t>.</w:t>
      </w:r>
    </w:p>
    <w:p w:rsidR="00156690" w:rsidRPr="000A4D63" w:rsidRDefault="00156690" w:rsidP="00156690">
      <w:pPr>
        <w:pStyle w:val="Odsekzoznamu"/>
        <w:numPr>
          <w:ilvl w:val="0"/>
          <w:numId w:val="24"/>
        </w:numPr>
        <w:spacing w:before="120" w:after="0" w:line="240" w:lineRule="auto"/>
        <w:contextualSpacing w:val="0"/>
        <w:jc w:val="both"/>
        <w:rPr>
          <w:rFonts w:ascii="Times New Roman" w:hAnsi="Times New Roman"/>
          <w:i/>
          <w:iCs/>
          <w:sz w:val="24"/>
          <w:szCs w:val="24"/>
          <w:shd w:val="clear" w:color="auto" w:fill="FFFFFF"/>
        </w:rPr>
      </w:pPr>
      <w:r w:rsidRPr="000A4D63">
        <w:rPr>
          <w:rFonts w:ascii="Times New Roman" w:hAnsi="Times New Roman"/>
          <w:sz w:val="24"/>
          <w:szCs w:val="24"/>
        </w:rPr>
        <w:t xml:space="preserve">Nariadenie Európskeho parlamentu a Rady (EÚ) 2024/1781 z 13. júna 2024, ktorým sa zriaďuje rámec na stanovenie požiadaviek na </w:t>
      </w:r>
      <w:proofErr w:type="spellStart"/>
      <w:r w:rsidRPr="000A4D63">
        <w:rPr>
          <w:rFonts w:ascii="Times New Roman" w:hAnsi="Times New Roman"/>
          <w:sz w:val="24"/>
          <w:szCs w:val="24"/>
        </w:rPr>
        <w:t>ekodizajn</w:t>
      </w:r>
      <w:proofErr w:type="spellEnd"/>
      <w:r w:rsidRPr="000A4D63">
        <w:rPr>
          <w:rFonts w:ascii="Times New Roman" w:hAnsi="Times New Roman"/>
          <w:sz w:val="24"/>
          <w:szCs w:val="24"/>
        </w:rPr>
        <w:t xml:space="preserve"> udržateľných výrobkov, mení smernica (EÚ) 2020/1828 a nariadenie (EÚ) 2023/1542 a zrušuje smernica 2009/125/ES (</w:t>
      </w:r>
      <w:r w:rsidRPr="000A4D63">
        <w:rPr>
          <w:rStyle w:val="Zvraznenie"/>
          <w:rFonts w:ascii="Times New Roman" w:hAnsi="Times New Roman"/>
          <w:iCs/>
          <w:sz w:val="24"/>
          <w:szCs w:val="24"/>
          <w:shd w:val="clear" w:color="auto" w:fill="FFFFFF"/>
        </w:rPr>
        <w:t>Ú. v. EÚ L, 2024/1781, 28.6.2024)</w:t>
      </w:r>
      <w:r w:rsidRPr="000A4D63">
        <w:rPr>
          <w:rFonts w:ascii="Times New Roman" w:hAnsi="Times New Roman"/>
          <w:i/>
          <w:sz w:val="24"/>
          <w:szCs w:val="24"/>
        </w:rPr>
        <w:t xml:space="preserve">, </w:t>
      </w:r>
      <w:r w:rsidRPr="000A4D63">
        <w:rPr>
          <w:rFonts w:ascii="Times New Roman" w:hAnsi="Times New Roman"/>
          <w:sz w:val="24"/>
          <w:szCs w:val="24"/>
        </w:rPr>
        <w:t>gestori: MH SR, MŽP SR, MF SR, ÚNMS SR, ÚVO</w:t>
      </w:r>
      <w:r w:rsidRPr="000A4D63">
        <w:rPr>
          <w:rStyle w:val="placeholdertext0"/>
          <w:rFonts w:ascii="Times New Roman" w:hAnsi="Times New Roman"/>
          <w:sz w:val="24"/>
          <w:szCs w:val="24"/>
        </w:rPr>
        <w:t>.</w:t>
      </w:r>
    </w:p>
    <w:p w:rsidR="00156690" w:rsidRPr="000A4D63" w:rsidRDefault="00156690" w:rsidP="00156690">
      <w:pPr>
        <w:pStyle w:val="Odsekzoznamu"/>
        <w:numPr>
          <w:ilvl w:val="0"/>
          <w:numId w:val="24"/>
        </w:numPr>
        <w:spacing w:before="120" w:after="0" w:line="240" w:lineRule="auto"/>
        <w:contextualSpacing w:val="0"/>
        <w:jc w:val="both"/>
        <w:rPr>
          <w:rStyle w:val="placeholdertext0"/>
          <w:rFonts w:ascii="Times New Roman" w:hAnsi="Times New Roman"/>
          <w:i/>
          <w:iCs/>
          <w:sz w:val="24"/>
          <w:szCs w:val="24"/>
          <w:shd w:val="clear" w:color="auto" w:fill="FFFFFF"/>
        </w:rPr>
      </w:pPr>
      <w:r w:rsidRPr="000A4D63">
        <w:rPr>
          <w:rFonts w:ascii="Times New Roman" w:hAnsi="Times New Roman"/>
          <w:sz w:val="24"/>
          <w:szCs w:val="24"/>
        </w:rPr>
        <w:t>Nariadenie Európskeho parlamentu a Rady (EÚ) 2024/2516 z 18. septembra, ktorým sa mení nariadenie (EÚ) 2019/1009, pokiaľ ide o digitálne označovanie EÚ produktov na hnojenie (</w:t>
      </w:r>
      <w:r w:rsidRPr="000A4D63">
        <w:rPr>
          <w:rStyle w:val="Zvraznenie"/>
          <w:rFonts w:ascii="Times New Roman" w:hAnsi="Times New Roman"/>
          <w:iCs/>
          <w:sz w:val="24"/>
          <w:szCs w:val="24"/>
          <w:shd w:val="clear" w:color="auto" w:fill="FFFFFF"/>
        </w:rPr>
        <w:t>Ú. v. EÚ L, 2024/2516, 30.9.2024)</w:t>
      </w:r>
      <w:r w:rsidRPr="000A4D63">
        <w:rPr>
          <w:rFonts w:ascii="Times New Roman" w:hAnsi="Times New Roman"/>
          <w:i/>
          <w:sz w:val="24"/>
          <w:szCs w:val="24"/>
        </w:rPr>
        <w:t>,</w:t>
      </w:r>
      <w:r w:rsidRPr="000A4D63">
        <w:rPr>
          <w:rFonts w:ascii="Times New Roman" w:hAnsi="Times New Roman"/>
          <w:sz w:val="24"/>
          <w:szCs w:val="24"/>
        </w:rPr>
        <w:t xml:space="preserve"> gestori: MPRV SR, ÚNMS SR</w:t>
      </w:r>
      <w:r w:rsidRPr="000A4D63">
        <w:rPr>
          <w:rStyle w:val="placeholdertext0"/>
          <w:rFonts w:ascii="Times New Roman" w:hAnsi="Times New Roman"/>
          <w:sz w:val="24"/>
          <w:szCs w:val="24"/>
        </w:rPr>
        <w:t>.</w:t>
      </w:r>
    </w:p>
    <w:p w:rsidR="00156690" w:rsidRPr="000A4D63" w:rsidRDefault="00156690" w:rsidP="00156690">
      <w:pPr>
        <w:pStyle w:val="Odsekzoznamu"/>
        <w:numPr>
          <w:ilvl w:val="0"/>
          <w:numId w:val="24"/>
        </w:numPr>
        <w:spacing w:before="120" w:after="0" w:line="240" w:lineRule="auto"/>
        <w:contextualSpacing w:val="0"/>
        <w:jc w:val="both"/>
        <w:rPr>
          <w:rFonts w:ascii="Times New Roman" w:hAnsi="Times New Roman"/>
          <w:i/>
          <w:iCs/>
          <w:sz w:val="24"/>
          <w:szCs w:val="24"/>
          <w:shd w:val="clear" w:color="auto" w:fill="FFFFFF"/>
        </w:rPr>
      </w:pPr>
      <w:r w:rsidRPr="000A4D63">
        <w:rPr>
          <w:rFonts w:ascii="Times New Roman" w:hAnsi="Times New Roman"/>
          <w:bCs/>
          <w:sz w:val="24"/>
          <w:szCs w:val="24"/>
          <w:shd w:val="clear" w:color="auto" w:fill="FFFFFF"/>
        </w:rPr>
        <w:t>Nariadenie Európskeho parlamentu a Rady (EÚ) 2024/2847 z 23. októbra 2024 o horizontálnych požiadavkách kybernetickej bezpečnosti pre produkty s digitálnymi prvkami a o zmene nariadení (EÚ) č. 168/2013 a (EÚ) 2019/1020 a smernice (EÚ) 2020/1828 (akt o kybernetickej odolnosti</w:t>
      </w:r>
      <w:r w:rsidRPr="000A4D63">
        <w:rPr>
          <w:rFonts w:ascii="Times New Roman" w:hAnsi="Times New Roman"/>
          <w:bCs/>
          <w:i/>
          <w:sz w:val="24"/>
          <w:szCs w:val="24"/>
          <w:shd w:val="clear" w:color="auto" w:fill="FFFFFF"/>
        </w:rPr>
        <w:t>)</w:t>
      </w:r>
      <w:r w:rsidRPr="000A4D63">
        <w:rPr>
          <w:rStyle w:val="Zvraznenie"/>
          <w:rFonts w:ascii="Times New Roman" w:hAnsi="Times New Roman"/>
          <w:sz w:val="24"/>
          <w:szCs w:val="24"/>
          <w:shd w:val="clear" w:color="auto" w:fill="FFFFFF"/>
        </w:rPr>
        <w:t xml:space="preserve"> (</w:t>
      </w:r>
      <w:r w:rsidRPr="000A4D63">
        <w:rPr>
          <w:rFonts w:ascii="Times New Roman" w:hAnsi="Times New Roman"/>
          <w:iCs/>
          <w:sz w:val="24"/>
          <w:szCs w:val="24"/>
          <w:shd w:val="clear" w:color="auto" w:fill="FFFFFF"/>
          <w:lang w:eastAsia="sk-SK"/>
        </w:rPr>
        <w:t>Ú. v. EÚ L, 2024/2847, 20.11.2024) v platnom znení</w:t>
      </w:r>
      <w:r w:rsidRPr="000A4D63">
        <w:rPr>
          <w:rStyle w:val="Zvraznenie"/>
          <w:rFonts w:ascii="Times New Roman" w:hAnsi="Times New Roman"/>
          <w:sz w:val="24"/>
          <w:szCs w:val="24"/>
          <w:shd w:val="clear" w:color="auto" w:fill="FFFFFF"/>
        </w:rPr>
        <w:t xml:space="preserve">, </w:t>
      </w:r>
      <w:r w:rsidRPr="000A4D63">
        <w:rPr>
          <w:rStyle w:val="placeholdertext0"/>
          <w:rFonts w:ascii="Times New Roman" w:hAnsi="Times New Roman"/>
          <w:sz w:val="24"/>
          <w:szCs w:val="24"/>
        </w:rPr>
        <w:t>gestori: NBÚ, ÚNMS SR.</w:t>
      </w:r>
    </w:p>
    <w:p w:rsidR="00156690" w:rsidRPr="000A4D63" w:rsidRDefault="00156690" w:rsidP="00156690">
      <w:pPr>
        <w:pStyle w:val="Odsekzoznamu"/>
        <w:numPr>
          <w:ilvl w:val="0"/>
          <w:numId w:val="24"/>
        </w:numPr>
        <w:spacing w:before="120" w:after="0" w:line="240" w:lineRule="auto"/>
        <w:contextualSpacing w:val="0"/>
        <w:jc w:val="both"/>
        <w:rPr>
          <w:rStyle w:val="placeholdertext0"/>
          <w:rFonts w:ascii="Times New Roman" w:hAnsi="Times New Roman"/>
          <w:sz w:val="24"/>
          <w:szCs w:val="24"/>
        </w:rPr>
      </w:pPr>
      <w:r w:rsidRPr="000A4D63">
        <w:rPr>
          <w:rFonts w:ascii="Times New Roman" w:hAnsi="Times New Roman"/>
          <w:sz w:val="24"/>
          <w:szCs w:val="24"/>
        </w:rPr>
        <w:t>Delegované nariadenie Komisie (EÚ) 2024/370 z 23. januára 2024, ktorým sa dopĺňa smernica Európskeho parlamentu a Rady (EÚ) 2020/2184 stanovením postupov posudzovania zhody pre výrobky, ktoré prichádzajú do kontaktu s vodou určenou na ľudskú spotrebu a pravidiel určovania orgánov posudzovania zhody zapojených do týchto postupov (</w:t>
      </w:r>
      <w:r w:rsidRPr="000A4D63">
        <w:rPr>
          <w:rStyle w:val="Zvraznenie"/>
          <w:rFonts w:ascii="Times New Roman" w:hAnsi="Times New Roman"/>
          <w:iCs/>
          <w:sz w:val="24"/>
          <w:szCs w:val="24"/>
          <w:shd w:val="clear" w:color="auto" w:fill="FFFFFF"/>
        </w:rPr>
        <w:t>Ú. v. EÚ L, 2024/370, 23.4.2024)</w:t>
      </w:r>
      <w:r w:rsidRPr="000A4D63">
        <w:rPr>
          <w:rFonts w:ascii="Times New Roman" w:hAnsi="Times New Roman"/>
          <w:sz w:val="24"/>
          <w:szCs w:val="24"/>
        </w:rPr>
        <w:t>, gestori: MZ SR a ÚNMS SR</w:t>
      </w:r>
      <w:r w:rsidRPr="000A4D63">
        <w:rPr>
          <w:rStyle w:val="placeholdertext0"/>
          <w:rFonts w:ascii="Times New Roman" w:hAnsi="Times New Roman"/>
          <w:sz w:val="24"/>
          <w:szCs w:val="24"/>
        </w:rPr>
        <w:t>.</w:t>
      </w:r>
    </w:p>
    <w:p w:rsidR="00156690" w:rsidRPr="000A4D63" w:rsidRDefault="00156690" w:rsidP="00156690">
      <w:pPr>
        <w:pStyle w:val="Odsekzoznamu"/>
        <w:numPr>
          <w:ilvl w:val="0"/>
          <w:numId w:val="24"/>
        </w:numPr>
        <w:spacing w:before="120" w:after="0" w:line="240" w:lineRule="auto"/>
        <w:contextualSpacing w:val="0"/>
        <w:jc w:val="both"/>
        <w:rPr>
          <w:rFonts w:ascii="Times New Roman" w:hAnsi="Times New Roman"/>
          <w:sz w:val="24"/>
          <w:szCs w:val="24"/>
        </w:rPr>
      </w:pPr>
      <w:r w:rsidRPr="000A4D63">
        <w:rPr>
          <w:rFonts w:ascii="Times New Roman" w:hAnsi="Times New Roman"/>
          <w:bCs/>
          <w:sz w:val="24"/>
          <w:szCs w:val="24"/>
          <w:shd w:val="clear" w:color="auto" w:fill="FFFFFF"/>
        </w:rPr>
        <w:t>Delegované nariadenie Komisie (EÚ) 2024/371 z 23. januára 2024, ktorým sa dopĺňa smernica Európskeho parlamentu a Rady (EÚ) 2020/2184 stanovením harmonizovaných špecifikácií označovania výrobkov prichádzajúcich do kontaktu s vodou určenou na ľudskú spotrebu</w:t>
      </w:r>
      <w:r w:rsidRPr="000A4D63">
        <w:rPr>
          <w:rFonts w:ascii="Times New Roman" w:hAnsi="Times New Roman"/>
          <w:sz w:val="24"/>
          <w:szCs w:val="24"/>
        </w:rPr>
        <w:t xml:space="preserve"> (</w:t>
      </w:r>
      <w:r w:rsidRPr="000A4D63">
        <w:rPr>
          <w:rFonts w:ascii="Times New Roman" w:hAnsi="Times New Roman"/>
          <w:iCs/>
          <w:sz w:val="24"/>
          <w:szCs w:val="24"/>
          <w:shd w:val="clear" w:color="auto" w:fill="FFFFFF"/>
          <w:lang w:eastAsia="sk-SK"/>
        </w:rPr>
        <w:t>Ú. v. EÚ L, 2024/371, 23.4.2024</w:t>
      </w:r>
      <w:r w:rsidRPr="000A4D63">
        <w:rPr>
          <w:rStyle w:val="Zvraznenie"/>
          <w:rFonts w:ascii="Times New Roman" w:hAnsi="Times New Roman"/>
          <w:iCs/>
          <w:sz w:val="24"/>
          <w:szCs w:val="24"/>
          <w:shd w:val="clear" w:color="auto" w:fill="FFFFFF"/>
        </w:rPr>
        <w:t>)</w:t>
      </w:r>
      <w:r w:rsidRPr="000A4D63">
        <w:rPr>
          <w:rFonts w:ascii="Times New Roman" w:hAnsi="Times New Roman"/>
          <w:sz w:val="24"/>
          <w:szCs w:val="24"/>
        </w:rPr>
        <w:t>, gestori: MZ SR a ÚNMS SR.</w:t>
      </w:r>
    </w:p>
    <w:p w:rsidR="00156690" w:rsidRPr="000A4D63" w:rsidRDefault="00156690" w:rsidP="00156690">
      <w:pPr>
        <w:pStyle w:val="Odsekzoznamu"/>
        <w:numPr>
          <w:ilvl w:val="0"/>
          <w:numId w:val="24"/>
        </w:numPr>
        <w:spacing w:before="120" w:after="0" w:line="240" w:lineRule="auto"/>
        <w:contextualSpacing w:val="0"/>
        <w:jc w:val="both"/>
        <w:rPr>
          <w:rStyle w:val="placeholdertext0"/>
          <w:rFonts w:ascii="Times New Roman" w:hAnsi="Times New Roman"/>
          <w:i/>
          <w:iCs/>
          <w:sz w:val="24"/>
          <w:szCs w:val="24"/>
          <w:shd w:val="clear" w:color="auto" w:fill="FFFFFF"/>
        </w:rPr>
      </w:pPr>
      <w:r w:rsidRPr="000A4D63">
        <w:rPr>
          <w:rFonts w:ascii="Times New Roman" w:hAnsi="Times New Roman"/>
          <w:sz w:val="24"/>
          <w:szCs w:val="24"/>
        </w:rPr>
        <w:t>Vykonávacie rozhodnutie Komisie (EÚ) 2023/1096 z 2. júna 2023, ktorým sa stanovujú pravidlá uplatňovania smernice Európskeho parlamentu a Rady 2013/29/EÚ, pokiaľ ide o zber a aktualizáciu údajov o nehodách spojených s používaním pyrotechnických výrobkov (</w:t>
      </w:r>
      <w:r w:rsidRPr="000A4D63">
        <w:rPr>
          <w:rStyle w:val="Zvraznenie"/>
          <w:rFonts w:ascii="Times New Roman" w:hAnsi="Times New Roman"/>
          <w:iCs/>
          <w:sz w:val="24"/>
          <w:szCs w:val="24"/>
          <w:shd w:val="clear" w:color="auto" w:fill="FFFFFF"/>
        </w:rPr>
        <w:t>Ú. v. EÚ L 146, 6.6.2023</w:t>
      </w:r>
      <w:r w:rsidRPr="000A4D63">
        <w:rPr>
          <w:rStyle w:val="Zvraznenie"/>
          <w:rFonts w:ascii="Times New Roman" w:hAnsi="Times New Roman"/>
          <w:iCs/>
          <w:sz w:val="24"/>
          <w:szCs w:val="24"/>
        </w:rPr>
        <w:t>),</w:t>
      </w:r>
      <w:r w:rsidRPr="000A4D63">
        <w:rPr>
          <w:rStyle w:val="placeholdertext0"/>
          <w:rFonts w:ascii="Times New Roman" w:hAnsi="Times New Roman"/>
          <w:sz w:val="24"/>
          <w:szCs w:val="24"/>
        </w:rPr>
        <w:t xml:space="preserve"> gestori: ÚNMS SR a MZ SR.</w:t>
      </w:r>
    </w:p>
    <w:p w:rsidR="00156690" w:rsidRPr="000A4D63" w:rsidRDefault="00156690" w:rsidP="00156690">
      <w:pPr>
        <w:pStyle w:val="Odsekzoznamu"/>
        <w:numPr>
          <w:ilvl w:val="0"/>
          <w:numId w:val="24"/>
        </w:numPr>
        <w:spacing w:before="120" w:after="0" w:line="240" w:lineRule="auto"/>
        <w:contextualSpacing w:val="0"/>
        <w:jc w:val="both"/>
        <w:rPr>
          <w:rStyle w:val="placeholdertext0"/>
          <w:rFonts w:ascii="Times New Roman" w:hAnsi="Times New Roman"/>
          <w:i/>
          <w:iCs/>
          <w:sz w:val="24"/>
          <w:szCs w:val="24"/>
          <w:shd w:val="clear" w:color="auto" w:fill="FFFFFF"/>
        </w:rPr>
      </w:pPr>
      <w:r w:rsidRPr="000A4D63">
        <w:rPr>
          <w:rFonts w:ascii="Times New Roman" w:hAnsi="Times New Roman"/>
          <w:sz w:val="24"/>
          <w:szCs w:val="24"/>
        </w:rPr>
        <w:t>Vykonávacie nariadenie Komisie (EÚ) 2024/1922 z 12. júla 2024, ktorým sa stanovuje vzor na zber údajov a informácií uvedených v článku 6 ods. 5 písm. a) až d) nariadenia Európskeho parlamentu a Rady (EÚ) 2023/1230 členskými štátmi (</w:t>
      </w:r>
      <w:r w:rsidRPr="000A4D63">
        <w:rPr>
          <w:rFonts w:ascii="Times New Roman" w:hAnsi="Times New Roman"/>
          <w:iCs/>
          <w:sz w:val="24"/>
          <w:szCs w:val="24"/>
          <w:shd w:val="clear" w:color="auto" w:fill="FFFFFF"/>
          <w:lang w:eastAsia="sk-SK"/>
        </w:rPr>
        <w:t>Ú. v. EÚ L, 2024/1922, 15.7.2024), gestori: ÚNMS SR, MPSVR SR, MH SR.</w:t>
      </w:r>
    </w:p>
    <w:p w:rsidR="00156690" w:rsidRPr="000A4D63" w:rsidRDefault="00156690" w:rsidP="00156690">
      <w:pPr>
        <w:jc w:val="both"/>
        <w:rPr>
          <w:i/>
        </w:rPr>
      </w:pPr>
    </w:p>
    <w:p w:rsidR="00156690" w:rsidRPr="000A4D63" w:rsidRDefault="00156690" w:rsidP="00156690">
      <w:pPr>
        <w:ind w:firstLine="284"/>
      </w:pPr>
      <w:r w:rsidRPr="000A4D63">
        <w:rPr>
          <w:i/>
        </w:rPr>
        <w:t xml:space="preserve">c) </w:t>
      </w:r>
      <w:r w:rsidRPr="000A4D63">
        <w:tab/>
        <w:t>v judikatúre Súdneho dvora Európskej únie</w:t>
      </w:r>
    </w:p>
    <w:p w:rsidR="00156690" w:rsidRPr="000A4D63" w:rsidRDefault="00156690" w:rsidP="00156690">
      <w:pPr>
        <w:ind w:firstLine="284"/>
        <w:rPr>
          <w:i/>
        </w:rPr>
      </w:pPr>
    </w:p>
    <w:p w:rsidR="00156690" w:rsidRPr="000A4D63" w:rsidRDefault="00156690" w:rsidP="00156690">
      <w:pPr>
        <w:ind w:firstLine="284"/>
      </w:pPr>
      <w:r w:rsidRPr="000A4D63">
        <w:rPr>
          <w:i/>
        </w:rPr>
        <w:tab/>
      </w:r>
      <w:r w:rsidRPr="000A4D63">
        <w:t>bezpredmetné.</w:t>
      </w:r>
    </w:p>
    <w:p w:rsidR="00156690" w:rsidRPr="000A4D63" w:rsidRDefault="00156690" w:rsidP="00156690">
      <w:pPr>
        <w:rPr>
          <w:b/>
        </w:rPr>
      </w:pPr>
    </w:p>
    <w:p w:rsidR="00156690" w:rsidRPr="000A4D63" w:rsidRDefault="00156690" w:rsidP="00156690">
      <w:pPr>
        <w:ind w:left="360" w:hanging="360"/>
        <w:rPr>
          <w:b/>
        </w:rPr>
      </w:pPr>
      <w:r w:rsidRPr="000A4D63">
        <w:rPr>
          <w:b/>
        </w:rPr>
        <w:t>4.</w:t>
      </w:r>
      <w:r w:rsidRPr="000A4D63">
        <w:rPr>
          <w:b/>
        </w:rPr>
        <w:tab/>
        <w:t xml:space="preserve">Záväzky Slovenskej republiky vo vzťahu k Európskej únii: </w:t>
      </w:r>
    </w:p>
    <w:p w:rsidR="00156690" w:rsidRPr="000A4D63" w:rsidRDefault="00156690" w:rsidP="00156690"/>
    <w:p w:rsidR="00156690" w:rsidRPr="000A4D63" w:rsidRDefault="00156690" w:rsidP="00156690">
      <w:pPr>
        <w:ind w:left="426" w:hanging="426"/>
        <w:jc w:val="both"/>
      </w:pPr>
      <w:r w:rsidRPr="000A4D63">
        <w:t>a)</w:t>
      </w:r>
      <w:r w:rsidRPr="000A4D63">
        <w:tab/>
        <w:t xml:space="preserve">uviesť lehotu na prebranie smernice alebo lehotu na implementáciu nariadenia alebo rozhodnutia </w:t>
      </w:r>
    </w:p>
    <w:p w:rsidR="00156690" w:rsidRPr="000A4D63" w:rsidRDefault="00156690" w:rsidP="00156690">
      <w:pPr>
        <w:ind w:left="1429"/>
        <w:jc w:val="both"/>
      </w:pPr>
    </w:p>
    <w:p w:rsidR="00156690" w:rsidRPr="000A4D63" w:rsidRDefault="00156690" w:rsidP="00156690">
      <w:pPr>
        <w:pStyle w:val="Odsekzoznamu"/>
        <w:numPr>
          <w:ilvl w:val="0"/>
          <w:numId w:val="20"/>
        </w:numPr>
        <w:spacing w:before="120" w:after="0" w:line="240" w:lineRule="auto"/>
        <w:ind w:left="993" w:hanging="284"/>
        <w:contextualSpacing w:val="0"/>
        <w:jc w:val="both"/>
        <w:rPr>
          <w:rFonts w:ascii="Times New Roman" w:hAnsi="Times New Roman"/>
          <w:i/>
          <w:sz w:val="24"/>
          <w:szCs w:val="24"/>
        </w:rPr>
      </w:pPr>
      <w:r w:rsidRPr="000A4D63">
        <w:rPr>
          <w:rFonts w:ascii="Times New Roman" w:hAnsi="Times New Roman"/>
          <w:bCs/>
          <w:sz w:val="24"/>
          <w:szCs w:val="24"/>
          <w:shd w:val="clear" w:color="auto" w:fill="FFFFFF"/>
        </w:rPr>
        <w:t>Smernica Európskeho parlamentu a Rady (EÚ) 2023/2413 z 18. októbra 2023, ktorou sa mení smernica (EÚ) 2018/2001, nariadenie (EÚ) 2018/1999 a smernica 98/70/ES, pokiaľ ide o podporu energie z obnoviteľných zdrojov, a ktorou sa zrušuje smernica Rady (EÚ) 2015/652 (</w:t>
      </w:r>
      <w:r w:rsidRPr="000A4D63">
        <w:rPr>
          <w:rFonts w:ascii="Times New Roman" w:hAnsi="Times New Roman"/>
          <w:iCs/>
          <w:sz w:val="24"/>
          <w:szCs w:val="24"/>
          <w:shd w:val="clear" w:color="auto" w:fill="FFFFFF"/>
          <w:lang w:eastAsia="sk-SK"/>
        </w:rPr>
        <w:t>Ú. v. EÚ L, 2023/2413, 31.10.2023),</w:t>
      </w:r>
    </w:p>
    <w:p w:rsidR="00156690" w:rsidRPr="000A4D63" w:rsidRDefault="00156690" w:rsidP="00156690">
      <w:pPr>
        <w:spacing w:before="120"/>
        <w:ind w:left="993"/>
        <w:jc w:val="both"/>
        <w:rPr>
          <w:shd w:val="clear" w:color="auto" w:fill="FFFFFF"/>
        </w:rPr>
      </w:pPr>
      <w:r w:rsidRPr="000A4D63">
        <w:rPr>
          <w:shd w:val="clear" w:color="auto" w:fill="FFFFFF"/>
        </w:rPr>
        <w:t>Dátum nadobudnutia účinnosti: 20.11.2023.</w:t>
      </w:r>
    </w:p>
    <w:p w:rsidR="00156690" w:rsidRPr="000A4D63" w:rsidRDefault="00156690" w:rsidP="00156690">
      <w:pPr>
        <w:pStyle w:val="oj-normal"/>
        <w:shd w:val="clear" w:color="auto" w:fill="FFFFFF"/>
        <w:spacing w:before="120" w:beforeAutospacing="0" w:after="0" w:afterAutospacing="0"/>
        <w:ind w:left="993"/>
        <w:jc w:val="both"/>
      </w:pPr>
      <w:r w:rsidRPr="000A4D63">
        <w:t>Členské štáty uvedú do účinnosti zákony, iné právne predpisy a správne opatrenia potrebné na dosiahnutie súladu s touto smernicou do 21.05.2025.</w:t>
      </w:r>
    </w:p>
    <w:p w:rsidR="00156690" w:rsidRPr="000A4D63" w:rsidRDefault="00156690" w:rsidP="00156690">
      <w:pPr>
        <w:pStyle w:val="oj-normal"/>
        <w:shd w:val="clear" w:color="auto" w:fill="FFFFFF"/>
        <w:spacing w:before="120" w:beforeAutospacing="0" w:after="0" w:afterAutospacing="0"/>
        <w:ind w:left="993"/>
        <w:jc w:val="both"/>
      </w:pPr>
      <w:r w:rsidRPr="000A4D63">
        <w:t xml:space="preserve">Odchylne od prvého </w:t>
      </w:r>
      <w:proofErr w:type="spellStart"/>
      <w:r w:rsidRPr="000A4D63">
        <w:t>pododseku</w:t>
      </w:r>
      <w:proofErr w:type="spellEnd"/>
      <w:r w:rsidRPr="000A4D63">
        <w:t xml:space="preserve"> tohto odseku členské štáty uvedú do účinnosti zákony, iné právne predpisy a správne opatrenia potrebné na dosiahnutie súladu s článkom 1 ods. 6, pokiaľ ide o článok 15e smernice (EÚ) 2018/2001, a článkom 1 ods. 7, pokiaľ ide o články 16, 16b, 16c, 16d, 16e a 16f uvedenej smernice, a to do 01.07.2024.</w:t>
      </w:r>
    </w:p>
    <w:p w:rsidR="00156690" w:rsidRPr="000A4D63" w:rsidRDefault="00156690" w:rsidP="00156690">
      <w:pPr>
        <w:pStyle w:val="oj-normal"/>
        <w:shd w:val="clear" w:color="auto" w:fill="FFFFFF"/>
        <w:spacing w:before="120" w:beforeAutospacing="0" w:after="0" w:afterAutospacing="0"/>
        <w:ind w:left="993"/>
        <w:jc w:val="both"/>
      </w:pPr>
      <w:r w:rsidRPr="000A4D63">
        <w:t>Bezodkladne o uvedených opatreniach informujú Komisiu.</w:t>
      </w:r>
    </w:p>
    <w:p w:rsidR="00156690" w:rsidRPr="000A4D63" w:rsidRDefault="00156690" w:rsidP="00156690">
      <w:pPr>
        <w:pStyle w:val="oj-normal"/>
        <w:shd w:val="clear" w:color="auto" w:fill="FFFFFF"/>
        <w:spacing w:before="120" w:beforeAutospacing="0" w:after="0" w:afterAutospacing="0"/>
        <w:ind w:left="993"/>
        <w:jc w:val="both"/>
      </w:pPr>
      <w:r w:rsidRPr="000A4D63">
        <w:t>Členské štáty uvedú priamo v prijatých opatreniach alebo pri ich úradnom uverejnení odkaz na túto smernicu. Podrobnosti o odkaze upravia členské štáty.</w:t>
      </w:r>
    </w:p>
    <w:p w:rsidR="00156690" w:rsidRPr="000A4D63" w:rsidRDefault="00156690" w:rsidP="00156690">
      <w:pPr>
        <w:pStyle w:val="oj-normal"/>
        <w:shd w:val="clear" w:color="auto" w:fill="FFFFFF"/>
        <w:spacing w:before="120" w:beforeAutospacing="0" w:after="0" w:afterAutospacing="0"/>
        <w:ind w:left="993"/>
        <w:jc w:val="both"/>
      </w:pPr>
      <w:r w:rsidRPr="000A4D63">
        <w:t>Členské štáty oznámia Komisii znenie hlavných opatrení vnútroštátneho práva, ktoré prijmú v oblasti pôsobnosti tejto smernice.</w:t>
      </w:r>
    </w:p>
    <w:p w:rsidR="00156690" w:rsidRPr="000A4D63" w:rsidRDefault="00156690" w:rsidP="00156690">
      <w:pPr>
        <w:pStyle w:val="oj-normal"/>
        <w:shd w:val="clear" w:color="auto" w:fill="FFFFFF"/>
        <w:spacing w:before="120" w:beforeAutospacing="0" w:after="0" w:afterAutospacing="0"/>
        <w:ind w:left="993"/>
        <w:jc w:val="both"/>
        <w:rPr>
          <w:i/>
        </w:rPr>
      </w:pPr>
      <w:r w:rsidRPr="000A4D63">
        <w:t>Poznámka: Z</w:t>
      </w:r>
      <w:r w:rsidRPr="000A4D63">
        <w:rPr>
          <w:i/>
        </w:rPr>
        <w:t xml:space="preserve">mena smernice (EÚ) 2018/2001 bude čiastočne zabezpečená návrhom zákona, ktorým sa preberá čl. 1 odsek 1 body 14g. a 14f. smernice (EÚ) 2023/2413 a z odseku 11 smernice (EÚ) 2023/2413, ktorým sa vkladá článok 20a sa preberá návrhom zákona z čl. 20a odsek 3 prvý odstavec. </w:t>
      </w:r>
    </w:p>
    <w:p w:rsidR="00156690" w:rsidRPr="000A4D63" w:rsidRDefault="00156690" w:rsidP="00156690">
      <w:pPr>
        <w:pStyle w:val="Odsekzoznamu"/>
        <w:numPr>
          <w:ilvl w:val="0"/>
          <w:numId w:val="20"/>
        </w:numPr>
        <w:spacing w:before="120" w:after="0" w:line="240" w:lineRule="auto"/>
        <w:ind w:left="993" w:hanging="284"/>
        <w:contextualSpacing w:val="0"/>
        <w:jc w:val="both"/>
        <w:rPr>
          <w:rStyle w:val="placeholdertext0"/>
          <w:rFonts w:ascii="Times New Roman" w:hAnsi="Times New Roman"/>
          <w:i/>
          <w:sz w:val="24"/>
          <w:szCs w:val="24"/>
        </w:rPr>
      </w:pPr>
      <w:r w:rsidRPr="000A4D63">
        <w:rPr>
          <w:rFonts w:ascii="Times New Roman" w:hAnsi="Times New Roman"/>
          <w:sz w:val="24"/>
          <w:szCs w:val="24"/>
        </w:rPr>
        <w:t>S</w:t>
      </w:r>
      <w:r w:rsidRPr="000A4D63">
        <w:rPr>
          <w:rFonts w:ascii="Times New Roman" w:hAnsi="Times New Roman"/>
          <w:bCs/>
          <w:sz w:val="24"/>
          <w:szCs w:val="24"/>
          <w:shd w:val="clear" w:color="auto" w:fill="FFFFFF"/>
        </w:rPr>
        <w:t>mernica</w:t>
      </w:r>
      <w:r w:rsidRPr="000A4D63">
        <w:rPr>
          <w:rFonts w:ascii="Times New Roman" w:hAnsi="Times New Roman"/>
          <w:sz w:val="24"/>
          <w:szCs w:val="24"/>
        </w:rPr>
        <w:t xml:space="preserve"> Európskeho parlamentu a Rady (EÚ) 2024/2839 z 23. októbra 2024, </w:t>
      </w:r>
      <w:r w:rsidRPr="000A4D63">
        <w:rPr>
          <w:rFonts w:ascii="Times New Roman" w:hAnsi="Times New Roman"/>
          <w:bCs/>
          <w:sz w:val="24"/>
          <w:szCs w:val="24"/>
          <w:shd w:val="clear" w:color="auto" w:fill="FFFFFF"/>
        </w:rPr>
        <w:t xml:space="preserve">ktorou sa menia smernice 1999/2/ES, 2000/14/ES, 2011/24/EÚ a 2014/53/EÚ, pokiaľ ide o určité požiadavky na podávanie správ v oblasti potravín a prídavných látok do potravín, hluku vo voľnom priestranstve, práv pacientov a rádiových zariadení </w:t>
      </w:r>
      <w:r w:rsidRPr="000A4D63">
        <w:rPr>
          <w:rStyle w:val="placeholdertext0"/>
          <w:rFonts w:ascii="Times New Roman" w:hAnsi="Times New Roman"/>
          <w:sz w:val="24"/>
          <w:szCs w:val="24"/>
        </w:rPr>
        <w:t>(</w:t>
      </w:r>
      <w:r w:rsidRPr="000A4D63">
        <w:rPr>
          <w:rStyle w:val="Zvraznenie"/>
          <w:rFonts w:ascii="Times New Roman" w:hAnsi="Times New Roman"/>
          <w:iCs/>
          <w:sz w:val="24"/>
          <w:szCs w:val="24"/>
          <w:shd w:val="clear" w:color="auto" w:fill="FFFFFF"/>
        </w:rPr>
        <w:t>Ú. v. EÚ L, 2024/2839, 7.11.2024</w:t>
      </w:r>
      <w:r w:rsidRPr="000A4D63">
        <w:rPr>
          <w:rStyle w:val="placeholdertext0"/>
          <w:rFonts w:ascii="Times New Roman" w:hAnsi="Times New Roman"/>
          <w:i/>
          <w:sz w:val="24"/>
          <w:szCs w:val="24"/>
        </w:rPr>
        <w:t>).</w:t>
      </w:r>
    </w:p>
    <w:p w:rsidR="00156690" w:rsidRPr="000A4D63" w:rsidRDefault="00156690" w:rsidP="00156690">
      <w:pPr>
        <w:pStyle w:val="Odsekzoznamu"/>
        <w:spacing w:before="120" w:after="0" w:line="240" w:lineRule="auto"/>
        <w:ind w:left="993"/>
        <w:contextualSpacing w:val="0"/>
        <w:jc w:val="both"/>
        <w:rPr>
          <w:rFonts w:ascii="Times New Roman" w:hAnsi="Times New Roman"/>
          <w:sz w:val="24"/>
          <w:szCs w:val="24"/>
          <w:shd w:val="clear" w:color="auto" w:fill="FFFFFF"/>
        </w:rPr>
      </w:pPr>
      <w:bookmarkStart w:id="3" w:name="OLE_LINK2"/>
      <w:r w:rsidRPr="000A4D63">
        <w:rPr>
          <w:rFonts w:ascii="Times New Roman" w:hAnsi="Times New Roman"/>
          <w:sz w:val="24"/>
          <w:szCs w:val="24"/>
          <w:shd w:val="clear" w:color="auto" w:fill="FFFFFF"/>
        </w:rPr>
        <w:t>Dátum nadobudnutia účinnosti: 27.11.2024.</w:t>
      </w:r>
    </w:p>
    <w:p w:rsidR="00156690" w:rsidRPr="000A4D63" w:rsidRDefault="00156690" w:rsidP="00156690">
      <w:pPr>
        <w:pStyle w:val="oj-normal"/>
        <w:shd w:val="clear" w:color="auto" w:fill="FFFFFF"/>
        <w:spacing w:before="120" w:beforeAutospacing="0" w:after="0" w:afterAutospacing="0"/>
        <w:ind w:left="993"/>
        <w:jc w:val="both"/>
      </w:pPr>
      <w:r w:rsidRPr="000A4D63">
        <w:t>Členské štáty prijmú a uverejnia do 28.11.2025 zákony, iné právne predpisy a správne opatrenia potrebné na dosiahnutie súladu s článkom 2 ods. 1 tejto smernice. Bezodkladne o tom informujú Komisiu.</w:t>
      </w:r>
    </w:p>
    <w:p w:rsidR="00156690" w:rsidRPr="000A4D63" w:rsidRDefault="00156690" w:rsidP="00156690">
      <w:pPr>
        <w:pStyle w:val="oj-normal"/>
        <w:shd w:val="clear" w:color="auto" w:fill="FFFFFF"/>
        <w:spacing w:before="120" w:beforeAutospacing="0" w:after="0" w:afterAutospacing="0"/>
        <w:ind w:left="993"/>
        <w:jc w:val="both"/>
      </w:pPr>
      <w:r w:rsidRPr="000A4D63">
        <w:t>Tieto opatrenia uplatňujú od 29.11.2025.</w:t>
      </w:r>
    </w:p>
    <w:p w:rsidR="00156690" w:rsidRPr="000A4D63" w:rsidRDefault="00156690" w:rsidP="00156690">
      <w:pPr>
        <w:pStyle w:val="oj-normal"/>
        <w:shd w:val="clear" w:color="auto" w:fill="FFFFFF"/>
        <w:spacing w:before="120" w:beforeAutospacing="0" w:after="0" w:afterAutospacing="0"/>
        <w:ind w:left="993"/>
        <w:jc w:val="both"/>
      </w:pPr>
      <w:r w:rsidRPr="000A4D63">
        <w:t>Členské štáty uvedú priamo v prijatých opatreniach alebo pri ich úradnom uverejnení odkaz na túto smernicu. Podrobnosti o odkaze upravia členské štáty.</w:t>
      </w:r>
    </w:p>
    <w:p w:rsidR="00156690" w:rsidRPr="000A4D63" w:rsidRDefault="00156690" w:rsidP="00156690">
      <w:pPr>
        <w:pStyle w:val="oj-normal"/>
        <w:shd w:val="clear" w:color="auto" w:fill="FFFFFF"/>
        <w:spacing w:before="120" w:beforeAutospacing="0" w:after="0" w:afterAutospacing="0"/>
        <w:ind w:left="993"/>
        <w:jc w:val="both"/>
      </w:pPr>
      <w:r w:rsidRPr="000A4D63">
        <w:t>Členské štáty oznámia Komisii znenie hlavných opatrení vnútroštátneho práva, ktoré prijmú v oblasti pôsobnosti tejto smernice.</w:t>
      </w:r>
    </w:p>
    <w:p w:rsidR="00156690" w:rsidRPr="000A4D63" w:rsidRDefault="00156690" w:rsidP="00156690">
      <w:pPr>
        <w:pStyle w:val="Odsekzoznamu"/>
        <w:spacing w:before="120" w:after="0" w:line="240" w:lineRule="auto"/>
        <w:ind w:left="993"/>
        <w:contextualSpacing w:val="0"/>
        <w:jc w:val="both"/>
        <w:rPr>
          <w:rFonts w:ascii="Times New Roman" w:hAnsi="Times New Roman"/>
          <w:sz w:val="24"/>
          <w:szCs w:val="24"/>
          <w:shd w:val="clear" w:color="auto" w:fill="FFFFFF"/>
        </w:rPr>
      </w:pPr>
    </w:p>
    <w:p w:rsidR="00156690" w:rsidRPr="000A4D63" w:rsidRDefault="00156690" w:rsidP="00156690">
      <w:pPr>
        <w:ind w:left="993"/>
        <w:jc w:val="both"/>
        <w:rPr>
          <w:i/>
          <w:shd w:val="clear" w:color="auto" w:fill="FFFFFF"/>
        </w:rPr>
      </w:pPr>
      <w:r w:rsidRPr="000A4D63">
        <w:t xml:space="preserve">Poznámka: </w:t>
      </w:r>
      <w:r w:rsidRPr="000A4D63">
        <w:rPr>
          <w:i/>
        </w:rPr>
        <w:t>Zmena smernice 2014/53/EÚ bude zabezpečená návrhom zákona. Mení sa lehota na p</w:t>
      </w:r>
      <w:r w:rsidRPr="000A4D63">
        <w:rPr>
          <w:bCs/>
          <w:i/>
          <w:shd w:val="clear" w:color="auto" w:fill="FFFFFF"/>
        </w:rPr>
        <w:t xml:space="preserve">redkladanie správ </w:t>
      </w:r>
      <w:r w:rsidRPr="000A4D63">
        <w:rPr>
          <w:i/>
          <w:shd w:val="clear" w:color="auto" w:fill="FFFFFF"/>
        </w:rPr>
        <w:t>o uplatňovaní tejto smernice do 12.12.2027 za obdobie od 13.06.2023 a potom raz za 5 rokov.</w:t>
      </w:r>
      <w:r w:rsidRPr="000A4D63">
        <w:rPr>
          <w:i/>
        </w:rPr>
        <w:t xml:space="preserve"> Lehota na prebratie smernice v súvislosti so zmenou smernice 2014/53/EÚ nebola stanovená.</w:t>
      </w:r>
    </w:p>
    <w:p w:rsidR="00156690" w:rsidRPr="000A4D63" w:rsidRDefault="00156690" w:rsidP="00156690">
      <w:pPr>
        <w:ind w:left="993"/>
        <w:jc w:val="both"/>
        <w:rPr>
          <w:shd w:val="clear" w:color="auto" w:fill="FFFFFF"/>
        </w:rPr>
      </w:pPr>
    </w:p>
    <w:p w:rsidR="00156690" w:rsidRPr="000A4D63" w:rsidRDefault="00156690" w:rsidP="00156690">
      <w:pPr>
        <w:ind w:left="993"/>
        <w:jc w:val="both"/>
        <w:rPr>
          <w:i/>
          <w:shd w:val="clear" w:color="auto" w:fill="FFFFFF"/>
        </w:rPr>
      </w:pPr>
      <w:r w:rsidRPr="000A4D63">
        <w:rPr>
          <w:i/>
        </w:rPr>
        <w:t xml:space="preserve">Transpozícia zmeny  smernice 2000/14/ES bola zrealizovaná nariadením vlády Slovenskej republiky č. 113/2025 Z. z., ktorým sa mení a dopĺňa </w:t>
      </w:r>
      <w:r w:rsidRPr="000A4D63">
        <w:rPr>
          <w:i/>
          <w:iCs/>
          <w:shd w:val="clear" w:color="auto" w:fill="FFFFFF"/>
        </w:rPr>
        <w:t>nariadenie vlády č. 78/2019 Z. z., ktorou sa prebral čl. 2 ods. 1 smernice 2024/2839 (zber údajov o hluku) s účinnosťou k 28.11.2025</w:t>
      </w:r>
      <w:r w:rsidRPr="000A4D63">
        <w:rPr>
          <w:i/>
          <w:shd w:val="clear" w:color="auto" w:fill="FFFFFF"/>
        </w:rPr>
        <w:t>. Zmeny smerníc 1999/2/ES a 2011/24/EÚ nie sú predmetom návrhu zákona, nakoľko nie sú v gescii predkladateľa návrhu zákona.</w:t>
      </w:r>
    </w:p>
    <w:bookmarkEnd w:id="3"/>
    <w:p w:rsidR="00156690" w:rsidRPr="000A4D63" w:rsidRDefault="00156690" w:rsidP="00156690">
      <w:pPr>
        <w:ind w:left="993"/>
        <w:jc w:val="both"/>
        <w:rPr>
          <w:highlight w:val="yellow"/>
        </w:rPr>
      </w:pPr>
    </w:p>
    <w:p w:rsidR="00156690" w:rsidRPr="000A4D63" w:rsidRDefault="00156690" w:rsidP="00156690">
      <w:pPr>
        <w:numPr>
          <w:ilvl w:val="0"/>
          <w:numId w:val="19"/>
        </w:numPr>
        <w:autoSpaceDE w:val="0"/>
        <w:autoSpaceDN w:val="0"/>
        <w:ind w:left="993" w:hanging="284"/>
        <w:jc w:val="both"/>
        <w:rPr>
          <w:rStyle w:val="Zvraznenie"/>
          <w:i w:val="0"/>
          <w:iCs/>
          <w:shd w:val="clear" w:color="auto" w:fill="FFFFFF"/>
        </w:rPr>
      </w:pPr>
      <w:r w:rsidRPr="000A4D63">
        <w:t>Nariadenie Európskeho parlamentu a Rady (EÚ) 2023/1542 z 12. júna 2023 o batériách a odpadových batériách, ktorým sa mení smernica 2008/98/ES a nariadenie (EÚ) 2019/1020 a zrušuje smernica 2006/66/ES (</w:t>
      </w:r>
      <w:r w:rsidRPr="000A4D63">
        <w:rPr>
          <w:rStyle w:val="Zvraznenie"/>
          <w:iCs/>
          <w:shd w:val="clear" w:color="auto" w:fill="FFFFFF"/>
        </w:rPr>
        <w:t>Ú. v. EÚ L 191, 28.7.2023) v platnom znení.</w:t>
      </w:r>
    </w:p>
    <w:p w:rsidR="00156690" w:rsidRPr="000A4D63" w:rsidRDefault="00156690" w:rsidP="00156690">
      <w:pPr>
        <w:ind w:left="709" w:firstLine="284"/>
        <w:jc w:val="both"/>
        <w:rPr>
          <w:rStyle w:val="Zvraznenie"/>
          <w:i w:val="0"/>
          <w:iCs/>
          <w:shd w:val="clear" w:color="auto" w:fill="FFFFFF"/>
        </w:rPr>
      </w:pPr>
      <w:r w:rsidRPr="000A4D63">
        <w:rPr>
          <w:rStyle w:val="Zvraznenie"/>
          <w:iCs/>
          <w:shd w:val="clear" w:color="auto" w:fill="FFFFFF"/>
        </w:rPr>
        <w:t>Nadobudnutie účinnosti: 17.08.2023.</w:t>
      </w:r>
    </w:p>
    <w:p w:rsidR="00156690" w:rsidRPr="000A4D63" w:rsidRDefault="00156690" w:rsidP="00156690">
      <w:pPr>
        <w:widowControl/>
        <w:shd w:val="clear" w:color="auto" w:fill="FFFFFF"/>
        <w:adjustRightInd/>
        <w:ind w:left="285" w:firstLine="708"/>
        <w:jc w:val="both"/>
      </w:pPr>
      <w:r w:rsidRPr="000A4D63">
        <w:t xml:space="preserve">Uplatňuje sa od 18.02.2024 okrem: </w:t>
      </w:r>
    </w:p>
    <w:p w:rsidR="00156690" w:rsidRPr="000A4D63" w:rsidRDefault="00156690" w:rsidP="00156690">
      <w:pPr>
        <w:widowControl/>
        <w:numPr>
          <w:ilvl w:val="0"/>
          <w:numId w:val="18"/>
        </w:numPr>
        <w:shd w:val="clear" w:color="auto" w:fill="FFFFFF"/>
        <w:adjustRightInd/>
        <w:ind w:left="1276" w:hanging="142"/>
        <w:jc w:val="both"/>
      </w:pPr>
      <w:r w:rsidRPr="000A4D63">
        <w:t>článok 11 (vyberateľnosť a vymeniteľnosť prenosných batérií a LMT batérií) sa uplatňuje od 18.02.2027,</w:t>
      </w:r>
    </w:p>
    <w:p w:rsidR="00156690" w:rsidRPr="000A4D63" w:rsidRDefault="00156690" w:rsidP="00156690">
      <w:pPr>
        <w:widowControl/>
        <w:numPr>
          <w:ilvl w:val="0"/>
          <w:numId w:val="18"/>
        </w:numPr>
        <w:shd w:val="clear" w:color="auto" w:fill="FFFFFF"/>
        <w:adjustRightInd/>
        <w:ind w:left="1276" w:hanging="142"/>
        <w:jc w:val="both"/>
      </w:pPr>
      <w:r w:rsidRPr="000A4D63">
        <w:t>článok 17 (postupy posudzovania zhody) a kapitola VI (</w:t>
      </w:r>
      <w:r w:rsidRPr="000A4D63">
        <w:rPr>
          <w:bCs/>
          <w:iCs/>
          <w:shd w:val="clear" w:color="auto" w:fill="FFFFFF"/>
        </w:rPr>
        <w:t>Povinnosti hospodárskych subjektov neuvedené v kapitolách VII a VIII)</w:t>
      </w:r>
      <w:r w:rsidRPr="000A4D63">
        <w:t xml:space="preserve"> sa uplatňujú od 18.08.2024 s výnimkou článku 17 ods. 2, ktorý sa uplatňuje od 12 mesiacov po dni prvého uverejnenia zoznamu uvedeného v článku 30 ods. 2,</w:t>
      </w:r>
    </w:p>
    <w:p w:rsidR="00156690" w:rsidRPr="000A4D63" w:rsidRDefault="00156690" w:rsidP="00156690">
      <w:pPr>
        <w:widowControl/>
        <w:numPr>
          <w:ilvl w:val="0"/>
          <w:numId w:val="18"/>
        </w:numPr>
        <w:shd w:val="clear" w:color="auto" w:fill="FFFFFF"/>
        <w:adjustRightInd/>
        <w:ind w:left="1276" w:hanging="142"/>
        <w:jc w:val="both"/>
      </w:pPr>
      <w:r w:rsidRPr="000A4D63">
        <w:t xml:space="preserve">kapitola VIII (nakladanie s odpadovými batériami) sa uplatňuje od 18.08.2025, </w:t>
      </w:r>
    </w:p>
    <w:p w:rsidR="00156690" w:rsidRPr="000A4D63" w:rsidRDefault="00156690" w:rsidP="00156690">
      <w:pPr>
        <w:widowControl/>
        <w:numPr>
          <w:ilvl w:val="0"/>
          <w:numId w:val="18"/>
        </w:numPr>
        <w:shd w:val="clear" w:color="auto" w:fill="FFFFFF"/>
        <w:adjustRightInd/>
        <w:ind w:left="1276" w:hanging="142"/>
        <w:jc w:val="both"/>
      </w:pPr>
      <w:r w:rsidRPr="000A4D63">
        <w:t>článok 93 (sankcie) koniec lehoty 18.08.2025.</w:t>
      </w:r>
    </w:p>
    <w:p w:rsidR="00156690" w:rsidRPr="000A4D63" w:rsidRDefault="00156690" w:rsidP="00156690">
      <w:pPr>
        <w:widowControl/>
        <w:shd w:val="clear" w:color="auto" w:fill="FFFFFF"/>
        <w:adjustRightInd/>
        <w:ind w:left="993"/>
        <w:jc w:val="both"/>
      </w:pPr>
    </w:p>
    <w:p w:rsidR="00156690" w:rsidRPr="000A4D63" w:rsidRDefault="00156690" w:rsidP="00156690">
      <w:pPr>
        <w:shd w:val="clear" w:color="auto" w:fill="FFFFFF"/>
        <w:ind w:left="1134"/>
        <w:jc w:val="both"/>
        <w:rPr>
          <w:i/>
        </w:rPr>
      </w:pPr>
      <w:r w:rsidRPr="000A4D63">
        <w:rPr>
          <w:i/>
        </w:rPr>
        <w:t>Poznámka: Čl. 93 sa implementuje len v rozsahu § 28 zákona 56/2018 Z. z., kapitola VIII, kapitola XI a čl. 84 nariadenia (EÚ) 2023/1542 v platnom znení nie sú implementované návrhom zákona, implementácia má byť zabezpečená prostredníctvom legislatívy, ktorú bude pripravovať Ministerstvo životného prostredia Slovenskej republiky a Ministerstvo hospodárstva Slovenskej republiky, ktorí sú ďalšími gestormi nariadenia.</w:t>
      </w:r>
    </w:p>
    <w:p w:rsidR="00156690" w:rsidRPr="000A4D63" w:rsidRDefault="00156690" w:rsidP="00156690">
      <w:pPr>
        <w:pStyle w:val="Odsekzoznamu"/>
        <w:numPr>
          <w:ilvl w:val="0"/>
          <w:numId w:val="19"/>
        </w:numPr>
        <w:spacing w:before="120" w:after="0" w:line="240" w:lineRule="auto"/>
        <w:ind w:left="1134" w:hanging="425"/>
        <w:contextualSpacing w:val="0"/>
        <w:jc w:val="both"/>
        <w:rPr>
          <w:rFonts w:ascii="Times New Roman" w:hAnsi="Times New Roman"/>
          <w:bCs/>
          <w:i/>
          <w:sz w:val="24"/>
          <w:szCs w:val="24"/>
          <w:shd w:val="clear" w:color="auto" w:fill="FFFFFF"/>
        </w:rPr>
      </w:pPr>
      <w:r w:rsidRPr="000A4D63">
        <w:rPr>
          <w:rFonts w:ascii="Times New Roman" w:hAnsi="Times New Roman"/>
          <w:sz w:val="24"/>
          <w:szCs w:val="24"/>
        </w:rPr>
        <w:t>Nariadenie</w:t>
      </w:r>
      <w:r w:rsidRPr="000A4D63">
        <w:rPr>
          <w:rFonts w:ascii="Times New Roman" w:hAnsi="Times New Roman"/>
          <w:bCs/>
          <w:sz w:val="24"/>
          <w:szCs w:val="24"/>
          <w:shd w:val="clear" w:color="auto" w:fill="FFFFFF"/>
        </w:rPr>
        <w:t xml:space="preserve"> Európskeho parlamentu a Rady (EÚ) 2023/1230 zo 14. júna 2023 o strojových zariadeniach a o zrušení smernice Európskeho parlamentu a Rady 2006/42/ES a smernice Rady 73/361/EHS (</w:t>
      </w:r>
      <w:r w:rsidRPr="000A4D63">
        <w:rPr>
          <w:rStyle w:val="Zvraznenie"/>
          <w:rFonts w:ascii="Times New Roman" w:hAnsi="Times New Roman"/>
          <w:iCs/>
          <w:sz w:val="24"/>
          <w:szCs w:val="24"/>
          <w:shd w:val="clear" w:color="auto" w:fill="FFFFFF"/>
        </w:rPr>
        <w:t>Ú. v. EÚ L 165, 29.6.2023)</w:t>
      </w:r>
      <w:r w:rsidRPr="000A4D63">
        <w:rPr>
          <w:rFonts w:ascii="Times New Roman" w:hAnsi="Times New Roman"/>
          <w:bCs/>
          <w:i/>
          <w:sz w:val="24"/>
          <w:szCs w:val="24"/>
          <w:shd w:val="clear" w:color="auto" w:fill="FFFFFF"/>
        </w:rPr>
        <w:t xml:space="preserve"> </w:t>
      </w:r>
      <w:r w:rsidRPr="000A4D63">
        <w:rPr>
          <w:rFonts w:ascii="Times New Roman" w:hAnsi="Times New Roman"/>
          <w:bCs/>
          <w:sz w:val="24"/>
          <w:szCs w:val="24"/>
          <w:shd w:val="clear" w:color="auto" w:fill="FFFFFF"/>
        </w:rPr>
        <w:t>v platnom znení.</w:t>
      </w:r>
    </w:p>
    <w:p w:rsidR="00156690" w:rsidRPr="000A4D63" w:rsidRDefault="00156690" w:rsidP="00156690">
      <w:pPr>
        <w:ind w:left="1068"/>
        <w:jc w:val="both"/>
        <w:rPr>
          <w:rStyle w:val="Zvraznenie"/>
          <w:i w:val="0"/>
          <w:iCs/>
          <w:shd w:val="clear" w:color="auto" w:fill="FFFFFF"/>
        </w:rPr>
      </w:pPr>
      <w:r w:rsidRPr="000A4D63">
        <w:rPr>
          <w:rStyle w:val="Zvraznenie"/>
          <w:iCs/>
          <w:shd w:val="clear" w:color="auto" w:fill="FFFFFF"/>
        </w:rPr>
        <w:t>Nadobudnutie účinnosti: 19.07.2023.</w:t>
      </w:r>
    </w:p>
    <w:p w:rsidR="00156690" w:rsidRPr="000A4D63" w:rsidRDefault="00156690" w:rsidP="00156690">
      <w:pPr>
        <w:widowControl/>
        <w:shd w:val="clear" w:color="auto" w:fill="FFFFFF"/>
        <w:adjustRightInd/>
        <w:ind w:left="360" w:firstLine="708"/>
        <w:jc w:val="both"/>
      </w:pPr>
      <w:r w:rsidRPr="000A4D63">
        <w:t xml:space="preserve">Uplatňuje sa od 14.01.2027 okrem: </w:t>
      </w:r>
    </w:p>
    <w:p w:rsidR="00156690" w:rsidRPr="000A4D63" w:rsidRDefault="00156690" w:rsidP="00156690">
      <w:pPr>
        <w:pStyle w:val="Odsekzoznamu"/>
        <w:numPr>
          <w:ilvl w:val="0"/>
          <w:numId w:val="22"/>
        </w:numPr>
        <w:spacing w:after="0" w:line="240" w:lineRule="auto"/>
        <w:ind w:hanging="357"/>
        <w:contextualSpacing w:val="0"/>
        <w:jc w:val="both"/>
        <w:rPr>
          <w:rFonts w:ascii="Times New Roman" w:hAnsi="Times New Roman"/>
          <w:bCs/>
          <w:sz w:val="24"/>
          <w:szCs w:val="24"/>
          <w:shd w:val="clear" w:color="auto" w:fill="FFFFFF"/>
        </w:rPr>
      </w:pPr>
      <w:r w:rsidRPr="000A4D63">
        <w:rPr>
          <w:rFonts w:ascii="Times New Roman" w:hAnsi="Times New Roman"/>
          <w:bCs/>
          <w:sz w:val="24"/>
          <w:szCs w:val="24"/>
          <w:shd w:val="clear" w:color="auto" w:fill="FFFFFF"/>
        </w:rPr>
        <w:t>články 26 až 42 od 14.01.2024,</w:t>
      </w:r>
    </w:p>
    <w:p w:rsidR="00156690" w:rsidRPr="000A4D63" w:rsidRDefault="00156690" w:rsidP="00156690">
      <w:pPr>
        <w:pStyle w:val="Odsekzoznamu"/>
        <w:numPr>
          <w:ilvl w:val="0"/>
          <w:numId w:val="22"/>
        </w:numPr>
        <w:spacing w:after="0" w:line="240" w:lineRule="auto"/>
        <w:ind w:hanging="357"/>
        <w:contextualSpacing w:val="0"/>
        <w:jc w:val="both"/>
        <w:rPr>
          <w:rFonts w:ascii="Times New Roman" w:hAnsi="Times New Roman"/>
          <w:bCs/>
          <w:sz w:val="24"/>
          <w:szCs w:val="24"/>
          <w:shd w:val="clear" w:color="auto" w:fill="FFFFFF"/>
        </w:rPr>
      </w:pPr>
      <w:r w:rsidRPr="000A4D63">
        <w:rPr>
          <w:rFonts w:ascii="Times New Roman" w:hAnsi="Times New Roman"/>
          <w:bCs/>
          <w:sz w:val="24"/>
          <w:szCs w:val="24"/>
          <w:shd w:val="clear" w:color="auto" w:fill="FFFFFF"/>
        </w:rPr>
        <w:t>článok 50 ods. 1 od 14.10.2023,</w:t>
      </w:r>
    </w:p>
    <w:p w:rsidR="00156690" w:rsidRPr="000A4D63" w:rsidRDefault="00156690" w:rsidP="00156690">
      <w:pPr>
        <w:pStyle w:val="Odsekzoznamu"/>
        <w:numPr>
          <w:ilvl w:val="0"/>
          <w:numId w:val="22"/>
        </w:numPr>
        <w:spacing w:after="0" w:line="240" w:lineRule="auto"/>
        <w:ind w:hanging="357"/>
        <w:contextualSpacing w:val="0"/>
        <w:jc w:val="both"/>
        <w:rPr>
          <w:rFonts w:ascii="Times New Roman" w:hAnsi="Times New Roman"/>
          <w:bCs/>
          <w:sz w:val="24"/>
          <w:szCs w:val="24"/>
          <w:shd w:val="clear" w:color="auto" w:fill="FFFFFF"/>
        </w:rPr>
      </w:pPr>
      <w:r w:rsidRPr="000A4D63">
        <w:rPr>
          <w:rFonts w:ascii="Times New Roman" w:hAnsi="Times New Roman"/>
          <w:bCs/>
          <w:sz w:val="24"/>
          <w:szCs w:val="24"/>
          <w:shd w:val="clear" w:color="auto" w:fill="FFFFFF"/>
        </w:rPr>
        <w:t>článok 6 ods. 7 a články 48 a 52 od 13.07.2023,</w:t>
      </w:r>
    </w:p>
    <w:p w:rsidR="00156690" w:rsidRPr="000A4D63" w:rsidRDefault="00156690" w:rsidP="00156690">
      <w:pPr>
        <w:pStyle w:val="Odsekzoznamu"/>
        <w:numPr>
          <w:ilvl w:val="0"/>
          <w:numId w:val="22"/>
        </w:numPr>
        <w:spacing w:after="0" w:line="240" w:lineRule="auto"/>
        <w:ind w:hanging="357"/>
        <w:contextualSpacing w:val="0"/>
        <w:jc w:val="both"/>
        <w:rPr>
          <w:rFonts w:ascii="Times New Roman" w:hAnsi="Times New Roman"/>
          <w:bCs/>
          <w:sz w:val="24"/>
          <w:szCs w:val="24"/>
          <w:shd w:val="clear" w:color="auto" w:fill="FFFFFF"/>
        </w:rPr>
      </w:pPr>
      <w:r w:rsidRPr="000A4D63">
        <w:rPr>
          <w:rFonts w:ascii="Times New Roman" w:hAnsi="Times New Roman"/>
          <w:bCs/>
          <w:sz w:val="24"/>
          <w:szCs w:val="24"/>
          <w:shd w:val="clear" w:color="auto" w:fill="FFFFFF"/>
        </w:rPr>
        <w:t>článok 6 ods. 2 až 6, 8 a 11, článok 47 a článok 53 ods. 3 od 14.07.2024.</w:t>
      </w:r>
    </w:p>
    <w:p w:rsidR="00156690" w:rsidRPr="000A4D63" w:rsidRDefault="00156690" w:rsidP="00156690">
      <w:pPr>
        <w:pStyle w:val="Odsekzoznamu"/>
        <w:spacing w:after="0" w:line="240" w:lineRule="auto"/>
        <w:contextualSpacing w:val="0"/>
        <w:jc w:val="both"/>
        <w:rPr>
          <w:rFonts w:ascii="Times New Roman" w:hAnsi="Times New Roman"/>
          <w:bCs/>
          <w:sz w:val="24"/>
          <w:szCs w:val="24"/>
          <w:shd w:val="clear" w:color="auto" w:fill="FFFFFF"/>
        </w:rPr>
      </w:pPr>
    </w:p>
    <w:p w:rsidR="00156690" w:rsidRPr="000A4D63" w:rsidRDefault="00156690" w:rsidP="00156690">
      <w:pPr>
        <w:pStyle w:val="Odsekzoznamu"/>
        <w:numPr>
          <w:ilvl w:val="0"/>
          <w:numId w:val="21"/>
        </w:numPr>
        <w:spacing w:before="120" w:after="0" w:line="240" w:lineRule="auto"/>
        <w:ind w:left="1134" w:hanging="426"/>
        <w:contextualSpacing w:val="0"/>
        <w:jc w:val="both"/>
        <w:rPr>
          <w:rStyle w:val="Zvraznenie"/>
          <w:rFonts w:ascii="Times New Roman" w:hAnsi="Times New Roman"/>
          <w:i w:val="0"/>
          <w:iCs/>
          <w:sz w:val="24"/>
          <w:szCs w:val="24"/>
          <w:shd w:val="clear" w:color="auto" w:fill="FFFFFF"/>
        </w:rPr>
      </w:pPr>
      <w:r w:rsidRPr="000A4D63">
        <w:rPr>
          <w:rFonts w:ascii="Times New Roman" w:hAnsi="Times New Roman"/>
          <w:sz w:val="24"/>
          <w:szCs w:val="24"/>
        </w:rPr>
        <w:t>Nariadenie</w:t>
      </w:r>
      <w:r w:rsidRPr="000A4D63">
        <w:rPr>
          <w:rFonts w:ascii="Times New Roman" w:hAnsi="Times New Roman"/>
          <w:bCs/>
          <w:sz w:val="24"/>
          <w:szCs w:val="24"/>
          <w:shd w:val="clear" w:color="auto" w:fill="FFFFFF"/>
        </w:rPr>
        <w:t xml:space="preserve"> Európskeho parlamentu a Rady (EÚ) 2024/1252 z 11. apríla 2024, ktorým sa stanovuje rámec na zaistenie bezpečných a udržateľných dodávok kritických surovín a ktorým sa menia nariadenia (EÚ) č. 168/2013, (EÚ) 2018/858, (EÚ) 2018/1724 a (EÚ) 2019/1020 (</w:t>
      </w:r>
      <w:r w:rsidRPr="000A4D63">
        <w:rPr>
          <w:rStyle w:val="Zvraznenie"/>
          <w:rFonts w:ascii="Times New Roman" w:hAnsi="Times New Roman"/>
          <w:iCs/>
          <w:sz w:val="24"/>
          <w:szCs w:val="24"/>
          <w:shd w:val="clear" w:color="auto" w:fill="FFFFFF"/>
        </w:rPr>
        <w:t>Ú. v. EÚ L, 2024/1252, 3.5.2024)</w:t>
      </w:r>
      <w:r w:rsidRPr="000A4D63">
        <w:rPr>
          <w:rFonts w:ascii="Times New Roman" w:hAnsi="Times New Roman"/>
          <w:bCs/>
          <w:sz w:val="24"/>
          <w:szCs w:val="24"/>
          <w:shd w:val="clear" w:color="auto" w:fill="FFFFFF"/>
        </w:rPr>
        <w:t xml:space="preserve"> v platnom znení.</w:t>
      </w:r>
    </w:p>
    <w:p w:rsidR="00156690" w:rsidRPr="000A4D63" w:rsidRDefault="00156690" w:rsidP="00156690">
      <w:pPr>
        <w:pStyle w:val="Odsekzoznamu"/>
        <w:spacing w:before="120" w:after="0" w:line="240" w:lineRule="auto"/>
        <w:ind w:left="1134"/>
        <w:contextualSpacing w:val="0"/>
        <w:jc w:val="both"/>
        <w:rPr>
          <w:rFonts w:ascii="Times New Roman" w:hAnsi="Times New Roman"/>
          <w:sz w:val="24"/>
          <w:szCs w:val="24"/>
        </w:rPr>
      </w:pPr>
      <w:r w:rsidRPr="000A4D63">
        <w:rPr>
          <w:rFonts w:ascii="Times New Roman" w:hAnsi="Times New Roman"/>
          <w:sz w:val="24"/>
          <w:szCs w:val="24"/>
        </w:rPr>
        <w:t>Nadobudnutie účinnosti: 23.05.2024, okrem článkov 40 a 41, ktoré sa uplatňujú od 24.05.2029.</w:t>
      </w:r>
      <w:r w:rsidRPr="000A4D63">
        <w:rPr>
          <w:rFonts w:ascii="Times New Roman" w:hAnsi="Times New Roman"/>
          <w:bCs/>
          <w:i/>
          <w:sz w:val="24"/>
          <w:szCs w:val="24"/>
          <w:shd w:val="clear" w:color="auto" w:fill="FFFFFF"/>
        </w:rPr>
        <w:t xml:space="preserve"> </w:t>
      </w:r>
    </w:p>
    <w:p w:rsidR="00156690" w:rsidRPr="000A4D63" w:rsidRDefault="00156690" w:rsidP="00156690">
      <w:pPr>
        <w:widowControl/>
        <w:shd w:val="clear" w:color="auto" w:fill="FFFFFF"/>
        <w:adjustRightInd/>
        <w:ind w:left="993"/>
        <w:jc w:val="both"/>
        <w:rPr>
          <w:i/>
        </w:rPr>
      </w:pPr>
    </w:p>
    <w:p w:rsidR="00156690" w:rsidRPr="000A4D63" w:rsidRDefault="00156690" w:rsidP="00156690">
      <w:pPr>
        <w:widowControl/>
        <w:shd w:val="clear" w:color="auto" w:fill="FFFFFF"/>
        <w:adjustRightInd/>
        <w:ind w:left="1134"/>
        <w:jc w:val="both"/>
        <w:rPr>
          <w:i/>
        </w:rPr>
      </w:pPr>
      <w:r w:rsidRPr="000A4D63">
        <w:rPr>
          <w:i/>
        </w:rPr>
        <w:t xml:space="preserve">Poznámka: Návrhom zákona sa implementuje čl. </w:t>
      </w:r>
      <w:r w:rsidRPr="000A4D63">
        <w:rPr>
          <w:bCs/>
          <w:shd w:val="clear" w:color="auto" w:fill="FFFFFF"/>
        </w:rPr>
        <w:t xml:space="preserve">28, 29, 31 až 33 </w:t>
      </w:r>
      <w:r w:rsidRPr="000A4D63">
        <w:rPr>
          <w:i/>
        </w:rPr>
        <w:t>nariadenia (EÚ) 2024/1252. V ostatnej časti má byť implementácia zabezpečená prostredníctvom legislatívy, ktorú bude pripravovať Ministerstvo hospodárstva Slovenskej republiky, ktoré je ďalším gestorom nariadenia.</w:t>
      </w:r>
    </w:p>
    <w:p w:rsidR="00156690" w:rsidRPr="000A4D63" w:rsidRDefault="00156690" w:rsidP="00156690">
      <w:pPr>
        <w:pStyle w:val="Odsekzoznamu"/>
        <w:spacing w:after="0" w:line="240" w:lineRule="auto"/>
        <w:contextualSpacing w:val="0"/>
        <w:jc w:val="both"/>
        <w:rPr>
          <w:rFonts w:ascii="Times New Roman" w:hAnsi="Times New Roman"/>
          <w:bCs/>
          <w:sz w:val="24"/>
          <w:szCs w:val="24"/>
          <w:shd w:val="clear" w:color="auto" w:fill="FFFFFF"/>
        </w:rPr>
      </w:pPr>
    </w:p>
    <w:p w:rsidR="00156690" w:rsidRPr="000A4D63" w:rsidRDefault="00156690" w:rsidP="00156690">
      <w:pPr>
        <w:pStyle w:val="Odsekzoznamu"/>
        <w:numPr>
          <w:ilvl w:val="0"/>
          <w:numId w:val="19"/>
        </w:numPr>
        <w:spacing w:before="120" w:after="0" w:line="240" w:lineRule="auto"/>
        <w:ind w:left="1134" w:hanging="425"/>
        <w:contextualSpacing w:val="0"/>
        <w:jc w:val="both"/>
        <w:rPr>
          <w:rFonts w:ascii="Times New Roman" w:hAnsi="Times New Roman"/>
          <w:bCs/>
          <w:i/>
          <w:sz w:val="24"/>
          <w:szCs w:val="24"/>
          <w:shd w:val="clear" w:color="auto" w:fill="FFFFFF"/>
        </w:rPr>
      </w:pPr>
      <w:r w:rsidRPr="000A4D63">
        <w:rPr>
          <w:rFonts w:ascii="Times New Roman" w:hAnsi="Times New Roman"/>
          <w:sz w:val="24"/>
          <w:szCs w:val="24"/>
        </w:rPr>
        <w:t>Nariadenie</w:t>
      </w:r>
      <w:r w:rsidRPr="000A4D63">
        <w:rPr>
          <w:rFonts w:ascii="Times New Roman" w:hAnsi="Times New Roman"/>
          <w:bCs/>
          <w:sz w:val="24"/>
          <w:szCs w:val="24"/>
          <w:shd w:val="clear" w:color="auto" w:fill="FFFFFF"/>
        </w:rPr>
        <w:t xml:space="preserve"> Európskeho parlamentu a Rady (EÚ) 2024/1689 z 13. júna 2024, ktorým sa stanovujú harmonizované pravidlá v oblasti umelej inteligencie a ktorým sa menia nariadenia (ES) č. 300/2008, (EÚ) č. 167/2013, (EÚ) č. 168/2013, (EÚ) 2018/858, (EÚ) 2018/1139 a (EÚ) 2019/2144 a smernice 2014/90/EÚ, (EÚ) 2016/797 a (EÚ) 2020/1828 (akt o umelej inteligencii) (</w:t>
      </w:r>
      <w:r w:rsidRPr="000A4D63">
        <w:rPr>
          <w:rStyle w:val="Zvraznenie"/>
          <w:rFonts w:ascii="Times New Roman" w:hAnsi="Times New Roman"/>
          <w:iCs/>
          <w:sz w:val="24"/>
          <w:szCs w:val="24"/>
          <w:shd w:val="clear" w:color="auto" w:fill="FFFFFF"/>
        </w:rPr>
        <w:t>Ú. v. EÚ L, 2024/1689, 12.7.2024)</w:t>
      </w:r>
      <w:r w:rsidRPr="000A4D63">
        <w:rPr>
          <w:rFonts w:ascii="Times New Roman" w:hAnsi="Times New Roman"/>
          <w:bCs/>
          <w:i/>
          <w:sz w:val="24"/>
          <w:szCs w:val="24"/>
          <w:shd w:val="clear" w:color="auto" w:fill="FFFFFF"/>
        </w:rPr>
        <w:t xml:space="preserve">. </w:t>
      </w:r>
    </w:p>
    <w:p w:rsidR="00156690" w:rsidRPr="000A4D63" w:rsidRDefault="00156690" w:rsidP="00156690">
      <w:pPr>
        <w:pStyle w:val="Odsekzoznamu"/>
        <w:spacing w:before="120" w:after="0" w:line="240" w:lineRule="auto"/>
        <w:ind w:left="1276" w:hanging="142"/>
        <w:contextualSpacing w:val="0"/>
        <w:jc w:val="both"/>
        <w:rPr>
          <w:rFonts w:ascii="Times New Roman" w:hAnsi="Times New Roman"/>
          <w:sz w:val="24"/>
          <w:szCs w:val="24"/>
        </w:rPr>
      </w:pPr>
      <w:r w:rsidRPr="000A4D63">
        <w:rPr>
          <w:rFonts w:ascii="Times New Roman" w:hAnsi="Times New Roman"/>
          <w:sz w:val="24"/>
          <w:szCs w:val="24"/>
        </w:rPr>
        <w:t>Nadobudnutie účinnosti: 01.08.2024.</w:t>
      </w:r>
    </w:p>
    <w:p w:rsidR="00156690" w:rsidRPr="000A4D63" w:rsidRDefault="00156690" w:rsidP="00156690">
      <w:pPr>
        <w:pStyle w:val="Odsekzoznamu"/>
        <w:spacing w:after="0" w:line="240" w:lineRule="auto"/>
        <w:ind w:left="1276" w:hanging="142"/>
        <w:contextualSpacing w:val="0"/>
        <w:jc w:val="both"/>
        <w:rPr>
          <w:rFonts w:ascii="Times New Roman" w:hAnsi="Times New Roman"/>
          <w:sz w:val="24"/>
          <w:szCs w:val="24"/>
        </w:rPr>
      </w:pPr>
      <w:r w:rsidRPr="000A4D63">
        <w:rPr>
          <w:rFonts w:ascii="Times New Roman" w:hAnsi="Times New Roman"/>
          <w:sz w:val="24"/>
          <w:szCs w:val="24"/>
        </w:rPr>
        <w:t>Uplatňuje sa od 02.08.2026 okrem:</w:t>
      </w:r>
    </w:p>
    <w:p w:rsidR="00156690" w:rsidRPr="000A4D63" w:rsidRDefault="00156690" w:rsidP="00156690">
      <w:pPr>
        <w:pStyle w:val="Odsekzoznamu"/>
        <w:numPr>
          <w:ilvl w:val="0"/>
          <w:numId w:val="23"/>
        </w:numPr>
        <w:spacing w:after="0" w:line="240" w:lineRule="auto"/>
        <w:ind w:left="1276" w:hanging="142"/>
        <w:contextualSpacing w:val="0"/>
        <w:jc w:val="both"/>
        <w:rPr>
          <w:rFonts w:ascii="Times New Roman" w:hAnsi="Times New Roman"/>
          <w:sz w:val="24"/>
          <w:szCs w:val="24"/>
        </w:rPr>
      </w:pPr>
      <w:r w:rsidRPr="000A4D63">
        <w:rPr>
          <w:rFonts w:ascii="Times New Roman" w:hAnsi="Times New Roman"/>
          <w:sz w:val="24"/>
          <w:szCs w:val="24"/>
        </w:rPr>
        <w:t>Kapitoly I a II sa uplatňujú od 02.02.2025,</w:t>
      </w:r>
    </w:p>
    <w:p w:rsidR="00156690" w:rsidRPr="000A4D63" w:rsidRDefault="00156690" w:rsidP="00156690">
      <w:pPr>
        <w:pStyle w:val="Odsekzoznamu"/>
        <w:numPr>
          <w:ilvl w:val="0"/>
          <w:numId w:val="23"/>
        </w:numPr>
        <w:spacing w:after="0" w:line="240" w:lineRule="auto"/>
        <w:ind w:left="1276" w:hanging="142"/>
        <w:contextualSpacing w:val="0"/>
        <w:jc w:val="both"/>
        <w:rPr>
          <w:rFonts w:ascii="Times New Roman" w:hAnsi="Times New Roman"/>
          <w:sz w:val="24"/>
          <w:szCs w:val="24"/>
          <w:shd w:val="clear" w:color="auto" w:fill="FFFFFF"/>
        </w:rPr>
      </w:pPr>
      <w:r w:rsidRPr="000A4D63">
        <w:rPr>
          <w:rFonts w:ascii="Times New Roman" w:hAnsi="Times New Roman"/>
          <w:sz w:val="24"/>
          <w:szCs w:val="24"/>
          <w:shd w:val="clear" w:color="auto" w:fill="FFFFFF"/>
        </w:rPr>
        <w:t>Kapitola III oddiel 4, kapitola V, kapitola VII, kapitola XII a článok 78 sa uplatňujú od 02.08.2025, s výnimkou článku 101;</w:t>
      </w:r>
    </w:p>
    <w:p w:rsidR="00156690" w:rsidRPr="000A4D63" w:rsidRDefault="00156690" w:rsidP="00156690">
      <w:pPr>
        <w:pStyle w:val="Odsekzoznamu"/>
        <w:numPr>
          <w:ilvl w:val="0"/>
          <w:numId w:val="23"/>
        </w:numPr>
        <w:spacing w:after="0" w:line="240" w:lineRule="auto"/>
        <w:ind w:left="1276" w:hanging="142"/>
        <w:contextualSpacing w:val="0"/>
        <w:jc w:val="both"/>
        <w:rPr>
          <w:rFonts w:ascii="Times New Roman" w:hAnsi="Times New Roman"/>
          <w:sz w:val="24"/>
          <w:szCs w:val="24"/>
        </w:rPr>
      </w:pPr>
      <w:r w:rsidRPr="000A4D63">
        <w:rPr>
          <w:rFonts w:ascii="Times New Roman" w:hAnsi="Times New Roman"/>
          <w:sz w:val="24"/>
          <w:szCs w:val="24"/>
          <w:shd w:val="clear" w:color="auto" w:fill="FFFFFF"/>
        </w:rPr>
        <w:t>Článok 6 ods. 1 a zodpovedajúce povinnosti ustanovené v tomto nariadení sa uplatňujú od 02.08.2027.</w:t>
      </w:r>
    </w:p>
    <w:p w:rsidR="00156690" w:rsidRPr="000A4D63" w:rsidRDefault="00156690" w:rsidP="00156690">
      <w:pPr>
        <w:jc w:val="both"/>
        <w:rPr>
          <w:rStyle w:val="Zvraznenie"/>
          <w:i w:val="0"/>
        </w:rPr>
      </w:pPr>
    </w:p>
    <w:p w:rsidR="00156690" w:rsidRPr="000A4D63" w:rsidRDefault="00156690" w:rsidP="00156690">
      <w:pPr>
        <w:widowControl/>
        <w:shd w:val="clear" w:color="auto" w:fill="FFFFFF"/>
        <w:adjustRightInd/>
        <w:ind w:left="1134"/>
        <w:jc w:val="both"/>
        <w:rPr>
          <w:i/>
        </w:rPr>
      </w:pPr>
      <w:r w:rsidRPr="000A4D63">
        <w:rPr>
          <w:i/>
        </w:rPr>
        <w:t>Poznámka: Návrhom zákona sa implementuje len  kapitola III. oddiel 4 nariadenia (EÚ) 2024/1689. Výrobky uvedené v čl. 6 ods. 1 nariadenia (EÚ) 2024/1689 sú určenými výrobkami podľa § 4 ods. 1 zákona č. 56/2018 Z. z.  V ostatnej časti má byť implementácia zabezpečená prostredníctvom legislatívy, ktorú bude pripravovať Ministerstvo investícii regionálneho rozvoja a informatizácie Slovenskej republiky, ktoré je ďalším gestorom nariadenia.</w:t>
      </w:r>
    </w:p>
    <w:p w:rsidR="00156690" w:rsidRPr="000A4D63" w:rsidRDefault="00156690" w:rsidP="00156690">
      <w:pPr>
        <w:jc w:val="both"/>
        <w:rPr>
          <w:rStyle w:val="Zvraznenie"/>
          <w:i w:val="0"/>
        </w:rPr>
      </w:pPr>
    </w:p>
    <w:p w:rsidR="00156690" w:rsidRPr="000A4D63" w:rsidRDefault="00156690" w:rsidP="00156690">
      <w:pPr>
        <w:pStyle w:val="Odsekzoznamu"/>
        <w:numPr>
          <w:ilvl w:val="0"/>
          <w:numId w:val="19"/>
        </w:numPr>
        <w:spacing w:before="120" w:after="0" w:line="240" w:lineRule="auto"/>
        <w:ind w:left="1134" w:hanging="425"/>
        <w:contextualSpacing w:val="0"/>
        <w:jc w:val="both"/>
        <w:rPr>
          <w:rStyle w:val="Zvraznenie"/>
          <w:rFonts w:ascii="Times New Roman" w:hAnsi="Times New Roman"/>
          <w:iCs/>
          <w:sz w:val="24"/>
          <w:szCs w:val="24"/>
          <w:shd w:val="clear" w:color="auto" w:fill="FFFFFF"/>
        </w:rPr>
      </w:pPr>
      <w:r w:rsidRPr="000A4D63">
        <w:rPr>
          <w:rFonts w:ascii="Times New Roman" w:hAnsi="Times New Roman"/>
          <w:sz w:val="24"/>
          <w:szCs w:val="24"/>
        </w:rPr>
        <w:t xml:space="preserve">Nariadenie Európskeho parlamentu a Rady (EÚ) 2024/1781 z 13. júna 2024, ktorým sa zriaďuje rámec na stanovenie požiadaviek na </w:t>
      </w:r>
      <w:proofErr w:type="spellStart"/>
      <w:r w:rsidRPr="000A4D63">
        <w:rPr>
          <w:rFonts w:ascii="Times New Roman" w:hAnsi="Times New Roman"/>
          <w:sz w:val="24"/>
          <w:szCs w:val="24"/>
        </w:rPr>
        <w:t>ekodizajn</w:t>
      </w:r>
      <w:proofErr w:type="spellEnd"/>
      <w:r w:rsidRPr="000A4D63">
        <w:rPr>
          <w:rFonts w:ascii="Times New Roman" w:hAnsi="Times New Roman"/>
          <w:sz w:val="24"/>
          <w:szCs w:val="24"/>
        </w:rPr>
        <w:t xml:space="preserve"> udržateľných výrobkov, mení smernica (EÚ) 2020/1828 a nariadenie (EÚ) 2023/1542 a zrušuje smernica 2009/125/ES (</w:t>
      </w:r>
      <w:r w:rsidRPr="000A4D63">
        <w:rPr>
          <w:rStyle w:val="Zvraznenie"/>
          <w:rFonts w:ascii="Times New Roman" w:hAnsi="Times New Roman"/>
          <w:iCs/>
          <w:sz w:val="24"/>
          <w:szCs w:val="24"/>
          <w:shd w:val="clear" w:color="auto" w:fill="FFFFFF"/>
        </w:rPr>
        <w:t>Ú. v. EÚ L, 2024/1781, 28.6.2024).</w:t>
      </w:r>
    </w:p>
    <w:p w:rsidR="00156690" w:rsidRPr="000A4D63" w:rsidRDefault="00156690" w:rsidP="00156690">
      <w:pPr>
        <w:pStyle w:val="Odsekzoznamu"/>
        <w:spacing w:before="120" w:after="0" w:line="240" w:lineRule="auto"/>
        <w:ind w:left="1134"/>
        <w:contextualSpacing w:val="0"/>
        <w:jc w:val="both"/>
        <w:rPr>
          <w:rFonts w:ascii="Times New Roman" w:hAnsi="Times New Roman"/>
          <w:sz w:val="24"/>
          <w:szCs w:val="24"/>
        </w:rPr>
      </w:pPr>
      <w:r w:rsidRPr="000A4D63">
        <w:rPr>
          <w:rFonts w:ascii="Times New Roman" w:hAnsi="Times New Roman"/>
          <w:sz w:val="24"/>
          <w:szCs w:val="24"/>
        </w:rPr>
        <w:t>Nadobudnutie účinnosti: 18.07.2024</w:t>
      </w:r>
    </w:p>
    <w:p w:rsidR="00156690" w:rsidRPr="000A4D63" w:rsidRDefault="00156690" w:rsidP="00156690">
      <w:pPr>
        <w:pStyle w:val="Odsekzoznamu"/>
        <w:spacing w:before="120" w:line="240" w:lineRule="auto"/>
        <w:ind w:left="1134"/>
        <w:jc w:val="both"/>
        <w:rPr>
          <w:rFonts w:ascii="Times New Roman" w:hAnsi="Times New Roman"/>
          <w:sz w:val="24"/>
          <w:szCs w:val="24"/>
        </w:rPr>
      </w:pPr>
      <w:r w:rsidRPr="000A4D63">
        <w:rPr>
          <w:rFonts w:ascii="Times New Roman" w:hAnsi="Times New Roman"/>
          <w:sz w:val="24"/>
          <w:szCs w:val="24"/>
        </w:rPr>
        <w:t>1. Smernica 2009/125/ES sa zrušuje s účinnosťou od 18.07.2024, s výnimkou:</w:t>
      </w:r>
    </w:p>
    <w:p w:rsidR="00156690" w:rsidRPr="000A4D63" w:rsidRDefault="00156690" w:rsidP="00156690">
      <w:pPr>
        <w:pStyle w:val="Odsekzoznamu"/>
        <w:spacing w:before="120" w:line="240" w:lineRule="auto"/>
        <w:ind w:left="1134"/>
        <w:jc w:val="both"/>
        <w:rPr>
          <w:rFonts w:ascii="Times New Roman" w:hAnsi="Times New Roman"/>
          <w:sz w:val="24"/>
          <w:szCs w:val="24"/>
        </w:rPr>
      </w:pPr>
      <w:r w:rsidRPr="000A4D63">
        <w:rPr>
          <w:rFonts w:ascii="Times New Roman" w:hAnsi="Times New Roman"/>
          <w:sz w:val="24"/>
          <w:szCs w:val="24"/>
        </w:rPr>
        <w:t>a) článkov 1 a 2, článku 8 ods. 2, článkov 11, 14, 15, 18 a 19 a príloh I, II, IV, V a VII k smernici 2009/125/ES v znení platnom k 17.07.2024, ktoré sa namiesto článkov 1, 2, 4, 5, 6, 7, 8, 9, 10, 11, 12, 13, 19 a 20 a príloh I, II, III a IV k tomuto nariadeniu naďalej uplatňujú:</w:t>
      </w:r>
    </w:p>
    <w:p w:rsidR="00156690" w:rsidRPr="000A4D63" w:rsidRDefault="00156690" w:rsidP="00156690">
      <w:pPr>
        <w:pStyle w:val="Odsekzoznamu"/>
        <w:spacing w:before="120" w:line="240" w:lineRule="auto"/>
        <w:ind w:left="1134"/>
        <w:jc w:val="both"/>
        <w:rPr>
          <w:rFonts w:ascii="Times New Roman" w:hAnsi="Times New Roman"/>
          <w:sz w:val="24"/>
          <w:szCs w:val="24"/>
        </w:rPr>
      </w:pPr>
      <w:r w:rsidRPr="000A4D63">
        <w:rPr>
          <w:rFonts w:ascii="Times New Roman" w:hAnsi="Times New Roman"/>
          <w:sz w:val="24"/>
          <w:szCs w:val="24"/>
        </w:rPr>
        <w:t xml:space="preserve">i) do 31.12.2026, pokiaľ ide o </w:t>
      </w:r>
      <w:proofErr w:type="spellStart"/>
      <w:r w:rsidRPr="000A4D63">
        <w:rPr>
          <w:rFonts w:ascii="Times New Roman" w:hAnsi="Times New Roman"/>
          <w:sz w:val="24"/>
          <w:szCs w:val="24"/>
        </w:rPr>
        <w:t>fotovoltické</w:t>
      </w:r>
      <w:proofErr w:type="spellEnd"/>
      <w:r w:rsidRPr="000A4D63">
        <w:rPr>
          <w:rFonts w:ascii="Times New Roman" w:hAnsi="Times New Roman"/>
          <w:sz w:val="24"/>
          <w:szCs w:val="24"/>
        </w:rPr>
        <w:t xml:space="preserve"> panely, tepelné zdroje na vykurovanie priestoru a kombinované tepelné zdroje, ohrievače vody, lokálne ohrievače priestoru na tuhé palivo, lematizátory vrátane tepelných čerpadiel vzduch-vzduch a vetracích jednotiek chladiacich výrobkov, kotle na tuhé palivo, výrobky na ohrievanie a chladenie vzduchu, vetracie jednotky, vysávače, spotrebiče na varenie, vodné čerpadlá, priemyselné ventilátory, obehové ventilátory, externé zdroje energie, počítače, servery a dátové zásobníky, výkonové transformátory, profesionálne chladiace zariadenia, a zobrazovacie zariadenia;</w:t>
      </w:r>
    </w:p>
    <w:p w:rsidR="00156690" w:rsidRPr="000A4D63" w:rsidRDefault="00156690" w:rsidP="00156690">
      <w:pPr>
        <w:pStyle w:val="Odsekzoznamu"/>
        <w:spacing w:before="120" w:line="240" w:lineRule="auto"/>
        <w:ind w:left="1134"/>
        <w:jc w:val="both"/>
        <w:rPr>
          <w:rFonts w:ascii="Times New Roman" w:hAnsi="Times New Roman"/>
          <w:sz w:val="24"/>
          <w:szCs w:val="24"/>
        </w:rPr>
      </w:pPr>
      <w:r w:rsidRPr="000A4D63">
        <w:rPr>
          <w:rFonts w:ascii="Times New Roman" w:hAnsi="Times New Roman"/>
          <w:sz w:val="24"/>
          <w:szCs w:val="24"/>
        </w:rPr>
        <w:t>ii) do 31.12.2030, pokiaľ ide o výrobky regulované vykonávacími opatreniami prijatými podľa článku 15 smernice 2009/125/ES, ale iba pokiaľ sú potrebné zmeny na riešenie technických problémov v súvislosti s uvedenými vykonávacími opatreniami;</w:t>
      </w:r>
    </w:p>
    <w:p w:rsidR="00156690" w:rsidRPr="000A4D63" w:rsidRDefault="00156690" w:rsidP="00156690">
      <w:pPr>
        <w:pStyle w:val="Odsekzoznamu"/>
        <w:spacing w:before="120" w:line="240" w:lineRule="auto"/>
        <w:ind w:left="1134"/>
        <w:jc w:val="both"/>
        <w:rPr>
          <w:rFonts w:ascii="Times New Roman" w:hAnsi="Times New Roman"/>
          <w:sz w:val="24"/>
          <w:szCs w:val="24"/>
        </w:rPr>
      </w:pPr>
      <w:r w:rsidRPr="000A4D63">
        <w:rPr>
          <w:rFonts w:ascii="Times New Roman" w:hAnsi="Times New Roman"/>
          <w:sz w:val="24"/>
          <w:szCs w:val="24"/>
        </w:rPr>
        <w:t>b) článku 1 ods. 3, článku 2, článku 3 ods. 1, článku 4, 5 a 8, článku 9 ods. 3, článku 10, 14 a 20 a prílohy IV, V a VI k smernici 2009/125/ES v znení platnom k 17.07.2024, ktoré sa namiesto článkov 1, 2, 27 a 29, článku 41 ods. 4, článku 43 ods. 2, článkov 44, 45 a 46 a článku 74 a príloh IV a V k tomuto nariadeniu naďalej uplatňujú, pokiaľ ide o výrobky regulované vykonávacími opatreniami prijatými podľa článku 15 uvedenej smernice, až kým sa takéto opatrenia nezrušia alebo nevyhlásia za zastarané.</w:t>
      </w:r>
    </w:p>
    <w:p w:rsidR="00156690" w:rsidRPr="000A4D63" w:rsidRDefault="00156690" w:rsidP="00156690">
      <w:pPr>
        <w:pStyle w:val="Odsekzoznamu"/>
        <w:spacing w:before="120" w:line="240" w:lineRule="auto"/>
        <w:ind w:left="1134"/>
        <w:jc w:val="both"/>
        <w:rPr>
          <w:rFonts w:ascii="Times New Roman" w:hAnsi="Times New Roman"/>
          <w:sz w:val="24"/>
          <w:szCs w:val="24"/>
        </w:rPr>
      </w:pPr>
      <w:r w:rsidRPr="000A4D63">
        <w:rPr>
          <w:rFonts w:ascii="Times New Roman" w:hAnsi="Times New Roman"/>
          <w:sz w:val="24"/>
          <w:szCs w:val="24"/>
        </w:rPr>
        <w:t>Písmeno b) tohto odseku sa uplatňuje po tom, ako Komisia prijme vykonávacie opatrenia podľa článku 15 smernice 2009/125/ES pre výrobky uvedené v písmene a) bodoch i) a ii).</w:t>
      </w:r>
    </w:p>
    <w:p w:rsidR="00156690" w:rsidRPr="000A4D63" w:rsidRDefault="00156690" w:rsidP="00156690">
      <w:pPr>
        <w:pStyle w:val="Odsekzoznamu"/>
        <w:spacing w:before="120" w:line="240" w:lineRule="auto"/>
        <w:ind w:left="1134"/>
        <w:jc w:val="both"/>
        <w:rPr>
          <w:rFonts w:ascii="Times New Roman" w:hAnsi="Times New Roman"/>
          <w:sz w:val="24"/>
          <w:szCs w:val="24"/>
        </w:rPr>
      </w:pPr>
      <w:r w:rsidRPr="000A4D63">
        <w:rPr>
          <w:rFonts w:ascii="Times New Roman" w:hAnsi="Times New Roman"/>
          <w:sz w:val="24"/>
          <w:szCs w:val="24"/>
        </w:rPr>
        <w:t>2. Články 3 a 40 a články 66 až 71 tohto nariadenia sa uplatňujú na výrobky regulované vykonávacími opatreniami prijatými podľa článku 15 smernice 2009/125/ES.</w:t>
      </w:r>
    </w:p>
    <w:p w:rsidR="00156690" w:rsidRPr="000A4D63" w:rsidRDefault="00156690" w:rsidP="00156690">
      <w:pPr>
        <w:pStyle w:val="Odsekzoznamu"/>
        <w:spacing w:before="120" w:line="240" w:lineRule="auto"/>
        <w:ind w:left="1134"/>
        <w:jc w:val="both"/>
        <w:rPr>
          <w:rFonts w:ascii="Times New Roman" w:hAnsi="Times New Roman"/>
          <w:sz w:val="24"/>
          <w:szCs w:val="24"/>
        </w:rPr>
      </w:pPr>
    </w:p>
    <w:p w:rsidR="00156690" w:rsidRPr="000A4D63" w:rsidRDefault="00156690" w:rsidP="00156690">
      <w:pPr>
        <w:widowControl/>
        <w:shd w:val="clear" w:color="auto" w:fill="FFFFFF"/>
        <w:adjustRightInd/>
        <w:ind w:left="1134"/>
        <w:jc w:val="both"/>
        <w:rPr>
          <w:i/>
        </w:rPr>
      </w:pPr>
      <w:r w:rsidRPr="000A4D63">
        <w:rPr>
          <w:i/>
        </w:rPr>
        <w:t>Poznámka:</w:t>
      </w:r>
      <w:r w:rsidRPr="000A4D63">
        <w:t xml:space="preserve"> </w:t>
      </w:r>
      <w:r w:rsidRPr="000A4D63">
        <w:rPr>
          <w:i/>
        </w:rPr>
        <w:t>Návrhom zákona sa implementuje čl. 3, čl. 6 ods. 1, čl. 7 ods. 1, čl. 9 ods. 1, čl. 10, čl. 11 až 13, kapitola IV, kapitola VII s výnimkou čl. 35 ods. 5, kapitola VII, kapitola IX, kapitola XI len vo vzťahu k určeným výrobkom, kapitola XII,  čl. 74 sa implementuje len v rozsahu § 28 zákona 56/2018 Z. z. V ostatnej časti má byť implementácia zabezpečená prostredníctvom legislatívy, ktorú bude pripravovať Ministerstvo hospodárstva, ktoré je ďalším gestorom nariadenia.</w:t>
      </w:r>
    </w:p>
    <w:p w:rsidR="00156690" w:rsidRPr="000A4D63" w:rsidRDefault="00156690" w:rsidP="00156690">
      <w:pPr>
        <w:widowControl/>
        <w:shd w:val="clear" w:color="auto" w:fill="FFFFFF"/>
        <w:adjustRightInd/>
        <w:ind w:left="993"/>
        <w:jc w:val="both"/>
        <w:rPr>
          <w:i/>
        </w:rPr>
      </w:pPr>
    </w:p>
    <w:p w:rsidR="00156690" w:rsidRPr="000A4D63" w:rsidRDefault="00156690" w:rsidP="00156690">
      <w:pPr>
        <w:pStyle w:val="Odsekzoznamu"/>
        <w:numPr>
          <w:ilvl w:val="0"/>
          <w:numId w:val="21"/>
        </w:numPr>
        <w:spacing w:before="120" w:after="0" w:line="240" w:lineRule="auto"/>
        <w:ind w:left="1134" w:hanging="425"/>
        <w:contextualSpacing w:val="0"/>
        <w:jc w:val="both"/>
        <w:rPr>
          <w:rFonts w:ascii="Times New Roman" w:hAnsi="Times New Roman"/>
          <w:i/>
          <w:iCs/>
          <w:sz w:val="24"/>
          <w:szCs w:val="24"/>
          <w:shd w:val="clear" w:color="auto" w:fill="FFFFFF"/>
        </w:rPr>
      </w:pPr>
      <w:r w:rsidRPr="000A4D63">
        <w:rPr>
          <w:rFonts w:ascii="Times New Roman" w:hAnsi="Times New Roman"/>
          <w:sz w:val="24"/>
          <w:szCs w:val="24"/>
        </w:rPr>
        <w:t xml:space="preserve">Nariadenie Európskeho parlamentu a Rady (EÚ) 2024/2516 z 18. septembra, ktorým sa mení nariadenie (EÚ) 2019/1009, pokiaľ ide o digitálne označovanie EÚ produktov na hnojenie </w:t>
      </w:r>
      <w:r w:rsidRPr="000A4D63">
        <w:rPr>
          <w:rFonts w:ascii="Times New Roman" w:hAnsi="Times New Roman"/>
          <w:bCs/>
          <w:sz w:val="24"/>
          <w:szCs w:val="24"/>
          <w:shd w:val="clear" w:color="auto" w:fill="FFFFFF"/>
        </w:rPr>
        <w:t xml:space="preserve"> </w:t>
      </w:r>
      <w:r w:rsidRPr="000A4D63">
        <w:rPr>
          <w:rFonts w:ascii="Times New Roman" w:hAnsi="Times New Roman"/>
          <w:sz w:val="24"/>
          <w:szCs w:val="24"/>
        </w:rPr>
        <w:t>(</w:t>
      </w:r>
      <w:r w:rsidRPr="000A4D63">
        <w:rPr>
          <w:rStyle w:val="Zvraznenie"/>
          <w:rFonts w:ascii="Times New Roman" w:hAnsi="Times New Roman"/>
          <w:iCs/>
          <w:sz w:val="24"/>
          <w:szCs w:val="24"/>
          <w:shd w:val="clear" w:color="auto" w:fill="FFFFFF"/>
        </w:rPr>
        <w:t>Ú. v. EÚ L, 2024/2516, 30.9.2024)</w:t>
      </w:r>
      <w:r w:rsidRPr="000A4D63">
        <w:rPr>
          <w:rFonts w:ascii="Times New Roman" w:hAnsi="Times New Roman"/>
          <w:i/>
          <w:sz w:val="24"/>
          <w:szCs w:val="24"/>
        </w:rPr>
        <w:t>.</w:t>
      </w:r>
    </w:p>
    <w:p w:rsidR="00156690" w:rsidRPr="000A4D63" w:rsidRDefault="00156690" w:rsidP="00156690">
      <w:pPr>
        <w:pStyle w:val="Odsekzoznamu"/>
        <w:spacing w:before="120" w:after="0" w:line="240" w:lineRule="auto"/>
        <w:ind w:left="1134"/>
        <w:contextualSpacing w:val="0"/>
        <w:jc w:val="both"/>
        <w:rPr>
          <w:rFonts w:ascii="Times New Roman" w:hAnsi="Times New Roman"/>
          <w:iCs/>
          <w:sz w:val="24"/>
          <w:szCs w:val="24"/>
          <w:shd w:val="clear" w:color="auto" w:fill="FFFFFF"/>
        </w:rPr>
      </w:pPr>
      <w:r w:rsidRPr="000A4D63">
        <w:rPr>
          <w:rFonts w:ascii="Times New Roman" w:hAnsi="Times New Roman"/>
          <w:iCs/>
          <w:sz w:val="24"/>
          <w:szCs w:val="24"/>
          <w:shd w:val="clear" w:color="auto" w:fill="FFFFFF"/>
        </w:rPr>
        <w:t>Nadobudnutie účinnosti 20.10.2024.</w:t>
      </w:r>
    </w:p>
    <w:p w:rsidR="00156690" w:rsidRPr="000A4D63" w:rsidRDefault="00156690" w:rsidP="00156690">
      <w:pPr>
        <w:pStyle w:val="Odsekzoznamu"/>
        <w:spacing w:after="0" w:line="240" w:lineRule="auto"/>
        <w:ind w:left="1134"/>
        <w:contextualSpacing w:val="0"/>
        <w:jc w:val="both"/>
        <w:rPr>
          <w:rFonts w:ascii="Times New Roman" w:hAnsi="Times New Roman"/>
          <w:sz w:val="24"/>
          <w:szCs w:val="24"/>
          <w:shd w:val="clear" w:color="auto" w:fill="FFFFFF"/>
        </w:rPr>
      </w:pPr>
      <w:r w:rsidRPr="000A4D63">
        <w:rPr>
          <w:rFonts w:ascii="Times New Roman" w:hAnsi="Times New Roman"/>
          <w:sz w:val="24"/>
          <w:szCs w:val="24"/>
          <w:shd w:val="clear" w:color="auto" w:fill="FFFFFF"/>
        </w:rPr>
        <w:t>Uplatňuje sa od 01.05.2027.</w:t>
      </w:r>
    </w:p>
    <w:p w:rsidR="00156690" w:rsidRPr="000A4D63" w:rsidRDefault="00156690" w:rsidP="00156690">
      <w:pPr>
        <w:pStyle w:val="Odsekzoznamu"/>
        <w:spacing w:after="0" w:line="240" w:lineRule="auto"/>
        <w:ind w:left="1134"/>
        <w:contextualSpacing w:val="0"/>
        <w:jc w:val="both"/>
        <w:rPr>
          <w:rFonts w:ascii="Times New Roman" w:hAnsi="Times New Roman"/>
          <w:sz w:val="24"/>
          <w:szCs w:val="24"/>
          <w:shd w:val="clear" w:color="auto" w:fill="FFFFFF"/>
        </w:rPr>
      </w:pPr>
    </w:p>
    <w:p w:rsidR="00156690" w:rsidRPr="000A4D63" w:rsidRDefault="00156690" w:rsidP="00156690">
      <w:pPr>
        <w:pStyle w:val="Odsekzoznamu"/>
        <w:numPr>
          <w:ilvl w:val="0"/>
          <w:numId w:val="24"/>
        </w:numPr>
        <w:spacing w:before="120" w:after="0" w:line="240" w:lineRule="auto"/>
        <w:ind w:left="1134" w:hanging="425"/>
        <w:contextualSpacing w:val="0"/>
        <w:jc w:val="both"/>
        <w:rPr>
          <w:rStyle w:val="Zvraznenie"/>
          <w:rFonts w:ascii="Times New Roman" w:hAnsi="Times New Roman"/>
          <w:i w:val="0"/>
          <w:sz w:val="24"/>
          <w:szCs w:val="24"/>
        </w:rPr>
      </w:pPr>
      <w:r w:rsidRPr="000A4D63">
        <w:rPr>
          <w:rFonts w:ascii="Times New Roman" w:hAnsi="Times New Roman"/>
          <w:bCs/>
          <w:sz w:val="24"/>
          <w:szCs w:val="24"/>
          <w:shd w:val="clear" w:color="auto" w:fill="FFFFFF"/>
        </w:rPr>
        <w:t>Nariadenie Európskeho parlamentu a Rady (EÚ) 2024/2847 z 23. októbra 2024 o horizontálnych požiadavkách kybernetickej bezpečnosti pre produkty s digitálnymi prvkami a o zmene nariadení (EÚ) č. 168/2013 a (EÚ) 2019/1020 a smernice (EÚ) 2020/1828 (akt o kybernetickej odolnosti</w:t>
      </w:r>
      <w:r w:rsidRPr="000A4D63">
        <w:rPr>
          <w:rFonts w:ascii="Times New Roman" w:hAnsi="Times New Roman"/>
          <w:bCs/>
          <w:i/>
          <w:sz w:val="24"/>
          <w:szCs w:val="24"/>
          <w:shd w:val="clear" w:color="auto" w:fill="FFFFFF"/>
        </w:rPr>
        <w:t>)</w:t>
      </w:r>
      <w:r w:rsidRPr="000A4D63">
        <w:rPr>
          <w:rStyle w:val="Zvraznenie"/>
          <w:rFonts w:ascii="Times New Roman" w:hAnsi="Times New Roman"/>
          <w:sz w:val="24"/>
          <w:szCs w:val="24"/>
          <w:shd w:val="clear" w:color="auto" w:fill="FFFFFF"/>
        </w:rPr>
        <w:t xml:space="preserve">  (</w:t>
      </w:r>
      <w:r w:rsidRPr="000A4D63">
        <w:rPr>
          <w:rFonts w:ascii="Times New Roman" w:hAnsi="Times New Roman"/>
          <w:iCs/>
          <w:sz w:val="24"/>
          <w:szCs w:val="24"/>
          <w:shd w:val="clear" w:color="auto" w:fill="FFFFFF"/>
          <w:lang w:eastAsia="sk-SK"/>
        </w:rPr>
        <w:t>Ú. v. EÚ L, 2024/2847, 20.11.2024) v platnom znení</w:t>
      </w:r>
      <w:r w:rsidRPr="000A4D63">
        <w:rPr>
          <w:rStyle w:val="Zvraznenie"/>
          <w:rFonts w:ascii="Times New Roman" w:hAnsi="Times New Roman"/>
          <w:sz w:val="24"/>
          <w:szCs w:val="24"/>
          <w:shd w:val="clear" w:color="auto" w:fill="FFFFFF"/>
        </w:rPr>
        <w:t>.</w:t>
      </w:r>
    </w:p>
    <w:p w:rsidR="00156690" w:rsidRPr="000A4D63" w:rsidRDefault="00156690" w:rsidP="00156690">
      <w:pPr>
        <w:pStyle w:val="Odsekzoznamu"/>
        <w:spacing w:after="0" w:line="240" w:lineRule="auto"/>
        <w:ind w:left="1134"/>
        <w:contextualSpacing w:val="0"/>
        <w:jc w:val="both"/>
        <w:rPr>
          <w:rStyle w:val="placeholdertext0"/>
          <w:rFonts w:ascii="Times New Roman" w:hAnsi="Times New Roman"/>
          <w:sz w:val="24"/>
          <w:szCs w:val="24"/>
        </w:rPr>
      </w:pPr>
    </w:p>
    <w:p w:rsidR="00156690" w:rsidRPr="000A4D63" w:rsidRDefault="00156690" w:rsidP="00156690">
      <w:pPr>
        <w:pStyle w:val="Odsekzoznamu"/>
        <w:spacing w:after="0" w:line="240" w:lineRule="auto"/>
        <w:ind w:left="1134"/>
        <w:contextualSpacing w:val="0"/>
        <w:jc w:val="both"/>
        <w:rPr>
          <w:rStyle w:val="placeholdertext0"/>
          <w:rFonts w:ascii="Times New Roman" w:hAnsi="Times New Roman"/>
          <w:sz w:val="24"/>
          <w:szCs w:val="24"/>
        </w:rPr>
      </w:pPr>
      <w:r w:rsidRPr="000A4D63">
        <w:rPr>
          <w:rStyle w:val="placeholdertext0"/>
          <w:rFonts w:ascii="Times New Roman" w:hAnsi="Times New Roman"/>
          <w:sz w:val="24"/>
          <w:szCs w:val="24"/>
        </w:rPr>
        <w:t>Nadobudnutie účinnosti 10.12.2024</w:t>
      </w:r>
    </w:p>
    <w:p w:rsidR="00156690" w:rsidRPr="000A4D63" w:rsidRDefault="00156690" w:rsidP="00156690">
      <w:pPr>
        <w:pStyle w:val="Odsekzoznamu"/>
        <w:spacing w:after="0" w:line="240" w:lineRule="auto"/>
        <w:ind w:left="1134"/>
        <w:contextualSpacing w:val="0"/>
        <w:jc w:val="both"/>
        <w:rPr>
          <w:rStyle w:val="placeholdertext0"/>
          <w:rFonts w:ascii="Times New Roman" w:hAnsi="Times New Roman"/>
          <w:sz w:val="24"/>
          <w:szCs w:val="24"/>
        </w:rPr>
      </w:pPr>
      <w:r w:rsidRPr="000A4D63">
        <w:rPr>
          <w:rStyle w:val="placeholdertext0"/>
          <w:rFonts w:ascii="Times New Roman" w:hAnsi="Times New Roman"/>
          <w:sz w:val="24"/>
          <w:szCs w:val="24"/>
        </w:rPr>
        <w:t>Uplatňuje sa od 11.12.2027.</w:t>
      </w:r>
    </w:p>
    <w:p w:rsidR="00156690" w:rsidRPr="000A4D63" w:rsidRDefault="00156690" w:rsidP="00156690">
      <w:pPr>
        <w:pStyle w:val="Odsekzoznamu"/>
        <w:spacing w:after="0" w:line="240" w:lineRule="auto"/>
        <w:ind w:left="1134"/>
        <w:contextualSpacing w:val="0"/>
        <w:jc w:val="both"/>
        <w:rPr>
          <w:rFonts w:ascii="Times New Roman" w:hAnsi="Times New Roman"/>
          <w:sz w:val="24"/>
          <w:szCs w:val="24"/>
          <w:shd w:val="clear" w:color="auto" w:fill="FFFFFF"/>
        </w:rPr>
      </w:pPr>
      <w:r w:rsidRPr="000A4D63">
        <w:rPr>
          <w:rFonts w:ascii="Times New Roman" w:hAnsi="Times New Roman"/>
          <w:sz w:val="24"/>
          <w:szCs w:val="24"/>
          <w:shd w:val="clear" w:color="auto" w:fill="FFFFFF"/>
        </w:rPr>
        <w:t>Článok 14 sa však uplatňuje od 11.09.2026 a kapitola IV (články 35 až 51) sa uplatňuje od 11.06.2026.</w:t>
      </w:r>
    </w:p>
    <w:p w:rsidR="00156690" w:rsidRPr="000A4D63" w:rsidRDefault="00156690" w:rsidP="00156690">
      <w:pPr>
        <w:pStyle w:val="Odsekzoznamu"/>
        <w:spacing w:after="0" w:line="240" w:lineRule="auto"/>
        <w:ind w:left="1134"/>
        <w:contextualSpacing w:val="0"/>
        <w:jc w:val="both"/>
        <w:rPr>
          <w:rFonts w:ascii="Times New Roman" w:hAnsi="Times New Roman"/>
          <w:sz w:val="24"/>
          <w:szCs w:val="24"/>
          <w:shd w:val="clear" w:color="auto" w:fill="FFFFFF"/>
        </w:rPr>
      </w:pPr>
    </w:p>
    <w:p w:rsidR="00156690" w:rsidRPr="000A4D63" w:rsidRDefault="00156690" w:rsidP="00156690">
      <w:pPr>
        <w:widowControl/>
        <w:shd w:val="clear" w:color="auto" w:fill="FFFFFF"/>
        <w:adjustRightInd/>
        <w:ind w:left="1134"/>
        <w:jc w:val="both"/>
        <w:rPr>
          <w:i/>
        </w:rPr>
      </w:pPr>
      <w:r w:rsidRPr="000A4D63">
        <w:rPr>
          <w:i/>
        </w:rPr>
        <w:t xml:space="preserve">Poznámka: Návrhom zákona sa implementuje len  kapitola IV nariadenia (EÚ) 2024/2847, výrobky uvedené v čl. 12 nariadenia (EÚ) 2024/2847 sú určenými výrobkami podľa § 4 ods. 1 zákona č. 56/2018 Z. z.  V ostatnej časti má byť implementácia zabezpečená prostredníctvom legislatívy, ktorú bude pripravovať Národný bezpečnostný úrad, ktorý je ďalším gestorom nariadenia. </w:t>
      </w:r>
    </w:p>
    <w:p w:rsidR="00156690" w:rsidRPr="000A4D63" w:rsidRDefault="00156690" w:rsidP="00156690">
      <w:pPr>
        <w:pStyle w:val="Odsekzoznamu"/>
        <w:spacing w:after="0" w:line="240" w:lineRule="auto"/>
        <w:ind w:left="1134"/>
        <w:contextualSpacing w:val="0"/>
        <w:jc w:val="both"/>
        <w:rPr>
          <w:rFonts w:ascii="Times New Roman" w:hAnsi="Times New Roman"/>
          <w:i/>
          <w:iCs/>
          <w:sz w:val="24"/>
          <w:szCs w:val="24"/>
          <w:shd w:val="clear" w:color="auto" w:fill="FFFFFF"/>
        </w:rPr>
      </w:pPr>
    </w:p>
    <w:p w:rsidR="00156690" w:rsidRPr="000A4D63" w:rsidRDefault="00156690" w:rsidP="00156690">
      <w:pPr>
        <w:pStyle w:val="Odsekzoznamu"/>
        <w:numPr>
          <w:ilvl w:val="0"/>
          <w:numId w:val="24"/>
        </w:numPr>
        <w:spacing w:before="120" w:after="0" w:line="240" w:lineRule="auto"/>
        <w:ind w:left="1134" w:hanging="425"/>
        <w:contextualSpacing w:val="0"/>
        <w:jc w:val="both"/>
        <w:rPr>
          <w:rFonts w:ascii="Times New Roman" w:hAnsi="Times New Roman"/>
          <w:sz w:val="24"/>
          <w:szCs w:val="24"/>
        </w:rPr>
      </w:pPr>
      <w:r w:rsidRPr="000A4D63">
        <w:rPr>
          <w:rFonts w:ascii="Times New Roman" w:hAnsi="Times New Roman"/>
          <w:bCs/>
          <w:sz w:val="24"/>
          <w:szCs w:val="24"/>
          <w:shd w:val="clear" w:color="auto" w:fill="FFFFFF"/>
        </w:rPr>
        <w:t>Delegované</w:t>
      </w:r>
      <w:r w:rsidRPr="000A4D63">
        <w:rPr>
          <w:rFonts w:ascii="Times New Roman" w:hAnsi="Times New Roman"/>
          <w:sz w:val="24"/>
          <w:szCs w:val="24"/>
        </w:rPr>
        <w:t xml:space="preserve"> nariadenie Komisie (EÚ) 2024/370 z 23. januára 2024, ktorým sa dopĺňa smernica Európskeho parlamentu a Rady (EÚ) 2020/2184 stanovením postupov posudzovania zhody pre výrobky, ktoré prichádzajú do kontaktu s vodou určenou na ľudskú spotrebu a pravidiel určovania orgánov posudzovania zhody zapojených do týchto postupov (</w:t>
      </w:r>
      <w:r w:rsidRPr="000A4D63">
        <w:rPr>
          <w:rStyle w:val="Zvraznenie"/>
          <w:rFonts w:ascii="Times New Roman" w:hAnsi="Times New Roman"/>
          <w:iCs/>
          <w:sz w:val="24"/>
          <w:szCs w:val="24"/>
          <w:shd w:val="clear" w:color="auto" w:fill="FFFFFF"/>
        </w:rPr>
        <w:t>Ú. v. EÚ L, 2024/370, 23.4.2024)</w:t>
      </w:r>
      <w:r w:rsidRPr="000A4D63">
        <w:rPr>
          <w:rFonts w:ascii="Times New Roman" w:hAnsi="Times New Roman"/>
          <w:i/>
          <w:sz w:val="24"/>
          <w:szCs w:val="24"/>
        </w:rPr>
        <w:t>.</w:t>
      </w:r>
    </w:p>
    <w:p w:rsidR="00156690" w:rsidRPr="000A4D63" w:rsidRDefault="00156690" w:rsidP="00156690">
      <w:pPr>
        <w:pStyle w:val="Odsekzoznamu"/>
        <w:spacing w:before="120" w:after="0" w:line="240" w:lineRule="auto"/>
        <w:ind w:left="1134"/>
        <w:contextualSpacing w:val="0"/>
        <w:jc w:val="both"/>
        <w:rPr>
          <w:rFonts w:ascii="Times New Roman" w:hAnsi="Times New Roman"/>
          <w:sz w:val="24"/>
          <w:szCs w:val="24"/>
        </w:rPr>
      </w:pPr>
      <w:r w:rsidRPr="000A4D63">
        <w:rPr>
          <w:rFonts w:ascii="Times New Roman" w:hAnsi="Times New Roman"/>
          <w:sz w:val="24"/>
          <w:szCs w:val="24"/>
        </w:rPr>
        <w:t>Nadobudnutie účinnosti 13.05.2024.</w:t>
      </w:r>
    </w:p>
    <w:p w:rsidR="00156690" w:rsidRPr="000A4D63" w:rsidRDefault="00156690" w:rsidP="00156690">
      <w:pPr>
        <w:pStyle w:val="oj-normal"/>
        <w:shd w:val="clear" w:color="auto" w:fill="FFFFFF"/>
        <w:spacing w:before="120" w:beforeAutospacing="0" w:after="0" w:afterAutospacing="0"/>
        <w:ind w:left="1134"/>
        <w:jc w:val="both"/>
      </w:pPr>
      <w:r w:rsidRPr="000A4D63">
        <w:t>Uplatňuje sa od 31.12.2026. V prípade výrobkov, pri ktorých z posúdenia vyplýva, že sú v zhode s vnútroštátnymi hygienickými požiadavkami stanovenými pre výrobky, ktoré prichádzajú do kontaktu s vodou určenou na ľudskú spotrebu, a v prípade ktorých je vnútroštátne osvedčenie o zhode k 31.12. 2026 stále platné, sa však uplatňuje od 31.12.2032.</w:t>
      </w:r>
    </w:p>
    <w:p w:rsidR="00156690" w:rsidRPr="000A4D63" w:rsidRDefault="00156690" w:rsidP="00156690">
      <w:pPr>
        <w:pStyle w:val="Odsekzoznamu"/>
        <w:numPr>
          <w:ilvl w:val="0"/>
          <w:numId w:val="19"/>
        </w:numPr>
        <w:spacing w:before="120" w:after="0" w:line="240" w:lineRule="auto"/>
        <w:ind w:left="1134" w:hanging="425"/>
        <w:contextualSpacing w:val="0"/>
        <w:jc w:val="both"/>
        <w:rPr>
          <w:rStyle w:val="placeholdertext0"/>
          <w:rFonts w:ascii="Times New Roman" w:hAnsi="Times New Roman"/>
          <w:sz w:val="24"/>
          <w:szCs w:val="24"/>
        </w:rPr>
      </w:pPr>
      <w:r w:rsidRPr="000A4D63">
        <w:rPr>
          <w:rFonts w:ascii="Times New Roman" w:hAnsi="Times New Roman"/>
          <w:bCs/>
          <w:sz w:val="24"/>
          <w:szCs w:val="24"/>
          <w:shd w:val="clear" w:color="auto" w:fill="FFFFFF"/>
        </w:rPr>
        <w:t>Delegované nariadenie Komisie (EÚ) 2024/371 z 23. januára 2024, ktorým sa dopĺňa smernica Európskeho parlamentu a Rady (EÚ) 2020/2184 stanovením harmonizovaných špecifikácií označovania výrobkov prichádzajúcich do kontaktu s vodou určenou na ľudskú spotrebu</w:t>
      </w:r>
      <w:r w:rsidRPr="000A4D63">
        <w:rPr>
          <w:rFonts w:ascii="Times New Roman" w:hAnsi="Times New Roman"/>
          <w:sz w:val="24"/>
          <w:szCs w:val="24"/>
        </w:rPr>
        <w:t xml:space="preserve"> (</w:t>
      </w:r>
      <w:r w:rsidRPr="000A4D63">
        <w:rPr>
          <w:rFonts w:ascii="Times New Roman" w:hAnsi="Times New Roman"/>
          <w:iCs/>
          <w:sz w:val="24"/>
          <w:szCs w:val="24"/>
          <w:shd w:val="clear" w:color="auto" w:fill="FFFFFF"/>
          <w:lang w:eastAsia="sk-SK"/>
        </w:rPr>
        <w:t>Ú. v. EÚ L, 2024/371, 23.4.2024</w:t>
      </w:r>
      <w:r w:rsidRPr="000A4D63">
        <w:rPr>
          <w:rStyle w:val="Zvraznenie"/>
          <w:rFonts w:ascii="Times New Roman" w:hAnsi="Times New Roman"/>
          <w:iCs/>
          <w:sz w:val="24"/>
          <w:szCs w:val="24"/>
          <w:shd w:val="clear" w:color="auto" w:fill="FFFFFF"/>
        </w:rPr>
        <w:t>)</w:t>
      </w:r>
      <w:r w:rsidRPr="000A4D63">
        <w:rPr>
          <w:rFonts w:ascii="Times New Roman" w:hAnsi="Times New Roman"/>
          <w:sz w:val="24"/>
          <w:szCs w:val="24"/>
        </w:rPr>
        <w:t xml:space="preserve">. </w:t>
      </w:r>
    </w:p>
    <w:p w:rsidR="00156690" w:rsidRPr="000A4D63" w:rsidRDefault="00156690" w:rsidP="00156690">
      <w:pPr>
        <w:widowControl/>
        <w:adjustRightInd/>
        <w:ind w:left="1134" w:hanging="425"/>
        <w:jc w:val="both"/>
      </w:pPr>
    </w:p>
    <w:p w:rsidR="00156690" w:rsidRPr="000A4D63" w:rsidRDefault="00156690" w:rsidP="00156690">
      <w:pPr>
        <w:widowControl/>
        <w:adjustRightInd/>
        <w:ind w:left="1134"/>
        <w:jc w:val="both"/>
      </w:pPr>
      <w:r w:rsidRPr="000A4D63">
        <w:t>Nadobudnutie účinnosti: 13.05.2024</w:t>
      </w:r>
    </w:p>
    <w:p w:rsidR="00156690" w:rsidRPr="000A4D63" w:rsidRDefault="00156690" w:rsidP="00156690">
      <w:pPr>
        <w:pStyle w:val="oj-normal"/>
        <w:shd w:val="clear" w:color="auto" w:fill="FFFFFF"/>
        <w:spacing w:before="0" w:beforeAutospacing="0" w:after="0" w:afterAutospacing="0"/>
        <w:ind w:left="1134"/>
        <w:jc w:val="both"/>
      </w:pPr>
      <w:r w:rsidRPr="000A4D63">
        <w:rPr>
          <w:shd w:val="clear" w:color="auto" w:fill="FFFFFF"/>
        </w:rPr>
        <w:t>Uplatňuje sa od 31.12.2026.</w:t>
      </w:r>
    </w:p>
    <w:p w:rsidR="00156690" w:rsidRPr="000A4D63" w:rsidRDefault="00156690" w:rsidP="00156690">
      <w:pPr>
        <w:pStyle w:val="Odsekzoznamu"/>
        <w:numPr>
          <w:ilvl w:val="0"/>
          <w:numId w:val="19"/>
        </w:numPr>
        <w:spacing w:before="120" w:after="0" w:line="240" w:lineRule="auto"/>
        <w:ind w:left="1134" w:hanging="425"/>
        <w:contextualSpacing w:val="0"/>
        <w:jc w:val="both"/>
        <w:rPr>
          <w:rStyle w:val="placeholdertext0"/>
          <w:rFonts w:ascii="Times New Roman" w:hAnsi="Times New Roman"/>
          <w:i/>
          <w:iCs/>
          <w:sz w:val="24"/>
          <w:szCs w:val="24"/>
          <w:shd w:val="clear" w:color="auto" w:fill="FFFFFF"/>
        </w:rPr>
      </w:pPr>
      <w:r w:rsidRPr="000A4D63">
        <w:rPr>
          <w:rFonts w:ascii="Times New Roman" w:hAnsi="Times New Roman"/>
          <w:sz w:val="24"/>
          <w:szCs w:val="24"/>
        </w:rPr>
        <w:t>Vykonávacie rozhodnutie Komisie (EÚ) 2023/1096 z 2. júna 2023, ktorým sa stanovujú pravidlá uplatňovania smernice Európskeho parlamentu a Rady 2013/29/EÚ, pokiaľ ide o zber a aktualizáciu údajov o nehodách spojených s používaním pyrotechnických výrobkov (</w:t>
      </w:r>
      <w:r w:rsidRPr="000A4D63">
        <w:rPr>
          <w:rStyle w:val="Zvraznenie"/>
          <w:rFonts w:ascii="Times New Roman" w:hAnsi="Times New Roman"/>
          <w:iCs/>
          <w:sz w:val="24"/>
          <w:szCs w:val="24"/>
          <w:shd w:val="clear" w:color="auto" w:fill="FFFFFF"/>
        </w:rPr>
        <w:t>Ú. v. EÚ L 146, 6.6.2023).</w:t>
      </w:r>
    </w:p>
    <w:p w:rsidR="00156690" w:rsidRPr="000A4D63" w:rsidRDefault="00156690" w:rsidP="00156690">
      <w:pPr>
        <w:widowControl/>
        <w:shd w:val="clear" w:color="auto" w:fill="FFFFFF"/>
        <w:adjustRightInd/>
        <w:ind w:left="1134" w:hanging="425"/>
        <w:jc w:val="both"/>
        <w:rPr>
          <w:highlight w:val="green"/>
        </w:rPr>
      </w:pPr>
    </w:p>
    <w:p w:rsidR="00156690" w:rsidRPr="000A4D63" w:rsidRDefault="00156690" w:rsidP="00156690">
      <w:pPr>
        <w:widowControl/>
        <w:shd w:val="clear" w:color="auto" w:fill="FFFFFF"/>
        <w:adjustRightInd/>
        <w:ind w:left="1134"/>
        <w:jc w:val="both"/>
      </w:pPr>
      <w:r w:rsidRPr="000A4D63">
        <w:t>Nadobudnutie účinnosti 06.06.2023.</w:t>
      </w:r>
    </w:p>
    <w:p w:rsidR="00156690" w:rsidRPr="000A4D63" w:rsidRDefault="00156690" w:rsidP="00156690">
      <w:pPr>
        <w:widowControl/>
        <w:shd w:val="clear" w:color="auto" w:fill="FFFFFF"/>
        <w:adjustRightInd/>
        <w:ind w:left="1134"/>
        <w:jc w:val="both"/>
        <w:rPr>
          <w:shd w:val="clear" w:color="auto" w:fill="FFFFFF"/>
        </w:rPr>
      </w:pPr>
      <w:r w:rsidRPr="000A4D63">
        <w:t xml:space="preserve">Lehota na prebratie nie je určená. Ustanovená je povinnosť od 01.01.2024 zbierať údaje a zaslať ich Komisii prvý krát do 01.10.2025 a potom </w:t>
      </w:r>
      <w:r w:rsidRPr="000A4D63">
        <w:rPr>
          <w:shd w:val="clear" w:color="auto" w:fill="FFFFFF"/>
        </w:rPr>
        <w:t>za každý kalendárny rok do 1. októbra nasledujúceho kalendárneho roka.</w:t>
      </w:r>
    </w:p>
    <w:p w:rsidR="00156690" w:rsidRPr="000A4D63" w:rsidRDefault="00156690" w:rsidP="00156690">
      <w:pPr>
        <w:widowControl/>
        <w:shd w:val="clear" w:color="auto" w:fill="FFFFFF"/>
        <w:adjustRightInd/>
        <w:ind w:left="1134"/>
        <w:jc w:val="both"/>
        <w:rPr>
          <w:shd w:val="clear" w:color="auto" w:fill="FFFFFF"/>
        </w:rPr>
      </w:pPr>
    </w:p>
    <w:p w:rsidR="00156690" w:rsidRPr="000A4D63" w:rsidRDefault="00156690" w:rsidP="00156690">
      <w:pPr>
        <w:widowControl/>
        <w:numPr>
          <w:ilvl w:val="0"/>
          <w:numId w:val="19"/>
        </w:numPr>
        <w:shd w:val="clear" w:color="auto" w:fill="FFFFFF"/>
        <w:adjustRightInd/>
        <w:ind w:left="1134" w:hanging="425"/>
        <w:jc w:val="both"/>
      </w:pPr>
      <w:r w:rsidRPr="000A4D63">
        <w:t xml:space="preserve">Vykonávacie nariadenie Komisie (EÚ) 2024/1922 z 12. júla 2024, ktorým sa stanovuje vzor na zber údajov a informácií uvedených v článku 6 ods. 5 písm. a) až d) nariadenia Európskeho parlamentu a Rady (EÚ) 2023/1230 členskými štátmi </w:t>
      </w:r>
    </w:p>
    <w:p w:rsidR="00156690" w:rsidRPr="000A4D63" w:rsidRDefault="00156690" w:rsidP="00156690">
      <w:pPr>
        <w:widowControl/>
        <w:shd w:val="clear" w:color="auto" w:fill="FFFFFF"/>
        <w:adjustRightInd/>
        <w:ind w:left="1134"/>
        <w:jc w:val="both"/>
        <w:rPr>
          <w:shd w:val="clear" w:color="auto" w:fill="FFFFFF"/>
        </w:rPr>
      </w:pPr>
      <w:r w:rsidRPr="000A4D63">
        <w:t>(</w:t>
      </w:r>
      <w:r w:rsidRPr="000A4D63">
        <w:rPr>
          <w:iCs/>
          <w:shd w:val="clear" w:color="auto" w:fill="FFFFFF"/>
        </w:rPr>
        <w:t>Ú. v. EÚ L, 2024/1922, 15.7.2024).</w:t>
      </w:r>
    </w:p>
    <w:p w:rsidR="00156690" w:rsidRPr="000A4D63" w:rsidRDefault="00156690" w:rsidP="00156690">
      <w:pPr>
        <w:widowControl/>
        <w:shd w:val="clear" w:color="auto" w:fill="FFFFFF"/>
        <w:adjustRightInd/>
        <w:ind w:left="1134"/>
        <w:jc w:val="both"/>
        <w:rPr>
          <w:shd w:val="clear" w:color="auto" w:fill="FFFFFF"/>
        </w:rPr>
      </w:pPr>
    </w:p>
    <w:p w:rsidR="00156690" w:rsidRPr="000A4D63" w:rsidRDefault="00156690" w:rsidP="00156690">
      <w:pPr>
        <w:widowControl/>
        <w:adjustRightInd/>
        <w:ind w:left="426" w:firstLine="708"/>
        <w:jc w:val="both"/>
      </w:pPr>
      <w:r w:rsidRPr="000A4D63">
        <w:t>Nadobudnutie účinnosti 04.08.2024. </w:t>
      </w:r>
    </w:p>
    <w:p w:rsidR="00156690" w:rsidRPr="000A4D63" w:rsidRDefault="00156690" w:rsidP="00156690">
      <w:pPr>
        <w:widowControl/>
        <w:shd w:val="clear" w:color="auto" w:fill="FFFFFF"/>
        <w:adjustRightInd/>
        <w:ind w:left="1134"/>
        <w:jc w:val="both"/>
        <w:rPr>
          <w:shd w:val="clear" w:color="auto" w:fill="FFFFFF"/>
        </w:rPr>
      </w:pPr>
      <w:r w:rsidRPr="000A4D63">
        <w:rPr>
          <w:shd w:val="clear" w:color="auto" w:fill="FFFFFF"/>
        </w:rPr>
        <w:t xml:space="preserve">Nariadenie je záväzné v celom rozsahu a priamo uplatniteľné vo všetkých členských štátoch. Podľa nariadenia (EÚ) 2023/1230 v platnom znení členské štáty poskytnú do </w:t>
      </w:r>
      <w:r w:rsidRPr="000A4D63">
        <w:t>20. 07.2025</w:t>
      </w:r>
      <w:r w:rsidRPr="000A4D63">
        <w:rPr>
          <w:rStyle w:val="boldface"/>
        </w:rPr>
        <w:t> </w:t>
      </w:r>
      <w:r w:rsidRPr="000A4D63">
        <w:rPr>
          <w:shd w:val="clear" w:color="auto" w:fill="FFFFFF"/>
        </w:rPr>
        <w:t xml:space="preserve">a potom každých päť rokov údaje a informácie. Na zber údajov a informácií použijú vzor stanovený nariadením (EÚ) 2024/1922. </w:t>
      </w:r>
    </w:p>
    <w:p w:rsidR="00156690" w:rsidRPr="000A4D63" w:rsidRDefault="00156690" w:rsidP="00156690">
      <w:pPr>
        <w:jc w:val="both"/>
      </w:pPr>
    </w:p>
    <w:p w:rsidR="00156690" w:rsidRPr="000A4D63" w:rsidRDefault="00156690" w:rsidP="00156690">
      <w:pPr>
        <w:ind w:left="709" w:hanging="567"/>
        <w:jc w:val="both"/>
      </w:pPr>
      <w:r w:rsidRPr="000A4D63">
        <w:t>b)</w:t>
      </w:r>
      <w:r w:rsidRPr="000A4D63">
        <w:tab/>
        <w:t xml:space="preserve">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w:t>
      </w:r>
    </w:p>
    <w:p w:rsidR="00156690" w:rsidRPr="000A4D63" w:rsidRDefault="00156690" w:rsidP="00156690">
      <w:pPr>
        <w:ind w:left="709" w:hanging="349"/>
        <w:jc w:val="both"/>
      </w:pPr>
      <w:r w:rsidRPr="000A4D63">
        <w:tab/>
      </w:r>
    </w:p>
    <w:p w:rsidR="00156690" w:rsidRPr="000A4D63" w:rsidRDefault="00156690" w:rsidP="00156690">
      <w:pPr>
        <w:ind w:left="709" w:hanging="349"/>
        <w:jc w:val="both"/>
        <w:rPr>
          <w:iCs/>
          <w:shd w:val="clear" w:color="auto" w:fill="FFFFFF"/>
        </w:rPr>
      </w:pPr>
      <w:r w:rsidRPr="000A4D63">
        <w:tab/>
        <w:t xml:space="preserve">Prebiehajúce konanie o porušení zmlúv č. INFR(2025)0252 v štádiu formálneho oznámenia z 23. júla 2025, ktoré Európska komisia vedie z dôvodu neoznámenia transpozičných opatrení smernice </w:t>
      </w:r>
      <w:r w:rsidRPr="000A4D63">
        <w:rPr>
          <w:bCs/>
          <w:shd w:val="clear" w:color="auto" w:fill="FFFFFF"/>
        </w:rPr>
        <w:t>(EÚ) 2023/2413 z 18. októbra 2023, ktorou sa mení smernica (EÚ) 2018/2001, nariadenie (EÚ) 2018/1999 a smernica 98/70/ES, pokiaľ ide o podporu energie z obnoviteľných zdrojov, a ktorou sa zrušuje smernica Rady (EÚ) 2015/652 (</w:t>
      </w:r>
      <w:r w:rsidRPr="000A4D63">
        <w:rPr>
          <w:iCs/>
          <w:shd w:val="clear" w:color="auto" w:fill="FFFFFF"/>
        </w:rPr>
        <w:t>Ú. v. EÚ L, 2023/2413, 31.10.2023).</w:t>
      </w:r>
    </w:p>
    <w:p w:rsidR="00156690" w:rsidRPr="000A4D63" w:rsidRDefault="00156690" w:rsidP="00156690">
      <w:pPr>
        <w:ind w:left="709" w:hanging="349"/>
      </w:pPr>
    </w:p>
    <w:p w:rsidR="00156690" w:rsidRPr="000A4D63" w:rsidRDefault="00156690" w:rsidP="00156690">
      <w:pPr>
        <w:ind w:left="705" w:hanging="705"/>
        <w:jc w:val="both"/>
      </w:pPr>
      <w:r w:rsidRPr="000A4D63">
        <w:t>c)</w:t>
      </w:r>
      <w:r w:rsidRPr="000A4D63">
        <w:tab/>
        <w:t xml:space="preserve">informácia o právnych predpisoch, v ktorých sú preberané smernice už prebraté spolu s uvedením rozsahu tohto prebratia </w:t>
      </w:r>
    </w:p>
    <w:p w:rsidR="00156690" w:rsidRPr="000A4D63" w:rsidRDefault="00156690" w:rsidP="00156690">
      <w:pPr>
        <w:ind w:left="705" w:hanging="705"/>
        <w:rPr>
          <w:highlight w:val="yellow"/>
        </w:rPr>
      </w:pPr>
    </w:p>
    <w:p w:rsidR="00156690" w:rsidRPr="000A4D63" w:rsidRDefault="00156690" w:rsidP="00156690">
      <w:pPr>
        <w:pStyle w:val="Odsekzoznamu"/>
        <w:spacing w:before="120" w:after="0" w:line="240" w:lineRule="auto"/>
        <w:contextualSpacing w:val="0"/>
        <w:jc w:val="both"/>
        <w:rPr>
          <w:rFonts w:ascii="Times New Roman" w:hAnsi="Times New Roman"/>
          <w:sz w:val="24"/>
          <w:szCs w:val="24"/>
        </w:rPr>
      </w:pPr>
      <w:r w:rsidRPr="000A4D63">
        <w:rPr>
          <w:rStyle w:val="placeholdertext0"/>
          <w:rFonts w:ascii="Times New Roman" w:hAnsi="Times New Roman"/>
          <w:b/>
          <w:sz w:val="24"/>
          <w:szCs w:val="24"/>
        </w:rPr>
        <w:t xml:space="preserve">Smernica (EÚ) 2024/2839 </w:t>
      </w:r>
      <w:r w:rsidRPr="000A4D63">
        <w:rPr>
          <w:rStyle w:val="placeholdertext0"/>
          <w:rFonts w:ascii="Times New Roman" w:hAnsi="Times New Roman"/>
          <w:sz w:val="24"/>
          <w:szCs w:val="24"/>
        </w:rPr>
        <w:t>bola</w:t>
      </w:r>
      <w:r w:rsidRPr="000A4D63">
        <w:rPr>
          <w:rFonts w:ascii="Times New Roman" w:hAnsi="Times New Roman"/>
          <w:sz w:val="24"/>
          <w:szCs w:val="24"/>
        </w:rPr>
        <w:t xml:space="preserve"> čiastočne transponovaná</w:t>
      </w:r>
    </w:p>
    <w:p w:rsidR="00156690" w:rsidRPr="000A4D63" w:rsidRDefault="00156690" w:rsidP="00156690">
      <w:pPr>
        <w:pStyle w:val="Odsekzoznamu"/>
        <w:numPr>
          <w:ilvl w:val="0"/>
          <w:numId w:val="26"/>
        </w:numPr>
        <w:spacing w:before="120" w:after="0" w:line="240" w:lineRule="auto"/>
        <w:ind w:left="993" w:hanging="284"/>
        <w:contextualSpacing w:val="0"/>
        <w:jc w:val="both"/>
        <w:rPr>
          <w:rFonts w:ascii="Times New Roman" w:hAnsi="Times New Roman"/>
          <w:b/>
          <w:sz w:val="24"/>
          <w:szCs w:val="24"/>
        </w:rPr>
      </w:pPr>
      <w:r w:rsidRPr="000A4D63">
        <w:rPr>
          <w:rFonts w:ascii="Times New Roman" w:hAnsi="Times New Roman"/>
          <w:sz w:val="24"/>
          <w:szCs w:val="24"/>
        </w:rPr>
        <w:t xml:space="preserve">nariadením vlády Slovenskej republiky č. 113/2025 Z. z., ktorým sa mení a dopĺňa nariadenie vlády Slovenskej republiky č. 78/2019 Z. z., ktorým sa ustanovujú podrobnosti o technických požiadavkách a postupoch posudzovania zhody emisií hluku zariadení používaných vo vonkajšom priestore </w:t>
      </w:r>
    </w:p>
    <w:p w:rsidR="00156690" w:rsidRPr="000A4D63" w:rsidRDefault="00156690" w:rsidP="00156690">
      <w:pPr>
        <w:pStyle w:val="Odsekzoznamu"/>
        <w:numPr>
          <w:ilvl w:val="0"/>
          <w:numId w:val="26"/>
        </w:numPr>
        <w:spacing w:before="120" w:after="0" w:line="240" w:lineRule="auto"/>
        <w:ind w:left="993" w:hanging="284"/>
        <w:contextualSpacing w:val="0"/>
        <w:jc w:val="both"/>
        <w:rPr>
          <w:rFonts w:ascii="Times New Roman" w:hAnsi="Times New Roman"/>
          <w:bCs/>
          <w:sz w:val="24"/>
          <w:szCs w:val="24"/>
          <w:shd w:val="clear" w:color="auto" w:fill="FFFFFF"/>
        </w:rPr>
      </w:pPr>
      <w:r w:rsidRPr="000A4D63">
        <w:rPr>
          <w:rFonts w:ascii="Times New Roman" w:hAnsi="Times New Roman"/>
          <w:sz w:val="24"/>
          <w:szCs w:val="24"/>
        </w:rPr>
        <w:t> zákonom č. 575/2001 Z. z. o organizácii činnosti vlády a organizácii ústrednej štátnej správy v znení neskorších predpisov</w:t>
      </w:r>
    </w:p>
    <w:p w:rsidR="00156690" w:rsidRPr="000A4D63" w:rsidRDefault="00156690" w:rsidP="00156690">
      <w:pPr>
        <w:pStyle w:val="Odsekzoznamu"/>
        <w:spacing w:after="0" w:line="240" w:lineRule="auto"/>
        <w:ind w:hanging="731"/>
        <w:jc w:val="both"/>
        <w:rPr>
          <w:rFonts w:ascii="Times New Roman" w:hAnsi="Times New Roman"/>
          <w:b/>
          <w:bCs/>
          <w:sz w:val="24"/>
          <w:szCs w:val="24"/>
          <w:shd w:val="clear" w:color="auto" w:fill="FFFFFF"/>
        </w:rPr>
      </w:pPr>
    </w:p>
    <w:p w:rsidR="00156690" w:rsidRPr="000A4D63" w:rsidRDefault="00156690" w:rsidP="00156690">
      <w:pPr>
        <w:ind w:left="709"/>
        <w:jc w:val="both"/>
      </w:pPr>
      <w:r w:rsidRPr="000A4D63">
        <w:rPr>
          <w:b/>
          <w:bCs/>
          <w:shd w:val="clear" w:color="auto" w:fill="FFFFFF"/>
        </w:rPr>
        <w:t xml:space="preserve">Smernica (EÚ) 2023/2413 </w:t>
      </w:r>
      <w:r w:rsidRPr="000A4D63">
        <w:t xml:space="preserve">bola čiastočne transponovaná </w:t>
      </w:r>
    </w:p>
    <w:p w:rsidR="00156690" w:rsidRPr="000A4D63" w:rsidRDefault="00156690" w:rsidP="00156690">
      <w:pPr>
        <w:pStyle w:val="Odsekzoznamu"/>
        <w:numPr>
          <w:ilvl w:val="0"/>
          <w:numId w:val="27"/>
        </w:numPr>
        <w:spacing w:after="200" w:line="240" w:lineRule="auto"/>
        <w:ind w:left="993" w:hanging="284"/>
        <w:jc w:val="both"/>
        <w:rPr>
          <w:rFonts w:ascii="Times New Roman" w:hAnsi="Times New Roman"/>
          <w:sz w:val="24"/>
          <w:szCs w:val="24"/>
        </w:rPr>
      </w:pPr>
      <w:r w:rsidRPr="000A4D63">
        <w:rPr>
          <w:rFonts w:ascii="Times New Roman" w:hAnsi="Times New Roman"/>
          <w:sz w:val="24"/>
          <w:szCs w:val="24"/>
        </w:rPr>
        <w:t xml:space="preserve">Zákonom č. 25/2025 Z. z. Stavebný zákon a o zmene a doplnení niektorých zákonov (Stavebný zákon). </w:t>
      </w:r>
    </w:p>
    <w:p w:rsidR="00156690" w:rsidRPr="000A4D63" w:rsidRDefault="00156690" w:rsidP="00156690">
      <w:pPr>
        <w:pStyle w:val="Odsekzoznamu"/>
        <w:numPr>
          <w:ilvl w:val="0"/>
          <w:numId w:val="27"/>
        </w:numPr>
        <w:spacing w:after="200" w:line="240" w:lineRule="auto"/>
        <w:ind w:left="993" w:hanging="284"/>
        <w:jc w:val="both"/>
        <w:rPr>
          <w:rFonts w:ascii="Times New Roman" w:hAnsi="Times New Roman"/>
          <w:sz w:val="24"/>
          <w:szCs w:val="24"/>
        </w:rPr>
      </w:pPr>
      <w:r w:rsidRPr="000A4D63">
        <w:rPr>
          <w:rFonts w:ascii="Times New Roman" w:hAnsi="Times New Roman"/>
          <w:sz w:val="24"/>
          <w:szCs w:val="24"/>
        </w:rPr>
        <w:t>Zákonom č. 350/2024 Z. z., ktorý mení a dopĺňa zákon č. 24/2006 Z. z. o posudzovaní vplyvov na životné prostredie a o zmene a doplnení niektorých zákonov v znení neskorších predpisov a o zmene a doplnení niektorých zákonov.</w:t>
      </w:r>
    </w:p>
    <w:p w:rsidR="00156690" w:rsidRPr="000A4D63" w:rsidRDefault="00156690" w:rsidP="00156690">
      <w:pPr>
        <w:ind w:left="709" w:hanging="731"/>
        <w:jc w:val="both"/>
      </w:pPr>
    </w:p>
    <w:p w:rsidR="00156690" w:rsidRPr="000A4D63" w:rsidRDefault="00156690" w:rsidP="00156690">
      <w:pPr>
        <w:ind w:left="709"/>
        <w:jc w:val="both"/>
      </w:pPr>
      <w:r w:rsidRPr="000A4D63">
        <w:rPr>
          <w:b/>
        </w:rPr>
        <w:t xml:space="preserve">Smernica (EÚ) 2020/2184  </w:t>
      </w:r>
      <w:r w:rsidRPr="000A4D63">
        <w:t xml:space="preserve">bola transponovaná </w:t>
      </w:r>
    </w:p>
    <w:p w:rsidR="00156690" w:rsidRPr="000A4D63" w:rsidRDefault="00156690" w:rsidP="00156690">
      <w:pPr>
        <w:pStyle w:val="Odsekzoznamu"/>
        <w:numPr>
          <w:ilvl w:val="0"/>
          <w:numId w:val="25"/>
        </w:numPr>
        <w:spacing w:after="200" w:line="240" w:lineRule="auto"/>
        <w:ind w:left="993" w:hanging="284"/>
        <w:jc w:val="both"/>
        <w:rPr>
          <w:rFonts w:ascii="Times New Roman" w:hAnsi="Times New Roman"/>
          <w:sz w:val="24"/>
          <w:szCs w:val="24"/>
        </w:rPr>
      </w:pPr>
      <w:r w:rsidRPr="000A4D63">
        <w:rPr>
          <w:rFonts w:ascii="Times New Roman" w:hAnsi="Times New Roman"/>
          <w:sz w:val="24"/>
          <w:szCs w:val="24"/>
        </w:rPr>
        <w:t>Vyhláškou Ministerstva zdravotníctva Slovenskej republiky č. 45/2024 Z. z. o obmedzovaní ožiarenia obyvateľov z pitnej vody, z prírodnej minerálnej vody a z vody vhodnej na prípravu stravy pre dojčatá.</w:t>
      </w:r>
    </w:p>
    <w:p w:rsidR="00156690" w:rsidRPr="000A4D63" w:rsidRDefault="00156690" w:rsidP="00156690">
      <w:pPr>
        <w:pStyle w:val="Odsekzoznamu"/>
        <w:numPr>
          <w:ilvl w:val="0"/>
          <w:numId w:val="25"/>
        </w:numPr>
        <w:spacing w:after="200" w:line="240" w:lineRule="auto"/>
        <w:ind w:left="993" w:hanging="284"/>
        <w:jc w:val="both"/>
        <w:rPr>
          <w:rFonts w:ascii="Times New Roman" w:hAnsi="Times New Roman"/>
          <w:sz w:val="24"/>
          <w:szCs w:val="24"/>
        </w:rPr>
      </w:pPr>
      <w:r w:rsidRPr="000A4D63">
        <w:rPr>
          <w:rFonts w:ascii="Times New Roman" w:hAnsi="Times New Roman"/>
          <w:sz w:val="24"/>
          <w:szCs w:val="24"/>
        </w:rPr>
        <w:t>Vyhláškou Ministerstva životného prostredia Slovenskej republiky č. 326/2023 Z. z. o podrobnostiach manažmentu rizík v súvislosti s plochami povodia pre miesta odberu vody určenej na ľudskú spotrebu.</w:t>
      </w:r>
    </w:p>
    <w:p w:rsidR="00156690" w:rsidRPr="000A4D63" w:rsidRDefault="00156690" w:rsidP="00156690">
      <w:pPr>
        <w:pStyle w:val="Odsekzoznamu"/>
        <w:numPr>
          <w:ilvl w:val="0"/>
          <w:numId w:val="25"/>
        </w:numPr>
        <w:spacing w:after="200" w:line="240" w:lineRule="auto"/>
        <w:ind w:left="993" w:hanging="284"/>
        <w:jc w:val="both"/>
        <w:rPr>
          <w:rFonts w:ascii="Times New Roman" w:hAnsi="Times New Roman"/>
          <w:sz w:val="24"/>
          <w:szCs w:val="24"/>
        </w:rPr>
      </w:pPr>
      <w:r w:rsidRPr="000A4D63">
        <w:rPr>
          <w:rFonts w:ascii="Times New Roman" w:hAnsi="Times New Roman"/>
          <w:sz w:val="24"/>
          <w:szCs w:val="24"/>
        </w:rPr>
        <w:t>Vyhláškou Ministerstva životného prostredia Slovenskej republiky č. 354/2023 Z. z., ktorou sa mení a dopĺňa vyhláška Ministerstva životného prostredia Slovenskej republiky č. 636/2004 Z. z., ktorou sa ustanovujú požiadavky na kvalitu surovej vody a na sledovanie kvality vody vo verejných vodovodoch.</w:t>
      </w:r>
    </w:p>
    <w:p w:rsidR="00156690" w:rsidRPr="000A4D63" w:rsidRDefault="00156690" w:rsidP="00156690">
      <w:pPr>
        <w:pStyle w:val="Odsekzoznamu"/>
        <w:numPr>
          <w:ilvl w:val="0"/>
          <w:numId w:val="25"/>
        </w:numPr>
        <w:spacing w:after="200" w:line="240" w:lineRule="auto"/>
        <w:ind w:left="993" w:hanging="284"/>
        <w:jc w:val="both"/>
        <w:rPr>
          <w:rFonts w:ascii="Times New Roman" w:hAnsi="Times New Roman"/>
          <w:sz w:val="24"/>
          <w:szCs w:val="24"/>
        </w:rPr>
      </w:pPr>
      <w:r w:rsidRPr="000A4D63">
        <w:rPr>
          <w:rFonts w:ascii="Times New Roman" w:hAnsi="Times New Roman"/>
          <w:sz w:val="24"/>
          <w:szCs w:val="24"/>
        </w:rPr>
        <w:t xml:space="preserve">Zákonom č. 364/2004 Z. z. o vodách a o zmene zákona Slovenskej národnej rady č. 372/1990 Zb. o priestupkoch v znení neskorších prepisov (vodný zákon) v znení neskorších predpisov. </w:t>
      </w:r>
    </w:p>
    <w:p w:rsidR="00156690" w:rsidRPr="000A4D63" w:rsidRDefault="00156690" w:rsidP="00156690">
      <w:pPr>
        <w:pStyle w:val="Odsekzoznamu"/>
        <w:numPr>
          <w:ilvl w:val="0"/>
          <w:numId w:val="25"/>
        </w:numPr>
        <w:spacing w:after="200" w:line="240" w:lineRule="auto"/>
        <w:ind w:left="993" w:hanging="284"/>
        <w:jc w:val="both"/>
        <w:rPr>
          <w:rFonts w:ascii="Times New Roman" w:hAnsi="Times New Roman"/>
          <w:sz w:val="24"/>
          <w:szCs w:val="24"/>
        </w:rPr>
      </w:pPr>
      <w:r w:rsidRPr="000A4D63">
        <w:rPr>
          <w:rFonts w:ascii="Times New Roman" w:hAnsi="Times New Roman"/>
          <w:sz w:val="24"/>
          <w:szCs w:val="24"/>
        </w:rPr>
        <w:t>Vyhláškou Ministerstva zdravotníctva Slovenskej republiky č. 91/2023 Z. z., ktorou sa ustanovujú ukazovatele a limitné hodnoty kvality pitnej vody a kvality teplej vody, postup pri monitorovaní pitnej vody,  manažment rizík systému zásobovania pitnou vodou a manažment rizík domových rozvodných systémov.</w:t>
      </w:r>
    </w:p>
    <w:p w:rsidR="00156690" w:rsidRPr="000A4D63" w:rsidRDefault="00156690" w:rsidP="00156690">
      <w:pPr>
        <w:pStyle w:val="Odsekzoznamu"/>
        <w:numPr>
          <w:ilvl w:val="0"/>
          <w:numId w:val="25"/>
        </w:numPr>
        <w:spacing w:after="200" w:line="240" w:lineRule="auto"/>
        <w:ind w:left="993" w:hanging="284"/>
        <w:jc w:val="both"/>
        <w:rPr>
          <w:rFonts w:ascii="Times New Roman" w:hAnsi="Times New Roman"/>
          <w:sz w:val="24"/>
          <w:szCs w:val="24"/>
        </w:rPr>
      </w:pPr>
      <w:r w:rsidRPr="000A4D63">
        <w:rPr>
          <w:rFonts w:ascii="Times New Roman" w:hAnsi="Times New Roman"/>
          <w:sz w:val="24"/>
          <w:szCs w:val="24"/>
        </w:rPr>
        <w:t>Zákonom č. 355/2007 Z. z. o ochrane, podpore a rozvoji zdravia a o zmene a doplnení niektorých zákonov v znení neskorších predpisov.</w:t>
      </w:r>
    </w:p>
    <w:p w:rsidR="00156690" w:rsidRPr="000A4D63" w:rsidRDefault="00156690" w:rsidP="00156690">
      <w:pPr>
        <w:pStyle w:val="Odsekzoznamu"/>
        <w:numPr>
          <w:ilvl w:val="0"/>
          <w:numId w:val="25"/>
        </w:numPr>
        <w:spacing w:after="200" w:line="240" w:lineRule="auto"/>
        <w:ind w:left="993" w:hanging="284"/>
        <w:jc w:val="both"/>
        <w:rPr>
          <w:rFonts w:ascii="Times New Roman" w:hAnsi="Times New Roman"/>
          <w:sz w:val="24"/>
          <w:szCs w:val="24"/>
        </w:rPr>
      </w:pPr>
      <w:r w:rsidRPr="000A4D63">
        <w:rPr>
          <w:rFonts w:ascii="Times New Roman" w:hAnsi="Times New Roman"/>
          <w:sz w:val="24"/>
          <w:szCs w:val="24"/>
        </w:rPr>
        <w:t xml:space="preserve">Zákonom č. 575/2001 Z. z. o organizácii činnosti vlády a organizácii ústrednej štátnej správy v znení neskorších predpisov. </w:t>
      </w:r>
    </w:p>
    <w:p w:rsidR="00156690" w:rsidRPr="000A4D63" w:rsidRDefault="00156690" w:rsidP="00156690">
      <w:pPr>
        <w:spacing w:before="120"/>
        <w:jc w:val="both"/>
      </w:pPr>
    </w:p>
    <w:p w:rsidR="00156690" w:rsidRPr="000A4D63" w:rsidRDefault="00156690" w:rsidP="00156690">
      <w:pPr>
        <w:ind w:left="360" w:hanging="360"/>
        <w:rPr>
          <w:b/>
        </w:rPr>
      </w:pPr>
      <w:r w:rsidRPr="000A4D63">
        <w:rPr>
          <w:b/>
        </w:rPr>
        <w:t>5.</w:t>
      </w:r>
      <w:r w:rsidRPr="000A4D63">
        <w:rPr>
          <w:b/>
        </w:rPr>
        <w:tab/>
        <w:t>Návrh právneho predpisu je zlučiteľný s právom Európskej únie:</w:t>
      </w:r>
    </w:p>
    <w:p w:rsidR="00156690" w:rsidRPr="000A4D63" w:rsidRDefault="00156690" w:rsidP="00156690">
      <w:pPr>
        <w:ind w:left="360" w:hanging="360"/>
        <w:rPr>
          <w:b/>
        </w:rPr>
      </w:pPr>
    </w:p>
    <w:p w:rsidR="00156690" w:rsidRDefault="00156690" w:rsidP="00156690">
      <w:pPr>
        <w:ind w:left="360" w:hanging="360"/>
      </w:pPr>
      <w:r w:rsidRPr="000A4D63">
        <w:rPr>
          <w:b/>
        </w:rPr>
        <w:tab/>
      </w:r>
      <w:r w:rsidRPr="000A4D63">
        <w:t>Úplne.</w:t>
      </w:r>
    </w:p>
    <w:p w:rsidR="00156690" w:rsidRDefault="00156690" w:rsidP="00156690">
      <w:pPr>
        <w:ind w:left="360" w:hanging="360"/>
      </w:pPr>
    </w:p>
    <w:p w:rsidR="00156690" w:rsidRDefault="00156690">
      <w:pPr>
        <w:widowControl/>
        <w:adjustRightInd/>
      </w:pPr>
      <w:r>
        <w:br w:type="page"/>
      </w:r>
    </w:p>
    <w:p w:rsidR="00156690" w:rsidRPr="00156690" w:rsidRDefault="00156690" w:rsidP="00156690">
      <w:pPr>
        <w:widowControl/>
        <w:jc w:val="both"/>
        <w:rPr>
          <w:rFonts w:cs="Times New Roman"/>
          <w:b/>
        </w:rPr>
      </w:pPr>
      <w:r w:rsidRPr="00156690">
        <w:rPr>
          <w:rFonts w:cs="Times New Roman"/>
          <w:b/>
        </w:rPr>
        <w:t>B. Osobitná časť</w:t>
      </w:r>
    </w:p>
    <w:p w:rsidR="00156690" w:rsidRPr="00156690" w:rsidRDefault="00156690" w:rsidP="00156690">
      <w:pPr>
        <w:widowControl/>
        <w:spacing w:after="120"/>
        <w:contextualSpacing/>
        <w:jc w:val="both"/>
        <w:rPr>
          <w:rFonts w:cs="Times New Roman"/>
          <w:b/>
        </w:rPr>
      </w:pPr>
    </w:p>
    <w:p w:rsidR="00156690" w:rsidRPr="00156690" w:rsidRDefault="00156690" w:rsidP="00156690">
      <w:pPr>
        <w:widowControl/>
        <w:spacing w:before="120" w:after="120"/>
        <w:contextualSpacing/>
        <w:jc w:val="both"/>
        <w:rPr>
          <w:rFonts w:cs="Times New Roman"/>
          <w:b/>
        </w:rPr>
      </w:pPr>
      <w:r w:rsidRPr="00156690">
        <w:rPr>
          <w:rFonts w:cs="Times New Roman"/>
          <w:b/>
        </w:rPr>
        <w:t>K Čl. I</w:t>
      </w:r>
    </w:p>
    <w:p w:rsidR="00156690" w:rsidRPr="00156690" w:rsidRDefault="00156690" w:rsidP="00156690">
      <w:pPr>
        <w:spacing w:before="120" w:after="120"/>
        <w:jc w:val="both"/>
        <w:rPr>
          <w:rFonts w:cs="Times New Roman"/>
        </w:rPr>
      </w:pPr>
    </w:p>
    <w:p w:rsidR="00156690" w:rsidRPr="00156690" w:rsidRDefault="00156690" w:rsidP="00156690">
      <w:pPr>
        <w:widowControl/>
        <w:spacing w:before="120" w:after="120"/>
        <w:jc w:val="both"/>
        <w:rPr>
          <w:rFonts w:cs="Times New Roman"/>
          <w:b/>
        </w:rPr>
      </w:pPr>
      <w:r w:rsidRPr="00156690">
        <w:rPr>
          <w:rFonts w:cs="Times New Roman"/>
          <w:b/>
        </w:rPr>
        <w:t>K bodu 1</w:t>
      </w:r>
    </w:p>
    <w:p w:rsidR="00156690" w:rsidRPr="00156690" w:rsidRDefault="00156690" w:rsidP="00156690">
      <w:pPr>
        <w:widowControl/>
        <w:spacing w:before="120" w:after="120"/>
        <w:jc w:val="both"/>
        <w:rPr>
          <w:rFonts w:cs="Times New Roman"/>
          <w:bCs/>
          <w:shd w:val="clear" w:color="auto" w:fill="FFFFFF"/>
        </w:rPr>
      </w:pPr>
      <w:r w:rsidRPr="00156690">
        <w:rPr>
          <w:rFonts w:cs="Times New Roman"/>
        </w:rPr>
        <w:t xml:space="preserve">Upravujú sa poznámky pod čiarou k odkazom 1 až 6 z dôvodu prijatia nového právneho predpisu </w:t>
      </w:r>
      <w:r w:rsidRPr="00156690">
        <w:rPr>
          <w:rFonts w:cs="Times New Roman"/>
          <w:bCs/>
          <w:shd w:val="clear" w:color="auto" w:fill="FFFFFF"/>
        </w:rPr>
        <w:t>nariadenia Európskeho parlamentu a Rady (EÚ) 2019/1020 z 20. júna 2019 o dohľade nad trhom a súlade výrobkov a o zmene smernice 2004/42/ES a nariadení (ES) č. 765/2008 a (EÚ) č. 305/2011 (</w:t>
      </w:r>
      <w:r w:rsidRPr="00156690">
        <w:rPr>
          <w:rFonts w:cs="Times New Roman"/>
          <w:iCs/>
          <w:shd w:val="clear" w:color="auto" w:fill="FFFFFF"/>
        </w:rPr>
        <w:t>Ú. v. EÚ L 169, 25.6.2019) v platnom znení (ďalej len „</w:t>
      </w:r>
      <w:r w:rsidRPr="00156690">
        <w:rPr>
          <w:rFonts w:cs="Times New Roman"/>
        </w:rPr>
        <w:t xml:space="preserve">nariadenie (EÚ) 2019/1020 v platnom znení“). </w:t>
      </w:r>
      <w:r w:rsidRPr="00156690">
        <w:rPr>
          <w:rFonts w:cs="Times New Roman"/>
          <w:shd w:val="clear" w:color="auto" w:fill="FFFFFF"/>
        </w:rPr>
        <w:t xml:space="preserve">Nariadením (EÚ) 2019/1020 v platnom znení sa ustanovuje rámec Európskej únie pre dohľad nad trhom a kontrolu výrobkov vstupujúcich na trh Európskej únie, ktorý bol vypustený z nariadenia </w:t>
      </w:r>
      <w:r w:rsidRPr="00156690">
        <w:rPr>
          <w:rFonts w:cs="Times New Roman"/>
          <w:bCs/>
          <w:shd w:val="clear" w:color="auto" w:fill="FFFFFF"/>
        </w:rPr>
        <w:t>Európskeho parlamentu a Rady (ES) č. 765/2008 z 9. júla 2008, ktorým sa stanovujú požiadavky akreditácie a ktorým sa zrušuje nariadenie (EHS) č. 339/93 (</w:t>
      </w:r>
      <w:r w:rsidRPr="00156690">
        <w:rPr>
          <w:rFonts w:cs="Times New Roman"/>
          <w:iCs/>
          <w:shd w:val="clear" w:color="auto" w:fill="FFFFFF"/>
        </w:rPr>
        <w:t>Ú. v. EÚ L 218, 13.8.2008)</w:t>
      </w:r>
      <w:r w:rsidRPr="00156690">
        <w:rPr>
          <w:rFonts w:cs="Times New Roman"/>
          <w:bCs/>
          <w:shd w:val="clear" w:color="auto" w:fill="FFFFFF"/>
        </w:rPr>
        <w:t xml:space="preserve"> v platnom znení.</w:t>
      </w:r>
    </w:p>
    <w:p w:rsidR="00156690" w:rsidRPr="00156690" w:rsidRDefault="00156690" w:rsidP="00156690">
      <w:pPr>
        <w:widowControl/>
        <w:spacing w:before="120" w:after="120"/>
        <w:jc w:val="both"/>
        <w:rPr>
          <w:rFonts w:cs="Times New Roman"/>
          <w:bCs/>
          <w:shd w:val="clear" w:color="auto" w:fill="FFFFFF"/>
        </w:rPr>
      </w:pPr>
    </w:p>
    <w:p w:rsidR="00156690" w:rsidRPr="00156690" w:rsidRDefault="00156690" w:rsidP="00156690">
      <w:pPr>
        <w:widowControl/>
        <w:spacing w:before="120" w:after="120"/>
        <w:jc w:val="both"/>
        <w:rPr>
          <w:rFonts w:cs="Times New Roman"/>
          <w:b/>
        </w:rPr>
      </w:pPr>
      <w:r w:rsidRPr="00156690">
        <w:rPr>
          <w:rFonts w:cs="Times New Roman"/>
          <w:b/>
        </w:rPr>
        <w:t>K bodu 2 a bodu 3</w:t>
      </w:r>
    </w:p>
    <w:p w:rsidR="00156690" w:rsidRPr="00156690" w:rsidRDefault="00156690" w:rsidP="00156690">
      <w:pPr>
        <w:widowControl/>
        <w:spacing w:before="120" w:after="120"/>
        <w:jc w:val="both"/>
        <w:rPr>
          <w:rFonts w:cs="Times New Roman"/>
        </w:rPr>
      </w:pPr>
      <w:r w:rsidRPr="00156690">
        <w:rPr>
          <w:rFonts w:cs="Times New Roman"/>
        </w:rPr>
        <w:t>Precizujú sa definície uvedenie do prevádzky a uvedenie do používania. Upravuje sa poznámka pod čiarou k odkazu 9 z dôvodu prijatia nového právneho predpisu nariadenia (EÚ) 2019/1020 v platnom znení.</w:t>
      </w:r>
    </w:p>
    <w:p w:rsidR="00156690" w:rsidRPr="00156690" w:rsidRDefault="00156690" w:rsidP="00156690">
      <w:pPr>
        <w:widowControl/>
        <w:spacing w:before="120" w:after="120"/>
        <w:jc w:val="both"/>
        <w:rPr>
          <w:rFonts w:cs="Times New Roman"/>
        </w:rPr>
      </w:pPr>
      <w:r w:rsidRPr="00156690">
        <w:rPr>
          <w:rFonts w:cs="Times New Roman"/>
        </w:rPr>
        <w:t xml:space="preserve">Z dôvodu spresnenia definície uvedenie na trh, ktorým sa rozumie prvé sprístupnenie určeného výrobku na trhu </w:t>
      </w:r>
      <w:r w:rsidRPr="00156690">
        <w:rPr>
          <w:rFonts w:cs="Times New Roman"/>
          <w:shd w:val="clear" w:color="auto" w:fill="FFFFFF"/>
        </w:rPr>
        <w:t xml:space="preserve">Európskej únie </w:t>
      </w:r>
      <w:r w:rsidRPr="00156690">
        <w:rPr>
          <w:rFonts w:cs="Times New Roman"/>
        </w:rPr>
        <w:t>sa ustanovujú pojmy uvedenie do prevádzky a uvedenie do používania. Uvedenie do prevádzky, ktorým je uvedenie určeného výrobku na trh, ak určený výrobok prechádza priamo od výrobcu k jeho koncovému používateľovi, alebo sprístupňovanie určeného výrobku na trhu, ak určený výrobok prechádza k jeho koncovému používateľovi prostredníctvom distribučného reťazca, pričom teda prechádza odplatne alebo bezodplatne z etapy výroby alebo dovozu do etapy prevádzky, po jeho dokončenej inštalácii. Uvedenie do používania, ktorým je uvedenie určeného výrobku na trh, ak určený výrobok prechádza priamo od výrobcu k jeho koncovému používateľovi, alebo sprístupňovanie určeného výrobku na trhu, ak určený výrobok prechádza k jeho koncovému používateľovi prostredníctvom distribučného reťazca. Použitie pojmu uvedenie do prevádzky alebo uvedenie do používania závisí od charakteru daného určeného výrobku, lebo „priemyselný“ určený výrobok sa uvádza do prevádzky, napríklad priemyselné stroje vo výrobnom podniku, ale napríklad hračky alebo zdravotnícke pomôcky (napríklad obväzy) sa uvádzajú do používania. Úprava pojmov spočíva aj vo vypustení slova prvýkrát a doplnenia sprístupňovanie určeného výrobku na trhu v zmysle uvedeného vysvetlenia.</w:t>
      </w:r>
    </w:p>
    <w:p w:rsidR="00156690" w:rsidRPr="00156690" w:rsidRDefault="00156690" w:rsidP="00156690">
      <w:pPr>
        <w:widowControl/>
        <w:spacing w:before="120" w:after="120"/>
        <w:jc w:val="both"/>
        <w:rPr>
          <w:rFonts w:cs="Times New Roman"/>
        </w:rPr>
      </w:pPr>
    </w:p>
    <w:p w:rsidR="00156690" w:rsidRPr="00156690" w:rsidRDefault="00156690" w:rsidP="00156690">
      <w:pPr>
        <w:widowControl/>
        <w:spacing w:before="120" w:after="120"/>
        <w:jc w:val="both"/>
        <w:rPr>
          <w:rFonts w:cs="Times New Roman"/>
          <w:b/>
        </w:rPr>
      </w:pPr>
      <w:r w:rsidRPr="00156690">
        <w:rPr>
          <w:rFonts w:cs="Times New Roman"/>
          <w:b/>
        </w:rPr>
        <w:t>K bodu 4</w:t>
      </w:r>
    </w:p>
    <w:p w:rsidR="00156690" w:rsidRPr="00156690" w:rsidRDefault="00156690" w:rsidP="00156690">
      <w:pPr>
        <w:widowControl/>
        <w:adjustRightInd/>
        <w:spacing w:before="120" w:after="120"/>
        <w:jc w:val="both"/>
        <w:rPr>
          <w:rFonts w:cs="Times New Roman"/>
          <w:iCs/>
          <w:shd w:val="clear" w:color="auto" w:fill="FFFFFF"/>
        </w:rPr>
      </w:pPr>
      <w:r w:rsidRPr="00156690">
        <w:rPr>
          <w:rFonts w:cs="Times New Roman"/>
        </w:rPr>
        <w:t>Sprievodná dokumentácia je časť technickej dokumentácie nevyhnutná na účel sprístupnenia určeného výrobku na trhu a jej predloženie vyplýva z § 5, § 7, § 8, § 25 a § 27 ako jedna z povinností hospodárskych subjektov. Precizuje sa definícia pojmu sprievodná dokumentácia v nadväznosti na potreby aplikačnej praxe, kedy je fakultatívnym výpočtom vymenované, čo konkrétne môže byť súčasťou sprievodnej dokumentácie určeného výrobku, a je to najmä vyhlásenie o zhode, návod na použitie, upozornenia, bezpečnostné pokyny, identifikačné údaje o hospodárskom subjekte, typové číslo, číslo šarže alebo sériové číslo, alebo iný údaj, ktorý umožňuje identifikáciu určeného výrobku, etiketa, QR kód, značka zhody, ak povaha určeného výrobku neumožňuje ich uviesť na obale určeného výrobku alebo iné dokumenty, ak tak ustanovuje technický predpis z oblasti posudzovania zhody. Môžu byť nimi aj označenia týkajúce sa bezpečnej manipulácie, skladovania, bezpečných vzdialeností, používania alebo likvidácie určeného výrobku.</w:t>
      </w:r>
    </w:p>
    <w:p w:rsidR="00156690" w:rsidRPr="00156690" w:rsidRDefault="00156690" w:rsidP="00156690">
      <w:pPr>
        <w:widowControl/>
        <w:spacing w:before="120" w:after="120"/>
        <w:jc w:val="both"/>
        <w:rPr>
          <w:rFonts w:cs="Times New Roman"/>
          <w:b/>
        </w:rPr>
      </w:pPr>
    </w:p>
    <w:p w:rsidR="00156690" w:rsidRPr="00156690" w:rsidRDefault="00156690" w:rsidP="00156690">
      <w:pPr>
        <w:widowControl/>
        <w:spacing w:before="120" w:after="120"/>
        <w:jc w:val="both"/>
        <w:rPr>
          <w:rFonts w:cs="Times New Roman"/>
          <w:b/>
        </w:rPr>
      </w:pPr>
      <w:r w:rsidRPr="00156690">
        <w:rPr>
          <w:rFonts w:cs="Times New Roman"/>
          <w:b/>
        </w:rPr>
        <w:t>K bodu 5</w:t>
      </w:r>
    </w:p>
    <w:p w:rsidR="00156690" w:rsidRPr="00156690" w:rsidRDefault="00156690" w:rsidP="00156690">
      <w:pPr>
        <w:spacing w:before="120" w:after="120"/>
        <w:jc w:val="both"/>
        <w:rPr>
          <w:rFonts w:cs="Times New Roman"/>
        </w:rPr>
      </w:pPr>
      <w:r w:rsidRPr="00156690">
        <w:rPr>
          <w:rFonts w:cs="Times New Roman"/>
        </w:rPr>
        <w:t xml:space="preserve">Ustanovením sa preberajú ustanovenia čl. 1 ods. 1 písm. d) body 14g a 14l </w:t>
      </w:r>
      <w:r w:rsidRPr="00156690">
        <w:rPr>
          <w:rFonts w:cs="Times New Roman"/>
          <w:bCs/>
          <w:shd w:val="clear" w:color="auto" w:fill="FFFFFF"/>
        </w:rPr>
        <w:t>smernice Európskeho parlamentu a Rady (EÚ) 2023/2413 z 18. októbra 2023, ktorou sa mení smernica (EÚ) 2018/2001, nariadenie (EÚ) 2018/1999 a smernica 98/70/ES, pokiaľ ide o podporu energie z obnoviteľných zdrojov, a ktorou sa zrušuje smernica Rady (EÚ) 2015/652 (</w:t>
      </w:r>
      <w:r w:rsidRPr="00156690">
        <w:rPr>
          <w:rFonts w:cs="Times New Roman"/>
          <w:iCs/>
          <w:shd w:val="clear" w:color="auto" w:fill="FFFFFF"/>
        </w:rPr>
        <w:t>Ú. v. EÚ L, 2023/2413, 31.10.2023) (ďalej len „smernica (EÚ) 2023/2413“), ide o definície</w:t>
      </w:r>
      <w:r w:rsidRPr="00156690">
        <w:rPr>
          <w:rFonts w:cs="Times New Roman"/>
        </w:rPr>
        <w:t xml:space="preserve"> pojmov batéria do domácnosti a stanovený výkon pre účely zákona v súvislosti s prebratím povinností výrobcov batérií do domácností a priemyselných batérií do § 9a ods. 5.  </w:t>
      </w:r>
    </w:p>
    <w:p w:rsidR="00156690" w:rsidRPr="00156690" w:rsidRDefault="00156690" w:rsidP="00156690">
      <w:pPr>
        <w:spacing w:before="120" w:after="120"/>
        <w:jc w:val="both"/>
        <w:rPr>
          <w:rFonts w:cs="Times New Roman"/>
        </w:rPr>
      </w:pPr>
    </w:p>
    <w:p w:rsidR="00156690" w:rsidRPr="00156690" w:rsidRDefault="00156690" w:rsidP="00156690">
      <w:pPr>
        <w:widowControl/>
        <w:spacing w:before="120" w:after="120"/>
        <w:jc w:val="both"/>
        <w:rPr>
          <w:rFonts w:cs="Times New Roman"/>
          <w:b/>
        </w:rPr>
      </w:pPr>
      <w:r w:rsidRPr="00156690">
        <w:rPr>
          <w:rFonts w:cs="Times New Roman"/>
          <w:b/>
        </w:rPr>
        <w:t>K bodu 6</w:t>
      </w:r>
    </w:p>
    <w:p w:rsidR="00156690" w:rsidRPr="00156690" w:rsidRDefault="00156690" w:rsidP="00156690">
      <w:pPr>
        <w:widowControl/>
        <w:adjustRightInd/>
        <w:spacing w:before="120" w:after="120"/>
        <w:jc w:val="both"/>
        <w:rPr>
          <w:rFonts w:eastAsiaTheme="minorHAnsi" w:cs="Times New Roman"/>
          <w:b/>
          <w:lang w:eastAsia="en-US"/>
        </w:rPr>
      </w:pPr>
      <w:r w:rsidRPr="00156690">
        <w:rPr>
          <w:rFonts w:eastAsiaTheme="minorHAnsi" w:cs="Times New Roman"/>
          <w:lang w:eastAsia="en-US"/>
        </w:rPr>
        <w:t>Legislatívno-technická úprava.</w:t>
      </w:r>
    </w:p>
    <w:p w:rsidR="00156690" w:rsidRPr="00156690" w:rsidRDefault="00156690" w:rsidP="00156690">
      <w:pPr>
        <w:widowControl/>
        <w:spacing w:before="120" w:after="120"/>
        <w:jc w:val="both"/>
        <w:rPr>
          <w:rFonts w:cs="Times New Roman"/>
          <w:b/>
          <w:iCs/>
          <w:shd w:val="clear" w:color="auto" w:fill="FFFFFF"/>
        </w:rPr>
      </w:pPr>
    </w:p>
    <w:p w:rsidR="00156690" w:rsidRPr="00156690" w:rsidRDefault="00156690" w:rsidP="00156690">
      <w:pPr>
        <w:widowControl/>
        <w:spacing w:before="120" w:after="120"/>
        <w:jc w:val="both"/>
        <w:rPr>
          <w:rFonts w:cs="Times New Roman"/>
          <w:b/>
          <w:iCs/>
          <w:shd w:val="clear" w:color="auto" w:fill="FFFFFF"/>
        </w:rPr>
      </w:pPr>
      <w:r w:rsidRPr="00156690">
        <w:rPr>
          <w:rFonts w:cs="Times New Roman"/>
          <w:b/>
          <w:iCs/>
          <w:shd w:val="clear" w:color="auto" w:fill="FFFFFF"/>
        </w:rPr>
        <w:t>K bodu 7</w:t>
      </w:r>
    </w:p>
    <w:p w:rsidR="00156690" w:rsidRPr="00156690" w:rsidRDefault="00156690" w:rsidP="00156690">
      <w:pPr>
        <w:widowControl/>
        <w:spacing w:before="120" w:after="120"/>
        <w:jc w:val="both"/>
        <w:rPr>
          <w:rFonts w:cs="Times New Roman"/>
          <w:iCs/>
          <w:shd w:val="clear" w:color="auto" w:fill="FFFFFF"/>
        </w:rPr>
      </w:pPr>
      <w:r w:rsidRPr="00156690">
        <w:rPr>
          <w:rFonts w:cs="Times New Roman"/>
          <w:iCs/>
          <w:shd w:val="clear" w:color="auto" w:fill="FFFFFF"/>
        </w:rPr>
        <w:t xml:space="preserve">V § 3 sa dopĺňa nové písmeno n), ktorým sa </w:t>
      </w:r>
      <w:r w:rsidRPr="00156690">
        <w:rPr>
          <w:rFonts w:cs="Times New Roman"/>
        </w:rPr>
        <w:t xml:space="preserve">vymedzujú kompetencie </w:t>
      </w:r>
      <w:r w:rsidRPr="00156690">
        <w:rPr>
          <w:rFonts w:cs="Times New Roman"/>
          <w:bCs/>
        </w:rPr>
        <w:t>Úradu pre normalizáciu, metrológiu a skúšobníctvo Slovenskej republiky (ďalej len „úrad“)</w:t>
      </w:r>
      <w:r w:rsidRPr="00156690">
        <w:rPr>
          <w:rFonts w:cs="Times New Roman"/>
        </w:rPr>
        <w:t xml:space="preserve"> v súvislosti s prvostupňovým overením výstupných dokumentov posudzovania zhody, ktoré vydá autorizovaná osoba podľa § 21 ods. 3 za účelom ich ďalšieho overenia Ministerstvom zahraničných vecí Slovenskej republiky podľa bodu 8 prílohy k oznámeniu Ministerstva zahraničných vecí Slovenskej republiky č. 501/2007 Z. z. o zmene úplného aktualizovaného zoznamu orgánov zmluvných strán podľa článku 6 Dohovoru o zrušení požiadavky vyššieho overenia zahraničných verejných listín z 5. októbra 1961 (stav k 1. februáru 2006 v znení neskorších zmien a doplnkov).   </w:t>
      </w:r>
    </w:p>
    <w:p w:rsidR="00156690" w:rsidRPr="00156690" w:rsidRDefault="00156690" w:rsidP="00156690">
      <w:pPr>
        <w:widowControl/>
        <w:spacing w:before="120" w:after="120"/>
        <w:jc w:val="both"/>
        <w:rPr>
          <w:rFonts w:cs="Times New Roman"/>
          <w:b/>
          <w:iCs/>
          <w:shd w:val="clear" w:color="auto" w:fill="FFFFFF"/>
        </w:rPr>
      </w:pPr>
    </w:p>
    <w:p w:rsidR="00156690" w:rsidRPr="00156690" w:rsidRDefault="00156690" w:rsidP="00156690">
      <w:pPr>
        <w:widowControl/>
        <w:spacing w:before="120" w:after="120"/>
        <w:jc w:val="both"/>
        <w:rPr>
          <w:rFonts w:cs="Times New Roman"/>
          <w:b/>
          <w:iCs/>
          <w:shd w:val="clear" w:color="auto" w:fill="FFFFFF"/>
        </w:rPr>
      </w:pPr>
      <w:r w:rsidRPr="00156690">
        <w:rPr>
          <w:rFonts w:cs="Times New Roman"/>
          <w:b/>
          <w:iCs/>
          <w:shd w:val="clear" w:color="auto" w:fill="FFFFFF"/>
        </w:rPr>
        <w:t>K bodu 8</w:t>
      </w:r>
    </w:p>
    <w:p w:rsidR="00156690" w:rsidRPr="00156690" w:rsidRDefault="00156690" w:rsidP="00156690">
      <w:pPr>
        <w:widowControl/>
        <w:spacing w:before="120" w:after="120"/>
        <w:jc w:val="both"/>
        <w:rPr>
          <w:rFonts w:cs="Times New Roman"/>
        </w:rPr>
      </w:pPr>
      <w:r w:rsidRPr="00156690">
        <w:rPr>
          <w:rFonts w:cs="Times New Roman"/>
        </w:rPr>
        <w:t>Upravuje sa poznámka pod čiarou k odkazu 15 z dôvodu prijatia nových právnych predpisov.</w:t>
      </w:r>
    </w:p>
    <w:p w:rsidR="00156690" w:rsidRPr="00156690" w:rsidRDefault="00156690" w:rsidP="00156690">
      <w:pPr>
        <w:widowControl/>
        <w:spacing w:before="120" w:after="120"/>
        <w:jc w:val="both"/>
        <w:rPr>
          <w:rFonts w:cs="Times New Roman"/>
          <w:b/>
          <w:iCs/>
          <w:shd w:val="clear" w:color="auto" w:fill="FFFFFF"/>
        </w:rPr>
      </w:pPr>
    </w:p>
    <w:p w:rsidR="00156690" w:rsidRPr="00156690" w:rsidRDefault="00156690" w:rsidP="00156690">
      <w:pPr>
        <w:widowControl/>
        <w:spacing w:before="120" w:after="120"/>
        <w:jc w:val="both"/>
        <w:rPr>
          <w:rFonts w:cs="Times New Roman"/>
          <w:b/>
          <w:iCs/>
          <w:shd w:val="clear" w:color="auto" w:fill="FFFFFF"/>
        </w:rPr>
      </w:pPr>
      <w:r w:rsidRPr="00156690">
        <w:rPr>
          <w:rFonts w:cs="Times New Roman"/>
          <w:b/>
          <w:iCs/>
          <w:shd w:val="clear" w:color="auto" w:fill="FFFFFF"/>
        </w:rPr>
        <w:t>K bodu 9</w:t>
      </w:r>
    </w:p>
    <w:p w:rsidR="00156690" w:rsidRPr="00156690" w:rsidRDefault="00156690" w:rsidP="00156690">
      <w:pPr>
        <w:widowControl/>
        <w:spacing w:before="120" w:after="120"/>
        <w:jc w:val="both"/>
        <w:rPr>
          <w:rFonts w:cs="Times New Roman"/>
        </w:rPr>
      </w:pPr>
      <w:r w:rsidRPr="00156690">
        <w:rPr>
          <w:rFonts w:cs="Times New Roman"/>
          <w:iCs/>
          <w:shd w:val="clear" w:color="auto" w:fill="FFFFFF"/>
        </w:rPr>
        <w:t xml:space="preserve">V § 4 ods. 1 je ustanovený pojem určený výrobok ako výrobok, ktorý predstavuje zvýšené riziko ohrozenia oprávneného záujmu, na ktorého zmiernenie alebo odstránenie sú ustanovené základné požiadavky, požiadavky ustanovené týmto zákonom alebo technickým predpisom z oblasti posudzovania zhody. </w:t>
      </w:r>
      <w:r w:rsidRPr="00156690">
        <w:rPr>
          <w:rFonts w:cs="Times New Roman"/>
        </w:rPr>
        <w:t xml:space="preserve">Technický predpis z oblasti posudzovania zhody je definovaný v § 2 písm. e) zákona č. 56/2018 Z. z. o posudzovaní zhody výrobku, sprístupňovaní určeného výrobku na trhu a o zmene a doplnení niektorých zákonov v znení neskorších predpisov (ďalej len „zákon č. 56/2018 Z. z.) ako </w:t>
      </w:r>
      <w:r w:rsidRPr="00156690">
        <w:rPr>
          <w:rFonts w:cs="Times New Roman"/>
          <w:iCs/>
          <w:shd w:val="clear" w:color="auto" w:fill="FFFFFF"/>
        </w:rPr>
        <w:t xml:space="preserve">technický predpis podľa § 2 písm. i) zákona č. 55/2018 Z. z. o poskytovaní informácií o technickom predpise a o prekážkach voľného pohybu tovaru v znení neskorších predpisov alebo právne záväzný akt Európskej únie, ktorým sa ustanovujú základné požiadavky. </w:t>
      </w:r>
      <w:r w:rsidRPr="00156690">
        <w:rPr>
          <w:rFonts w:cs="Times New Roman"/>
        </w:rPr>
        <w:t>Zákon č. 56/2018 Z. z. je rámcovým zákonom k technickým predpisom z oblasti posudzovania zhody a je ním zabezpečená transpozícia a implementácia právne záväzných aktov Európskej únie, ktoré sú technickými predpismi z oblasti posudzovania zhody.</w:t>
      </w:r>
    </w:p>
    <w:p w:rsidR="00156690" w:rsidRPr="00156690" w:rsidRDefault="00156690" w:rsidP="00156690">
      <w:pPr>
        <w:widowControl/>
        <w:spacing w:before="120" w:after="120"/>
        <w:jc w:val="both"/>
        <w:rPr>
          <w:rFonts w:cs="Times New Roman"/>
          <w:iCs/>
          <w:shd w:val="clear" w:color="auto" w:fill="FFFFFF"/>
        </w:rPr>
      </w:pPr>
      <w:r w:rsidRPr="00156690">
        <w:rPr>
          <w:rFonts w:cs="Times New Roman"/>
        </w:rPr>
        <w:t>Zoznam určených výrobkov je určený nasledujúcimi právnymi predpismi:</w:t>
      </w:r>
    </w:p>
    <w:p w:rsidR="00156690" w:rsidRPr="00156690" w:rsidRDefault="00156690" w:rsidP="00156690">
      <w:pPr>
        <w:numPr>
          <w:ilvl w:val="0"/>
          <w:numId w:val="38"/>
        </w:numPr>
        <w:spacing w:before="120" w:after="120"/>
        <w:ind w:left="284" w:hanging="284"/>
        <w:contextualSpacing/>
        <w:jc w:val="both"/>
        <w:rPr>
          <w:rFonts w:cs="Times New Roman"/>
        </w:rPr>
      </w:pPr>
      <w:r w:rsidRPr="00156690">
        <w:rPr>
          <w:rFonts w:cs="Times New Roman"/>
          <w:bCs/>
          <w:shd w:val="clear" w:color="auto" w:fill="FFFFFF"/>
        </w:rPr>
        <w:t>Čl. 2 nariadenia Európskeho parlamentu a Rady (EÚ) 2016/424 z 9. marca 2016 o lanovkových zariadeniach a zrušení smernice 2000/9/ES (</w:t>
      </w:r>
      <w:r w:rsidRPr="00156690">
        <w:rPr>
          <w:rFonts w:cs="Times New Roman"/>
          <w:iCs/>
          <w:shd w:val="clear" w:color="auto" w:fill="FFFFFF"/>
        </w:rPr>
        <w:t>Ú. v. EÚ L 81, 31.3.2016) v platnom znení.</w:t>
      </w:r>
    </w:p>
    <w:p w:rsidR="00156690" w:rsidRPr="00156690" w:rsidRDefault="00156690" w:rsidP="00156690">
      <w:pPr>
        <w:numPr>
          <w:ilvl w:val="0"/>
          <w:numId w:val="38"/>
        </w:numPr>
        <w:spacing w:before="120" w:after="120"/>
        <w:ind w:left="284" w:hanging="284"/>
        <w:contextualSpacing/>
        <w:jc w:val="both"/>
        <w:rPr>
          <w:rFonts w:cs="Times New Roman"/>
        </w:rPr>
      </w:pPr>
      <w:r w:rsidRPr="00156690">
        <w:rPr>
          <w:rFonts w:cs="Times New Roman"/>
          <w:bCs/>
          <w:shd w:val="clear" w:color="auto" w:fill="FFFFFF"/>
        </w:rPr>
        <w:t>Čl. 2 a 3 nariadenia Európskeho parlamentu a Rady (EÚ) 2016/425 z 9. marca 2016 o osobných ochranných prostriedkoch a o zrušení smernice Rady 89/686/EHS (</w:t>
      </w:r>
      <w:r w:rsidRPr="00156690">
        <w:rPr>
          <w:rFonts w:cs="Times New Roman"/>
          <w:iCs/>
          <w:shd w:val="clear" w:color="auto" w:fill="FFFFFF"/>
        </w:rPr>
        <w:t>Ú. v. EÚ L 81, 31.3.2016) v platnom znení.</w:t>
      </w:r>
    </w:p>
    <w:p w:rsidR="00156690" w:rsidRPr="00156690" w:rsidRDefault="00156690" w:rsidP="00156690">
      <w:pPr>
        <w:numPr>
          <w:ilvl w:val="0"/>
          <w:numId w:val="38"/>
        </w:numPr>
        <w:spacing w:before="120" w:after="120"/>
        <w:ind w:left="284" w:hanging="284"/>
        <w:contextualSpacing/>
        <w:jc w:val="both"/>
        <w:rPr>
          <w:rFonts w:cs="Times New Roman"/>
        </w:rPr>
      </w:pPr>
      <w:r w:rsidRPr="00156690">
        <w:rPr>
          <w:rFonts w:cs="Times New Roman"/>
          <w:bCs/>
          <w:shd w:val="clear" w:color="auto" w:fill="FFFFFF"/>
        </w:rPr>
        <w:t>Čl. 1 a čl. 2 ods. 1 a 2 nariadenia Európskeho parlamentu a Rady (EÚ) 2016/426 z 9. marca 2016 o spotrebičoch spaľujúcich plynné palivá a o zrušení smernice 2009/142/ES (</w:t>
      </w:r>
      <w:r w:rsidRPr="00156690">
        <w:rPr>
          <w:rFonts w:cs="Times New Roman"/>
          <w:iCs/>
          <w:shd w:val="clear" w:color="auto" w:fill="FFFFFF"/>
        </w:rPr>
        <w:t>Ú. v. EÚ L 81, 31.3.2016) v platnom znení.</w:t>
      </w:r>
    </w:p>
    <w:p w:rsidR="00156690" w:rsidRPr="00156690" w:rsidRDefault="00156690" w:rsidP="00156690">
      <w:pPr>
        <w:numPr>
          <w:ilvl w:val="0"/>
          <w:numId w:val="38"/>
        </w:numPr>
        <w:spacing w:before="120" w:after="120"/>
        <w:ind w:left="284" w:hanging="284"/>
        <w:contextualSpacing/>
        <w:jc w:val="both"/>
        <w:rPr>
          <w:rFonts w:cs="Times New Roman"/>
        </w:rPr>
      </w:pPr>
      <w:r w:rsidRPr="00156690">
        <w:rPr>
          <w:rFonts w:cs="Times New Roman"/>
          <w:bCs/>
          <w:shd w:val="clear" w:color="auto" w:fill="FFFFFF"/>
        </w:rPr>
        <w:t>Čl. 1 nariadenia Európskeho parlamentu a Rady (EÚ) 2017/745 z 5. apríla 2017 o zdravotníckych pomôckach, zmene smernice 2001/83/ES, nariadenia (ES) č. 178/2002 a nariadenia (ES) č. 1223/2009 a o zrušení smerníc Rady 90/385/EHS a 93/42/EHS (</w:t>
      </w:r>
      <w:r w:rsidRPr="00156690">
        <w:rPr>
          <w:rFonts w:cs="Times New Roman"/>
          <w:iCs/>
          <w:shd w:val="clear" w:color="auto" w:fill="FFFFFF"/>
        </w:rPr>
        <w:t>Ú. v. EÚ L 117, 5.5.2017) v platnom znení.</w:t>
      </w:r>
    </w:p>
    <w:p w:rsidR="00156690" w:rsidRPr="00156690" w:rsidRDefault="00156690" w:rsidP="00156690">
      <w:pPr>
        <w:numPr>
          <w:ilvl w:val="0"/>
          <w:numId w:val="38"/>
        </w:numPr>
        <w:spacing w:before="120" w:after="120"/>
        <w:ind w:left="284" w:hanging="284"/>
        <w:contextualSpacing/>
        <w:jc w:val="both"/>
        <w:rPr>
          <w:rFonts w:cs="Times New Roman"/>
        </w:rPr>
      </w:pPr>
      <w:r w:rsidRPr="00156690">
        <w:rPr>
          <w:rFonts w:cs="Times New Roman"/>
          <w:bCs/>
          <w:shd w:val="clear" w:color="auto" w:fill="FFFFFF"/>
        </w:rPr>
        <w:t>Čl. 1 nariadenia Európskeho parlamentu a Rady (EÚ) 2017/746 z 5. apríla 2017 o diagnostických zdravotníckych pomôckach in vitro a o zrušení smernice 98/79/ES a rozhodnutia Komisie 2010/227/EÚ (</w:t>
      </w:r>
      <w:r w:rsidRPr="00156690">
        <w:rPr>
          <w:rFonts w:cs="Times New Roman"/>
          <w:iCs/>
          <w:shd w:val="clear" w:color="auto" w:fill="FFFFFF"/>
        </w:rPr>
        <w:t>Ú. v. EÚ L 117, 5.5.2017) v platnom znení.</w:t>
      </w:r>
    </w:p>
    <w:p w:rsidR="00156690" w:rsidRPr="00156690" w:rsidRDefault="00156690" w:rsidP="00156690">
      <w:pPr>
        <w:numPr>
          <w:ilvl w:val="0"/>
          <w:numId w:val="38"/>
        </w:numPr>
        <w:spacing w:before="120" w:after="120"/>
        <w:ind w:left="284" w:hanging="284"/>
        <w:contextualSpacing/>
        <w:jc w:val="both"/>
        <w:rPr>
          <w:rFonts w:cs="Times New Roman"/>
        </w:rPr>
      </w:pPr>
      <w:r w:rsidRPr="00156690">
        <w:rPr>
          <w:rFonts w:cs="Times New Roman"/>
          <w:bCs/>
          <w:shd w:val="clear" w:color="auto" w:fill="FFFFFF"/>
        </w:rPr>
        <w:t>Čl. 1 nariadenia Európskeho parlamentu a Rady (EÚ) 2017/1369 zo 4. júla 2017, ktorým sa stanovuje rámec pre energetické označovanie a zrušuje smernica 2010/30/EÚ (</w:t>
      </w:r>
      <w:r w:rsidRPr="00156690">
        <w:rPr>
          <w:rFonts w:cs="Times New Roman"/>
          <w:iCs/>
          <w:shd w:val="clear" w:color="auto" w:fill="FFFFFF"/>
        </w:rPr>
        <w:t xml:space="preserve">Ú. v. EÚ L 198, 28.7.2017) v platnom znení. </w:t>
      </w:r>
    </w:p>
    <w:p w:rsidR="00156690" w:rsidRPr="00156690" w:rsidRDefault="00156690" w:rsidP="00156690">
      <w:pPr>
        <w:numPr>
          <w:ilvl w:val="0"/>
          <w:numId w:val="38"/>
        </w:numPr>
        <w:spacing w:before="120" w:after="120"/>
        <w:ind w:left="284" w:hanging="284"/>
        <w:contextualSpacing/>
        <w:jc w:val="both"/>
        <w:rPr>
          <w:rFonts w:cs="Times New Roman"/>
        </w:rPr>
      </w:pPr>
      <w:r w:rsidRPr="00156690">
        <w:rPr>
          <w:rFonts w:cs="Times New Roman"/>
          <w:bCs/>
          <w:shd w:val="clear" w:color="auto" w:fill="FFFFFF"/>
        </w:rPr>
        <w:t>Čl. 2 ods. 1 delegovaného nariadenia Komisie (EÚ) 2019/945 z 12. marca 2019 o bezpilotných leteckých systémoch a o prevádzkovateľoch bezpilotných leteckých systémov z tretích krajín (</w:t>
      </w:r>
      <w:r w:rsidRPr="00156690">
        <w:rPr>
          <w:rFonts w:cs="Times New Roman"/>
          <w:iCs/>
          <w:shd w:val="clear" w:color="auto" w:fill="FFFFFF"/>
        </w:rPr>
        <w:t>Ú. v. EÚ L 152, 11.6.2019) v platnom znení (ďalej len „</w:t>
      </w:r>
      <w:r w:rsidRPr="00156690">
        <w:rPr>
          <w:rFonts w:cs="Times New Roman"/>
        </w:rPr>
        <w:t>delegované nariadenie (EÚ) 2019/945 v platnom znení“)</w:t>
      </w:r>
      <w:r w:rsidRPr="00156690">
        <w:rPr>
          <w:rFonts w:cs="Times New Roman"/>
          <w:iCs/>
          <w:shd w:val="clear" w:color="auto" w:fill="FFFFFF"/>
        </w:rPr>
        <w:t>.</w:t>
      </w:r>
    </w:p>
    <w:p w:rsidR="00156690" w:rsidRPr="00156690" w:rsidRDefault="00156690" w:rsidP="00156690">
      <w:pPr>
        <w:numPr>
          <w:ilvl w:val="0"/>
          <w:numId w:val="38"/>
        </w:numPr>
        <w:spacing w:before="120" w:after="120"/>
        <w:ind w:left="284" w:hanging="284"/>
        <w:contextualSpacing/>
        <w:jc w:val="both"/>
        <w:rPr>
          <w:rFonts w:cs="Times New Roman"/>
        </w:rPr>
      </w:pPr>
      <w:r w:rsidRPr="00156690">
        <w:rPr>
          <w:rFonts w:cs="Times New Roman"/>
          <w:bCs/>
          <w:shd w:val="clear" w:color="auto" w:fill="FFFFFF"/>
        </w:rPr>
        <w:t>Čl. 1 nariadenia Európskeho parlamentu a Rady (EÚ) 2019/1009 z 5. júna 2019, ktorým sa stanovujú pravidlá sprístupňovania EÚ produktov na hnojenie na trhu, menia nariadenia (ES) č. 1069/2009 a (ES) č. 1107/2009 a ruší nariadenie (ES) č. 2003/2003 (</w:t>
      </w:r>
      <w:r w:rsidRPr="00156690">
        <w:rPr>
          <w:rFonts w:cs="Times New Roman"/>
          <w:iCs/>
          <w:shd w:val="clear" w:color="auto" w:fill="FFFFFF"/>
        </w:rPr>
        <w:t>Ú. v. EÚ L 170, 25.6.2019) v platnom znení.</w:t>
      </w:r>
    </w:p>
    <w:p w:rsidR="00156690" w:rsidRPr="00156690" w:rsidRDefault="00156690" w:rsidP="00156690">
      <w:pPr>
        <w:numPr>
          <w:ilvl w:val="0"/>
          <w:numId w:val="38"/>
        </w:numPr>
        <w:spacing w:before="120" w:after="120"/>
        <w:ind w:left="284" w:hanging="284"/>
        <w:contextualSpacing/>
        <w:jc w:val="both"/>
        <w:rPr>
          <w:rFonts w:cs="Times New Roman"/>
        </w:rPr>
      </w:pPr>
      <w:r w:rsidRPr="00156690">
        <w:rPr>
          <w:rFonts w:cs="Times New Roman"/>
          <w:bCs/>
          <w:shd w:val="clear" w:color="auto" w:fill="FFFFFF"/>
        </w:rPr>
        <w:t>Čl. 2 nariadenia Európskeho parlamentu a Rady (EÚ) 2023/1230 zo 14. júna 2023 o strojových zariadeniach a o zrušení smernice Európskeho parlamentu a Rady 2006/42/ES a smernice Rady 73/361/EHS (</w:t>
      </w:r>
      <w:r w:rsidRPr="00156690">
        <w:rPr>
          <w:rFonts w:cs="Times New Roman"/>
          <w:iCs/>
          <w:shd w:val="clear" w:color="auto" w:fill="FFFFFF"/>
        </w:rPr>
        <w:t xml:space="preserve">Ú. v. EÚ L 165, 29.6.2023) v platnom znení </w:t>
      </w:r>
      <w:r w:rsidRPr="00156690">
        <w:rPr>
          <w:rFonts w:cs="Times New Roman"/>
          <w:bCs/>
          <w:shd w:val="clear" w:color="auto" w:fill="FFFFFF"/>
        </w:rPr>
        <w:t>(ďalej len „nariadenie (EÚ) 2023/1230 v platnom znení“).</w:t>
      </w:r>
    </w:p>
    <w:p w:rsidR="00156690" w:rsidRPr="00156690" w:rsidRDefault="00156690" w:rsidP="00156690">
      <w:pPr>
        <w:numPr>
          <w:ilvl w:val="0"/>
          <w:numId w:val="38"/>
        </w:numPr>
        <w:spacing w:before="120" w:after="120"/>
        <w:ind w:left="284" w:hanging="284"/>
        <w:contextualSpacing/>
        <w:jc w:val="both"/>
        <w:rPr>
          <w:rFonts w:cs="Times New Roman"/>
          <w:iCs/>
          <w:shd w:val="clear" w:color="auto" w:fill="FFFFFF"/>
        </w:rPr>
      </w:pPr>
      <w:r w:rsidRPr="00156690">
        <w:rPr>
          <w:rFonts w:cs="Times New Roman"/>
        </w:rPr>
        <w:t>Čl. 1 nariadenia Európskeho parlamentu a Rady (EÚ) 2023/1542 z 12. júna 2023 o batériách a odpadových batériách, ktorým sa mení smernica 2008/98/ES a nariadenie (EÚ) 2019/1020 a zrušuje smernica 2006/66/ES (</w:t>
      </w:r>
      <w:r w:rsidRPr="00156690">
        <w:rPr>
          <w:rFonts w:cs="Times New Roman"/>
          <w:shd w:val="clear" w:color="auto" w:fill="FFFFFF"/>
        </w:rPr>
        <w:t xml:space="preserve">Ú. v. EÚ L 191, 28.7.2023) v platnom znení </w:t>
      </w:r>
      <w:r w:rsidRPr="00156690">
        <w:rPr>
          <w:rFonts w:cs="Times New Roman"/>
        </w:rPr>
        <w:t>(ďalej len „</w:t>
      </w:r>
      <w:r w:rsidRPr="00156690">
        <w:rPr>
          <w:rFonts w:cs="Times New Roman"/>
          <w:shd w:val="clear" w:color="auto" w:fill="FFFFFF"/>
        </w:rPr>
        <w:t>nariadenie (EÚ) 2023/1542 v platnom znení“).</w:t>
      </w:r>
    </w:p>
    <w:p w:rsidR="00156690" w:rsidRPr="00156690" w:rsidRDefault="00156690" w:rsidP="00156690">
      <w:pPr>
        <w:widowControl/>
        <w:numPr>
          <w:ilvl w:val="0"/>
          <w:numId w:val="38"/>
        </w:numPr>
        <w:adjustRightInd/>
        <w:ind w:left="284" w:hanging="284"/>
        <w:jc w:val="both"/>
        <w:rPr>
          <w:rFonts w:cs="Times New Roman"/>
        </w:rPr>
      </w:pPr>
      <w:r w:rsidRPr="00156690">
        <w:rPr>
          <w:rFonts w:cs="Times New Roman"/>
        </w:rPr>
        <w:t>Delegované nariadenie Komisie (EÚ) 2024/370 z 23. januára 2024, ktorým sa dopĺňa smernica Európskeho parlamentu a Rady (EÚ) 2020/2184 stanovením postupov posudzovania zhody pre výrobky, ktoré prichádzajú do kontaktu s vodou určenou na ľudskú spotrebu a pravidiel určovania orgánov posudzovania zhody zapojených do týchto postupov (</w:t>
      </w:r>
      <w:r w:rsidRPr="00156690">
        <w:rPr>
          <w:rFonts w:cs="Times New Roman"/>
          <w:shd w:val="clear" w:color="auto" w:fill="FFFFFF"/>
        </w:rPr>
        <w:t xml:space="preserve">Ú. v. EÚ L, 2024/370, 23.4.2024) v platnom znení </w:t>
      </w:r>
      <w:r w:rsidRPr="00156690">
        <w:rPr>
          <w:rFonts w:cs="Times New Roman"/>
        </w:rPr>
        <w:t>(ďalej len „delegované nariadenie (EÚ) 2024/370“)</w:t>
      </w:r>
      <w:r w:rsidRPr="00156690">
        <w:rPr>
          <w:rFonts w:cs="Times New Roman"/>
          <w:shd w:val="clear" w:color="auto" w:fill="FFFFFF"/>
        </w:rPr>
        <w:t>.</w:t>
      </w:r>
    </w:p>
    <w:p w:rsidR="00156690" w:rsidRPr="00156690" w:rsidRDefault="00156690" w:rsidP="00156690">
      <w:pPr>
        <w:widowControl/>
        <w:numPr>
          <w:ilvl w:val="0"/>
          <w:numId w:val="38"/>
        </w:numPr>
        <w:adjustRightInd/>
        <w:ind w:left="284" w:hanging="284"/>
        <w:jc w:val="both"/>
        <w:rPr>
          <w:rFonts w:cs="Times New Roman"/>
        </w:rPr>
      </w:pPr>
      <w:r w:rsidRPr="00156690">
        <w:rPr>
          <w:rFonts w:cs="Times New Roman"/>
          <w:bCs/>
          <w:shd w:val="clear" w:color="auto" w:fill="FFFFFF"/>
        </w:rPr>
        <w:t>Delegované nariadenie Komisie (EÚ) 2024/371 z 23. januára 2024, ktorým sa dopĺňa smernica Európskeho parlamentu a Rady (EÚ) 2020/2184 stanovením harmonizovaných špecifikácií označovania výrobkov prichádzajúcich do kontaktu s vodou určenou na ľudskú spotrebu</w:t>
      </w:r>
      <w:r w:rsidRPr="00156690">
        <w:rPr>
          <w:rFonts w:cs="Times New Roman"/>
        </w:rPr>
        <w:t xml:space="preserve"> (</w:t>
      </w:r>
      <w:r w:rsidRPr="00156690">
        <w:rPr>
          <w:rFonts w:cs="Times New Roman"/>
          <w:iCs/>
          <w:shd w:val="clear" w:color="auto" w:fill="FFFFFF"/>
        </w:rPr>
        <w:t>Ú. v. EÚ L, 2024/371, 23.4.2024</w:t>
      </w:r>
      <w:r w:rsidRPr="00156690">
        <w:rPr>
          <w:rFonts w:cs="Times New Roman"/>
          <w:shd w:val="clear" w:color="auto" w:fill="FFFFFF"/>
        </w:rPr>
        <w:t xml:space="preserve">) </w:t>
      </w:r>
      <w:r w:rsidRPr="00156690">
        <w:rPr>
          <w:rFonts w:cs="Times New Roman"/>
        </w:rPr>
        <w:t>(ďalej len „delegované nariadenie (EÚ) 2024/371“).</w:t>
      </w:r>
    </w:p>
    <w:p w:rsidR="00156690" w:rsidRPr="00156690" w:rsidRDefault="00156690" w:rsidP="00156690">
      <w:pPr>
        <w:numPr>
          <w:ilvl w:val="0"/>
          <w:numId w:val="38"/>
        </w:numPr>
        <w:ind w:left="284" w:hanging="284"/>
        <w:contextualSpacing/>
        <w:jc w:val="both"/>
        <w:rPr>
          <w:rFonts w:cs="Times New Roman"/>
          <w:iCs/>
          <w:shd w:val="clear" w:color="auto" w:fill="FFFFFF"/>
        </w:rPr>
      </w:pPr>
      <w:r w:rsidRPr="00156690">
        <w:rPr>
          <w:rFonts w:cs="Times New Roman"/>
          <w:bCs/>
          <w:shd w:val="clear" w:color="auto" w:fill="FFFFFF"/>
        </w:rPr>
        <w:t>Čl. 28 a 29 nariadenia Európskeho parlamentu a Rady (EÚ) 2024/1252 z 11. apríla 2024, ktorým sa stanovuje rámec na zaistenie bezpečných a udržateľných dodávok kritických surovín a ktorým sa menia nariadenia (EÚ) č. 168/2013, (EÚ) 2018/858, (EÚ) 2018/1724 a (EÚ) 2019/1020 (</w:t>
      </w:r>
      <w:r w:rsidRPr="00156690">
        <w:rPr>
          <w:rFonts w:cs="Times New Roman"/>
          <w:iCs/>
          <w:shd w:val="clear" w:color="auto" w:fill="FFFFFF"/>
        </w:rPr>
        <w:t>Ú. v. EÚ L, 2024/1252, 3.5.2024) v platnom znení (ďalej len „</w:t>
      </w:r>
      <w:r w:rsidRPr="00156690">
        <w:rPr>
          <w:rFonts w:cs="Times New Roman"/>
          <w:shd w:val="clear" w:color="auto" w:fill="FFFFFF"/>
        </w:rPr>
        <w:t>nariadenie (EÚ) 2024/1252 v platnom znení“)</w:t>
      </w:r>
      <w:r w:rsidRPr="00156690">
        <w:rPr>
          <w:rFonts w:cs="Times New Roman"/>
          <w:iCs/>
          <w:shd w:val="clear" w:color="auto" w:fill="FFFFFF"/>
        </w:rPr>
        <w:t xml:space="preserve">. </w:t>
      </w:r>
    </w:p>
    <w:p w:rsidR="00156690" w:rsidRPr="00156690" w:rsidRDefault="00156690" w:rsidP="00156690">
      <w:pPr>
        <w:numPr>
          <w:ilvl w:val="0"/>
          <w:numId w:val="38"/>
        </w:numPr>
        <w:ind w:left="284" w:hanging="284"/>
        <w:contextualSpacing/>
        <w:jc w:val="both"/>
        <w:rPr>
          <w:rFonts w:cs="Times New Roman"/>
          <w:bCs/>
          <w:shd w:val="clear" w:color="auto" w:fill="FFFFFF"/>
        </w:rPr>
      </w:pPr>
      <w:r w:rsidRPr="00156690">
        <w:rPr>
          <w:rFonts w:cs="Times New Roman"/>
        </w:rPr>
        <w:t xml:space="preserve">Čl. 4 nariadenia Európskeho parlamentu a Rady (EÚ) 2024/1781 z 13. júna 2024, ktorým sa zriaďuje rámec na stanovenie požiadaviek na </w:t>
      </w:r>
      <w:proofErr w:type="spellStart"/>
      <w:r w:rsidRPr="00156690">
        <w:rPr>
          <w:rFonts w:cs="Times New Roman"/>
        </w:rPr>
        <w:t>ekodizajn</w:t>
      </w:r>
      <w:proofErr w:type="spellEnd"/>
      <w:r w:rsidRPr="00156690">
        <w:rPr>
          <w:rFonts w:cs="Times New Roman"/>
        </w:rPr>
        <w:t xml:space="preserve"> udržateľných výrobkov, mení smernica (EÚ) 2020/1828 a nariadenie (EÚ) 2023/1542 a zrušuje smernica 2009/125/ES (</w:t>
      </w:r>
      <w:r w:rsidRPr="00156690">
        <w:rPr>
          <w:rFonts w:cs="Times New Roman"/>
          <w:shd w:val="clear" w:color="auto" w:fill="FFFFFF"/>
        </w:rPr>
        <w:t xml:space="preserve">Ú. v. EÚ L, 2024/1781, 28.6.2024) </w:t>
      </w:r>
      <w:r w:rsidRPr="00156690">
        <w:rPr>
          <w:rFonts w:cs="Times New Roman"/>
        </w:rPr>
        <w:t>(ďalej len „nariadenie (EÚ) 2024/1781“)</w:t>
      </w:r>
      <w:r w:rsidRPr="00156690">
        <w:rPr>
          <w:rFonts w:cs="Times New Roman"/>
          <w:shd w:val="clear" w:color="auto" w:fill="FFFFFF"/>
        </w:rPr>
        <w:t>.</w:t>
      </w:r>
    </w:p>
    <w:p w:rsidR="00156690" w:rsidRPr="00156690" w:rsidRDefault="00156690" w:rsidP="00156690">
      <w:pPr>
        <w:numPr>
          <w:ilvl w:val="0"/>
          <w:numId w:val="38"/>
        </w:numPr>
        <w:ind w:left="284" w:hanging="284"/>
        <w:contextualSpacing/>
        <w:jc w:val="both"/>
        <w:rPr>
          <w:rFonts w:cs="Times New Roman"/>
          <w:bCs/>
          <w:shd w:val="clear" w:color="auto" w:fill="FFFFFF"/>
        </w:rPr>
      </w:pPr>
      <w:r w:rsidRPr="00156690">
        <w:rPr>
          <w:rFonts w:cs="Times New Roman"/>
        </w:rPr>
        <w:t>Čl. 6 nariadenia</w:t>
      </w:r>
      <w:r w:rsidRPr="00156690">
        <w:rPr>
          <w:rFonts w:cs="Times New Roman"/>
          <w:bCs/>
          <w:shd w:val="clear" w:color="auto" w:fill="FFFFFF"/>
        </w:rPr>
        <w:t xml:space="preserve"> Európskeho parlamentu a Rady (EÚ) 2024/1689 z 13. júna 2024, ktorým sa stanovujú harmonizované pravidlá v oblasti umelej inteligencie a ktorým sa menia nariadenia (ES) č. 300/2008, (EÚ) č. 167/2013, (EÚ) č. 168/2013, (EÚ) 2018/858, (EÚ) 2018/1139 a (EÚ) 2019/2144 a smernice 2014/90/EÚ, (EÚ) 2016/797 a (EÚ) 2020/1828 (akt o umelej inteligencii) (</w:t>
      </w:r>
      <w:r w:rsidRPr="00156690">
        <w:rPr>
          <w:rFonts w:cs="Times New Roman"/>
          <w:shd w:val="clear" w:color="auto" w:fill="FFFFFF"/>
        </w:rPr>
        <w:t>Ú. v. EÚ L, 2024/1689, 12.7.2024) (ďalej len “</w:t>
      </w:r>
      <w:r w:rsidRPr="00156690">
        <w:rPr>
          <w:rFonts w:cs="Times New Roman"/>
        </w:rPr>
        <w:t>nariadenie (EÚ) 2024/1689“)</w:t>
      </w:r>
      <w:r w:rsidRPr="00156690">
        <w:rPr>
          <w:rFonts w:cs="Times New Roman"/>
          <w:shd w:val="clear" w:color="auto" w:fill="FFFFFF"/>
        </w:rPr>
        <w:t xml:space="preserve">. </w:t>
      </w:r>
    </w:p>
    <w:p w:rsidR="00156690" w:rsidRPr="00156690" w:rsidRDefault="00156690" w:rsidP="00156690">
      <w:pPr>
        <w:numPr>
          <w:ilvl w:val="0"/>
          <w:numId w:val="38"/>
        </w:numPr>
        <w:spacing w:before="120" w:after="120"/>
        <w:ind w:left="284" w:hanging="284"/>
        <w:contextualSpacing/>
        <w:jc w:val="both"/>
        <w:rPr>
          <w:rFonts w:cs="Times New Roman"/>
          <w:bCs/>
          <w:shd w:val="clear" w:color="auto" w:fill="FFFFFF"/>
        </w:rPr>
      </w:pPr>
      <w:r w:rsidRPr="00156690">
        <w:rPr>
          <w:rFonts w:cs="Times New Roman"/>
          <w:bCs/>
          <w:shd w:val="clear" w:color="auto" w:fill="FFFFFF"/>
        </w:rPr>
        <w:t>Čl. 2 ods. 1 nariadenia Európskeho parlamentu a Rady (EÚ) 2024/2847 z 23. októbra 2024 o horizontálnych požiadavkách kybernetickej bezpečnosti pre produkty s digitálnymi prvkami a o zmene nariadení (EÚ) č. 168/2013 a (EÚ) 2019/1020 a smernice (EÚ) 2020/1828 (akt o kybernetickej odolnosti)</w:t>
      </w:r>
      <w:r w:rsidRPr="00156690">
        <w:rPr>
          <w:rFonts w:cs="Times New Roman"/>
          <w:iCs/>
          <w:shd w:val="clear" w:color="auto" w:fill="FFFFFF"/>
        </w:rPr>
        <w:t xml:space="preserve">  (Ú. v. EÚ L, 2024/2847) v platnom znení </w:t>
      </w:r>
      <w:r w:rsidRPr="00156690">
        <w:rPr>
          <w:rFonts w:cs="Times New Roman"/>
        </w:rPr>
        <w:t>(ďalej len „nariadenie (EÚ) 2024/2847 v platnom znení”)</w:t>
      </w:r>
      <w:r w:rsidRPr="00156690">
        <w:rPr>
          <w:rFonts w:cs="Times New Roman"/>
          <w:iCs/>
          <w:shd w:val="clear" w:color="auto" w:fill="FFFFFF"/>
        </w:rPr>
        <w:t>.</w:t>
      </w:r>
    </w:p>
    <w:p w:rsidR="00156690" w:rsidRPr="00156690" w:rsidRDefault="00156690" w:rsidP="00156690">
      <w:pPr>
        <w:numPr>
          <w:ilvl w:val="0"/>
          <w:numId w:val="38"/>
        </w:numPr>
        <w:spacing w:before="120" w:after="120"/>
        <w:ind w:left="284" w:hanging="284"/>
        <w:contextualSpacing/>
        <w:jc w:val="both"/>
        <w:rPr>
          <w:rFonts w:cs="Times New Roman"/>
          <w:bCs/>
          <w:shd w:val="clear" w:color="auto" w:fill="FFFFFF"/>
        </w:rPr>
      </w:pPr>
      <w:r w:rsidRPr="00156690">
        <w:rPr>
          <w:rFonts w:cs="Times New Roman"/>
          <w:iCs/>
          <w:shd w:val="clear" w:color="auto" w:fill="FFFFFF"/>
        </w:rPr>
        <w:t xml:space="preserve">§ 18 ods. 5 Zákona č. 355/2007 Z. z. </w:t>
      </w:r>
      <w:r w:rsidRPr="00156690">
        <w:rPr>
          <w:rFonts w:cs="Times New Roman"/>
        </w:rPr>
        <w:t>o ochrane, podpore a rozvoji verejného zdravia a o zmene a doplnení niektorých zákonov v znení neskorších predpisov (ďalej len „zákon č. 355/2007 Z. z.).</w:t>
      </w:r>
    </w:p>
    <w:p w:rsidR="00156690" w:rsidRPr="00156690" w:rsidRDefault="00156690" w:rsidP="00156690">
      <w:pPr>
        <w:numPr>
          <w:ilvl w:val="0"/>
          <w:numId w:val="38"/>
        </w:numPr>
        <w:spacing w:before="120" w:after="120"/>
        <w:ind w:left="284" w:hanging="284"/>
        <w:contextualSpacing/>
        <w:jc w:val="both"/>
        <w:rPr>
          <w:rFonts w:cs="Times New Roman"/>
          <w:bCs/>
          <w:shd w:val="clear" w:color="auto" w:fill="FFFFFF"/>
        </w:rPr>
      </w:pPr>
      <w:r w:rsidRPr="00156690">
        <w:rPr>
          <w:rFonts w:cs="Times New Roman"/>
        </w:rPr>
        <w:t>Zákon č. 513/2009 Z. z. o dráhach a o zmene a doplnení niektorých zákonov v znení neskorších predpisov.</w:t>
      </w:r>
    </w:p>
    <w:p w:rsidR="00156690" w:rsidRPr="00156690" w:rsidRDefault="00156690" w:rsidP="00156690">
      <w:pPr>
        <w:numPr>
          <w:ilvl w:val="0"/>
          <w:numId w:val="38"/>
        </w:numPr>
        <w:spacing w:before="120" w:after="120"/>
        <w:ind w:left="284" w:hanging="284"/>
        <w:contextualSpacing/>
        <w:jc w:val="both"/>
        <w:rPr>
          <w:rFonts w:cs="Times New Roman"/>
          <w:bCs/>
          <w:shd w:val="clear" w:color="auto" w:fill="FFFFFF"/>
        </w:rPr>
      </w:pPr>
      <w:r w:rsidRPr="00156690">
        <w:rPr>
          <w:rFonts w:cs="Times New Roman"/>
        </w:rPr>
        <w:t xml:space="preserve">Zákon č. 529/2010 Z. z. o environmentálnom navrhovaní a používaní výrobkov (zákon o </w:t>
      </w:r>
      <w:proofErr w:type="spellStart"/>
      <w:r w:rsidRPr="00156690">
        <w:rPr>
          <w:rFonts w:cs="Times New Roman"/>
        </w:rPr>
        <w:t>ekodizajne</w:t>
      </w:r>
      <w:proofErr w:type="spellEnd"/>
      <w:r w:rsidRPr="00156690">
        <w:rPr>
          <w:rFonts w:cs="Times New Roman"/>
        </w:rPr>
        <w:t>) v znení neskorších predpisov,</w:t>
      </w:r>
    </w:p>
    <w:p w:rsidR="00156690" w:rsidRPr="00156690" w:rsidRDefault="00156690" w:rsidP="00156690">
      <w:pPr>
        <w:numPr>
          <w:ilvl w:val="0"/>
          <w:numId w:val="38"/>
        </w:numPr>
        <w:spacing w:before="120" w:after="120"/>
        <w:ind w:left="284" w:hanging="284"/>
        <w:contextualSpacing/>
        <w:jc w:val="both"/>
        <w:rPr>
          <w:rFonts w:cs="Times New Roman"/>
        </w:rPr>
      </w:pPr>
      <w:r w:rsidRPr="00156690">
        <w:rPr>
          <w:rFonts w:cs="Times New Roman"/>
        </w:rPr>
        <w:t xml:space="preserve">Zákon č. 254/2011 Z. z. o </w:t>
      </w:r>
      <w:proofErr w:type="spellStart"/>
      <w:r w:rsidRPr="00156690">
        <w:rPr>
          <w:rFonts w:cs="Times New Roman"/>
        </w:rPr>
        <w:t>prepravovateľných</w:t>
      </w:r>
      <w:proofErr w:type="spellEnd"/>
      <w:r w:rsidRPr="00156690">
        <w:rPr>
          <w:rFonts w:cs="Times New Roman"/>
        </w:rPr>
        <w:t xml:space="preserve"> tlakových zariadeniach a o zmene a doplnení niektorých zákonov.</w:t>
      </w:r>
    </w:p>
    <w:p w:rsidR="00156690" w:rsidRPr="00156690" w:rsidRDefault="00156690" w:rsidP="00156690">
      <w:pPr>
        <w:numPr>
          <w:ilvl w:val="0"/>
          <w:numId w:val="38"/>
        </w:numPr>
        <w:spacing w:before="120" w:after="120"/>
        <w:ind w:left="284" w:hanging="284"/>
        <w:contextualSpacing/>
        <w:jc w:val="both"/>
        <w:rPr>
          <w:rFonts w:cs="Times New Roman"/>
        </w:rPr>
      </w:pPr>
      <w:r w:rsidRPr="00156690">
        <w:rPr>
          <w:rFonts w:cs="Times New Roman"/>
        </w:rPr>
        <w:t>Zákon č. 78/2012 Z. z. o bezpečnosti hračiek a o zmene a doplnení zákona č. 128/2002 Z. z. o štátnej kontrole vnútorného trhu vo veciach ochrany spotrebiteľa a o zmene a doplnení niektorých zákonov v znení neskorších predpisov.</w:t>
      </w:r>
    </w:p>
    <w:p w:rsidR="00156690" w:rsidRPr="00156690" w:rsidRDefault="00156690" w:rsidP="00156690">
      <w:pPr>
        <w:numPr>
          <w:ilvl w:val="0"/>
          <w:numId w:val="38"/>
        </w:numPr>
        <w:spacing w:before="120" w:after="120"/>
        <w:ind w:left="284" w:hanging="284"/>
        <w:contextualSpacing/>
        <w:jc w:val="both"/>
        <w:rPr>
          <w:rFonts w:cs="Times New Roman"/>
        </w:rPr>
      </w:pPr>
      <w:r w:rsidRPr="00156690">
        <w:rPr>
          <w:rFonts w:cs="Times New Roman"/>
        </w:rPr>
        <w:t>Zákon č. 346/2013 Z. z. o obmedzení používania určitých nebezpečných látok v elektrických zariadeniach a elektronických zariadeniach a ktorým sa mení zákon č. 223/2001 Z. z. o odpadoch a o zmene a doplnení niektorých zákonov v znení neskorších predpisov.</w:t>
      </w:r>
    </w:p>
    <w:p w:rsidR="00156690" w:rsidRPr="00156690" w:rsidRDefault="00156690" w:rsidP="00156690">
      <w:pPr>
        <w:numPr>
          <w:ilvl w:val="0"/>
          <w:numId w:val="38"/>
        </w:numPr>
        <w:spacing w:before="120" w:after="120"/>
        <w:ind w:left="284" w:hanging="284"/>
        <w:contextualSpacing/>
        <w:jc w:val="both"/>
        <w:rPr>
          <w:rFonts w:cs="Times New Roman"/>
        </w:rPr>
      </w:pPr>
      <w:r w:rsidRPr="00156690">
        <w:rPr>
          <w:rFonts w:cs="Times New Roman"/>
        </w:rPr>
        <w:t xml:space="preserve">Zákon č. 474/2013 Z. z. o výbere mýta za užívanie vymedzených úsekov pozemných komunikácií a o zmene a doplnení niektorých zákonov v znení neskorších predpisov. </w:t>
      </w:r>
    </w:p>
    <w:p w:rsidR="00156690" w:rsidRPr="00156690" w:rsidRDefault="00156690" w:rsidP="00156690">
      <w:pPr>
        <w:numPr>
          <w:ilvl w:val="0"/>
          <w:numId w:val="38"/>
        </w:numPr>
        <w:spacing w:before="120" w:after="120"/>
        <w:ind w:left="284" w:hanging="284"/>
        <w:contextualSpacing/>
        <w:jc w:val="both"/>
        <w:rPr>
          <w:rFonts w:cs="Times New Roman"/>
        </w:rPr>
      </w:pPr>
      <w:r w:rsidRPr="00156690">
        <w:rPr>
          <w:rFonts w:cs="Times New Roman"/>
        </w:rPr>
        <w:t>Zákon č. 64/2019 Z. z. o sprístupňovaní strelných zbraní a streliva na civilné použitie na trhu v znení neskorších predpisov (ďalej len „zákon č. 64/2019 Z. z. v znení neskorších predpisov“).</w:t>
      </w:r>
    </w:p>
    <w:p w:rsidR="00156690" w:rsidRPr="00156690" w:rsidRDefault="00156690" w:rsidP="00156690">
      <w:pPr>
        <w:numPr>
          <w:ilvl w:val="0"/>
          <w:numId w:val="38"/>
        </w:numPr>
        <w:spacing w:before="120" w:after="120"/>
        <w:ind w:left="284" w:hanging="284"/>
        <w:contextualSpacing/>
        <w:jc w:val="both"/>
        <w:rPr>
          <w:rFonts w:cs="Times New Roman"/>
        </w:rPr>
      </w:pPr>
      <w:r w:rsidRPr="00156690">
        <w:rPr>
          <w:rFonts w:cs="Times New Roman"/>
        </w:rPr>
        <w:t>Nariadenie vlády Slovenskej republiky č. 436/2008 Z. z., ktorým sa ustanovujú podrobnosti o technických požiadavkách a postupoch posudzovania zhody na strojové zariadenia v znení nariadenia vlády č. 140/2011, ktorým sa mení a dopĺňa nariadenie vlády Slovenskej republiky č. 436/2008 Z. z., ktorý sa ustanovujú podrobnosti o technických požiadavkách a postupoch posudzovania zhody na strojové zariadenia.</w:t>
      </w:r>
    </w:p>
    <w:p w:rsidR="00156690" w:rsidRPr="00156690" w:rsidRDefault="00156690" w:rsidP="00156690">
      <w:pPr>
        <w:numPr>
          <w:ilvl w:val="0"/>
          <w:numId w:val="38"/>
        </w:numPr>
        <w:spacing w:before="120" w:after="120"/>
        <w:ind w:left="284" w:hanging="284"/>
        <w:contextualSpacing/>
        <w:jc w:val="both"/>
        <w:rPr>
          <w:rFonts w:cs="Times New Roman"/>
        </w:rPr>
      </w:pPr>
      <w:r w:rsidRPr="00156690">
        <w:rPr>
          <w:rFonts w:cs="Times New Roman"/>
        </w:rPr>
        <w:t>Nariadenie vlády Slovenskej republiky č. 46/2009 Z. z., ktorým sa ustanovujú požiadavky na aerosólové rozprašovače v znení neskorších predpisov.</w:t>
      </w:r>
    </w:p>
    <w:p w:rsidR="00156690" w:rsidRPr="00156690" w:rsidRDefault="00156690" w:rsidP="00156690">
      <w:pPr>
        <w:numPr>
          <w:ilvl w:val="0"/>
          <w:numId w:val="38"/>
        </w:numPr>
        <w:spacing w:before="120" w:after="120"/>
        <w:ind w:left="284" w:hanging="284"/>
        <w:contextualSpacing/>
        <w:jc w:val="both"/>
        <w:rPr>
          <w:rFonts w:cs="Times New Roman"/>
        </w:rPr>
      </w:pPr>
      <w:r w:rsidRPr="00156690">
        <w:rPr>
          <w:rFonts w:cs="Times New Roman"/>
        </w:rPr>
        <w:t xml:space="preserve">Nariadenie vlády Slovenskej republiky č. 70/2015 Z. z. </w:t>
      </w:r>
      <w:r w:rsidRPr="00156690">
        <w:rPr>
          <w:rFonts w:cs="Times New Roman"/>
          <w:bCs/>
          <w:shd w:val="clear" w:color="auto" w:fill="FFFFFF"/>
        </w:rPr>
        <w:t xml:space="preserve">o sprístupňovaní pyrotechnických výrobkov na trhu </w:t>
      </w:r>
      <w:r w:rsidRPr="00156690">
        <w:rPr>
          <w:rFonts w:cs="Times New Roman"/>
        </w:rPr>
        <w:t xml:space="preserve">v znení nariadenia vlády Slovenskej republiky č. </w:t>
      </w:r>
      <w:hyperlink r:id="rId19">
        <w:r w:rsidRPr="00156690">
          <w:rPr>
            <w:rFonts w:cs="Times New Roman"/>
          </w:rPr>
          <w:t>326/2019 Z. z.</w:t>
        </w:r>
      </w:hyperlink>
      <w:r w:rsidRPr="00156690">
        <w:rPr>
          <w:rFonts w:cs="Times New Roman"/>
        </w:rPr>
        <w:t xml:space="preserve"> </w:t>
      </w:r>
    </w:p>
    <w:p w:rsidR="00156690" w:rsidRPr="00156690" w:rsidRDefault="00156690" w:rsidP="00156690">
      <w:pPr>
        <w:numPr>
          <w:ilvl w:val="0"/>
          <w:numId w:val="38"/>
        </w:numPr>
        <w:spacing w:before="120" w:after="120"/>
        <w:ind w:left="284" w:hanging="284"/>
        <w:contextualSpacing/>
        <w:jc w:val="both"/>
        <w:rPr>
          <w:rFonts w:cs="Times New Roman"/>
        </w:rPr>
      </w:pPr>
      <w:r w:rsidRPr="00156690">
        <w:rPr>
          <w:rFonts w:cs="Times New Roman"/>
        </w:rPr>
        <w:t>Nariadenie vlády Slovenskej republiky č. 234/2015 Z. z. o sprístupňovaní jednoduchých tlakových nádob na trhu.</w:t>
      </w:r>
    </w:p>
    <w:p w:rsidR="00156690" w:rsidRPr="00156690" w:rsidRDefault="00156690" w:rsidP="00156690">
      <w:pPr>
        <w:numPr>
          <w:ilvl w:val="0"/>
          <w:numId w:val="38"/>
        </w:numPr>
        <w:spacing w:before="120" w:after="120"/>
        <w:ind w:left="284" w:hanging="284"/>
        <w:contextualSpacing/>
        <w:jc w:val="both"/>
        <w:rPr>
          <w:rFonts w:cs="Times New Roman"/>
        </w:rPr>
      </w:pPr>
      <w:r w:rsidRPr="00156690">
        <w:rPr>
          <w:rFonts w:cs="Times New Roman"/>
        </w:rPr>
        <w:t xml:space="preserve">Nariadenie vlády Slovenskej republiky č. 235/2015 Z. z. o uvádzaní výťahov na trh a sprístupňovaní bezpečnostných častí do výťahov na trhu v znení nariadenia vlády Slovenskej republiky č. 22/2017 Z. z. </w:t>
      </w:r>
    </w:p>
    <w:p w:rsidR="00156690" w:rsidRPr="00156690" w:rsidRDefault="00156690" w:rsidP="00156690">
      <w:pPr>
        <w:numPr>
          <w:ilvl w:val="0"/>
          <w:numId w:val="38"/>
        </w:numPr>
        <w:spacing w:before="120" w:after="120"/>
        <w:ind w:left="284" w:hanging="284"/>
        <w:contextualSpacing/>
        <w:jc w:val="both"/>
        <w:rPr>
          <w:rFonts w:cs="Times New Roman"/>
        </w:rPr>
      </w:pPr>
      <w:r w:rsidRPr="00156690">
        <w:rPr>
          <w:rFonts w:cs="Times New Roman"/>
        </w:rPr>
        <w:t>Nariadenie vlády Slovenskej republiky č. 236/2015 Z. z., ktorým sa ustanovujú podrobnosti o technických požiadavkách na účinnosť teplovodných kotlov spaľujúcich kvapalné palivá alebo plynné palivá a o postupoch posudzovania zhody.</w:t>
      </w:r>
    </w:p>
    <w:p w:rsidR="00156690" w:rsidRPr="00156690" w:rsidRDefault="00156690" w:rsidP="00156690">
      <w:pPr>
        <w:numPr>
          <w:ilvl w:val="0"/>
          <w:numId w:val="38"/>
        </w:numPr>
        <w:spacing w:before="120" w:after="120"/>
        <w:ind w:left="284" w:hanging="284"/>
        <w:contextualSpacing/>
        <w:jc w:val="both"/>
        <w:rPr>
          <w:rFonts w:cs="Times New Roman"/>
        </w:rPr>
      </w:pPr>
      <w:r w:rsidRPr="00156690">
        <w:rPr>
          <w:rFonts w:cs="Times New Roman"/>
        </w:rPr>
        <w:t>Nariadenie vlády Slovenskej republiky č. 1/2016 Z. z. o sprístupňovaní tlakových zariadení na trhu.</w:t>
      </w:r>
    </w:p>
    <w:p w:rsidR="00156690" w:rsidRPr="00156690" w:rsidRDefault="00156690" w:rsidP="00156690">
      <w:pPr>
        <w:numPr>
          <w:ilvl w:val="0"/>
          <w:numId w:val="38"/>
        </w:numPr>
        <w:spacing w:before="120" w:after="120"/>
        <w:ind w:left="284" w:hanging="284"/>
        <w:contextualSpacing/>
        <w:jc w:val="both"/>
        <w:rPr>
          <w:rFonts w:cs="Times New Roman"/>
        </w:rPr>
      </w:pPr>
      <w:r w:rsidRPr="00156690">
        <w:rPr>
          <w:rFonts w:cs="Times New Roman"/>
        </w:rPr>
        <w:t xml:space="preserve">Nariadenie vlády Slovenskej republiky č. 77/2016 Z. z. o sprístupňovaní rekreačných plavidiel a vodných skútrov na trhu v znení nariadenia vlády Slovenskej republiky č. </w:t>
      </w:r>
      <w:hyperlink r:id="rId20">
        <w:r w:rsidRPr="00156690">
          <w:rPr>
            <w:rFonts w:cs="Times New Roman"/>
          </w:rPr>
          <w:t>329/2019 Z. z.</w:t>
        </w:r>
      </w:hyperlink>
      <w:r w:rsidRPr="00156690">
        <w:rPr>
          <w:rFonts w:cs="Times New Roman"/>
        </w:rPr>
        <w:t xml:space="preserve"> </w:t>
      </w:r>
    </w:p>
    <w:p w:rsidR="00156690" w:rsidRPr="00156690" w:rsidRDefault="00156690" w:rsidP="00156690">
      <w:pPr>
        <w:numPr>
          <w:ilvl w:val="0"/>
          <w:numId w:val="38"/>
        </w:numPr>
        <w:spacing w:before="120" w:after="120"/>
        <w:ind w:left="284" w:hanging="284"/>
        <w:contextualSpacing/>
        <w:jc w:val="both"/>
        <w:rPr>
          <w:rFonts w:cs="Times New Roman"/>
        </w:rPr>
      </w:pPr>
      <w:r w:rsidRPr="00156690">
        <w:rPr>
          <w:rFonts w:cs="Times New Roman"/>
        </w:rPr>
        <w:t>Nariadenie vlády Slovenskej republiky č. 126/2016 Z. z. o sprístupňovaní váh s neautomatickou činnosťou na trhu v znení nariadenia vlády Slovenskej republiky č. 330/2019 Z. z.</w:t>
      </w:r>
    </w:p>
    <w:p w:rsidR="00156690" w:rsidRPr="00156690" w:rsidRDefault="00156690" w:rsidP="00156690">
      <w:pPr>
        <w:numPr>
          <w:ilvl w:val="0"/>
          <w:numId w:val="38"/>
        </w:numPr>
        <w:spacing w:before="120" w:after="120"/>
        <w:ind w:left="284" w:hanging="284"/>
        <w:contextualSpacing/>
        <w:jc w:val="both"/>
        <w:rPr>
          <w:rFonts w:cs="Times New Roman"/>
        </w:rPr>
      </w:pPr>
      <w:r w:rsidRPr="00156690">
        <w:rPr>
          <w:rFonts w:cs="Times New Roman"/>
        </w:rPr>
        <w:t xml:space="preserve">Nariadenie vlády Slovenskej republiky č. 127/2016 Z. z. o elektromagnetickej kompatibilite v znení nariadenia vlády Slovenskej republiky č. </w:t>
      </w:r>
      <w:hyperlink r:id="rId21">
        <w:r w:rsidRPr="00156690">
          <w:rPr>
            <w:rFonts w:cs="Times New Roman"/>
          </w:rPr>
          <w:t>331/2019 Z. z.</w:t>
        </w:r>
      </w:hyperlink>
      <w:r w:rsidRPr="00156690">
        <w:rPr>
          <w:rFonts w:cs="Times New Roman"/>
        </w:rPr>
        <w:t xml:space="preserve"> </w:t>
      </w:r>
    </w:p>
    <w:p w:rsidR="00156690" w:rsidRPr="00156690" w:rsidRDefault="00156690" w:rsidP="00156690">
      <w:pPr>
        <w:numPr>
          <w:ilvl w:val="0"/>
          <w:numId w:val="38"/>
        </w:numPr>
        <w:spacing w:before="120" w:after="120"/>
        <w:ind w:left="284" w:hanging="284"/>
        <w:contextualSpacing/>
        <w:jc w:val="both"/>
        <w:rPr>
          <w:rFonts w:cs="Times New Roman"/>
        </w:rPr>
      </w:pPr>
      <w:r w:rsidRPr="00156690">
        <w:rPr>
          <w:rFonts w:cs="Times New Roman"/>
        </w:rPr>
        <w:t>Nariadenie vlády Slovenskej republiky č. 131/2016 Z. z. o sprístupňovaní výbušnín na civilné použitie na trhu.</w:t>
      </w:r>
    </w:p>
    <w:p w:rsidR="00156690" w:rsidRPr="00156690" w:rsidRDefault="00156690" w:rsidP="00156690">
      <w:pPr>
        <w:numPr>
          <w:ilvl w:val="0"/>
          <w:numId w:val="38"/>
        </w:numPr>
        <w:spacing w:before="120" w:after="120"/>
        <w:ind w:left="284" w:hanging="284"/>
        <w:contextualSpacing/>
        <w:jc w:val="both"/>
        <w:rPr>
          <w:rFonts w:cs="Times New Roman"/>
        </w:rPr>
      </w:pPr>
      <w:r w:rsidRPr="00156690">
        <w:rPr>
          <w:rFonts w:cs="Times New Roman"/>
        </w:rPr>
        <w:t>Nariadenie vlády Slovenskej republiky č. 145/2016 Z. z. o sprístupňovaní meradiel na trhu v znení nariadenia vlády Slovenskej republiky č. 328/2019 Z. z.</w:t>
      </w:r>
    </w:p>
    <w:p w:rsidR="00156690" w:rsidRPr="00156690" w:rsidRDefault="00156690" w:rsidP="00156690">
      <w:pPr>
        <w:numPr>
          <w:ilvl w:val="0"/>
          <w:numId w:val="38"/>
        </w:numPr>
        <w:spacing w:before="120" w:after="120"/>
        <w:ind w:left="284" w:hanging="284"/>
        <w:contextualSpacing/>
        <w:jc w:val="both"/>
        <w:rPr>
          <w:rFonts w:cs="Times New Roman"/>
        </w:rPr>
      </w:pPr>
      <w:r w:rsidRPr="00156690">
        <w:rPr>
          <w:rFonts w:cs="Times New Roman"/>
        </w:rPr>
        <w:t xml:space="preserve">Nariadenie vlády Slovenskej republiky č. 148/2016 Z. z. o sprístupňovaní elektrického zariadenia určeného na používanie v rámci určitých limitov napätia na trhu v znení nariadenia vlády Slovenskej republiky č. </w:t>
      </w:r>
      <w:hyperlink r:id="rId22">
        <w:r w:rsidRPr="00156690">
          <w:rPr>
            <w:rFonts w:cs="Times New Roman"/>
          </w:rPr>
          <w:t>325/2019 Z. z.</w:t>
        </w:r>
      </w:hyperlink>
      <w:r w:rsidRPr="00156690">
        <w:rPr>
          <w:rFonts w:cs="Times New Roman"/>
        </w:rPr>
        <w:t xml:space="preserve"> </w:t>
      </w:r>
    </w:p>
    <w:p w:rsidR="00156690" w:rsidRPr="00156690" w:rsidRDefault="00156690" w:rsidP="00156690">
      <w:pPr>
        <w:numPr>
          <w:ilvl w:val="0"/>
          <w:numId w:val="38"/>
        </w:numPr>
        <w:spacing w:before="120" w:after="120"/>
        <w:ind w:left="284" w:hanging="284"/>
        <w:contextualSpacing/>
        <w:jc w:val="both"/>
        <w:rPr>
          <w:rFonts w:cs="Times New Roman"/>
        </w:rPr>
      </w:pPr>
      <w:r w:rsidRPr="00156690">
        <w:rPr>
          <w:rFonts w:cs="Times New Roman"/>
        </w:rPr>
        <w:t xml:space="preserve">Nariadenie vlády Slovenskej republiky č. 149/2016 Z. z. o zariadeniach a ochranných systémoch určených na použitie v prostredí s nebezpečenstvom výbuchu v znení nariadenia vlády Slovenskej republiky č. 333/2019 Z. z. </w:t>
      </w:r>
    </w:p>
    <w:p w:rsidR="00156690" w:rsidRPr="00156690" w:rsidRDefault="00156690" w:rsidP="00156690">
      <w:pPr>
        <w:numPr>
          <w:ilvl w:val="0"/>
          <w:numId w:val="38"/>
        </w:numPr>
        <w:spacing w:before="120" w:after="120"/>
        <w:ind w:left="284" w:hanging="284"/>
        <w:contextualSpacing/>
        <w:jc w:val="both"/>
        <w:rPr>
          <w:rFonts w:cs="Times New Roman"/>
        </w:rPr>
      </w:pPr>
      <w:r w:rsidRPr="00156690">
        <w:rPr>
          <w:rFonts w:cs="Times New Roman"/>
        </w:rPr>
        <w:t>Nariadenie vlády Slovenskej republiky č. 193/2016 Z. z. o sprístupňovaní rádiových zariadení na trhu v znení neskorších predpisov.</w:t>
      </w:r>
    </w:p>
    <w:p w:rsidR="00156690" w:rsidRPr="00156690" w:rsidRDefault="00156690" w:rsidP="00156690">
      <w:pPr>
        <w:numPr>
          <w:ilvl w:val="0"/>
          <w:numId w:val="38"/>
        </w:numPr>
        <w:spacing w:before="120" w:after="120"/>
        <w:ind w:left="284" w:hanging="284"/>
        <w:contextualSpacing/>
        <w:jc w:val="both"/>
        <w:rPr>
          <w:rFonts w:cs="Times New Roman"/>
        </w:rPr>
      </w:pPr>
      <w:r w:rsidRPr="00156690">
        <w:rPr>
          <w:rFonts w:cs="Times New Roman"/>
        </w:rPr>
        <w:t>Nariadenie vlády Slovenskej republiky č. 262/2016 Z. z. o vybavení námorných lodí v znení neskorších predpisov.</w:t>
      </w:r>
    </w:p>
    <w:p w:rsidR="00156690" w:rsidRPr="00156690" w:rsidRDefault="00156690" w:rsidP="00156690">
      <w:pPr>
        <w:numPr>
          <w:ilvl w:val="0"/>
          <w:numId w:val="38"/>
        </w:numPr>
        <w:spacing w:before="120" w:after="120"/>
        <w:ind w:left="284" w:hanging="284"/>
        <w:contextualSpacing/>
        <w:jc w:val="both"/>
        <w:rPr>
          <w:rFonts w:cs="Times New Roman"/>
        </w:rPr>
      </w:pPr>
      <w:r w:rsidRPr="00156690">
        <w:rPr>
          <w:rFonts w:cs="Times New Roman"/>
        </w:rPr>
        <w:t>Nariadenie vlády Slovenskej republiky č. 78/2019 Z. z., ktorým sa ustanovujú podrobnosti o technických požiadavkách a postupoch posudzovania zhody emisií hluku zariadení používaných vo vonkajšom priestore v znení nariadenia vlády Slovenskej republiky č. 113/2025 Z. z.</w:t>
      </w:r>
    </w:p>
    <w:p w:rsidR="00156690" w:rsidRPr="00156690" w:rsidRDefault="00156690" w:rsidP="00156690">
      <w:pPr>
        <w:numPr>
          <w:ilvl w:val="0"/>
          <w:numId w:val="38"/>
        </w:numPr>
        <w:spacing w:before="120" w:after="120"/>
        <w:ind w:left="284" w:hanging="284"/>
        <w:contextualSpacing/>
        <w:jc w:val="both"/>
        <w:rPr>
          <w:rFonts w:cs="Times New Roman"/>
        </w:rPr>
      </w:pPr>
      <w:r w:rsidRPr="00156690">
        <w:rPr>
          <w:rFonts w:cs="Times New Roman"/>
        </w:rPr>
        <w:t xml:space="preserve">Nariadenie vlády Slovenskej republiky č. 282/2023 Z. z., ktorým sa ustanovujú technické požiadavky na prístupnosť výrobkov pre osoby so zdravotným postihnutím </w:t>
      </w:r>
      <w:r w:rsidRPr="00156690">
        <w:rPr>
          <w:rFonts w:cs="Times New Roman"/>
          <w:bCs/>
          <w:shd w:val="clear" w:color="auto" w:fill="FFFFFF"/>
        </w:rPr>
        <w:t>(ďalej len „nariadenie vlády Slovenskej republiky č. 282/2023 Z. z.“)</w:t>
      </w:r>
      <w:r w:rsidRPr="00156690">
        <w:rPr>
          <w:rFonts w:cs="Times New Roman"/>
        </w:rPr>
        <w:t>.</w:t>
      </w:r>
    </w:p>
    <w:p w:rsidR="00156690" w:rsidRPr="00156690" w:rsidRDefault="00156690" w:rsidP="00156690">
      <w:pPr>
        <w:widowControl/>
        <w:spacing w:before="120" w:after="120"/>
        <w:jc w:val="both"/>
        <w:rPr>
          <w:rFonts w:cs="Times New Roman"/>
        </w:rPr>
      </w:pPr>
      <w:r w:rsidRPr="00156690">
        <w:rPr>
          <w:rFonts w:cs="Times New Roman"/>
        </w:rPr>
        <w:t>Transpozícia právne záväzných aktov Európskej únie ako technických predpisov z oblasti posudzovania zhody je zabezpečená cez zákony a aproximačné nariadenia vlády Slovenskej republiky, pričom v týchto právnych predpisoch je v úvodných ustanoveniach ustanovené, že sa uplatňujú na výrobok, ktorý je určeným výrobkom podľa § 4 ods. 1.</w:t>
      </w:r>
    </w:p>
    <w:p w:rsidR="00156690" w:rsidRPr="00156690" w:rsidRDefault="00156690" w:rsidP="00156690">
      <w:pPr>
        <w:widowControl/>
        <w:spacing w:before="120" w:after="120"/>
        <w:jc w:val="both"/>
        <w:rPr>
          <w:rFonts w:cs="Times New Roman"/>
        </w:rPr>
      </w:pPr>
      <w:r w:rsidRPr="00156690">
        <w:rPr>
          <w:rFonts w:cs="Times New Roman"/>
        </w:rPr>
        <w:t>Z právne záväzných aktov Európskej únie, ktoré sú implementované zákonom č. 56/2018 Z. z. a ktoré sú považované za technické predpisy z oblasti posudzovania zhody (napr. nariadenie EÚ, delegované nariadenie EÚ) jednoznačne nevyplýva, že sú technickými predpismi z oblasti posudzovania zhody. Z uvedeného dôvodu sa k odkazu 16aa dopĺňa poznámka pod čiarou, ktorou sa precizuje odkazom na príslušný článok implementovaného právne záväzného aktu Európskej únie ako technického predpisu z oblasti posudzovania zhody, že sa uplatňujú na výrobok, ktorý je určeným výrobkom podľa § 4 ods. 1.</w:t>
      </w:r>
    </w:p>
    <w:p w:rsidR="00156690" w:rsidRPr="00156690" w:rsidRDefault="00156690" w:rsidP="00156690">
      <w:pPr>
        <w:widowControl/>
        <w:spacing w:before="120" w:after="120"/>
        <w:jc w:val="both"/>
        <w:rPr>
          <w:rFonts w:cs="Times New Roman"/>
          <w:b/>
        </w:rPr>
      </w:pPr>
    </w:p>
    <w:p w:rsidR="00156690" w:rsidRPr="00156690" w:rsidRDefault="00156690" w:rsidP="00156690">
      <w:pPr>
        <w:widowControl/>
        <w:spacing w:before="120" w:after="120"/>
        <w:jc w:val="both"/>
        <w:rPr>
          <w:rFonts w:cs="Times New Roman"/>
          <w:b/>
        </w:rPr>
      </w:pPr>
      <w:r w:rsidRPr="00156690">
        <w:rPr>
          <w:rFonts w:cs="Times New Roman"/>
          <w:b/>
        </w:rPr>
        <w:t xml:space="preserve">K bodu 10 </w:t>
      </w:r>
    </w:p>
    <w:p w:rsidR="00156690" w:rsidRPr="00156690" w:rsidRDefault="00156690" w:rsidP="00156690">
      <w:pPr>
        <w:widowControl/>
        <w:spacing w:before="120" w:after="120"/>
        <w:jc w:val="both"/>
        <w:rPr>
          <w:rFonts w:cs="Times New Roman"/>
          <w:iCs/>
        </w:rPr>
      </w:pPr>
      <w:r w:rsidRPr="00156690">
        <w:rPr>
          <w:rFonts w:cs="Times New Roman"/>
        </w:rPr>
        <w:t xml:space="preserve">Legislatívno-technická úprava. Prvé použitie pojmu „vyhlásenie o zhode určeného výrobku, ES vyhlásenie o zhode alebo EÚ vyhlásenie o zhode určeného výrobku (ďalej len „vyhlásenie o zhode“)“ sa presunulo </w:t>
      </w:r>
      <w:r w:rsidRPr="00156690">
        <w:rPr>
          <w:rFonts w:cs="Times New Roman"/>
          <w:iCs/>
        </w:rPr>
        <w:t xml:space="preserve">do </w:t>
      </w:r>
      <w:r w:rsidRPr="00156690">
        <w:rPr>
          <w:rFonts w:cs="Times New Roman"/>
        </w:rPr>
        <w:t xml:space="preserve">§ 2 písm. j), preto je potrebné </w:t>
      </w:r>
      <w:r w:rsidRPr="00156690">
        <w:rPr>
          <w:rFonts w:cs="Times New Roman"/>
          <w:iCs/>
        </w:rPr>
        <w:t xml:space="preserve">§ 5 ods. 1 písm. d) </w:t>
      </w:r>
      <w:r w:rsidRPr="00156690">
        <w:rPr>
          <w:rFonts w:cs="Times New Roman"/>
        </w:rPr>
        <w:t>upraviť vypustením slov „určeného výrobku, ES vyhlásenie o zhode alebo EÚ vyhlásenie o zhode určeného výrobku (ďalej len „vyhlásenie o zhode“)“ .</w:t>
      </w:r>
    </w:p>
    <w:p w:rsidR="00156690" w:rsidRPr="00156690" w:rsidRDefault="00156690" w:rsidP="00156690">
      <w:pPr>
        <w:widowControl/>
        <w:spacing w:before="120" w:after="120"/>
        <w:jc w:val="both"/>
        <w:rPr>
          <w:rFonts w:cs="Times New Roman"/>
          <w:b/>
        </w:rPr>
      </w:pPr>
    </w:p>
    <w:p w:rsidR="00156690" w:rsidRPr="00156690" w:rsidRDefault="00156690" w:rsidP="00156690">
      <w:pPr>
        <w:widowControl/>
        <w:spacing w:before="120" w:after="120"/>
        <w:jc w:val="both"/>
        <w:rPr>
          <w:rFonts w:cs="Times New Roman"/>
        </w:rPr>
      </w:pPr>
      <w:r w:rsidRPr="00156690">
        <w:rPr>
          <w:rFonts w:cs="Times New Roman"/>
          <w:b/>
        </w:rPr>
        <w:t>K bodu 11 a 12</w:t>
      </w:r>
    </w:p>
    <w:p w:rsidR="00156690" w:rsidRPr="00156690" w:rsidRDefault="00156690" w:rsidP="00156690">
      <w:pPr>
        <w:spacing w:before="120" w:after="120"/>
        <w:jc w:val="both"/>
        <w:rPr>
          <w:rFonts w:cs="Times New Roman"/>
        </w:rPr>
      </w:pPr>
      <w:r w:rsidRPr="00156690">
        <w:rPr>
          <w:rFonts w:cs="Times New Roman"/>
        </w:rPr>
        <w:t>Upravujú sa poznámky pod čiarou k odkazom 20 a 21 z dôvodu prijatia nového právneho predpisu.</w:t>
      </w:r>
    </w:p>
    <w:p w:rsidR="00156690" w:rsidRPr="00156690" w:rsidRDefault="00156690" w:rsidP="00156690">
      <w:pPr>
        <w:spacing w:before="120" w:after="120"/>
        <w:jc w:val="both"/>
        <w:rPr>
          <w:rFonts w:cs="Times New Roman"/>
          <w:b/>
        </w:rPr>
      </w:pPr>
    </w:p>
    <w:p w:rsidR="00156690" w:rsidRPr="00156690" w:rsidRDefault="00156690" w:rsidP="00156690">
      <w:pPr>
        <w:spacing w:before="120" w:after="120"/>
        <w:jc w:val="both"/>
        <w:rPr>
          <w:rFonts w:cs="Times New Roman"/>
          <w:b/>
        </w:rPr>
      </w:pPr>
      <w:r w:rsidRPr="00156690">
        <w:rPr>
          <w:rFonts w:cs="Times New Roman"/>
          <w:b/>
        </w:rPr>
        <w:t>K bodu 13</w:t>
      </w:r>
    </w:p>
    <w:p w:rsidR="00156690" w:rsidRPr="00156690" w:rsidRDefault="00156690" w:rsidP="00156690">
      <w:pPr>
        <w:widowControl/>
        <w:adjustRightInd/>
        <w:spacing w:before="120" w:after="120"/>
        <w:jc w:val="both"/>
        <w:rPr>
          <w:rFonts w:eastAsiaTheme="minorHAnsi" w:cs="Times New Roman"/>
          <w:shd w:val="clear" w:color="auto" w:fill="FFFFFF"/>
          <w:lang w:eastAsia="en-US"/>
        </w:rPr>
      </w:pPr>
      <w:r w:rsidRPr="00156690">
        <w:rPr>
          <w:rFonts w:eastAsiaTheme="minorHAnsi" w:cs="Times New Roman"/>
          <w:lang w:eastAsia="en-US"/>
        </w:rPr>
        <w:t xml:space="preserve">Upravuje sa poznámka pod čiarou k odkazu 23a z dôvodu rozšírenia povinností vymedzených hospodárskych subjektov podľa § 9ak ďalším určeným výrobkom, a to doplnením odkazu na </w:t>
      </w:r>
      <w:r w:rsidRPr="00156690">
        <w:rPr>
          <w:rFonts w:eastAsiaTheme="minorHAnsi" w:cs="Times New Roman"/>
          <w:shd w:val="clear" w:color="auto" w:fill="FFFFFF"/>
          <w:lang w:eastAsia="en-US"/>
        </w:rPr>
        <w:t>nariadenie (EÚ) 2023/1542 v platnom znení a nariadenie (EÚ) 2024/1252 v platnom znení.</w:t>
      </w:r>
    </w:p>
    <w:p w:rsidR="00156690" w:rsidRPr="00156690" w:rsidRDefault="00156690" w:rsidP="00156690">
      <w:pPr>
        <w:widowControl/>
        <w:adjustRightInd/>
        <w:spacing w:before="120" w:after="120"/>
        <w:jc w:val="both"/>
        <w:rPr>
          <w:rFonts w:eastAsiaTheme="minorHAnsi" w:cs="Times New Roman"/>
          <w:shd w:val="clear" w:color="auto" w:fill="FFFFFF"/>
          <w:lang w:eastAsia="en-US"/>
        </w:rPr>
      </w:pPr>
    </w:p>
    <w:p w:rsidR="00156690" w:rsidRPr="00156690" w:rsidRDefault="00156690" w:rsidP="00156690">
      <w:pPr>
        <w:widowControl/>
        <w:adjustRightInd/>
        <w:spacing w:before="120" w:after="120"/>
        <w:jc w:val="both"/>
        <w:rPr>
          <w:rFonts w:eastAsiaTheme="minorHAnsi" w:cs="Times New Roman"/>
          <w:b/>
          <w:shd w:val="clear" w:color="auto" w:fill="FFFFFF"/>
          <w:lang w:eastAsia="en-US"/>
        </w:rPr>
      </w:pPr>
      <w:r w:rsidRPr="00156690">
        <w:rPr>
          <w:rFonts w:eastAsiaTheme="minorHAnsi" w:cs="Times New Roman"/>
          <w:b/>
          <w:shd w:val="clear" w:color="auto" w:fill="FFFFFF"/>
          <w:lang w:eastAsia="en-US"/>
        </w:rPr>
        <w:t>K bodu 14</w:t>
      </w:r>
    </w:p>
    <w:p w:rsidR="00156690" w:rsidRPr="00156690" w:rsidRDefault="00156690" w:rsidP="00156690">
      <w:pPr>
        <w:widowControl/>
        <w:adjustRightInd/>
        <w:spacing w:before="120" w:after="120"/>
        <w:jc w:val="both"/>
        <w:rPr>
          <w:rFonts w:eastAsiaTheme="minorHAnsi" w:cs="Times New Roman"/>
          <w:b/>
          <w:lang w:eastAsia="en-US"/>
        </w:rPr>
      </w:pPr>
      <w:r w:rsidRPr="00156690">
        <w:rPr>
          <w:rFonts w:eastAsiaTheme="minorHAnsi" w:cs="Times New Roman"/>
          <w:lang w:eastAsia="en-US"/>
        </w:rPr>
        <w:t>Legislatívno-technická úprava.</w:t>
      </w:r>
    </w:p>
    <w:p w:rsidR="00156690" w:rsidRPr="00156690" w:rsidRDefault="00156690" w:rsidP="00156690">
      <w:pPr>
        <w:spacing w:before="120" w:after="120"/>
        <w:jc w:val="both"/>
        <w:rPr>
          <w:rFonts w:cs="Times New Roman"/>
          <w:b/>
        </w:rPr>
      </w:pPr>
    </w:p>
    <w:p w:rsidR="00156690" w:rsidRPr="00156690" w:rsidRDefault="00156690" w:rsidP="00156690">
      <w:pPr>
        <w:spacing w:before="120" w:after="120"/>
        <w:jc w:val="both"/>
        <w:rPr>
          <w:rFonts w:cs="Times New Roman"/>
          <w:b/>
        </w:rPr>
      </w:pPr>
      <w:r w:rsidRPr="00156690">
        <w:rPr>
          <w:rFonts w:cs="Times New Roman"/>
          <w:b/>
        </w:rPr>
        <w:t>K bodu 15</w:t>
      </w:r>
    </w:p>
    <w:p w:rsidR="00156690" w:rsidRPr="00156690" w:rsidRDefault="00156690" w:rsidP="00156690">
      <w:pPr>
        <w:spacing w:before="120" w:after="120"/>
        <w:jc w:val="both"/>
        <w:rPr>
          <w:rFonts w:cs="Times New Roman"/>
        </w:rPr>
      </w:pPr>
      <w:r w:rsidRPr="00156690">
        <w:rPr>
          <w:rFonts w:cs="Times New Roman"/>
        </w:rPr>
        <w:t xml:space="preserve">Novými odsekmi 2 až 4 a 6 sa prepájajú povinnosti ďalších osobitných subjektov, a to dodávateľa, ktorý je vymedzený v § 2 písm. f) nariadenia vlády Slovenskej republiky č. 235/2015 Z. z. o uvádzaní výťahov na trh a sprístupňovaní bezpečnostných častí do výťahov na trhu v znení nariadenia vlády Slovenskej republiky č. 22/2017 Z. z., ktorý je povinný plniť povinnosti podľa nariadenia vlády Slovenskej republiky č. 235/2015 Z. z. v znení nariadenia vlády Slovenskej republiky č. 22/2017 Z. z.; súkromného dovozcu, ktorý je vymedzený v § 2 ods. 1 písm. l) nariadenia vlády Slovenskej republiky č. 77/2016 Z. z. o sprístupňovaní rekreačných plavidiel a vodných skútrov na trhu v znení nariadenia vlády Slovenskej republiky č. 329/2019 Z. z., ktorý je povinný plniť povinnosti podľa nariadenia vlády Slovenskej republiky č. 77/2016 Z. z. v znení nariadenia vlády Slovenskej republiky č. 329/2019 Z. z.; zhotoviteľa a dodávateľa batériového článku a batériového modulu podľa čl. 3 ods. 33 a čl. 39 nariadenia (EÚ) 2023/1542 v platnom znení, ktorí sú povinní plniť povinnosti podľa nariadenia (EÚ) 2023/1542 v platnom znení; predávajúcich podľa čl. 31nariadenia (EÚ) 2024/1781 a poskytovateľov online trhovísk a online vyhľadávačov podľa čl. 35 nariadenia (EÚ) 2024/1781, ktorí sú povinní plniť povinnosti podľa nariadenia (EÚ) 2024/1781. </w:t>
      </w:r>
    </w:p>
    <w:p w:rsidR="00156690" w:rsidRPr="00156690" w:rsidRDefault="00156690" w:rsidP="00156690">
      <w:pPr>
        <w:spacing w:before="120" w:after="120"/>
        <w:jc w:val="both"/>
        <w:rPr>
          <w:rFonts w:cs="Times New Roman"/>
        </w:rPr>
      </w:pPr>
      <w:r w:rsidRPr="00156690">
        <w:rPr>
          <w:rFonts w:cs="Times New Roman"/>
        </w:rPr>
        <w:t>Novým odsekom 5 sa zo smernice</w:t>
      </w:r>
      <w:r w:rsidRPr="00156690">
        <w:rPr>
          <w:rFonts w:cs="Times New Roman"/>
          <w:bCs/>
          <w:shd w:val="clear" w:color="auto" w:fill="FFFFFF"/>
        </w:rPr>
        <w:t xml:space="preserve"> (EÚ) 2023/2413 z</w:t>
      </w:r>
      <w:r w:rsidRPr="00156690">
        <w:rPr>
          <w:rFonts w:cs="Times New Roman"/>
        </w:rPr>
        <w:t xml:space="preserve"> čl. 1 odsek 11, ktorým sa vkladá článok 20a, preberá z čl. 20a odsek 3 prvý bod, a to povinnosť výrobcov batérií do domácností a priemyselných batérií poskytnúť prístup v reálnom čase k základným informáciám o batériách ako sú informácie o stave batérie, stave nabitia, kapacite a stanovenom výkone za nediskriminačných podmienok v súlade s príslušnými pravidlami na ochranu údajov a bezodplatne majiteľom alebo používateľom batérií a subjektom konajúcim v ich mene, ako sú správcovia energetických systémov budov, poskytovatelia služieb mobility a iní účastníci na trhu s elektrinou, ktorú majú plniť okrem </w:t>
      </w:r>
      <w:r w:rsidRPr="00156690">
        <w:rPr>
          <w:rFonts w:cs="Times New Roman"/>
          <w:shd w:val="clear" w:color="auto" w:fill="FFFFFF"/>
        </w:rPr>
        <w:t>povinností výrobcu podľa nariadenia (EÚ) 2023/1542 v platnom znení</w:t>
      </w:r>
      <w:r w:rsidRPr="00156690">
        <w:rPr>
          <w:rFonts w:cs="Times New Roman"/>
        </w:rPr>
        <w:t>. Toto ustanovenie dopĺňa ustanovenia o prístupe k údajom o batériách týkajúce sa uľahčenia zmeny účelu batérií stanovenej v nariadení (EÚ) 2023/1542 v platnom znení.</w:t>
      </w:r>
    </w:p>
    <w:p w:rsidR="00156690" w:rsidRPr="00156690" w:rsidRDefault="00156690" w:rsidP="00156690">
      <w:pPr>
        <w:spacing w:before="120" w:after="120"/>
        <w:contextualSpacing/>
        <w:jc w:val="both"/>
        <w:rPr>
          <w:rFonts w:cs="Times New Roman"/>
        </w:rPr>
      </w:pPr>
      <w:r w:rsidRPr="00156690">
        <w:rPr>
          <w:rFonts w:cs="Times New Roman"/>
        </w:rPr>
        <w:t xml:space="preserve">Novým odsekom 7 sa ukladá povinnosť hospodárskemu subjektu, ktorý uvádza určený výrobok napríklad podľa nariadenia (EÚ) 2023/1542 v platnom znení alebo nariadenia (EÚ) 2024/1781 na trh, do prevádzky alebo používania, aby tento určený výrobok mal digitálny pas a ustanovuje, aké informácie má digitálny pas určeného výrobku obsahovať. Podľa čl. 77 ods. 1 nariadenia (EÚ) 2023/1542 v platnom znení od 18. februára 2027 musí mať každá LMT batéria, každá priemyselná batéria s kapacitou nad 2 kWh a každá batéria pre elektrické vozidlá, ktorá je uvedená na trh alebo uvedená do prevádzky elektronický záznam – digitálny pas batérie. V čl. 77 ods. 2 nariadenia (EÚ) 2023/1542 v platnom znení je stanovené aké informácie má obsahovať digitálny pas batérie. Určené výrobky sa môžu uviesť na trh alebo do prevádzky len vtedy, ak je k dispozícii digitálny pas výrobku v súlade s príslušnými delegovanými aktmi prijatými podľa čl. 4 a s článkami 10 a 11 nariadenia (EÚ) 2024/1781. Požiadavky na digitálny pas výrobku sú ustanovené v čl. 9 nariadenia (EÚ) 2024/1781.  </w:t>
      </w:r>
    </w:p>
    <w:p w:rsidR="00156690" w:rsidRPr="00156690" w:rsidRDefault="00156690" w:rsidP="00156690">
      <w:pPr>
        <w:widowControl/>
        <w:spacing w:before="120" w:after="120"/>
        <w:jc w:val="both"/>
        <w:rPr>
          <w:rFonts w:cs="Times New Roman"/>
        </w:rPr>
      </w:pPr>
      <w:r w:rsidRPr="00156690">
        <w:rPr>
          <w:rFonts w:cs="Times New Roman"/>
        </w:rPr>
        <w:t>Vymožiteľnosť nových odsekov 2 až 7 je zabezpečená prostredníctvom § 28 ods. 4 návrhu zákona.</w:t>
      </w:r>
    </w:p>
    <w:p w:rsidR="00156690" w:rsidRPr="00156690" w:rsidRDefault="00156690" w:rsidP="00156690">
      <w:pPr>
        <w:widowControl/>
        <w:adjustRightInd/>
        <w:spacing w:before="120" w:after="120"/>
        <w:jc w:val="both"/>
        <w:rPr>
          <w:rFonts w:eastAsiaTheme="minorHAnsi" w:cs="Times New Roman"/>
          <w:b/>
          <w:lang w:eastAsia="en-US"/>
        </w:rPr>
      </w:pPr>
    </w:p>
    <w:p w:rsidR="00156690" w:rsidRPr="00156690" w:rsidRDefault="00156690" w:rsidP="00156690">
      <w:pPr>
        <w:widowControl/>
        <w:adjustRightInd/>
        <w:spacing w:before="120" w:after="120"/>
        <w:jc w:val="both"/>
        <w:rPr>
          <w:rFonts w:eastAsiaTheme="minorHAnsi" w:cs="Times New Roman"/>
          <w:b/>
          <w:lang w:eastAsia="en-US"/>
        </w:rPr>
      </w:pPr>
      <w:r w:rsidRPr="00156690">
        <w:rPr>
          <w:rFonts w:eastAsiaTheme="minorHAnsi" w:cs="Times New Roman"/>
          <w:b/>
          <w:lang w:eastAsia="en-US"/>
        </w:rPr>
        <w:t>K bodom 16 až 20</w:t>
      </w:r>
    </w:p>
    <w:p w:rsidR="00156690" w:rsidRPr="00156690" w:rsidRDefault="00156690" w:rsidP="00156690">
      <w:pPr>
        <w:widowControl/>
        <w:adjustRightInd/>
        <w:spacing w:before="120" w:after="120"/>
        <w:jc w:val="both"/>
        <w:rPr>
          <w:rFonts w:eastAsiaTheme="minorHAnsi" w:cs="Times New Roman"/>
          <w:b/>
          <w:lang w:eastAsia="en-US"/>
        </w:rPr>
      </w:pPr>
      <w:r w:rsidRPr="00156690">
        <w:rPr>
          <w:rFonts w:eastAsiaTheme="minorHAnsi" w:cs="Times New Roman"/>
          <w:lang w:eastAsia="en-US"/>
        </w:rPr>
        <w:t>Legislatívno-technická úprava.</w:t>
      </w:r>
    </w:p>
    <w:p w:rsidR="00156690" w:rsidRPr="00156690" w:rsidRDefault="00156690" w:rsidP="00156690">
      <w:pPr>
        <w:widowControl/>
        <w:adjustRightInd/>
        <w:spacing w:before="120" w:after="120"/>
        <w:jc w:val="both"/>
        <w:rPr>
          <w:rFonts w:eastAsiaTheme="minorHAnsi" w:cs="Times New Roman"/>
          <w:b/>
          <w:lang w:eastAsia="en-US"/>
        </w:rPr>
      </w:pPr>
    </w:p>
    <w:p w:rsidR="00156690" w:rsidRPr="00156690" w:rsidRDefault="00156690" w:rsidP="00156690">
      <w:pPr>
        <w:widowControl/>
        <w:adjustRightInd/>
        <w:spacing w:before="120" w:after="120"/>
        <w:jc w:val="both"/>
        <w:rPr>
          <w:rFonts w:eastAsiaTheme="minorHAnsi" w:cs="Times New Roman"/>
          <w:b/>
          <w:lang w:eastAsia="en-US"/>
        </w:rPr>
      </w:pPr>
      <w:r w:rsidRPr="00156690">
        <w:rPr>
          <w:rFonts w:eastAsiaTheme="minorHAnsi" w:cs="Times New Roman"/>
          <w:b/>
          <w:lang w:eastAsia="en-US"/>
        </w:rPr>
        <w:t>K bodu 21</w:t>
      </w:r>
    </w:p>
    <w:p w:rsidR="00156690" w:rsidRPr="00156690" w:rsidRDefault="00156690" w:rsidP="00156690">
      <w:pPr>
        <w:spacing w:before="120" w:after="120"/>
        <w:jc w:val="both"/>
        <w:rPr>
          <w:rFonts w:cs="Times New Roman"/>
        </w:rPr>
      </w:pPr>
      <w:r w:rsidRPr="00156690">
        <w:rPr>
          <w:rFonts w:cs="Times New Roman"/>
        </w:rPr>
        <w:t xml:space="preserve">Dopĺňa sa právomoc úradu rozhodnúť o zmene autorizácie v rozsahu podanej žiadosti o zmenu autorizácie, ak dôjde k zmene osobných údajov štatutárneho orgánu autorizovanej osoby alebo spôsobu konania štatutárneho orgánu autorizovanej osoby, k zmene osobných údajov osoby alebo osôb oprávnených konať v mene autorizovanej osoby alebo k zmene v rozsahu a spôsobe ich konania v mene autorizovanej osoby, pretože neboli explicitne ustanovené zákonom. Ide o administratívnu zmenu, na ktorú je naviazaný aj príslušný správny poplatok pre administratívnu zmenu, čiže kvôli zmene týchto údajov nebude vykonaná kontrola autorizovanej osoby podľa § 13. Rozhodnutie o autorizácii je potrebné chápať ako oprávnenie na podnikanie podľa osobitného predpisu, ktorým je zákon č. 56/2018 Z. z. a je výsledkom správneho konania, pričom úrad rozhoduje vo veci na základe podanej žiadosti podľa § 11. Ak sa údaje podľa § 14 ods. 4 písm. f)  alebo g) zmenia, je potrebné túto zmenu zohľadniť aj v rozhodnutí o autorizácii. Potreba právnej úpravy vyplynula z aplikačnej praxe, nakoľko vznikajú situácie, kedy autorizovaná osoba požiada úrad o zmenu autorizácie v súvislosti so zmenou údajov podľa § 14 ods. 4 písm. f) alebo g), ale úrad nemôže vydať nové rozhodnutie o autorizácii, nakoľko takúto zmenu súčasné znenie § 15 neumožňuje a ani nejde o údaje, na základe ktorých môže byť zmenené rozhodnutie o autorizácii ex </w:t>
      </w:r>
      <w:proofErr w:type="spellStart"/>
      <w:r w:rsidRPr="00156690">
        <w:rPr>
          <w:rFonts w:cs="Times New Roman"/>
        </w:rPr>
        <w:t>offo</w:t>
      </w:r>
      <w:proofErr w:type="spellEnd"/>
      <w:r w:rsidRPr="00156690">
        <w:rPr>
          <w:rFonts w:cs="Times New Roman"/>
        </w:rPr>
        <w:t>. § 15 ods. 1 sa preto dopĺňa aj o zmenu údajov podľa § 14 ods. 4 písm. f) alebo g), aby bolo možné vydať rozhodnutie o autorizácii, v ktorom sa uvedú aktuálne údaje.</w:t>
      </w:r>
    </w:p>
    <w:p w:rsidR="00156690" w:rsidRPr="00156690" w:rsidRDefault="00156690" w:rsidP="00156690">
      <w:pPr>
        <w:widowControl/>
        <w:adjustRightInd/>
        <w:spacing w:before="120" w:after="120"/>
        <w:jc w:val="both"/>
        <w:rPr>
          <w:rFonts w:eastAsiaTheme="minorHAnsi" w:cs="Times New Roman"/>
          <w:b/>
          <w:lang w:eastAsia="en-US"/>
        </w:rPr>
      </w:pPr>
    </w:p>
    <w:p w:rsidR="00156690" w:rsidRPr="00156690" w:rsidRDefault="00156690" w:rsidP="00156690">
      <w:pPr>
        <w:widowControl/>
        <w:adjustRightInd/>
        <w:spacing w:before="120" w:after="120"/>
        <w:jc w:val="both"/>
        <w:rPr>
          <w:rFonts w:eastAsiaTheme="minorHAnsi" w:cs="Times New Roman"/>
          <w:b/>
          <w:lang w:eastAsia="en-US"/>
        </w:rPr>
      </w:pPr>
      <w:r w:rsidRPr="00156690">
        <w:rPr>
          <w:rFonts w:eastAsiaTheme="minorHAnsi" w:cs="Times New Roman"/>
          <w:b/>
          <w:lang w:eastAsia="en-US"/>
        </w:rPr>
        <w:t>K bodu 22</w:t>
      </w:r>
    </w:p>
    <w:p w:rsidR="00156690" w:rsidRPr="00156690" w:rsidRDefault="00156690" w:rsidP="00156690">
      <w:pPr>
        <w:widowControl/>
        <w:adjustRightInd/>
        <w:spacing w:before="120" w:after="120"/>
        <w:jc w:val="both"/>
        <w:rPr>
          <w:rFonts w:eastAsiaTheme="minorHAnsi" w:cs="Times New Roman"/>
          <w:b/>
          <w:lang w:eastAsia="en-US"/>
        </w:rPr>
      </w:pPr>
      <w:r w:rsidRPr="00156690">
        <w:rPr>
          <w:rFonts w:eastAsiaTheme="minorHAnsi" w:cs="Times New Roman"/>
          <w:lang w:eastAsia="en-US"/>
        </w:rPr>
        <w:t>V § 21 ods. 2 sú povinnosti autorizovanej osoby vymedzené rámcovo, pričom konkrétne povinnosti pre autorizované osoby sú vždy určené v technickom predpise z oblasti posudzovania zhody.</w:t>
      </w:r>
    </w:p>
    <w:p w:rsidR="00156690" w:rsidRPr="00156690" w:rsidRDefault="00156690" w:rsidP="00156690">
      <w:pPr>
        <w:widowControl/>
        <w:adjustRightInd/>
        <w:spacing w:before="120" w:after="120"/>
        <w:jc w:val="both"/>
        <w:rPr>
          <w:rFonts w:eastAsiaTheme="minorHAnsi" w:cs="Times New Roman"/>
          <w:b/>
          <w:lang w:eastAsia="en-US"/>
        </w:rPr>
      </w:pPr>
    </w:p>
    <w:p w:rsidR="00156690" w:rsidRPr="00156690" w:rsidRDefault="00156690" w:rsidP="00156690">
      <w:pPr>
        <w:widowControl/>
        <w:adjustRightInd/>
        <w:spacing w:before="120" w:after="120"/>
        <w:jc w:val="both"/>
        <w:rPr>
          <w:rFonts w:eastAsiaTheme="minorHAnsi" w:cs="Times New Roman"/>
          <w:lang w:eastAsia="en-US"/>
        </w:rPr>
      </w:pPr>
      <w:r w:rsidRPr="00156690">
        <w:rPr>
          <w:rFonts w:eastAsiaTheme="minorHAnsi" w:cs="Times New Roman"/>
          <w:b/>
          <w:lang w:eastAsia="en-US"/>
        </w:rPr>
        <w:t>K bodu 23</w:t>
      </w:r>
    </w:p>
    <w:p w:rsidR="00156690" w:rsidRPr="00156690" w:rsidRDefault="00156690" w:rsidP="00156690">
      <w:pPr>
        <w:widowControl/>
        <w:adjustRightInd/>
        <w:spacing w:before="120" w:after="120"/>
        <w:jc w:val="both"/>
        <w:rPr>
          <w:rFonts w:eastAsiaTheme="minorHAnsi" w:cs="Times New Roman"/>
          <w:lang w:eastAsia="en-US"/>
        </w:rPr>
      </w:pPr>
      <w:r w:rsidRPr="00156690">
        <w:rPr>
          <w:rFonts w:eastAsiaTheme="minorHAnsi" w:cs="Times New Roman"/>
          <w:lang w:eastAsia="en-US"/>
        </w:rPr>
        <w:t>V § 21 ods. 13 sú informačné povinnosti autorizovanej osoby vymedzené rámcovo, pričom konkrétne povinnosti pre autorizované osoby sú vždy určené v technickom predpise z oblasti posudzovania zhody. Dopĺňa sa nové písmeno f), ktorým sa rozširuje povinnosť pre autorizovanú osobu informovať úrad o iných alebo ďalších skutočnostiach ako napr. podľa čl. 45 ods. 1 nariadenia</w:t>
      </w:r>
      <w:r w:rsidRPr="00156690">
        <w:rPr>
          <w:rFonts w:eastAsiaTheme="minorHAnsi" w:cs="Times New Roman"/>
          <w:bCs/>
          <w:shd w:val="clear" w:color="auto" w:fill="FFFFFF"/>
          <w:lang w:eastAsia="en-US"/>
        </w:rPr>
        <w:t xml:space="preserve"> </w:t>
      </w:r>
      <w:r w:rsidRPr="00156690">
        <w:rPr>
          <w:rFonts w:eastAsiaTheme="minorHAnsi" w:cs="Times New Roman"/>
          <w:lang w:eastAsia="en-US"/>
        </w:rPr>
        <w:t>(EÚ) 2024/1689.</w:t>
      </w:r>
    </w:p>
    <w:p w:rsidR="00156690" w:rsidRPr="00156690" w:rsidRDefault="00156690" w:rsidP="00156690">
      <w:pPr>
        <w:widowControl/>
        <w:adjustRightInd/>
        <w:spacing w:before="120" w:after="120"/>
        <w:jc w:val="both"/>
        <w:rPr>
          <w:rFonts w:eastAsiaTheme="minorHAnsi" w:cs="Times New Roman"/>
          <w:b/>
          <w:lang w:eastAsia="en-US"/>
        </w:rPr>
      </w:pPr>
    </w:p>
    <w:p w:rsidR="00156690" w:rsidRPr="00156690" w:rsidRDefault="00156690" w:rsidP="00156690">
      <w:pPr>
        <w:widowControl/>
        <w:adjustRightInd/>
        <w:spacing w:before="120" w:after="120"/>
        <w:jc w:val="both"/>
        <w:rPr>
          <w:rFonts w:eastAsiaTheme="minorHAnsi" w:cs="Times New Roman"/>
          <w:b/>
          <w:lang w:eastAsia="en-US"/>
        </w:rPr>
      </w:pPr>
      <w:r w:rsidRPr="00156690">
        <w:rPr>
          <w:rFonts w:eastAsiaTheme="minorHAnsi" w:cs="Times New Roman"/>
          <w:b/>
          <w:lang w:eastAsia="en-US"/>
        </w:rPr>
        <w:t>K bodu 24</w:t>
      </w:r>
    </w:p>
    <w:p w:rsidR="00156690" w:rsidRPr="00156690" w:rsidRDefault="00156690" w:rsidP="00156690">
      <w:pPr>
        <w:widowControl/>
        <w:adjustRightInd/>
        <w:spacing w:before="120" w:after="120"/>
        <w:jc w:val="both"/>
        <w:rPr>
          <w:rFonts w:eastAsiaTheme="minorHAnsi" w:cs="Times New Roman"/>
          <w:lang w:eastAsia="en-US"/>
        </w:rPr>
      </w:pPr>
      <w:r w:rsidRPr="00156690">
        <w:rPr>
          <w:rFonts w:eastAsiaTheme="minorHAnsi" w:cs="Times New Roman"/>
          <w:lang w:eastAsia="en-US"/>
        </w:rPr>
        <w:t>V § 21 ods. 14 sú vymedzené konkrétne informačné povinnosti pre autorizovanú osobu vo vzťahu k inej autorizovanej osobe. Technické predpisy z oblasti posudzovania zhody ukladajú aj osobitné povinnosti pre autorizované osoby. Návrhom zákona sa rozširuje povinnosť pre autorizovanú osobu poskytovať iné alebo ďalšie informácie inej autorizovanej osobe ako napr. podľa čl. 45 ods. 2 a 3 nariadenia (EÚ) 2024/1689.</w:t>
      </w:r>
    </w:p>
    <w:p w:rsidR="00156690" w:rsidRPr="00156690" w:rsidRDefault="00156690" w:rsidP="00156690">
      <w:pPr>
        <w:widowControl/>
        <w:adjustRightInd/>
        <w:spacing w:before="120" w:after="120"/>
        <w:jc w:val="both"/>
        <w:rPr>
          <w:rFonts w:eastAsiaTheme="minorHAnsi" w:cs="Times New Roman"/>
          <w:b/>
          <w:lang w:eastAsia="en-US"/>
        </w:rPr>
      </w:pPr>
    </w:p>
    <w:p w:rsidR="00156690" w:rsidRPr="00156690" w:rsidRDefault="00156690" w:rsidP="00156690">
      <w:pPr>
        <w:widowControl/>
        <w:adjustRightInd/>
        <w:spacing w:before="120" w:after="120"/>
        <w:jc w:val="both"/>
        <w:rPr>
          <w:rFonts w:eastAsiaTheme="minorHAnsi" w:cs="Times New Roman"/>
          <w:b/>
          <w:lang w:eastAsia="en-US"/>
        </w:rPr>
      </w:pPr>
      <w:r w:rsidRPr="00156690">
        <w:rPr>
          <w:rFonts w:eastAsiaTheme="minorHAnsi" w:cs="Times New Roman"/>
          <w:b/>
          <w:lang w:eastAsia="en-US"/>
        </w:rPr>
        <w:t>K bodom 25 a 26</w:t>
      </w:r>
    </w:p>
    <w:p w:rsidR="00156690" w:rsidRPr="00156690" w:rsidRDefault="00156690" w:rsidP="00156690">
      <w:pPr>
        <w:widowControl/>
        <w:spacing w:before="120" w:after="120"/>
        <w:jc w:val="both"/>
        <w:rPr>
          <w:rFonts w:cs="Times New Roman"/>
        </w:rPr>
      </w:pPr>
      <w:r w:rsidRPr="00156690">
        <w:rPr>
          <w:rFonts w:cs="Times New Roman"/>
        </w:rPr>
        <w:t>Upravujú sa poznámky pod čiarou k odkazom 35 a 37 z dôvodu prijatia nových právnych predpisov.</w:t>
      </w:r>
    </w:p>
    <w:p w:rsidR="00156690" w:rsidRPr="00156690" w:rsidRDefault="00156690" w:rsidP="00156690">
      <w:pPr>
        <w:widowControl/>
        <w:spacing w:before="120" w:after="120"/>
        <w:jc w:val="both"/>
        <w:rPr>
          <w:rFonts w:cs="Times New Roman"/>
          <w:b/>
        </w:rPr>
      </w:pPr>
    </w:p>
    <w:p w:rsidR="00156690" w:rsidRPr="00156690" w:rsidRDefault="00156690" w:rsidP="00156690">
      <w:pPr>
        <w:widowControl/>
        <w:spacing w:before="120" w:after="120"/>
        <w:jc w:val="both"/>
        <w:rPr>
          <w:rFonts w:cs="Times New Roman"/>
          <w:b/>
        </w:rPr>
      </w:pPr>
      <w:r w:rsidRPr="00156690">
        <w:rPr>
          <w:rFonts w:cs="Times New Roman"/>
          <w:b/>
        </w:rPr>
        <w:t>K bodu 27</w:t>
      </w:r>
    </w:p>
    <w:p w:rsidR="00156690" w:rsidRPr="00156690" w:rsidRDefault="00156690" w:rsidP="00156690">
      <w:pPr>
        <w:widowControl/>
        <w:spacing w:before="120" w:after="120"/>
        <w:jc w:val="both"/>
        <w:rPr>
          <w:rFonts w:cs="Times New Roman"/>
        </w:rPr>
      </w:pPr>
      <w:r w:rsidRPr="00156690">
        <w:rPr>
          <w:rFonts w:cs="Times New Roman"/>
        </w:rPr>
        <w:t>Legislatívno-technická úprava.</w:t>
      </w:r>
    </w:p>
    <w:p w:rsidR="00156690" w:rsidRPr="00156690" w:rsidRDefault="00156690" w:rsidP="00156690">
      <w:pPr>
        <w:widowControl/>
        <w:adjustRightInd/>
        <w:spacing w:before="120" w:after="120"/>
        <w:jc w:val="both"/>
        <w:rPr>
          <w:rFonts w:eastAsiaTheme="minorHAnsi" w:cs="Times New Roman"/>
          <w:b/>
          <w:lang w:eastAsia="en-US"/>
        </w:rPr>
      </w:pPr>
    </w:p>
    <w:p w:rsidR="00156690" w:rsidRPr="00156690" w:rsidRDefault="00156690" w:rsidP="00156690">
      <w:pPr>
        <w:widowControl/>
        <w:adjustRightInd/>
        <w:spacing w:before="120" w:after="120"/>
        <w:jc w:val="both"/>
        <w:rPr>
          <w:rFonts w:eastAsiaTheme="minorHAnsi" w:cs="Times New Roman"/>
          <w:b/>
          <w:lang w:eastAsia="en-US"/>
        </w:rPr>
      </w:pPr>
      <w:r w:rsidRPr="00156690">
        <w:rPr>
          <w:rFonts w:eastAsiaTheme="minorHAnsi" w:cs="Times New Roman"/>
          <w:b/>
          <w:lang w:eastAsia="en-US"/>
        </w:rPr>
        <w:t>K bodu 28</w:t>
      </w:r>
    </w:p>
    <w:p w:rsidR="00156690" w:rsidRPr="00156690" w:rsidRDefault="00156690" w:rsidP="00156690">
      <w:pPr>
        <w:widowControl/>
        <w:spacing w:before="120" w:after="120"/>
        <w:jc w:val="both"/>
        <w:rPr>
          <w:rFonts w:cs="Times New Roman"/>
        </w:rPr>
      </w:pPr>
      <w:r w:rsidRPr="00156690">
        <w:rPr>
          <w:rFonts w:cs="Times New Roman"/>
        </w:rPr>
        <w:t>Označenie CE môže byť nahradené inou značkou zhody, ak tak ustanovia osobitné predpisy. V poznámke po čiarou k odkazu 43 sa dopĺňa delegované nariadenie (EÚ) 2024/371, ktoré ustanovuje inú značku zhody, ktorou je symbol znázornený v prílohe delegovaného nariadenia (EÚ) 2024/371. Zároveň sa celý odkaz legislatívno-technicky upravuje.</w:t>
      </w:r>
    </w:p>
    <w:p w:rsidR="00156690" w:rsidRPr="00156690" w:rsidRDefault="00156690" w:rsidP="00156690">
      <w:pPr>
        <w:widowControl/>
        <w:adjustRightInd/>
        <w:spacing w:before="120" w:after="120"/>
        <w:jc w:val="both"/>
        <w:rPr>
          <w:rFonts w:eastAsiaTheme="minorHAnsi" w:cs="Times New Roman"/>
          <w:b/>
          <w:lang w:eastAsia="en-US"/>
        </w:rPr>
      </w:pPr>
    </w:p>
    <w:p w:rsidR="00156690" w:rsidRPr="00156690" w:rsidRDefault="00156690" w:rsidP="00156690">
      <w:pPr>
        <w:widowControl/>
        <w:adjustRightInd/>
        <w:spacing w:before="120" w:after="120"/>
        <w:jc w:val="both"/>
        <w:rPr>
          <w:rFonts w:eastAsiaTheme="minorHAnsi" w:cs="Times New Roman"/>
          <w:b/>
          <w:lang w:eastAsia="en-US"/>
        </w:rPr>
      </w:pPr>
      <w:r w:rsidRPr="00156690">
        <w:rPr>
          <w:rFonts w:eastAsiaTheme="minorHAnsi" w:cs="Times New Roman"/>
          <w:b/>
          <w:lang w:eastAsia="en-US"/>
        </w:rPr>
        <w:t>K bodu 29</w:t>
      </w:r>
    </w:p>
    <w:p w:rsidR="00156690" w:rsidRPr="00156690" w:rsidRDefault="00156690" w:rsidP="00156690">
      <w:pPr>
        <w:widowControl/>
        <w:adjustRightInd/>
        <w:spacing w:before="120" w:after="120"/>
        <w:jc w:val="both"/>
        <w:rPr>
          <w:rFonts w:eastAsiaTheme="minorHAnsi" w:cs="Times New Roman"/>
          <w:lang w:eastAsia="en-US"/>
        </w:rPr>
      </w:pPr>
      <w:r w:rsidRPr="00156690">
        <w:rPr>
          <w:rFonts w:eastAsiaTheme="minorHAnsi" w:cs="Times New Roman"/>
          <w:lang w:eastAsia="en-US"/>
        </w:rPr>
        <w:t>V § 25 sú ustanovené pravidlá týkajúce sa označenia CE a jeho umiestnenia na určený výrobok. Novým odsekom 7 sa dopĺňa použitie digitálneho označenia CE, ak tak ustanoví osobitný predpis, napr. nariadenie Európskeho parlamentu a Rady (EÚ) 2024/2516 z 18. septembra, ktorým sa mení nariadenie (EÚ) 2019/1009, pokiaľ ide o digitálne označovanie EÚ produktov na hnojenie (</w:t>
      </w:r>
      <w:r w:rsidRPr="00156690">
        <w:rPr>
          <w:rFonts w:eastAsiaTheme="minorHAnsi" w:cs="Times New Roman"/>
          <w:shd w:val="clear" w:color="auto" w:fill="FFFFFF"/>
          <w:lang w:eastAsia="en-US"/>
        </w:rPr>
        <w:t>Ú. v. EÚ L, 2024/2516, 30.9.2024)</w:t>
      </w:r>
      <w:r w:rsidRPr="00156690">
        <w:rPr>
          <w:rFonts w:cs="Times New Roman"/>
          <w:iCs/>
        </w:rPr>
        <w:t>.</w:t>
      </w:r>
    </w:p>
    <w:p w:rsidR="00156690" w:rsidRPr="00156690" w:rsidRDefault="00156690" w:rsidP="00156690">
      <w:pPr>
        <w:widowControl/>
        <w:adjustRightInd/>
        <w:spacing w:before="120" w:after="120"/>
        <w:jc w:val="both"/>
        <w:rPr>
          <w:rFonts w:cs="Times New Roman"/>
          <w:b/>
          <w:iCs/>
        </w:rPr>
      </w:pPr>
    </w:p>
    <w:p w:rsidR="00156690" w:rsidRPr="00156690" w:rsidRDefault="00156690" w:rsidP="00156690">
      <w:pPr>
        <w:widowControl/>
        <w:adjustRightInd/>
        <w:spacing w:before="120" w:after="120"/>
        <w:jc w:val="both"/>
        <w:rPr>
          <w:rFonts w:cs="Times New Roman"/>
          <w:b/>
          <w:iCs/>
        </w:rPr>
      </w:pPr>
      <w:r w:rsidRPr="00156690">
        <w:rPr>
          <w:rFonts w:cs="Times New Roman"/>
          <w:b/>
          <w:iCs/>
        </w:rPr>
        <w:t>K bodu 30</w:t>
      </w:r>
    </w:p>
    <w:p w:rsidR="00156690" w:rsidRPr="00156690" w:rsidRDefault="00156690" w:rsidP="00156690">
      <w:pPr>
        <w:widowControl/>
        <w:adjustRightInd/>
        <w:spacing w:before="120" w:after="120"/>
        <w:jc w:val="both"/>
        <w:rPr>
          <w:rFonts w:eastAsiaTheme="minorHAnsi" w:cs="Times New Roman"/>
          <w:lang w:eastAsia="en-US"/>
        </w:rPr>
      </w:pPr>
      <w:r w:rsidRPr="00156690">
        <w:rPr>
          <w:rFonts w:eastAsiaTheme="minorHAnsi" w:cs="Times New Roman"/>
          <w:lang w:eastAsia="en-US"/>
        </w:rPr>
        <w:t>Slovenskej obchodnej inšpekcii sa rozširuje kompetencia ako orgánu dohľadu nad určenými výrobkami, a to konkrétne</w:t>
      </w:r>
      <w:r w:rsidRPr="00156690">
        <w:rPr>
          <w:rFonts w:eastAsiaTheme="minorHAnsi" w:cs="Times New Roman"/>
          <w:bCs/>
          <w:shd w:val="clear" w:color="auto" w:fill="FFFFFF"/>
          <w:lang w:eastAsia="en-US"/>
        </w:rPr>
        <w:t xml:space="preserve"> pre strojové zariadenia podľa </w:t>
      </w:r>
      <w:r w:rsidRPr="00156690">
        <w:rPr>
          <w:rFonts w:eastAsiaTheme="minorHAnsi" w:cs="Times New Roman"/>
          <w:lang w:eastAsia="en-US"/>
        </w:rPr>
        <w:t>nariadenia</w:t>
      </w:r>
      <w:r w:rsidRPr="00156690">
        <w:rPr>
          <w:rFonts w:eastAsiaTheme="minorHAnsi" w:cs="Times New Roman"/>
          <w:bCs/>
          <w:shd w:val="clear" w:color="auto" w:fill="FFFFFF"/>
          <w:lang w:eastAsia="en-US"/>
        </w:rPr>
        <w:t xml:space="preserve"> (EÚ) 2023/1230 v platnom znení   a pre </w:t>
      </w:r>
      <w:proofErr w:type="spellStart"/>
      <w:r w:rsidRPr="00156690">
        <w:rPr>
          <w:rFonts w:eastAsiaTheme="minorHAnsi" w:cs="Times New Roman"/>
          <w:bCs/>
          <w:shd w:val="clear" w:color="auto" w:fill="FFFFFF"/>
          <w:lang w:eastAsia="en-US"/>
        </w:rPr>
        <w:t>ekodizajn</w:t>
      </w:r>
      <w:proofErr w:type="spellEnd"/>
      <w:r w:rsidRPr="00156690">
        <w:rPr>
          <w:rFonts w:eastAsiaTheme="minorHAnsi" w:cs="Times New Roman"/>
          <w:bCs/>
          <w:shd w:val="clear" w:color="auto" w:fill="FFFFFF"/>
          <w:lang w:eastAsia="en-US"/>
        </w:rPr>
        <w:t xml:space="preserve"> podľa nariadenia (EÚ) 2024/1781 </w:t>
      </w:r>
      <w:r w:rsidRPr="00156690">
        <w:rPr>
          <w:rFonts w:eastAsiaTheme="minorHAnsi" w:cs="Times New Roman"/>
          <w:lang w:eastAsia="en-US"/>
        </w:rPr>
        <w:t xml:space="preserve">doplnením poznámky pod čiarou k odkazu 45. </w:t>
      </w:r>
      <w:r w:rsidRPr="00156690">
        <w:rPr>
          <w:rFonts w:eastAsiaTheme="minorHAnsi" w:cs="Times New Roman"/>
          <w:bCs/>
          <w:shd w:val="clear" w:color="auto" w:fill="FFFFFF"/>
          <w:lang w:eastAsia="en-US"/>
        </w:rPr>
        <w:t xml:space="preserve">Poznámka sa dopĺňa aj o kompetenciu pre prístupnosť výrobkov pre osoby so zdravotným postihnutím podľa nariadenia vlády Slovenskej republiky č. 282/2023 Z. z., nakoľko táto kompetencia nebola doplnená do zákona pri jeho novelizácii zákonom č. 351/2022 Z. z. o prístupnosti výrobkov a služieb pre osoby so zdravotným postihnutím a o zmene a doplnení niektorých zákonov (ďalej len „zákon č. 351/2022 Z. z.“). V súvislosti s tým sa </w:t>
      </w:r>
      <w:r w:rsidRPr="00156690">
        <w:rPr>
          <w:rFonts w:eastAsiaTheme="minorHAnsi" w:cs="Times New Roman"/>
          <w:lang w:eastAsia="en-US"/>
        </w:rPr>
        <w:t xml:space="preserve">upravuje v čl. IX návrhu zákona aj zákon č. </w:t>
      </w:r>
      <w:r w:rsidRPr="00156690">
        <w:rPr>
          <w:rFonts w:eastAsiaTheme="minorHAnsi" w:cs="Times New Roman"/>
          <w:lang w:eastAsia="cs-CZ"/>
        </w:rPr>
        <w:t>351/2022 Z. z.</w:t>
      </w:r>
      <w:r w:rsidRPr="00156690">
        <w:rPr>
          <w:rFonts w:eastAsiaTheme="minorHAnsi" w:cs="Times New Roman"/>
          <w:lang w:eastAsia="en-US"/>
        </w:rPr>
        <w:t xml:space="preserve"> </w:t>
      </w:r>
    </w:p>
    <w:p w:rsidR="00156690" w:rsidRPr="00156690" w:rsidRDefault="00156690" w:rsidP="00156690">
      <w:pPr>
        <w:widowControl/>
        <w:adjustRightInd/>
        <w:spacing w:before="120" w:after="120"/>
        <w:jc w:val="both"/>
        <w:rPr>
          <w:rFonts w:eastAsiaTheme="minorHAnsi" w:cs="Times New Roman"/>
          <w:bCs/>
          <w:shd w:val="clear" w:color="auto" w:fill="FFFFFF"/>
          <w:lang w:eastAsia="en-US"/>
        </w:rPr>
      </w:pPr>
      <w:r w:rsidRPr="00156690">
        <w:rPr>
          <w:rFonts w:eastAsiaTheme="minorHAnsi" w:cs="Times New Roman"/>
          <w:bCs/>
          <w:shd w:val="clear" w:color="auto" w:fill="FFFFFF"/>
          <w:lang w:eastAsia="en-US"/>
        </w:rPr>
        <w:t xml:space="preserve">Slovenská obchodná inšpekcia bude jediným orgánom dohľadu pre prístupnosť výrobkov pre osoby so zdravotným postihnutím podľa nariadenia vlády Slovenskej republiky č. 282/2023 Z. z. a pre </w:t>
      </w:r>
      <w:proofErr w:type="spellStart"/>
      <w:r w:rsidRPr="00156690">
        <w:rPr>
          <w:rFonts w:eastAsiaTheme="minorHAnsi" w:cs="Times New Roman"/>
          <w:bCs/>
          <w:shd w:val="clear" w:color="auto" w:fill="FFFFFF"/>
          <w:lang w:eastAsia="en-US"/>
        </w:rPr>
        <w:t>ekodizajn</w:t>
      </w:r>
      <w:proofErr w:type="spellEnd"/>
      <w:r w:rsidRPr="00156690">
        <w:rPr>
          <w:rFonts w:eastAsiaTheme="minorHAnsi" w:cs="Times New Roman"/>
          <w:bCs/>
          <w:shd w:val="clear" w:color="auto" w:fill="FFFFFF"/>
          <w:lang w:eastAsia="en-US"/>
        </w:rPr>
        <w:t xml:space="preserve"> podľa nariadenia (EÚ) 2024/1781.  </w:t>
      </w:r>
    </w:p>
    <w:p w:rsidR="00156690" w:rsidRPr="00156690" w:rsidRDefault="00156690" w:rsidP="00156690">
      <w:pPr>
        <w:spacing w:before="120" w:after="120"/>
        <w:jc w:val="both"/>
        <w:rPr>
          <w:rFonts w:cs="Times New Roman"/>
        </w:rPr>
      </w:pPr>
      <w:r w:rsidRPr="00156690">
        <w:rPr>
          <w:rFonts w:cs="Times New Roman"/>
        </w:rPr>
        <w:t xml:space="preserve">Z aplikačnej praxe vyplynulo, že pre výkon trhového dohľadu nad bezpilotnými leteckými systémami (ďalej len „UAS“) podľa čl. 35 až 39 </w:t>
      </w:r>
      <w:r w:rsidRPr="00156690">
        <w:rPr>
          <w:rFonts w:cs="Times New Roman"/>
          <w:bCs/>
          <w:shd w:val="clear" w:color="auto" w:fill="FFFFFF"/>
        </w:rPr>
        <w:t xml:space="preserve">delegovaného nariadenia (EÚ) 2019/945 </w:t>
      </w:r>
      <w:r w:rsidRPr="00156690">
        <w:rPr>
          <w:rFonts w:cs="Times New Roman"/>
          <w:iCs/>
          <w:shd w:val="clear" w:color="auto" w:fill="FFFFFF"/>
        </w:rPr>
        <w:t>v platnom znení</w:t>
      </w:r>
      <w:r w:rsidRPr="00156690">
        <w:rPr>
          <w:rFonts w:cs="Times New Roman"/>
        </w:rPr>
        <w:t xml:space="preserve">, nie je potrebné zohľadňovať kategórie prevádzky UAS podľa čl. 3 </w:t>
      </w:r>
      <w:r w:rsidRPr="00156690">
        <w:rPr>
          <w:rFonts w:cs="Times New Roman"/>
          <w:bCs/>
          <w:shd w:val="clear" w:color="auto" w:fill="FFFFFF"/>
        </w:rPr>
        <w:t>vykonávacieho nariadenia Komisie (EÚ) 2019/947 z 24. mája 2019 o pravidlách a postupoch prevádzky bezpilotných lietadiel (</w:t>
      </w:r>
      <w:r w:rsidRPr="00156690">
        <w:rPr>
          <w:rFonts w:cs="Times New Roman"/>
          <w:iCs/>
          <w:shd w:val="clear" w:color="auto" w:fill="FFFFFF"/>
        </w:rPr>
        <w:t>Ú. v. EÚ L 152, 11.6.2019) v platnom znení</w:t>
      </w:r>
      <w:r w:rsidRPr="00156690">
        <w:rPr>
          <w:rFonts w:cs="Times New Roman"/>
        </w:rPr>
        <w:t xml:space="preserve">, ale len to, ktoré UAS majú spĺňať požiadavky podľa II. kapitoly delegovaného nariadenia (EÚ) 2019/945 v platnom znení. UAS podľa II. kapitoly delegovaného nariadenia (EÚ) 2019/945 v platnom znení sú do 25 kg a musia spĺňať požiadavky </w:t>
      </w:r>
      <w:r w:rsidRPr="00156690">
        <w:rPr>
          <w:rFonts w:cs="Times New Roman"/>
          <w:shd w:val="clear" w:color="auto" w:fill="FFFFFF"/>
        </w:rPr>
        <w:t>stanovené v častiach 1 až 6, 16 a 17 prílohy</w:t>
      </w:r>
      <w:r w:rsidRPr="00156690">
        <w:rPr>
          <w:rFonts w:cs="Times New Roman"/>
        </w:rPr>
        <w:t xml:space="preserve"> delegovaného nariadenia (EÚ) 2019/945 v platnom znení, nad ktorými vykonáva trhový dohľad Slovenská obchodná inšpekcia. V nadväznosti na vypustenie kompetencie Dopravného úradu vo vzťahu k čl. 40 ods. 1 delegovaného nariadenia (EÚ) 2019/945 v platnom znení, Slovenská obchodná inšpekcia bude tak jediným orgánom dohľadu nad UAS do 25 kg, ktoré musia spĺňať požiadavky u</w:t>
      </w:r>
      <w:r w:rsidRPr="00156690">
        <w:rPr>
          <w:rFonts w:cs="Times New Roman"/>
          <w:shd w:val="clear" w:color="auto" w:fill="FFFFFF"/>
        </w:rPr>
        <w:t>stanovené v častiach 1 až 6, 16 a 17 prílohy</w:t>
      </w:r>
      <w:r w:rsidRPr="00156690">
        <w:rPr>
          <w:rFonts w:cs="Times New Roman"/>
        </w:rPr>
        <w:t xml:space="preserve"> delegovaného nariadenia (EÚ) 2019/945 v platnom znení (UAS triedy C0, C1, C2, C3, C4, C5, C6, súpravy príslušenstva triedy C5 a moduly na diaľkovú identifikáciu). Uvedené vyplynulo z aplikačnej praxe, pretože UAS podľa III. kapitoly delegovaného nariadenia (EÚ) 2019/945 v platnom znení sú nad 25 kg, dohľad podľa čl. 35 až 39 delegovaného nariadenia (EÚ) 2019/945 sa na nich nevzťahuje, pretože patria do kompetencie Dopravného úradu podľa § 48 ods. 1 písm. a) bod 5 zákona č. 143/1998 Z. z. o civilnom letectve.</w:t>
      </w:r>
    </w:p>
    <w:p w:rsidR="00156690" w:rsidRPr="00156690" w:rsidRDefault="00156690" w:rsidP="00156690">
      <w:pPr>
        <w:widowControl/>
        <w:adjustRightInd/>
        <w:spacing w:before="120" w:after="120"/>
        <w:jc w:val="both"/>
        <w:rPr>
          <w:rFonts w:eastAsiaTheme="minorHAnsi" w:cs="Times New Roman"/>
          <w:lang w:eastAsia="en-US"/>
        </w:rPr>
      </w:pPr>
      <w:r w:rsidRPr="00156690">
        <w:rPr>
          <w:rFonts w:eastAsiaTheme="minorHAnsi" w:cs="Times New Roman"/>
          <w:lang w:eastAsia="en-US"/>
        </w:rPr>
        <w:t xml:space="preserve">Slovenská obchodná inšpekcia sa ustanovuje ako nový orgán dohľadu nad určeným výrobkom podľa nariadenia (EÚ) 2023/1542 v platnom znení, ktorým sú batérie, ktoré sa sprístupňujú na trhu online alebo </w:t>
      </w:r>
      <w:proofErr w:type="spellStart"/>
      <w:r w:rsidRPr="00156690">
        <w:rPr>
          <w:rFonts w:eastAsiaTheme="minorHAnsi" w:cs="Times New Roman"/>
          <w:lang w:eastAsia="en-US"/>
        </w:rPr>
        <w:t>offline</w:t>
      </w:r>
      <w:proofErr w:type="spellEnd"/>
      <w:r w:rsidRPr="00156690">
        <w:rPr>
          <w:rFonts w:eastAsiaTheme="minorHAnsi" w:cs="Times New Roman"/>
          <w:lang w:eastAsia="en-US"/>
        </w:rPr>
        <w:t xml:space="preserve"> v obchodnom reťazci. Inšpektorát práce a iný orgán inšpekcie práce, Dopravný úrad, Štátny ústav pre kontrolu liečiv, Slovenský metrologický inšpektorát, Hlavný banský úrad a obvodné banské úrady, Ministerstvo dopravy Slovenskej republiky a regionálne úrady verejného zdravotníctva sa ustanovujú ako orgány dohľadu nad určeným výrobkom podľa čl. 11 nariadenia (EÚ) 2023/1542 v platnom znení pre zabudované prenosné batérie a LMT batérie, ktoré sú súčasťou určeného výrobku, a pre zabudované prenosné batérie a LMT batérie, ktoré sú náhradnými dielmi k napájanému zariadeniu (výrobku), pre ktorý sú orgánom dohľadu nad určeným výrobkom podľa § 26 zákona. Tieto orgány dohľadu budú pri výkone dohľadu nad určeným výrobkom podľa čl. 11 nariadenia (EÚ) 2023/1542 v platnom znení spolupracovať so Slovenskou obchodnou inšpekciou. </w:t>
      </w:r>
    </w:p>
    <w:p w:rsidR="00156690" w:rsidRPr="00156690" w:rsidRDefault="00156690" w:rsidP="00156690">
      <w:pPr>
        <w:spacing w:before="120" w:after="120"/>
        <w:jc w:val="both"/>
        <w:rPr>
          <w:rFonts w:cs="Times New Roman"/>
        </w:rPr>
      </w:pPr>
      <w:r w:rsidRPr="00156690">
        <w:rPr>
          <w:rFonts w:cs="Times New Roman"/>
        </w:rPr>
        <w:t xml:space="preserve">Znenie poznámky pod čiarou k odkazu 46 pre rozsah činnosti pri výkone dohľadu Slovenskej obchodnej inšpekcie ako orgánu dohľadu nad určeným výrobkom sa dopĺňa o čl. 43 až 46 nariadenia (EÚ) 2023/1230 v platnom znení, o čl. 69 až 71 nariadenia (EÚ) 2024/1781, o čl. 79 až 83 nariadenia (EÚ) 2023/1542 v platnom znení, </w:t>
      </w:r>
      <w:hyperlink r:id="rId23" w:anchor="paragraf-14">
        <w:r w:rsidRPr="00156690">
          <w:rPr>
            <w:rFonts w:cs="Times New Roman"/>
          </w:rPr>
          <w:t>§ 14 zákona č. 346/2013 Z. z.</w:t>
        </w:r>
      </w:hyperlink>
      <w:r w:rsidRPr="00156690">
        <w:rPr>
          <w:rFonts w:cs="Times New Roman"/>
        </w:rPr>
        <w:t xml:space="preserve"> v znení neskorších predpisov a § 9 zákona č. 351/2022 Z. z. o prístupnosti výrobkov a služieb pre osoby so zdravotným postihnutím a o zmene a doplnení niektorých zákonov</w:t>
      </w:r>
      <w:bookmarkStart w:id="4" w:name="poznamky.poznamka-46.text"/>
      <w:bookmarkEnd w:id="4"/>
      <w:r w:rsidRPr="00156690">
        <w:rPr>
          <w:rFonts w:cs="Times New Roman"/>
        </w:rPr>
        <w:t xml:space="preserve"> v nadväznosti na zmeny v poznámke pod čiarou k odkazu 45.</w:t>
      </w:r>
    </w:p>
    <w:p w:rsidR="00156690" w:rsidRPr="00156690" w:rsidRDefault="00156690" w:rsidP="00156690">
      <w:pPr>
        <w:widowControl/>
        <w:adjustRightInd/>
        <w:spacing w:before="120" w:after="120"/>
        <w:jc w:val="both"/>
        <w:rPr>
          <w:rFonts w:eastAsiaTheme="minorHAnsi" w:cs="Times New Roman"/>
          <w:lang w:eastAsia="en-US"/>
        </w:rPr>
      </w:pPr>
      <w:r w:rsidRPr="00156690">
        <w:rPr>
          <w:rFonts w:eastAsiaTheme="minorHAnsi" w:cs="Times New Roman"/>
          <w:lang w:eastAsia="en-US"/>
        </w:rPr>
        <w:t xml:space="preserve">Zároveň sa legislatívno-technicky upravujú celé poznámky pod čiarou k odkazom 45 a 46. </w:t>
      </w:r>
    </w:p>
    <w:p w:rsidR="00156690" w:rsidRPr="00156690" w:rsidRDefault="00156690" w:rsidP="00156690">
      <w:pPr>
        <w:widowControl/>
        <w:adjustRightInd/>
        <w:spacing w:before="120" w:after="120"/>
        <w:jc w:val="both"/>
        <w:rPr>
          <w:rFonts w:eastAsiaTheme="minorHAnsi" w:cs="Times New Roman"/>
          <w:b/>
          <w:lang w:eastAsia="en-US"/>
        </w:rPr>
      </w:pPr>
    </w:p>
    <w:p w:rsidR="00156690" w:rsidRPr="00156690" w:rsidRDefault="00156690" w:rsidP="00156690">
      <w:pPr>
        <w:widowControl/>
        <w:adjustRightInd/>
        <w:spacing w:before="120" w:after="120"/>
        <w:jc w:val="both"/>
        <w:rPr>
          <w:rFonts w:eastAsiaTheme="minorHAnsi" w:cs="Times New Roman"/>
          <w:b/>
          <w:lang w:eastAsia="en-US"/>
        </w:rPr>
      </w:pPr>
      <w:r w:rsidRPr="00156690">
        <w:rPr>
          <w:rFonts w:eastAsiaTheme="minorHAnsi" w:cs="Times New Roman"/>
          <w:b/>
          <w:lang w:eastAsia="en-US"/>
        </w:rPr>
        <w:t>K bodu 31</w:t>
      </w:r>
    </w:p>
    <w:p w:rsidR="00156690" w:rsidRPr="00156690" w:rsidRDefault="00156690" w:rsidP="00156690">
      <w:pPr>
        <w:widowControl/>
        <w:adjustRightInd/>
        <w:spacing w:before="120" w:after="120"/>
        <w:jc w:val="both"/>
        <w:rPr>
          <w:rFonts w:eastAsiaTheme="minorHAnsi" w:cs="Times New Roman"/>
          <w:lang w:eastAsia="en-US"/>
        </w:rPr>
      </w:pPr>
      <w:r w:rsidRPr="00156690">
        <w:rPr>
          <w:rFonts w:eastAsiaTheme="minorHAnsi" w:cs="Times New Roman"/>
          <w:lang w:eastAsia="en-US"/>
        </w:rPr>
        <w:t xml:space="preserve">Dohľad nad niektorými určenými výrobkami vykonáva aj viac orgánov dohľadu nad určenými výrobkami, a to tak, že jeden orgán dohľadu nad určenými výrobkami vykonáva dohľad pri sprístupňovaní určených výrobkov na trhu online alebo </w:t>
      </w:r>
      <w:proofErr w:type="spellStart"/>
      <w:r w:rsidRPr="00156690">
        <w:rPr>
          <w:rFonts w:eastAsiaTheme="minorHAnsi" w:cs="Times New Roman"/>
          <w:lang w:eastAsia="en-US"/>
        </w:rPr>
        <w:t>offline</w:t>
      </w:r>
      <w:proofErr w:type="spellEnd"/>
      <w:r w:rsidRPr="00156690">
        <w:rPr>
          <w:rFonts w:eastAsiaTheme="minorHAnsi" w:cs="Times New Roman"/>
          <w:lang w:eastAsia="en-US"/>
        </w:rPr>
        <w:t xml:space="preserve"> v obchodnom reťazci a druhý/iný pri uvedení určeného výrobku priamo do prevádzky. Uvedenie do prevádzky je vymedzené v § 2 písm. g) a</w:t>
      </w:r>
      <w:r w:rsidRPr="00156690">
        <w:rPr>
          <w:rFonts w:eastAsiaTheme="minorHAnsi" w:cs="Times New Roman"/>
          <w:shd w:val="clear" w:color="auto" w:fill="FFFFFF"/>
          <w:lang w:eastAsia="en-US"/>
        </w:rPr>
        <w:t xml:space="preserve"> je vysvetlené v rámci bodu 2 a 3 dôvodovej správy.</w:t>
      </w:r>
    </w:p>
    <w:p w:rsidR="00156690" w:rsidRPr="00156690" w:rsidRDefault="00156690" w:rsidP="00156690">
      <w:pPr>
        <w:widowControl/>
        <w:adjustRightInd/>
        <w:spacing w:before="120" w:after="120"/>
        <w:jc w:val="both"/>
        <w:rPr>
          <w:rFonts w:eastAsiaTheme="minorHAnsi" w:cs="Times New Roman"/>
          <w:lang w:eastAsia="en-US"/>
        </w:rPr>
      </w:pPr>
      <w:r w:rsidRPr="00156690">
        <w:rPr>
          <w:rFonts w:eastAsiaTheme="minorHAnsi" w:cs="Times New Roman"/>
          <w:lang w:eastAsia="en-US"/>
        </w:rPr>
        <w:t xml:space="preserve">Precizuje sa názov orgánu dohľadu nad určenými výrobkami. Podľa § 2 ods. 4 zákona č. 125/2006 Z. z. </w:t>
      </w:r>
      <w:r w:rsidRPr="00156690">
        <w:rPr>
          <w:rFonts w:eastAsiaTheme="minorHAnsi" w:cs="Times New Roman"/>
          <w:bCs/>
          <w:shd w:val="clear" w:color="auto" w:fill="FFFFFF"/>
          <w:lang w:eastAsia="en-US"/>
        </w:rPr>
        <w:t>o inšpekcii práce a o zmene a doplnení zákona č. 82/2005 Z. z. o nelegálnej práci a nelegálnom zamestnávaní a o zmene a doplnení niektorých zákonov</w:t>
      </w:r>
      <w:r w:rsidRPr="00156690">
        <w:rPr>
          <w:rFonts w:eastAsiaTheme="minorHAnsi" w:cs="Times New Roman"/>
          <w:lang w:eastAsia="en-US"/>
        </w:rPr>
        <w:t xml:space="preserve"> v znení neskorších predpisov (ďalej len „zákon č. 125/2006 Z. z. v znení neskorších predpisov“) subjekty, ktoré vykonávajú inšpekciu práce sú definované ako orgány inšpekcie práce, čo je súhrnný pojem pre samotné inšpektoráty práce podľa § 7 zákona č. 125/2006 Z. z. v znení neskorších predpisov a rezortné orgány inšpekcie práce podľa § 2 ods. 4 zákona č. 125/2006 Z. z. v znení neskorších predpisov a ktoré nie sú samotnými inšpektorátmi práce.</w:t>
      </w:r>
    </w:p>
    <w:p w:rsidR="00156690" w:rsidRPr="00156690" w:rsidRDefault="00156690" w:rsidP="00156690">
      <w:pPr>
        <w:widowControl/>
        <w:adjustRightInd/>
        <w:spacing w:before="120" w:after="120"/>
        <w:jc w:val="both"/>
        <w:rPr>
          <w:rFonts w:eastAsiaTheme="minorHAnsi" w:cs="Times New Roman"/>
          <w:lang w:eastAsia="en-US"/>
        </w:rPr>
      </w:pPr>
      <w:r w:rsidRPr="00156690">
        <w:rPr>
          <w:rFonts w:eastAsiaTheme="minorHAnsi" w:cs="Times New Roman"/>
          <w:lang w:eastAsia="en-US"/>
        </w:rPr>
        <w:t>Ďalej sa rozširuje kompetencia inšpektorátu práce a iného orgánu inšpekcie práce ako druhému orgánu dohľadu nad určeným výrobkom, a to konkrétne</w:t>
      </w:r>
      <w:r w:rsidRPr="00156690">
        <w:rPr>
          <w:rFonts w:eastAsiaTheme="minorHAnsi" w:cs="Times New Roman"/>
          <w:bCs/>
          <w:shd w:val="clear" w:color="auto" w:fill="FFFFFF"/>
          <w:lang w:eastAsia="en-US"/>
        </w:rPr>
        <w:t xml:space="preserve"> pre strojové zariadenia podľa nariadenia (EÚ) 2023/1230 v platnom znení a </w:t>
      </w:r>
      <w:r w:rsidRPr="00156690">
        <w:rPr>
          <w:rFonts w:eastAsiaTheme="minorHAnsi" w:cs="Times New Roman"/>
          <w:lang w:eastAsia="en-US"/>
        </w:rPr>
        <w:t>ustanovuje sa ako nový orgán dohľadu nad určeným výrobkom podľa čl. 11 nariadenia (EÚ) 2023/1542 v platnom znení pre zabudované prenosné batérie a LMT batérie, ktoré sú súčasťou určeného výrobku, a pre zabudované prenosné batérie a LMT batérie, ktoré sú náhradnými dielmi k napájanému zariadeniu (výrobku), pre ktorý sú orgánom dohľadu nad určeným výrobkom podľa § 26.</w:t>
      </w:r>
    </w:p>
    <w:p w:rsidR="00156690" w:rsidRPr="00156690" w:rsidRDefault="00156690" w:rsidP="00156690">
      <w:pPr>
        <w:widowControl/>
        <w:adjustRightInd/>
        <w:spacing w:before="120" w:after="120"/>
        <w:jc w:val="both"/>
        <w:rPr>
          <w:rFonts w:eastAsiaTheme="minorHAnsi" w:cs="Times New Roman"/>
          <w:lang w:eastAsia="en-US"/>
        </w:rPr>
      </w:pPr>
      <w:r w:rsidRPr="00156690">
        <w:rPr>
          <w:rFonts w:eastAsiaTheme="minorHAnsi" w:cs="Times New Roman"/>
          <w:lang w:eastAsia="en-US"/>
        </w:rPr>
        <w:t xml:space="preserve">Zároveň sa precizuje ustanovená kompetencia inšpektorátu práce a iného orgánu inšpekcie práce ako orgánu dohľadu nad určeným výrobkom podľa osobitných predpisov uvedených v poznámke pod čiarou k odkazom 48 a 49a. Potreba úpravy vyplynula z aplikačnej praxe, aby bolo jednoznačne určené, pri ktorých určených výrobkoch vykonáva dohľad pri sprístupňovaní určeného výrobku na trhu online alebo </w:t>
      </w:r>
      <w:proofErr w:type="spellStart"/>
      <w:r w:rsidRPr="00156690">
        <w:rPr>
          <w:rFonts w:eastAsiaTheme="minorHAnsi" w:cs="Times New Roman"/>
          <w:lang w:eastAsia="en-US"/>
        </w:rPr>
        <w:t>offline</w:t>
      </w:r>
      <w:proofErr w:type="spellEnd"/>
      <w:r w:rsidRPr="00156690">
        <w:rPr>
          <w:rFonts w:eastAsiaTheme="minorHAnsi" w:cs="Times New Roman"/>
          <w:lang w:eastAsia="en-US"/>
        </w:rPr>
        <w:t xml:space="preserve"> pri uvedení do prevádzky – poznámka pod čiarou k odkazu 49a a pri ktorých, pri ich sprístupňovaní na trhu – poznámka pod čiarou k odkazu 48.</w:t>
      </w:r>
    </w:p>
    <w:p w:rsidR="00156690" w:rsidRPr="00156690" w:rsidRDefault="00156690" w:rsidP="00156690">
      <w:pPr>
        <w:widowControl/>
        <w:adjustRightInd/>
        <w:spacing w:before="120" w:after="120"/>
        <w:jc w:val="both"/>
        <w:rPr>
          <w:rFonts w:eastAsiaTheme="minorHAnsi" w:cs="Times New Roman"/>
          <w:lang w:eastAsia="en-US"/>
        </w:rPr>
      </w:pPr>
      <w:r w:rsidRPr="00156690">
        <w:rPr>
          <w:rFonts w:eastAsiaTheme="minorHAnsi" w:cs="Times New Roman"/>
          <w:lang w:eastAsia="en-US"/>
        </w:rPr>
        <w:t xml:space="preserve">Inšpektorát práce a iný orgán inšpekcie práce je v prípade určených výrobkov podľa § 26 písm. b) prvého bodu  pre výťahy a bezpečnostné časti výťahov jediným orgánom dohľadu, a teda vykonáva dohľad pri ich sprístupňovaní online alebo </w:t>
      </w:r>
      <w:proofErr w:type="spellStart"/>
      <w:r w:rsidRPr="00156690">
        <w:rPr>
          <w:rFonts w:eastAsiaTheme="minorHAnsi" w:cs="Times New Roman"/>
          <w:lang w:eastAsia="en-US"/>
        </w:rPr>
        <w:t>offline</w:t>
      </w:r>
      <w:proofErr w:type="spellEnd"/>
      <w:r w:rsidRPr="00156690">
        <w:rPr>
          <w:rFonts w:eastAsiaTheme="minorHAnsi" w:cs="Times New Roman"/>
          <w:lang w:eastAsia="en-US"/>
        </w:rPr>
        <w:t xml:space="preserve"> na trhu, t. j. keď je dodaný na distribúciu, spotrebu alebo používanie na trhu v rámci obchodnej činnosti, či už za odplatu alebo bezodplatne, a pri uvedení do prevádzky, t. j. keď </w:t>
      </w:r>
      <w:r w:rsidRPr="00156690">
        <w:rPr>
          <w:rFonts w:eastAsiaTheme="minorHAnsi" w:cs="Times New Roman"/>
          <w:shd w:val="clear" w:color="auto" w:fill="FFFFFF"/>
          <w:lang w:eastAsia="en-US"/>
        </w:rPr>
        <w:t>prechádza odplatne alebo bezodplatne do fázy prevádzky po jeho dokončenej inštalácii, alebo ešte len bude predmetom inštalácie a bude používaný na určený účel koncovým používateľom.</w:t>
      </w:r>
      <w:r w:rsidRPr="00156690">
        <w:rPr>
          <w:rFonts w:eastAsiaTheme="minorHAnsi" w:cs="Times New Roman"/>
          <w:lang w:eastAsia="en-US"/>
        </w:rPr>
        <w:t xml:space="preserve"> </w:t>
      </w:r>
    </w:p>
    <w:p w:rsidR="00156690" w:rsidRPr="00156690" w:rsidRDefault="00156690" w:rsidP="00156690">
      <w:pPr>
        <w:widowControl/>
        <w:adjustRightInd/>
        <w:spacing w:before="120" w:after="120"/>
        <w:jc w:val="both"/>
        <w:rPr>
          <w:rFonts w:eastAsiaTheme="minorHAnsi" w:cs="Times New Roman"/>
          <w:lang w:eastAsia="en-US"/>
        </w:rPr>
      </w:pPr>
      <w:r w:rsidRPr="00156690">
        <w:rPr>
          <w:rFonts w:eastAsiaTheme="minorHAnsi" w:cs="Times New Roman"/>
          <w:lang w:eastAsia="en-US"/>
        </w:rPr>
        <w:t xml:space="preserve">V prípade určených výrobkov podľa § 26 písm. b) druhého bodu  pre lanovkové zariadenia, osobné ochranné prostriedky, spotrebiče spaľujúce plynné palivá, strojové zariadenia, </w:t>
      </w:r>
      <w:proofErr w:type="spellStart"/>
      <w:r w:rsidRPr="00156690">
        <w:rPr>
          <w:rFonts w:eastAsiaTheme="minorHAnsi" w:cs="Times New Roman"/>
          <w:lang w:eastAsia="en-US"/>
        </w:rPr>
        <w:t>prepravovateľné</w:t>
      </w:r>
      <w:proofErr w:type="spellEnd"/>
      <w:r w:rsidRPr="00156690">
        <w:rPr>
          <w:rFonts w:eastAsiaTheme="minorHAnsi" w:cs="Times New Roman"/>
          <w:lang w:eastAsia="en-US"/>
        </w:rPr>
        <w:t xml:space="preserve"> tlakové zariadenia, emisie hluku, jednoduché tlakové nádoby, teplovodné kotly spaľujúce kvapalné palivá alebo plynné palivá, tlakové zariadenia, elektromagnetickú kompatibilitu, elektrické zariadenia určené na používanie v rámci určitých limitov napätia, zariadenia a ochranné systémy určené na použitie v prostredí s nebezpečenstvom výbuchu, rádiové zariadenia vykonáva dohľad nad týmito určenými výrobkami len v prípade, ak sú uvedené priamo do prevádzky výlučne zamestnávateľom alebo fyzickou osobou, ktorá je podnikateľom ale nie je zamestnávateľom a bude používaný na účely podnikania alebo na pracoviskách zamestnávateľov alebo fyzických osôb, ktoré sú podnikateľmi a nie sú zamestnávateľmi, pričom neboli sprístupnené na trhu aj inej fyzickej osobe - nepodnikateľovi. V súvislosti s tým sa dopĺňa poznámka pod čiarou k odkazu 49b, aby bolo jednoznačne určené, čo sa myslí pod pojmom „ktorý bude používaný na účel podnikania“, </w:t>
      </w:r>
      <w:proofErr w:type="spellStart"/>
      <w:r w:rsidRPr="00156690">
        <w:rPr>
          <w:rFonts w:eastAsiaTheme="minorHAnsi" w:cs="Times New Roman"/>
          <w:lang w:eastAsia="en-US"/>
        </w:rPr>
        <w:t>preodkazovaním</w:t>
      </w:r>
      <w:proofErr w:type="spellEnd"/>
      <w:r w:rsidRPr="00156690">
        <w:rPr>
          <w:rFonts w:eastAsiaTheme="minorHAnsi" w:cs="Times New Roman"/>
          <w:lang w:eastAsia="en-US"/>
        </w:rPr>
        <w:t xml:space="preserve"> na §  6 ods. 1 Obchodného zákonníka. Určený výrobok, ktorý bude používaný na účel podnikania, je obchodným majetkom, vecou, ktorá patrí podnikateľovi a slúži alebo je určená na jeho podnikanie.</w:t>
      </w:r>
    </w:p>
    <w:p w:rsidR="00156690" w:rsidRPr="00156690" w:rsidRDefault="00156690" w:rsidP="00156690">
      <w:pPr>
        <w:widowControl/>
        <w:adjustRightInd/>
        <w:spacing w:before="120" w:after="120"/>
        <w:jc w:val="both"/>
        <w:rPr>
          <w:rFonts w:eastAsiaTheme="minorHAnsi" w:cs="Times New Roman"/>
          <w:lang w:eastAsia="en-US"/>
        </w:rPr>
      </w:pPr>
      <w:r w:rsidRPr="00156690">
        <w:rPr>
          <w:rFonts w:eastAsiaTheme="minorHAnsi" w:cs="Times New Roman"/>
          <w:lang w:eastAsia="en-US"/>
        </w:rPr>
        <w:t>V súvislosti s takto ustanovenou kompetenciou inšpektorátu práce a iného orgánu inšpekcie práce sa upravuje v čl. V návrhu zákona aj zákon č. 125/2006 Z. z. v znení neskorších predpisov.</w:t>
      </w:r>
    </w:p>
    <w:p w:rsidR="00156690" w:rsidRPr="00156690" w:rsidRDefault="00156690" w:rsidP="00156690">
      <w:pPr>
        <w:spacing w:before="120" w:after="120"/>
        <w:jc w:val="both"/>
        <w:rPr>
          <w:rFonts w:cs="Times New Roman"/>
        </w:rPr>
      </w:pPr>
      <w:r w:rsidRPr="00156690">
        <w:rPr>
          <w:rFonts w:cs="Times New Roman"/>
        </w:rPr>
        <w:t>Znenie poznámky pod čiarou k odkazu  49c pre rozsah činnosti pri výkone dohľadu inšpektorátom práce a iným orgánom inšpekcie práce ako orgánu dohľadu nad určenými výrobkami sa dopĺňa o čl. 43 až 46 nariadenia (EÚ) 2023/1230 v platnom znení a o čl. 79 až 83 nariadenia (EÚ) 2023/1542 v platnom znení, v nadväznosti na zmenu v poznámke pod čiarou k odkazu 49a.</w:t>
      </w:r>
    </w:p>
    <w:p w:rsidR="00156690" w:rsidRPr="00156690" w:rsidRDefault="00156690" w:rsidP="00156690">
      <w:pPr>
        <w:widowControl/>
        <w:adjustRightInd/>
        <w:spacing w:before="120" w:after="120"/>
        <w:jc w:val="both"/>
        <w:rPr>
          <w:rFonts w:eastAsiaTheme="minorHAnsi" w:cs="Times New Roman"/>
          <w:lang w:eastAsia="en-US"/>
        </w:rPr>
      </w:pPr>
      <w:r w:rsidRPr="00156690">
        <w:rPr>
          <w:rFonts w:eastAsiaTheme="minorHAnsi" w:cs="Times New Roman"/>
          <w:lang w:eastAsia="en-US"/>
        </w:rPr>
        <w:t xml:space="preserve">Zároveň sa legislatívno-technicky upravujú celé poznámky pod čiarou k odkazom 47 až 49c. </w:t>
      </w:r>
    </w:p>
    <w:p w:rsidR="00156690" w:rsidRPr="00156690" w:rsidRDefault="00156690" w:rsidP="00156690">
      <w:pPr>
        <w:widowControl/>
        <w:adjustRightInd/>
        <w:spacing w:before="120" w:after="120"/>
        <w:jc w:val="both"/>
        <w:rPr>
          <w:rFonts w:eastAsiaTheme="minorHAnsi" w:cs="Times New Roman"/>
          <w:b/>
          <w:lang w:eastAsia="en-US"/>
        </w:rPr>
      </w:pPr>
    </w:p>
    <w:p w:rsidR="00156690" w:rsidRPr="00156690" w:rsidRDefault="00156690" w:rsidP="00156690">
      <w:pPr>
        <w:widowControl/>
        <w:adjustRightInd/>
        <w:spacing w:before="120" w:after="120"/>
        <w:jc w:val="both"/>
        <w:rPr>
          <w:rFonts w:eastAsiaTheme="minorHAnsi" w:cs="Times New Roman"/>
          <w:b/>
          <w:lang w:eastAsia="en-US"/>
        </w:rPr>
      </w:pPr>
      <w:r w:rsidRPr="00156690">
        <w:rPr>
          <w:rFonts w:eastAsiaTheme="minorHAnsi" w:cs="Times New Roman"/>
          <w:b/>
          <w:lang w:eastAsia="en-US"/>
        </w:rPr>
        <w:t>K bodu 32</w:t>
      </w:r>
    </w:p>
    <w:p w:rsidR="00156690" w:rsidRPr="00156690" w:rsidRDefault="00156690" w:rsidP="00156690">
      <w:pPr>
        <w:spacing w:before="120" w:after="120"/>
        <w:jc w:val="both"/>
        <w:rPr>
          <w:rFonts w:cs="Times New Roman"/>
        </w:rPr>
      </w:pPr>
      <w:r w:rsidRPr="00156690">
        <w:rPr>
          <w:rFonts w:cs="Times New Roman"/>
        </w:rPr>
        <w:t>Vypúšťa sa kompetencia Dopravného úradu vo vzťahu k čl. 40 ods. 1 delegovaného nariadenia (EÚ) 2019/945 v platnom znení, pretože na UAS podľa III. kapitoly delegovaného nariadenia (EÚ) 2019/945 v platnom znení, ktoré sú nad 25 kg, sa nevzťahuje dohľad podľa čl. 35 až 39 delegovaného nariadenia (EÚ) 2019/945 v platnom znení. Kompetencia Dopravného úradu je ustanovená § 48 ods. 1 písm. a) piatom bode zákona č. 143/1998 Z. z. o civilnom letectve.</w:t>
      </w:r>
    </w:p>
    <w:p w:rsidR="00156690" w:rsidRPr="00156690" w:rsidRDefault="00156690" w:rsidP="00156690">
      <w:pPr>
        <w:widowControl/>
        <w:adjustRightInd/>
        <w:spacing w:before="120" w:after="120"/>
        <w:jc w:val="both"/>
        <w:rPr>
          <w:rFonts w:eastAsiaTheme="minorHAnsi" w:cs="Times New Roman"/>
          <w:lang w:eastAsia="en-US"/>
        </w:rPr>
      </w:pPr>
      <w:r w:rsidRPr="00156690">
        <w:rPr>
          <w:rFonts w:eastAsiaTheme="minorHAnsi" w:cs="Times New Roman"/>
          <w:lang w:eastAsia="en-US"/>
        </w:rPr>
        <w:t>Dopravný úrad sa ustanovuje ako orgán dohľadu nad určeným výrobkom podľa čl. 11 nariadenia (EÚ) 2023/1542 v platnom znení pre vyberateľné a vymeniteľné prenosné batérie a LMT batérie, ktoré sú súčasťou určeného výrobku a pre zabudované prenosné batérie a LMT batérie, ktoré sú náhradnými dielmi k napájanému zariadeniu (výrobku), pre ktorý je orgánom dohľadu nad určenými výrobkami podľa § 26.</w:t>
      </w:r>
    </w:p>
    <w:p w:rsidR="00156690" w:rsidRPr="00156690" w:rsidRDefault="00156690" w:rsidP="00156690">
      <w:pPr>
        <w:spacing w:before="120" w:after="120"/>
        <w:jc w:val="both"/>
        <w:rPr>
          <w:rFonts w:cs="Times New Roman"/>
        </w:rPr>
      </w:pPr>
      <w:r w:rsidRPr="00156690">
        <w:rPr>
          <w:rFonts w:cs="Times New Roman"/>
        </w:rPr>
        <w:t>Znenie poznámky pod čiarou k odkazu 52 pre rozsah činnosti pri výkone dohľadu Dopravného úradu ako orgánu dohľadu nad určeným výrobkom podľa čl. 11 nariadenia (EÚ) 2023/1542 v platnom znení sa dopĺňa o čl. 79 až 83 nariadenia (EÚ) 2023/1542 v platnom znení.</w:t>
      </w:r>
    </w:p>
    <w:p w:rsidR="00156690" w:rsidRPr="00156690" w:rsidRDefault="00156690" w:rsidP="00156690">
      <w:pPr>
        <w:widowControl/>
        <w:adjustRightInd/>
        <w:spacing w:before="120" w:after="120"/>
        <w:jc w:val="both"/>
        <w:rPr>
          <w:rFonts w:eastAsiaTheme="minorHAnsi" w:cs="Times New Roman"/>
          <w:lang w:eastAsia="en-US"/>
        </w:rPr>
      </w:pPr>
      <w:r w:rsidRPr="00156690">
        <w:rPr>
          <w:rFonts w:eastAsiaTheme="minorHAnsi" w:cs="Times New Roman"/>
          <w:lang w:eastAsia="en-US"/>
        </w:rPr>
        <w:t xml:space="preserve">Zároveň sa legislatívno-technicky upravujú celé poznámky k odkazom 51 a 52. </w:t>
      </w:r>
    </w:p>
    <w:p w:rsidR="00156690" w:rsidRPr="00156690" w:rsidRDefault="00156690" w:rsidP="00156690">
      <w:pPr>
        <w:widowControl/>
        <w:adjustRightInd/>
        <w:spacing w:before="120" w:after="120"/>
        <w:jc w:val="both"/>
        <w:rPr>
          <w:rFonts w:eastAsiaTheme="minorHAnsi" w:cs="Times New Roman"/>
          <w:b/>
          <w:lang w:eastAsia="en-US"/>
        </w:rPr>
      </w:pPr>
    </w:p>
    <w:p w:rsidR="00156690" w:rsidRPr="00156690" w:rsidRDefault="00156690" w:rsidP="00156690">
      <w:pPr>
        <w:widowControl/>
        <w:adjustRightInd/>
        <w:spacing w:before="120" w:after="120"/>
        <w:jc w:val="both"/>
        <w:rPr>
          <w:rFonts w:eastAsiaTheme="minorHAnsi" w:cs="Times New Roman"/>
          <w:b/>
          <w:lang w:eastAsia="en-US"/>
        </w:rPr>
      </w:pPr>
      <w:r w:rsidRPr="00156690">
        <w:rPr>
          <w:rFonts w:eastAsiaTheme="minorHAnsi" w:cs="Times New Roman"/>
          <w:b/>
          <w:lang w:eastAsia="en-US"/>
        </w:rPr>
        <w:t>K bodom 33 a 34</w:t>
      </w:r>
    </w:p>
    <w:p w:rsidR="00156690" w:rsidRPr="00156690" w:rsidRDefault="00156690" w:rsidP="00156690">
      <w:pPr>
        <w:widowControl/>
        <w:adjustRightInd/>
        <w:spacing w:before="120" w:after="120"/>
        <w:jc w:val="both"/>
        <w:rPr>
          <w:rFonts w:eastAsiaTheme="minorHAnsi" w:cs="Times New Roman"/>
          <w:b/>
          <w:lang w:eastAsia="en-US"/>
        </w:rPr>
      </w:pPr>
      <w:r w:rsidRPr="00156690">
        <w:rPr>
          <w:rFonts w:eastAsiaTheme="minorHAnsi" w:cs="Times New Roman"/>
          <w:lang w:eastAsia="en-US"/>
        </w:rPr>
        <w:t>Štátny ústav pre kontrolu liečiv sa ustanovuje ako orgán dohľadu nad určeným výrobkom podľa čl. 11 nariadenia (EÚ) 2023/1542 v platnom znení pre vyberateľné a vymeniteľné prenosné batérie a LMT batérie, ktoré sú súčasťou určeného výrobku, pre ktorý je orgánom dohľadu nad určenými výrobkami podľa § 26 a pre zabudované prenosné batérie a LMT batérie, ktoré sú náhradnými dielmi k napájanému zariadeniu (výrobku).</w:t>
      </w:r>
    </w:p>
    <w:p w:rsidR="00156690" w:rsidRPr="00156690" w:rsidRDefault="00156690" w:rsidP="00156690">
      <w:pPr>
        <w:spacing w:before="120" w:after="120"/>
        <w:jc w:val="both"/>
        <w:rPr>
          <w:rFonts w:cs="Times New Roman"/>
        </w:rPr>
      </w:pPr>
      <w:r w:rsidRPr="00156690">
        <w:rPr>
          <w:rFonts w:cs="Times New Roman"/>
        </w:rPr>
        <w:t>Znenie poznámky pod čiarou k odkazu 55 pre rozsah činnosti Štátneho ústavu pre kontrolu liečiv ako orgánu dohľadu nad určeným výrobkom podľa čl. 11 nariadenia (EÚ) 2023/1542 v platnom znení sa dopĺňa o čl. 79 až 83 nariadenia (EÚ) 2023/1542 v platnom znení.</w:t>
      </w:r>
    </w:p>
    <w:p w:rsidR="00156690" w:rsidRPr="00156690" w:rsidRDefault="00156690" w:rsidP="00156690">
      <w:pPr>
        <w:widowControl/>
        <w:adjustRightInd/>
        <w:spacing w:before="120" w:after="120"/>
        <w:jc w:val="both"/>
        <w:rPr>
          <w:rFonts w:eastAsiaTheme="minorHAnsi" w:cs="Times New Roman"/>
          <w:b/>
          <w:lang w:eastAsia="en-US"/>
        </w:rPr>
      </w:pPr>
    </w:p>
    <w:p w:rsidR="00156690" w:rsidRPr="00156690" w:rsidRDefault="00156690" w:rsidP="00156690">
      <w:pPr>
        <w:widowControl/>
        <w:adjustRightInd/>
        <w:spacing w:before="120" w:after="120"/>
        <w:jc w:val="both"/>
        <w:rPr>
          <w:rFonts w:eastAsiaTheme="minorHAnsi" w:cs="Times New Roman"/>
          <w:b/>
          <w:lang w:eastAsia="en-US"/>
        </w:rPr>
      </w:pPr>
      <w:r w:rsidRPr="00156690">
        <w:rPr>
          <w:rFonts w:eastAsiaTheme="minorHAnsi" w:cs="Times New Roman"/>
          <w:b/>
          <w:lang w:eastAsia="en-US"/>
        </w:rPr>
        <w:t xml:space="preserve">K bodu 35 </w:t>
      </w:r>
    </w:p>
    <w:p w:rsidR="00156690" w:rsidRPr="00156690" w:rsidRDefault="00156690" w:rsidP="00156690">
      <w:pPr>
        <w:widowControl/>
        <w:adjustRightInd/>
        <w:spacing w:before="120" w:after="120"/>
        <w:jc w:val="both"/>
        <w:rPr>
          <w:rFonts w:eastAsiaTheme="minorHAnsi" w:cs="Times New Roman"/>
          <w:lang w:eastAsia="en-US"/>
        </w:rPr>
      </w:pPr>
      <w:r w:rsidRPr="00156690">
        <w:rPr>
          <w:rFonts w:eastAsiaTheme="minorHAnsi" w:cs="Times New Roman"/>
          <w:lang w:eastAsia="en-US"/>
        </w:rPr>
        <w:t>Poznámka pod čiarou k odkazu 56 sa upravuje z dôvodu prijatia nového právneho predpisu.</w:t>
      </w:r>
    </w:p>
    <w:p w:rsidR="00156690" w:rsidRPr="00156690" w:rsidRDefault="00156690" w:rsidP="00156690">
      <w:pPr>
        <w:widowControl/>
        <w:adjustRightInd/>
        <w:spacing w:before="120" w:after="120"/>
        <w:jc w:val="both"/>
        <w:rPr>
          <w:rFonts w:eastAsiaTheme="minorHAnsi" w:cs="Times New Roman"/>
          <w:b/>
          <w:lang w:eastAsia="en-US"/>
        </w:rPr>
      </w:pPr>
    </w:p>
    <w:p w:rsidR="00156690" w:rsidRPr="00156690" w:rsidRDefault="00156690" w:rsidP="00156690">
      <w:pPr>
        <w:widowControl/>
        <w:adjustRightInd/>
        <w:spacing w:before="120" w:after="120"/>
        <w:jc w:val="both"/>
        <w:rPr>
          <w:rFonts w:eastAsiaTheme="minorHAnsi" w:cs="Times New Roman"/>
          <w:b/>
          <w:lang w:eastAsia="en-US"/>
        </w:rPr>
      </w:pPr>
      <w:r w:rsidRPr="00156690">
        <w:rPr>
          <w:rFonts w:eastAsiaTheme="minorHAnsi" w:cs="Times New Roman"/>
          <w:b/>
          <w:lang w:eastAsia="en-US"/>
        </w:rPr>
        <w:t xml:space="preserve">K bodu 36 </w:t>
      </w:r>
    </w:p>
    <w:p w:rsidR="00156690" w:rsidRPr="00156690" w:rsidRDefault="00156690" w:rsidP="00156690">
      <w:pPr>
        <w:widowControl/>
        <w:adjustRightInd/>
        <w:spacing w:before="120" w:after="120"/>
        <w:jc w:val="both"/>
        <w:rPr>
          <w:rFonts w:eastAsiaTheme="minorHAnsi" w:cs="Times New Roman"/>
          <w:lang w:eastAsia="en-US"/>
        </w:rPr>
      </w:pPr>
      <w:r w:rsidRPr="00156690">
        <w:rPr>
          <w:rFonts w:eastAsiaTheme="minorHAnsi" w:cs="Times New Roman"/>
          <w:lang w:eastAsia="en-US"/>
        </w:rPr>
        <w:t xml:space="preserve">Slovenský metrologický inšpektorát sa ustanovuje ako orgán dohľadu nad určeným výrobkom podľa čl. 11 nariadenia (EÚ) 2023/1542 v platnom znení pre vyberateľné a vymeniteľné prenosné batérie a LMT batérie, ktoré sú súčasťou určeného výrobku, pre ktorý je orgánom dohľadu nad určenými výrobkami podľa § 26 zákona a pre zabudované prenosné batérie a LMT batérie, ktoré sú náhradnými dielmi k napájanému zariadeniu (výrobku). </w:t>
      </w:r>
    </w:p>
    <w:p w:rsidR="00156690" w:rsidRPr="00156690" w:rsidRDefault="00156690" w:rsidP="00156690">
      <w:pPr>
        <w:widowControl/>
        <w:adjustRightInd/>
        <w:spacing w:before="120" w:after="120"/>
        <w:jc w:val="both"/>
        <w:rPr>
          <w:rFonts w:eastAsiaTheme="minorHAnsi" w:cs="Times New Roman"/>
          <w:lang w:eastAsia="en-US"/>
        </w:rPr>
      </w:pPr>
      <w:r w:rsidRPr="00156690">
        <w:rPr>
          <w:rFonts w:eastAsiaTheme="minorHAnsi" w:cs="Times New Roman"/>
          <w:lang w:eastAsia="en-US"/>
        </w:rPr>
        <w:t>Znenie poznámky k odkazu 58 pre rozsah činnosti Slovenského metrologického inšpektorátu, ako orgánu dohľadu nad určeným výrobkom podľa čl. 11 nariadenia (EÚ) 2023/1542 v platnom znení sa dopĺňa o čl. 79 až 83  nariadenia (EÚ) 2023/1542 v platnom znení. Zároveň sa celé poznámky k odkazom 57 a 58 legislatívno-technicky upravujú.</w:t>
      </w:r>
    </w:p>
    <w:p w:rsidR="00156690" w:rsidRPr="00156690" w:rsidRDefault="00156690" w:rsidP="00156690">
      <w:pPr>
        <w:spacing w:before="120" w:after="120"/>
        <w:jc w:val="both"/>
        <w:rPr>
          <w:rFonts w:cs="Times New Roman"/>
          <w:b/>
        </w:rPr>
      </w:pPr>
    </w:p>
    <w:p w:rsidR="00156690" w:rsidRPr="00156690" w:rsidRDefault="00156690" w:rsidP="00156690">
      <w:pPr>
        <w:spacing w:before="120" w:after="120"/>
        <w:jc w:val="both"/>
        <w:rPr>
          <w:rFonts w:cs="Times New Roman"/>
          <w:b/>
        </w:rPr>
      </w:pPr>
      <w:r w:rsidRPr="00156690">
        <w:rPr>
          <w:rFonts w:cs="Times New Roman"/>
          <w:b/>
        </w:rPr>
        <w:t>K bodu 37</w:t>
      </w:r>
    </w:p>
    <w:p w:rsidR="00156690" w:rsidRPr="00156690" w:rsidRDefault="00156690" w:rsidP="00156690">
      <w:pPr>
        <w:widowControl/>
        <w:adjustRightInd/>
        <w:spacing w:before="120" w:after="120"/>
        <w:jc w:val="both"/>
        <w:rPr>
          <w:rFonts w:eastAsiaTheme="minorHAnsi" w:cs="Times New Roman"/>
          <w:lang w:eastAsia="en-US"/>
        </w:rPr>
      </w:pPr>
      <w:r w:rsidRPr="00156690">
        <w:rPr>
          <w:rFonts w:eastAsiaTheme="minorHAnsi" w:cs="Times New Roman"/>
          <w:lang w:eastAsia="en-US"/>
        </w:rPr>
        <w:t xml:space="preserve">Hlavný banský úrad a obvodné banské úrady sa určujú ako orgán dohľadu nad určeným výrobkom podľa čl. 11 nariadenia (EÚ) 2023/1542 v platnom znení pre vyberateľné a vymeniteľné prenosné batérie a LMT batérie, ktoré sú súčasťou určeného výrobku, pre ktorý sú orgánom dohľadu nad určenými výrobkami podľa § 26 zákona a pre zabudované prenosné batérie a LMT batérie, ktoré sú náhradnými dielmi k napájanému zariadeniu (výrobku). </w:t>
      </w:r>
    </w:p>
    <w:p w:rsidR="00156690" w:rsidRPr="00156690" w:rsidRDefault="00156690" w:rsidP="00156690">
      <w:pPr>
        <w:widowControl/>
        <w:adjustRightInd/>
        <w:spacing w:before="120" w:after="120"/>
        <w:jc w:val="both"/>
        <w:rPr>
          <w:rFonts w:eastAsiaTheme="minorHAnsi" w:cs="Times New Roman"/>
          <w:lang w:eastAsia="en-US"/>
        </w:rPr>
      </w:pPr>
      <w:r w:rsidRPr="00156690">
        <w:rPr>
          <w:rFonts w:eastAsiaTheme="minorHAnsi" w:cs="Times New Roman"/>
          <w:lang w:eastAsia="en-US"/>
        </w:rPr>
        <w:t>Znenie poznámky k odkazu 61 pre rozsah činnosti Hlavného banského úradu a obvodných banských úradov ako orgánu dohľadu nad určeným výrobkom podľa čl. 11 nariadenia (EÚ) 2023/1542 v platnom znení sa dopĺňa o čl. 79 až 83 nariadenia (EÚ) 2023/1542 v platnom znení. Zároveň sa celá poznámky k odkazom 60 a 61 legislatívno-technicky upravujú.</w:t>
      </w:r>
    </w:p>
    <w:p w:rsidR="00156690" w:rsidRPr="00156690" w:rsidRDefault="00156690" w:rsidP="00156690">
      <w:pPr>
        <w:spacing w:before="120" w:after="120"/>
        <w:jc w:val="both"/>
        <w:rPr>
          <w:rFonts w:cs="Times New Roman"/>
          <w:b/>
        </w:rPr>
      </w:pPr>
    </w:p>
    <w:p w:rsidR="00156690" w:rsidRPr="00156690" w:rsidRDefault="00156690" w:rsidP="00156690">
      <w:pPr>
        <w:spacing w:before="120" w:after="120"/>
        <w:jc w:val="both"/>
        <w:rPr>
          <w:rFonts w:cs="Times New Roman"/>
          <w:b/>
        </w:rPr>
      </w:pPr>
      <w:r w:rsidRPr="00156690">
        <w:rPr>
          <w:rFonts w:cs="Times New Roman"/>
          <w:b/>
        </w:rPr>
        <w:t>K bodu 38</w:t>
      </w:r>
    </w:p>
    <w:p w:rsidR="00156690" w:rsidRPr="00156690" w:rsidRDefault="00156690" w:rsidP="00156690">
      <w:pPr>
        <w:widowControl/>
        <w:adjustRightInd/>
        <w:spacing w:before="120" w:after="120"/>
        <w:jc w:val="both"/>
        <w:rPr>
          <w:rFonts w:eastAsiaTheme="minorHAnsi" w:cs="Times New Roman"/>
          <w:b/>
          <w:lang w:eastAsia="en-US"/>
        </w:rPr>
      </w:pPr>
      <w:r w:rsidRPr="00156690">
        <w:rPr>
          <w:rFonts w:eastAsiaTheme="minorHAnsi" w:cs="Times New Roman"/>
          <w:lang w:eastAsia="en-US"/>
        </w:rPr>
        <w:t>Upravuje sa názov Ministerstva dopravy Slovenskej republiky v súlade so zákonom č. 575/2001 Z. z. o organizácii činnosti vlády a organizácii ústrednej štátnej správy v znení neskorších predpisov.</w:t>
      </w:r>
    </w:p>
    <w:p w:rsidR="00156690" w:rsidRPr="00156690" w:rsidRDefault="00156690" w:rsidP="00156690">
      <w:pPr>
        <w:widowControl/>
        <w:adjustRightInd/>
        <w:spacing w:before="120" w:after="120"/>
        <w:jc w:val="both"/>
        <w:rPr>
          <w:rFonts w:eastAsiaTheme="minorHAnsi" w:cs="Times New Roman"/>
          <w:lang w:eastAsia="en-US"/>
        </w:rPr>
      </w:pPr>
      <w:r w:rsidRPr="00156690">
        <w:rPr>
          <w:rFonts w:eastAsiaTheme="minorHAnsi" w:cs="Times New Roman"/>
          <w:lang w:eastAsia="en-US"/>
        </w:rPr>
        <w:t xml:space="preserve">Ministerstvo dopravy Slovenskej republiky sa ustanovuje ako orgán dohľadu nad určeným výrobkom podľa čl. 11 nariadenia (EÚ) 2023/1542 v platnom znení pre vyberateľné a vymeniteľné prenosné batérie a LMT batérie, ktoré sú súčasťou určeného výrobku, pre ktorý je orgánom dohľadu nad určenými výrobkami podľa § 26 zákona a pre zabudované prenosné batérie a LMT batérie, ktoré sú náhradnými dielmi k napájanému zariadeniu (výrobku). </w:t>
      </w:r>
    </w:p>
    <w:p w:rsidR="00156690" w:rsidRPr="00156690" w:rsidRDefault="00156690" w:rsidP="00156690">
      <w:pPr>
        <w:spacing w:before="120" w:after="120"/>
        <w:jc w:val="both"/>
        <w:rPr>
          <w:rFonts w:cs="Times New Roman"/>
        </w:rPr>
      </w:pPr>
      <w:r w:rsidRPr="00156690">
        <w:rPr>
          <w:rFonts w:cs="Times New Roman"/>
        </w:rPr>
        <w:t xml:space="preserve">Znenie poznámky k odkazu 63 pre rozsah činnosti Ministerstva dopravy Slovenskej republiky ako orgánu dohľadu nad určeným výrobkom podľa čl. 11 nariadenia (EÚ) 2023/1542 v platnom znení sa dopĺňa o čl. 79 až 83 nariadenia (EÚ) 2023/1542 v platnom znení. </w:t>
      </w:r>
    </w:p>
    <w:p w:rsidR="00156690" w:rsidRPr="00156690" w:rsidRDefault="00156690" w:rsidP="00156690">
      <w:pPr>
        <w:spacing w:before="120" w:after="120"/>
        <w:jc w:val="both"/>
        <w:rPr>
          <w:rFonts w:cs="Times New Roman"/>
        </w:rPr>
      </w:pPr>
      <w:r w:rsidRPr="00156690">
        <w:rPr>
          <w:rFonts w:cs="Times New Roman"/>
        </w:rPr>
        <w:t>Zároveň sa celé poznámky k odkazom 62 a 63 legislatívno-technicky upravujú.</w:t>
      </w:r>
    </w:p>
    <w:p w:rsidR="00156690" w:rsidRPr="00156690" w:rsidRDefault="00156690" w:rsidP="00156690">
      <w:pPr>
        <w:widowControl/>
        <w:adjustRightInd/>
        <w:spacing w:before="120" w:after="120"/>
        <w:jc w:val="both"/>
        <w:rPr>
          <w:rFonts w:eastAsiaTheme="minorHAnsi" w:cs="Times New Roman"/>
          <w:b/>
          <w:lang w:eastAsia="en-US"/>
        </w:rPr>
      </w:pPr>
    </w:p>
    <w:p w:rsidR="00156690" w:rsidRPr="00156690" w:rsidRDefault="00156690" w:rsidP="00156690">
      <w:pPr>
        <w:widowControl/>
        <w:adjustRightInd/>
        <w:spacing w:before="120" w:after="120"/>
        <w:jc w:val="both"/>
        <w:rPr>
          <w:rFonts w:eastAsiaTheme="minorHAnsi" w:cs="Times New Roman"/>
          <w:b/>
          <w:lang w:eastAsia="en-US"/>
        </w:rPr>
      </w:pPr>
      <w:r w:rsidRPr="00156690">
        <w:rPr>
          <w:rFonts w:eastAsiaTheme="minorHAnsi" w:cs="Times New Roman"/>
          <w:b/>
          <w:lang w:eastAsia="en-US"/>
        </w:rPr>
        <w:t>K bodu 39</w:t>
      </w:r>
    </w:p>
    <w:p w:rsidR="00156690" w:rsidRPr="00156690" w:rsidRDefault="00156690" w:rsidP="00156690">
      <w:pPr>
        <w:widowControl/>
        <w:adjustRightInd/>
        <w:spacing w:before="120" w:after="120"/>
        <w:jc w:val="both"/>
        <w:rPr>
          <w:rFonts w:eastAsiaTheme="minorHAnsi" w:cs="Times New Roman"/>
          <w:lang w:eastAsia="en-US"/>
        </w:rPr>
      </w:pPr>
      <w:r w:rsidRPr="00156690">
        <w:rPr>
          <w:rFonts w:eastAsiaTheme="minorHAnsi" w:cs="Times New Roman"/>
          <w:lang w:eastAsia="en-US"/>
        </w:rPr>
        <w:t xml:space="preserve">Ustanovuje sa nový orgán dohľadu nad určenými výrobkami, ktorými sú výrobky, ktoré prichádzajú do kontaktu s vodou určenou na ľudskú spotrebu, a to regionálne úrady verejného zdravotníctva pre delegované nariadenie (EÚ) 2024/370 </w:t>
      </w:r>
      <w:r w:rsidRPr="00156690">
        <w:rPr>
          <w:rFonts w:eastAsiaTheme="minorHAnsi" w:cs="Times New Roman"/>
          <w:bCs/>
          <w:shd w:val="clear" w:color="auto" w:fill="FFFFFF"/>
          <w:lang w:eastAsia="en-US"/>
        </w:rPr>
        <w:t xml:space="preserve">a </w:t>
      </w:r>
      <w:r w:rsidRPr="00156690">
        <w:rPr>
          <w:rFonts w:eastAsiaTheme="minorHAnsi" w:cs="Times New Roman"/>
          <w:lang w:eastAsia="en-US"/>
        </w:rPr>
        <w:t>delegované nariadenie (EÚ) 2024/371. V súvislosti s novou kompetenciou regionálnych úradov verejného zdravotníctva sa upravuje v čl. VI návrhu zákona aj zákon č. 355/2007 Z. z..</w:t>
      </w:r>
    </w:p>
    <w:p w:rsidR="00156690" w:rsidRPr="00156690" w:rsidRDefault="00156690" w:rsidP="00156690">
      <w:pPr>
        <w:spacing w:before="120" w:after="120"/>
        <w:jc w:val="both"/>
        <w:rPr>
          <w:rFonts w:cs="Times New Roman"/>
        </w:rPr>
      </w:pPr>
      <w:r w:rsidRPr="00156690">
        <w:rPr>
          <w:rFonts w:cs="Times New Roman"/>
        </w:rPr>
        <w:t>Regionálne úrady verejného zdravotníctva sa ustanovujú aj ako orgán dohľadu nad určeným výrobkom podľa čl. 11 nariadenia (EÚ) 2023/1542 v platnom znení pre vyberateľné a vymeniteľné prenosné batérie a LMT batérie, ktoré sú súčasťou určeného výrobku, pre ktorý sú orgánom dohľadu nad určenými výrobkami podľa § 26 návrhu zákona a pre zabudované prenosné batérie a LMT batérie, ktoré sú náhradnými dielmi k napájanému zariadeniu (výrobku) pre rozsah činnosti pri výkone dohľadu podľa čl. 79 až 83 nariadenia (EÚ) 2023/1542 v platnom znení.</w:t>
      </w:r>
    </w:p>
    <w:p w:rsidR="00156690" w:rsidRPr="00156690" w:rsidRDefault="00156690" w:rsidP="00156690">
      <w:pPr>
        <w:widowControl/>
        <w:adjustRightInd/>
        <w:spacing w:before="120" w:after="120"/>
        <w:jc w:val="both"/>
        <w:rPr>
          <w:rFonts w:cs="Times New Roman"/>
          <w:lang w:eastAsia="en-US"/>
        </w:rPr>
      </w:pPr>
      <w:r w:rsidRPr="00156690">
        <w:rPr>
          <w:rFonts w:eastAsiaTheme="minorHAnsi" w:cs="Times New Roman"/>
          <w:lang w:eastAsia="en-US"/>
        </w:rPr>
        <w:t xml:space="preserve">Zároveň sa ustanovuje nový orgán dohľadu nad určeným výrobkom, ktorým je produkt s digitálnymi prvkami, a to Národný bezpečnostný úrad (ďalej len „NBÚ”), pre </w:t>
      </w:r>
      <w:r w:rsidRPr="00156690">
        <w:rPr>
          <w:rFonts w:eastAsiaTheme="minorHAnsi" w:cs="Times New Roman"/>
          <w:bCs/>
          <w:shd w:val="clear" w:color="auto" w:fill="FFFFFF"/>
          <w:lang w:eastAsia="en-US"/>
        </w:rPr>
        <w:t>nariadenie (EÚ) 2024/2847 v platnom znení</w:t>
      </w:r>
      <w:r w:rsidRPr="00156690">
        <w:rPr>
          <w:rFonts w:eastAsiaTheme="minorHAnsi" w:cs="Times New Roman"/>
          <w:lang w:eastAsia="en-US"/>
        </w:rPr>
        <w:t xml:space="preserve">. V súvislosti s novou kompetenciou NBÚ sa upravuje v čl. VIII návrhu zákona aj zákon č. </w:t>
      </w:r>
      <w:r w:rsidRPr="00156690">
        <w:rPr>
          <w:rFonts w:cs="Times New Roman"/>
          <w:lang w:eastAsia="en-US"/>
        </w:rPr>
        <w:t xml:space="preserve">69/2018 Z. z. o kybernetickej bezpečnosti a o zmene a doplnení niektorých zákonov v znení neskorších predpisov (ďalej len „zákon č. 69/2018 Z. z. v znení neskorších predpisov“). </w:t>
      </w:r>
    </w:p>
    <w:p w:rsidR="00156690" w:rsidRPr="00156690" w:rsidRDefault="00156690" w:rsidP="00156690">
      <w:pPr>
        <w:widowControl/>
        <w:adjustRightInd/>
        <w:spacing w:before="120" w:after="120"/>
        <w:jc w:val="both"/>
        <w:rPr>
          <w:rFonts w:eastAsiaTheme="minorHAnsi" w:cs="Times New Roman"/>
          <w:b/>
          <w:lang w:eastAsia="en-US"/>
        </w:rPr>
      </w:pPr>
    </w:p>
    <w:p w:rsidR="00156690" w:rsidRPr="00156690" w:rsidRDefault="00156690" w:rsidP="00156690">
      <w:pPr>
        <w:widowControl/>
        <w:adjustRightInd/>
        <w:spacing w:before="120" w:after="120"/>
        <w:jc w:val="both"/>
        <w:rPr>
          <w:rFonts w:eastAsiaTheme="minorHAnsi" w:cs="Times New Roman"/>
          <w:b/>
          <w:lang w:eastAsia="en-US"/>
        </w:rPr>
      </w:pPr>
      <w:r w:rsidRPr="00156690">
        <w:rPr>
          <w:rFonts w:eastAsiaTheme="minorHAnsi" w:cs="Times New Roman"/>
          <w:b/>
          <w:lang w:eastAsia="en-US"/>
        </w:rPr>
        <w:t xml:space="preserve">K bodu 40 </w:t>
      </w:r>
    </w:p>
    <w:p w:rsidR="00156690" w:rsidRPr="00156690" w:rsidRDefault="00156690" w:rsidP="00156690">
      <w:pPr>
        <w:widowControl/>
        <w:adjustRightInd/>
        <w:spacing w:before="120" w:after="120"/>
        <w:jc w:val="both"/>
        <w:rPr>
          <w:rFonts w:eastAsiaTheme="minorHAnsi" w:cs="Times New Roman"/>
          <w:lang w:eastAsia="en-US"/>
        </w:rPr>
      </w:pPr>
      <w:r w:rsidRPr="00156690">
        <w:rPr>
          <w:rFonts w:eastAsiaTheme="minorHAnsi" w:cs="Times New Roman"/>
          <w:lang w:eastAsia="en-US"/>
        </w:rPr>
        <w:t xml:space="preserve">Systematicky sa dopĺňa do § 27 ods. 1 písm. a) ustanovenie § 27 ods. 1 písm. e), ktorého pôvodný text sa v nadväznosti na presun do písm. a) nahrádza novým znením. Pôvodné znenie aj nové znenie sa týka prijímania „dobrovoľných“ nápravných opatrení zo strany kontrolovaného hospodárskeho subjektu. Znenie je oproti pôvodnému zneniu precizované v nadväznosti na aplikačnú prax s cieľom jasne ustanoviť, že ak orgán dohľadu nad určenými výrobkami na základe výsledkov dohľadu zistí, že výrobok nespĺňa základné požiadavky, požiadavky ustanovené zákonom alebo technickým predpisom z oblasti posudzovania zhody, bezodkladne požiada príslušný hospodársky subjekt o prijatie primeraného nápravného opatrenia, t. j. umožní mu prijať opatrenie na odstránenie zisteného nedostatku. Až v prípade neprijatia nápravného opatrenia podľa § 27 ods. 1 písm. a) zo strany kontrolovanej osoby, resp. jeho nesplnenia v požadovanom rozsahu či lehote, uloží orgán dohľadu nad určenými výrobkami „povinné“ opatrenie ustanovené v § 27 písm. d) až i). </w:t>
      </w:r>
    </w:p>
    <w:p w:rsidR="00156690" w:rsidRPr="00156690" w:rsidRDefault="00156690" w:rsidP="00156690">
      <w:pPr>
        <w:widowControl/>
        <w:adjustRightInd/>
        <w:spacing w:before="120" w:after="120"/>
        <w:jc w:val="both"/>
        <w:rPr>
          <w:rFonts w:eastAsiaTheme="minorHAnsi" w:cs="Times New Roman"/>
          <w:b/>
          <w:lang w:eastAsia="en-US"/>
        </w:rPr>
      </w:pPr>
    </w:p>
    <w:p w:rsidR="00156690" w:rsidRPr="00156690" w:rsidRDefault="00156690" w:rsidP="00156690">
      <w:pPr>
        <w:widowControl/>
        <w:adjustRightInd/>
        <w:spacing w:before="120" w:after="120"/>
        <w:jc w:val="both"/>
        <w:rPr>
          <w:rFonts w:eastAsiaTheme="minorHAnsi" w:cs="Times New Roman"/>
          <w:b/>
          <w:lang w:eastAsia="en-US"/>
        </w:rPr>
      </w:pPr>
      <w:r w:rsidRPr="00156690">
        <w:rPr>
          <w:rFonts w:eastAsiaTheme="minorHAnsi" w:cs="Times New Roman"/>
          <w:b/>
          <w:lang w:eastAsia="en-US"/>
        </w:rPr>
        <w:t>K bodu 41</w:t>
      </w:r>
    </w:p>
    <w:p w:rsidR="00156690" w:rsidRDefault="00156690" w:rsidP="00156690">
      <w:pPr>
        <w:spacing w:before="120" w:after="120"/>
        <w:jc w:val="both"/>
        <w:rPr>
          <w:rFonts w:cs="Times New Roman"/>
        </w:rPr>
      </w:pPr>
      <w:r w:rsidRPr="00156690">
        <w:rPr>
          <w:rFonts w:cs="Times New Roman"/>
        </w:rPr>
        <w:t xml:space="preserve">V rámci výkonu dohľadu nad určenými výrobkami je zásadnou právomocou orgánu dohľadu nad určenými výrobkami odoberať vzorky a s tým spojená povinnosť kontrolovaných hospodárskych subjektov </w:t>
      </w:r>
      <w:proofErr w:type="spellStart"/>
      <w:r w:rsidRPr="00156690">
        <w:rPr>
          <w:rFonts w:cs="Times New Roman"/>
        </w:rPr>
        <w:t>refakturovať</w:t>
      </w:r>
      <w:proofErr w:type="spellEnd"/>
      <w:r w:rsidRPr="00156690">
        <w:rPr>
          <w:rFonts w:cs="Times New Roman"/>
        </w:rPr>
        <w:t xml:space="preserve"> náklady na tieto skúšky ako aj samotnú vzorku v prípadoch, keď kontrolovaný určený výrobok nie je v súlade so základnými požiadavkami, požiadavkami ustanovenými zákonom alebo technickým predpisom z oblasti posudzovania zhody. Aktuálne znenie zákona síce umožňuje orgánu dohľadu nad určeným výrobkom žiadať refundovať vynaložené náklady na skúšky a vzorku, avšak nerieši, čo s takouto vzorkou po ukončení skúšok, čo v niektorých prípadoch spôsobuje orgánom dohľadu nad určenými výrobkami zásadné komplikácie napr. nedostatočná kapacita skladovacích priestorov. Novelou zákona sa upravuje možnosť orgánu dohľadu nad určenými výrobkami s prihliadnutím na povahu a účel odobraných vzoriek a vykonaných skúšok po ich ukončení rozhodnúť sa ako so vzorkou alebo jej zvyškom naložiť, a to podľa povahy veci vzorku alebo jej zvyšok uchovať, vrátiť kontrolovanej osobe alebo zlikvidovať. Obdobne je to riešené aj v prípade, ak sa realizuje odber vzorky podľa zákona č. 128/2002 Z. z. o štátnej kontrole vnútorného trhu vo veciach ochrany spotrebiteľa a o zmene a doplnení niektorých zákonov v znení neskorších predpisov (ďalej len „zákon č. 128/2002 Z. z. </w:t>
      </w:r>
      <w:r w:rsidR="00762333">
        <w:rPr>
          <w:rFonts w:cs="Times New Roman"/>
        </w:rPr>
        <w:t>v znení neskorších predpisov“).</w:t>
      </w:r>
    </w:p>
    <w:p w:rsidR="00762333" w:rsidRPr="00762333" w:rsidRDefault="00762333" w:rsidP="00156690">
      <w:pPr>
        <w:spacing w:before="120" w:after="120"/>
        <w:jc w:val="both"/>
        <w:rPr>
          <w:rFonts w:cs="Times New Roman"/>
        </w:rPr>
      </w:pPr>
    </w:p>
    <w:p w:rsidR="00156690" w:rsidRPr="00156690" w:rsidRDefault="00156690" w:rsidP="00156690">
      <w:pPr>
        <w:spacing w:before="120" w:after="120"/>
        <w:jc w:val="both"/>
        <w:rPr>
          <w:rFonts w:cs="Times New Roman"/>
          <w:b/>
        </w:rPr>
      </w:pPr>
      <w:r w:rsidRPr="00156690">
        <w:rPr>
          <w:rFonts w:cs="Times New Roman"/>
          <w:b/>
        </w:rPr>
        <w:t>K bodu 42</w:t>
      </w:r>
    </w:p>
    <w:p w:rsidR="00156690" w:rsidRPr="00156690" w:rsidRDefault="00156690" w:rsidP="00156690">
      <w:pPr>
        <w:spacing w:before="120" w:after="120"/>
        <w:jc w:val="both"/>
        <w:rPr>
          <w:rFonts w:cs="Times New Roman"/>
        </w:rPr>
      </w:pPr>
      <w:r w:rsidRPr="00156690">
        <w:rPr>
          <w:rFonts w:cs="Times New Roman"/>
        </w:rPr>
        <w:t xml:space="preserve">Pôvodné ustanovenie v § 27 ods. 1 písm. e) sa vypúšťa a systematicky sa dopĺňa do písm. a) v novom navrhovanom znení. </w:t>
      </w:r>
    </w:p>
    <w:p w:rsidR="00156690" w:rsidRPr="00156690" w:rsidRDefault="00156690" w:rsidP="00156690">
      <w:pPr>
        <w:spacing w:before="120" w:after="120"/>
        <w:jc w:val="both"/>
        <w:rPr>
          <w:rFonts w:cs="Times New Roman"/>
          <w:b/>
        </w:rPr>
      </w:pPr>
    </w:p>
    <w:p w:rsidR="00156690" w:rsidRPr="00156690" w:rsidRDefault="00156690" w:rsidP="00156690">
      <w:pPr>
        <w:spacing w:before="120" w:after="120"/>
        <w:jc w:val="both"/>
        <w:rPr>
          <w:rFonts w:cs="Times New Roman"/>
          <w:b/>
        </w:rPr>
      </w:pPr>
      <w:r w:rsidRPr="00156690">
        <w:rPr>
          <w:rFonts w:cs="Times New Roman"/>
          <w:b/>
        </w:rPr>
        <w:t>K bodu 43</w:t>
      </w:r>
    </w:p>
    <w:p w:rsidR="00156690" w:rsidRPr="00156690" w:rsidRDefault="00156690" w:rsidP="00156690">
      <w:pPr>
        <w:spacing w:before="120" w:after="120"/>
        <w:jc w:val="both"/>
        <w:rPr>
          <w:rFonts w:cs="Times New Roman"/>
        </w:rPr>
      </w:pPr>
      <w:r w:rsidRPr="00156690">
        <w:rPr>
          <w:rFonts w:cs="Times New Roman"/>
        </w:rPr>
        <w:t>Textácia ustanovenia sa precizuje a upravuje v nadväznosti na zmenu ustanovenia § 27 ods. 1 písm. a).</w:t>
      </w:r>
    </w:p>
    <w:p w:rsidR="00156690" w:rsidRPr="00156690" w:rsidRDefault="00156690" w:rsidP="00156690">
      <w:pPr>
        <w:spacing w:before="120" w:after="120"/>
        <w:jc w:val="both"/>
        <w:rPr>
          <w:rFonts w:cs="Times New Roman"/>
          <w:b/>
        </w:rPr>
      </w:pPr>
    </w:p>
    <w:p w:rsidR="00156690" w:rsidRPr="00156690" w:rsidRDefault="00156690" w:rsidP="00156690">
      <w:pPr>
        <w:spacing w:before="120" w:after="120"/>
        <w:jc w:val="both"/>
        <w:rPr>
          <w:rFonts w:cs="Times New Roman"/>
          <w:b/>
        </w:rPr>
      </w:pPr>
      <w:r w:rsidRPr="00156690">
        <w:rPr>
          <w:rFonts w:cs="Times New Roman"/>
          <w:b/>
        </w:rPr>
        <w:t>K bodu 44</w:t>
      </w:r>
    </w:p>
    <w:p w:rsidR="00156690" w:rsidRPr="00156690" w:rsidRDefault="00156690" w:rsidP="00156690">
      <w:pPr>
        <w:spacing w:before="120" w:after="120"/>
        <w:jc w:val="both"/>
        <w:rPr>
          <w:rFonts w:cs="Times New Roman"/>
        </w:rPr>
      </w:pPr>
      <w:r w:rsidRPr="00156690">
        <w:rPr>
          <w:rFonts w:cs="Times New Roman"/>
        </w:rPr>
        <w:t>Z dôvodu zmeny § 27 ods. 1 písm. a) sa vypúšťa „písm. a)“ v ustanovení § 27 ods. 1 písm. f), pretože je možné uložiť toto opatrenie len v tom prípade, ak orgán dohľadu nad určenými výrobkami preukáže, že napriek splneniu všetkých predpísaných náležitostí, a to najmä pokiaľ ide o plnenie technických požiadaviek, výrobok predstavuje riziko ohrozenia bezpečnosti koncového používateľa. Preukázanie tejto skutočnosti je možné len na základe výsledku skúšok vykonaných priamo na hodnotenom výrobku podľa § 27 ods. 1 písm. c).</w:t>
      </w:r>
    </w:p>
    <w:p w:rsidR="00156690" w:rsidRPr="00156690" w:rsidRDefault="00156690" w:rsidP="00156690">
      <w:pPr>
        <w:spacing w:before="120" w:after="120"/>
        <w:jc w:val="both"/>
        <w:rPr>
          <w:rFonts w:cs="Times New Roman"/>
        </w:rPr>
      </w:pPr>
    </w:p>
    <w:p w:rsidR="00156690" w:rsidRPr="00156690" w:rsidRDefault="00156690" w:rsidP="00156690">
      <w:pPr>
        <w:widowControl/>
        <w:adjustRightInd/>
        <w:spacing w:before="120" w:after="120"/>
        <w:jc w:val="both"/>
        <w:rPr>
          <w:rFonts w:eastAsiaTheme="minorHAnsi" w:cs="Times New Roman"/>
          <w:b/>
          <w:lang w:eastAsia="en-US"/>
        </w:rPr>
      </w:pPr>
      <w:r w:rsidRPr="00156690">
        <w:rPr>
          <w:rFonts w:eastAsiaTheme="minorHAnsi" w:cs="Times New Roman"/>
          <w:b/>
          <w:lang w:eastAsia="en-US"/>
        </w:rPr>
        <w:t>K bodu 45</w:t>
      </w:r>
    </w:p>
    <w:p w:rsidR="00156690" w:rsidRPr="00156690" w:rsidRDefault="00156690" w:rsidP="00156690">
      <w:pPr>
        <w:widowControl/>
        <w:adjustRightInd/>
        <w:spacing w:before="120" w:after="120"/>
        <w:jc w:val="both"/>
        <w:rPr>
          <w:rFonts w:eastAsiaTheme="minorHAnsi" w:cs="Times New Roman"/>
          <w:lang w:eastAsia="en-US"/>
        </w:rPr>
      </w:pPr>
      <w:r w:rsidRPr="00156690">
        <w:rPr>
          <w:rFonts w:eastAsiaTheme="minorHAnsi" w:cs="Times New Roman"/>
          <w:lang w:eastAsia="en-US"/>
        </w:rPr>
        <w:t>Upravuje sa vnútorný odkaz z dôvodu úpravy § 9a.</w:t>
      </w:r>
    </w:p>
    <w:p w:rsidR="00156690" w:rsidRPr="00156690" w:rsidRDefault="00156690" w:rsidP="00156690">
      <w:pPr>
        <w:widowControl/>
        <w:adjustRightInd/>
        <w:spacing w:before="120" w:after="120"/>
        <w:jc w:val="both"/>
        <w:rPr>
          <w:rFonts w:eastAsiaTheme="minorHAnsi" w:cs="Times New Roman"/>
          <w:lang w:eastAsia="en-US"/>
        </w:rPr>
      </w:pPr>
    </w:p>
    <w:p w:rsidR="00156690" w:rsidRPr="00156690" w:rsidRDefault="00156690" w:rsidP="00156690">
      <w:pPr>
        <w:widowControl/>
        <w:adjustRightInd/>
        <w:spacing w:before="120" w:after="120"/>
        <w:jc w:val="both"/>
        <w:rPr>
          <w:rFonts w:eastAsiaTheme="minorHAnsi" w:cs="Times New Roman"/>
          <w:b/>
          <w:lang w:eastAsia="en-US"/>
        </w:rPr>
      </w:pPr>
      <w:r w:rsidRPr="00156690">
        <w:rPr>
          <w:rFonts w:eastAsiaTheme="minorHAnsi" w:cs="Times New Roman"/>
          <w:b/>
          <w:lang w:eastAsia="en-US"/>
        </w:rPr>
        <w:t>K bodu 46</w:t>
      </w:r>
    </w:p>
    <w:p w:rsidR="00156690" w:rsidRPr="00156690" w:rsidRDefault="00156690" w:rsidP="00156690">
      <w:pPr>
        <w:spacing w:before="120" w:after="120"/>
        <w:contextualSpacing/>
        <w:jc w:val="both"/>
        <w:rPr>
          <w:rFonts w:cs="Times New Roman"/>
        </w:rPr>
      </w:pPr>
      <w:r w:rsidRPr="00156690">
        <w:rPr>
          <w:rFonts w:cs="Times New Roman"/>
        </w:rPr>
        <w:t>Dopĺňa sa oprávnenie orgánu dohľadu nad určeným výrobkom uložiť opatrenie na odstránenie zisteného nedostatku v prípade zistenia porušenia inej povinnosti hospodárskeho subjektu podľa zákona alebo technického predpisu z oblasti posudzovania zhody z dôvodu, že zákon doposiaľ neupravoval uloženie primeraného opatrenia v prípade takéhoto zistenia, pričom podľa § 28 ods. 3 sú orgány dohľadu nad určenými výrobkami oprávnené uložiť sankciu tomu, kto poruší inú povinnosť hospodárskeho subjektu, a podľa § 27 ods. 1 písm. g) sú oprávnené uložiť opatrenie hospodárskemu subjektu na odstránenie zisteného nedostatku, ktorým sa zakáže alebo obmedzí sprístupnenie určeného výrobku na trhu, nariadi stiahnutie určeného výrobku z trhu alebo jeho spätné prevzatie, ak iná administratívna požiadavka podľa § 5 až 9a nie je splnená. Opatrenie nadväzuje na § 5 ods. 1 písm. r), § 6 ods. § 1, § 7 ods. 1 písm. l), § 8 ods. 2 písm. g) a § 9a. Potreba doplnenia tohto opatrenia vyplynula najmä z aplikačnej praxe, kedy orgán dohľadu nad určenými výrobkami pri výkone dohľadu nad dodržiavaním zákazu predaja určených výrobkov (napr. pyrotechnické výrobky) osobám mladším ako 18 rokov a zisteného porušenia ukladá tzv. „</w:t>
      </w:r>
      <w:r w:rsidRPr="00156690">
        <w:rPr>
          <w:rFonts w:cs="Times New Roman"/>
          <w:iCs/>
        </w:rPr>
        <w:t>opatrenie na odstránenie zisteného nedostatku</w:t>
      </w:r>
      <w:r w:rsidRPr="00156690">
        <w:rPr>
          <w:rFonts w:cs="Times New Roman"/>
        </w:rPr>
        <w:t xml:space="preserve">“, čo znamená, že nariadi osobe, u ktorej sa vykonáva dohľad vykonať opatrenia na odstránenie zisteného nedostatku. Uloženie takéhoto opatrenia má zabezpečiť, aby kontrolovaný subjekt ďalej nepredával určené výrobky neplnoletým osobám a zabezpečil (napr. školením zamestnancov), aby už k tomuto porušovaniu zákonnej povinnosti v budúcnosti nedochádzalo. Doplnením opatrenia do návrhu zákona môžu orgány dohľadu nad určenými výrobkami v rámci výkonu dohľadu aplikovať výlučne ustanovenia zákona bez potreby súbežného využitia kompetenčného zákona, a súčasne v prípade recidívy (opakovanej kontroly plnenia uloženého opatrenia) má orgán dohľadu nad určenými výrobkami možnosť uložiť sankciu už nie za porušenie inej povinnosti hospodárskeho subjektu podľa § 28 ods. 3, ale za nesplnenie opatrenia uloženého orgánom dohľadu nad určenými výrobkami podľa § 28 ods. 2 písm. g). Najmä v prípade pyrotechnických výrobkov je nevyhnutné zabezpečiť, aby k nim nemali prístup deti, resp. neplnoleté osoby z dôvodu možného vážneho ohrozenia ich zdravia, a neposlednom rade aj možnej majetkovej ujmy (riziko vzniku požiaru). </w:t>
      </w:r>
    </w:p>
    <w:p w:rsidR="00156690" w:rsidRPr="00156690" w:rsidRDefault="00156690" w:rsidP="00156690">
      <w:pPr>
        <w:spacing w:before="120" w:after="120"/>
        <w:contextualSpacing/>
        <w:jc w:val="both"/>
        <w:rPr>
          <w:rFonts w:cs="Times New Roman"/>
        </w:rPr>
      </w:pPr>
    </w:p>
    <w:p w:rsidR="00156690" w:rsidRPr="00156690" w:rsidRDefault="00156690" w:rsidP="00156690">
      <w:pPr>
        <w:spacing w:before="120" w:after="120"/>
        <w:contextualSpacing/>
        <w:jc w:val="both"/>
        <w:rPr>
          <w:rFonts w:cs="Times New Roman"/>
          <w:b/>
        </w:rPr>
      </w:pPr>
      <w:r w:rsidRPr="00156690">
        <w:rPr>
          <w:rFonts w:cs="Times New Roman"/>
          <w:b/>
        </w:rPr>
        <w:t>K bodu 47</w:t>
      </w:r>
    </w:p>
    <w:p w:rsidR="00156690" w:rsidRPr="00156690" w:rsidRDefault="00156690" w:rsidP="00156690">
      <w:pPr>
        <w:widowControl/>
        <w:adjustRightInd/>
        <w:spacing w:before="120" w:after="120"/>
        <w:jc w:val="both"/>
        <w:rPr>
          <w:rFonts w:eastAsiaTheme="minorHAnsi" w:cs="Times New Roman"/>
          <w:lang w:eastAsia="en-US"/>
        </w:rPr>
      </w:pPr>
      <w:r w:rsidRPr="00156690">
        <w:rPr>
          <w:rFonts w:eastAsiaTheme="minorHAnsi" w:cs="Times New Roman"/>
          <w:lang w:eastAsia="en-US"/>
        </w:rPr>
        <w:t>Upravuje sa vnútorný odkaz z dôvodu úpravy § 27 ods. 1.</w:t>
      </w:r>
    </w:p>
    <w:p w:rsidR="00156690" w:rsidRPr="00156690" w:rsidRDefault="00156690" w:rsidP="00156690">
      <w:pPr>
        <w:spacing w:before="120" w:after="120"/>
        <w:contextualSpacing/>
        <w:jc w:val="both"/>
        <w:rPr>
          <w:rFonts w:cs="Times New Roman"/>
          <w:b/>
        </w:rPr>
      </w:pPr>
    </w:p>
    <w:p w:rsidR="00156690" w:rsidRPr="00156690" w:rsidRDefault="00156690" w:rsidP="00156690">
      <w:pPr>
        <w:spacing w:before="120" w:after="120"/>
        <w:contextualSpacing/>
        <w:jc w:val="both"/>
        <w:rPr>
          <w:rFonts w:cs="Times New Roman"/>
          <w:b/>
        </w:rPr>
      </w:pPr>
      <w:r w:rsidRPr="00156690">
        <w:rPr>
          <w:rFonts w:cs="Times New Roman"/>
          <w:b/>
        </w:rPr>
        <w:t>K bodu 48</w:t>
      </w:r>
    </w:p>
    <w:p w:rsidR="00156690" w:rsidRPr="00156690" w:rsidRDefault="00156690" w:rsidP="00156690">
      <w:pPr>
        <w:widowControl/>
        <w:adjustRightInd/>
        <w:spacing w:before="120" w:after="120"/>
        <w:jc w:val="both"/>
        <w:rPr>
          <w:rFonts w:eastAsiaTheme="minorHAnsi" w:cs="Times New Roman"/>
          <w:lang w:eastAsia="en-US"/>
        </w:rPr>
      </w:pPr>
      <w:r w:rsidRPr="00156690">
        <w:rPr>
          <w:rFonts w:eastAsiaTheme="minorHAnsi" w:cs="Times New Roman"/>
          <w:lang w:eastAsia="en-US"/>
        </w:rPr>
        <w:t>Upravuje sa vnútorný odkaz z dôvodu úpravy § 27 ods. 1.</w:t>
      </w:r>
    </w:p>
    <w:p w:rsidR="00156690" w:rsidRPr="00156690" w:rsidRDefault="00156690" w:rsidP="00156690">
      <w:pPr>
        <w:widowControl/>
        <w:adjustRightInd/>
        <w:spacing w:before="120" w:after="120"/>
        <w:jc w:val="both"/>
        <w:rPr>
          <w:rFonts w:eastAsiaTheme="minorHAnsi" w:cs="Times New Roman"/>
          <w:b/>
          <w:lang w:eastAsia="en-US"/>
        </w:rPr>
      </w:pPr>
    </w:p>
    <w:p w:rsidR="00156690" w:rsidRPr="00156690" w:rsidRDefault="00156690" w:rsidP="00156690">
      <w:pPr>
        <w:widowControl/>
        <w:adjustRightInd/>
        <w:spacing w:before="120" w:after="120"/>
        <w:jc w:val="both"/>
        <w:rPr>
          <w:rFonts w:eastAsiaTheme="minorHAnsi" w:cs="Times New Roman"/>
          <w:b/>
          <w:lang w:eastAsia="en-US"/>
        </w:rPr>
      </w:pPr>
      <w:r w:rsidRPr="00156690">
        <w:rPr>
          <w:rFonts w:eastAsiaTheme="minorHAnsi" w:cs="Times New Roman"/>
          <w:b/>
          <w:lang w:eastAsia="en-US"/>
        </w:rPr>
        <w:t>K bodu 49</w:t>
      </w:r>
    </w:p>
    <w:p w:rsidR="00156690" w:rsidRPr="00156690" w:rsidRDefault="00156690" w:rsidP="00156690">
      <w:pPr>
        <w:spacing w:before="120" w:after="120"/>
        <w:contextualSpacing/>
        <w:jc w:val="both"/>
        <w:rPr>
          <w:rFonts w:cs="Times New Roman"/>
        </w:rPr>
      </w:pPr>
      <w:r w:rsidRPr="00156690">
        <w:rPr>
          <w:rFonts w:cs="Times New Roman"/>
        </w:rPr>
        <w:t>Z aplikačnej praxe vyplynulo, že pri hĺbkových kontrolách problémových hospodárskych subjektov v rámci výkonu dohľadu nad určenými výrobkami hospodárske subjekty orgánom dohľadu nad určenými výrobkami predkladajú veľké množstvá dokumentov, ktoré často nesúvisia s výkonom dohľadu nad určenými výrobkami alebo vo formátoch a štruktúre, ktorá výrazným spôsobom komplikuje činnosť orgánu dohľadu nad určenými výrobkami. Precizovaním ustanovenia sa zamedzí takémuto konaniu hospodárskych subjektov.</w:t>
      </w:r>
    </w:p>
    <w:p w:rsidR="00156690" w:rsidRPr="00156690" w:rsidRDefault="00156690" w:rsidP="00156690">
      <w:pPr>
        <w:spacing w:before="120" w:after="120"/>
        <w:contextualSpacing/>
        <w:jc w:val="both"/>
        <w:rPr>
          <w:rFonts w:cs="Times New Roman"/>
        </w:rPr>
      </w:pPr>
    </w:p>
    <w:p w:rsidR="00156690" w:rsidRPr="00156690" w:rsidRDefault="00156690" w:rsidP="00156690">
      <w:pPr>
        <w:spacing w:before="120" w:after="120"/>
        <w:contextualSpacing/>
        <w:jc w:val="both"/>
        <w:rPr>
          <w:rFonts w:cs="Times New Roman"/>
        </w:rPr>
      </w:pPr>
      <w:r w:rsidRPr="00156690">
        <w:rPr>
          <w:rFonts w:cs="Times New Roman"/>
          <w:b/>
        </w:rPr>
        <w:t>K bodu 50</w:t>
      </w:r>
    </w:p>
    <w:p w:rsidR="00156690" w:rsidRPr="00156690" w:rsidRDefault="00156690" w:rsidP="00156690">
      <w:pPr>
        <w:widowControl/>
        <w:adjustRightInd/>
        <w:spacing w:before="120" w:after="120"/>
        <w:jc w:val="both"/>
        <w:rPr>
          <w:rFonts w:eastAsiaTheme="minorHAnsi" w:cs="Times New Roman"/>
          <w:lang w:eastAsia="en-US"/>
        </w:rPr>
      </w:pPr>
      <w:r w:rsidRPr="00156690">
        <w:rPr>
          <w:rFonts w:eastAsiaTheme="minorHAnsi" w:cs="Times New Roman"/>
          <w:lang w:eastAsia="en-US"/>
        </w:rPr>
        <w:t>V nadväznosti na aplikačnú prax sa precizuje ustanovenie, ktorým sa určuje povinnosť tomu, kto sprístupnil určený výrobok na trhu, aby uhradil náklady na zabezpečenie vzoriek a skúšok, ako aj ďalšie s tým súvisiace náklady, ktoré vznikli orgánu dohľadu nad určenými výrobkami v súvislosti s dokazovaním overenia kvality, bezpečnosti a zhody určeného výrobku podľa § 27 ods. 1 písm. c). Dokazovaním týchto skutočností vznikajú náklady, ktoré je povinný uhradiť kontrolovaný hospodársky subjekt, pričom sa precizuje lehota, ktorú určí orgán dohľadu nad určenými výrobkami, ktorá nesmie byť kratšia ako 15 dní odo dňa doručenia výzvy na úhradu.</w:t>
      </w:r>
    </w:p>
    <w:p w:rsidR="00156690" w:rsidRPr="00156690" w:rsidRDefault="00156690" w:rsidP="00156690">
      <w:pPr>
        <w:widowControl/>
        <w:adjustRightInd/>
        <w:spacing w:before="120" w:after="120"/>
        <w:jc w:val="both"/>
        <w:rPr>
          <w:rFonts w:eastAsiaTheme="minorHAnsi" w:cs="Times New Roman"/>
          <w:b/>
          <w:lang w:eastAsia="en-US"/>
        </w:rPr>
      </w:pPr>
    </w:p>
    <w:p w:rsidR="00156690" w:rsidRPr="00156690" w:rsidRDefault="00156690" w:rsidP="00156690">
      <w:pPr>
        <w:widowControl/>
        <w:adjustRightInd/>
        <w:spacing w:before="120" w:after="120"/>
        <w:jc w:val="both"/>
        <w:rPr>
          <w:rFonts w:eastAsiaTheme="minorHAnsi" w:cs="Times New Roman"/>
          <w:b/>
          <w:lang w:eastAsia="en-US"/>
        </w:rPr>
      </w:pPr>
      <w:r w:rsidRPr="00156690">
        <w:rPr>
          <w:rFonts w:eastAsiaTheme="minorHAnsi" w:cs="Times New Roman"/>
          <w:b/>
          <w:lang w:eastAsia="en-US"/>
        </w:rPr>
        <w:t>K bodu 51</w:t>
      </w:r>
    </w:p>
    <w:p w:rsidR="00156690" w:rsidRPr="00156690" w:rsidRDefault="00156690" w:rsidP="00156690">
      <w:pPr>
        <w:spacing w:before="120" w:after="120"/>
        <w:jc w:val="both"/>
        <w:rPr>
          <w:rFonts w:cs="Times New Roman"/>
        </w:rPr>
      </w:pPr>
      <w:r w:rsidRPr="00156690">
        <w:rPr>
          <w:rFonts w:cs="Times New Roman"/>
        </w:rPr>
        <w:t>V rámci výkonu dohľadu nad určenými výrobkami podľa § 27 sa v praxi vyskytujú prípady, kedy nie je možné overiť súlad určeného výrobku so základnými požiadavkami, s požiadavkami ustanovenými zákonom alebo technickým predpisom z oblasti posudzovania zhody z dôvodu, že kontrolované určené výrobky sú zabalené spôsobom, ktorý neumožňuje napr. kontrolu povinného označenia podľa § 24 (napr. kontrola respirátorov, ktoré sú balené v obaloch, ktoré je nevyhnuté rozbaliť pre riadne prekontrolovanie plnenia zákonom stanovených povinností hospodárskeho subjektu). Kontrolované hospodárske subjekty následne žiadajú preplatiť náklady s odôvodnením, že rozbalený výrobok nedokážu predať. Precizovaním ustanovenia sa zamedzí takémuto konaniu hospodárskych subjektov.</w:t>
      </w:r>
    </w:p>
    <w:p w:rsidR="00156690" w:rsidRPr="00156690" w:rsidRDefault="00156690" w:rsidP="00156690">
      <w:pPr>
        <w:spacing w:before="120" w:after="120"/>
        <w:jc w:val="both"/>
        <w:rPr>
          <w:rFonts w:cs="Times New Roman"/>
        </w:rPr>
      </w:pPr>
    </w:p>
    <w:p w:rsidR="00156690" w:rsidRPr="00156690" w:rsidRDefault="00156690" w:rsidP="00156690">
      <w:pPr>
        <w:spacing w:before="120" w:after="120"/>
        <w:jc w:val="both"/>
        <w:rPr>
          <w:rFonts w:cs="Times New Roman"/>
        </w:rPr>
      </w:pPr>
      <w:r w:rsidRPr="00156690">
        <w:rPr>
          <w:rFonts w:cs="Times New Roman"/>
          <w:b/>
        </w:rPr>
        <w:t>K bodu 52</w:t>
      </w:r>
    </w:p>
    <w:p w:rsidR="00156690" w:rsidRPr="00156690" w:rsidRDefault="00156690" w:rsidP="00156690">
      <w:pPr>
        <w:spacing w:before="120" w:after="120"/>
        <w:jc w:val="both"/>
        <w:rPr>
          <w:rFonts w:cs="Times New Roman"/>
        </w:rPr>
      </w:pPr>
      <w:r w:rsidRPr="00156690">
        <w:rPr>
          <w:rFonts w:cs="Times New Roman"/>
        </w:rPr>
        <w:t>V nadväznosti na ustanovenie novelizačného bodu 40, NBÚ ako orgán dohľadu nad určenými výrobkom, ktorým je  produkt s digitálnymi prvkami podľa čl. 2 ods. 1 nariadenia (EÚ) 2024/2847 v platnom znení sa dopĺňa poznámka pod čiarou k odkazu 68 o zákon č. 69/2018 Z. z. v znení neskorších predpisov. Ak zákon č. 69/2018 Z. z. v znení neskorších predpisov ustanovuje iný postup výkonu dohľadu a iné alebo ďalšie postupy ako ustanovuje zákon, NBÚ pri výkone dohľadu nad určeným výrobkom podľa čl. 2 ods. 1 nariadenia (EÚ) 2024/2847 v platnom znení môže postupovať podľa zákona č. 69/2018 Z. z. v znení neskorších predpisov.</w:t>
      </w:r>
    </w:p>
    <w:p w:rsidR="00156690" w:rsidRPr="00156690" w:rsidRDefault="00156690" w:rsidP="00156690">
      <w:pPr>
        <w:spacing w:before="120" w:after="120"/>
        <w:jc w:val="both"/>
        <w:rPr>
          <w:rFonts w:cs="Times New Roman"/>
        </w:rPr>
      </w:pPr>
      <w:r w:rsidRPr="00156690">
        <w:rPr>
          <w:rFonts w:cs="Times New Roman"/>
        </w:rPr>
        <w:t xml:space="preserve">Zároveň sa celá poznámka legislatívno-technicky upravuje.  </w:t>
      </w:r>
    </w:p>
    <w:p w:rsidR="00156690" w:rsidRPr="00156690" w:rsidRDefault="00156690" w:rsidP="00156690">
      <w:pPr>
        <w:spacing w:before="120" w:after="120"/>
        <w:contextualSpacing/>
        <w:jc w:val="both"/>
        <w:rPr>
          <w:rFonts w:cs="Times New Roman"/>
          <w:b/>
        </w:rPr>
      </w:pPr>
    </w:p>
    <w:p w:rsidR="00156690" w:rsidRPr="00156690" w:rsidRDefault="00156690" w:rsidP="00156690">
      <w:pPr>
        <w:spacing w:before="120" w:after="120"/>
        <w:contextualSpacing/>
        <w:jc w:val="both"/>
        <w:rPr>
          <w:rFonts w:cs="Times New Roman"/>
          <w:b/>
        </w:rPr>
      </w:pPr>
      <w:r w:rsidRPr="00156690">
        <w:rPr>
          <w:rFonts w:cs="Times New Roman"/>
          <w:b/>
        </w:rPr>
        <w:t>K bodu 53</w:t>
      </w:r>
    </w:p>
    <w:p w:rsidR="00156690" w:rsidRPr="00156690" w:rsidRDefault="00156690" w:rsidP="00156690">
      <w:pPr>
        <w:spacing w:before="120" w:after="120"/>
        <w:jc w:val="both"/>
        <w:rPr>
          <w:rFonts w:cs="Times New Roman"/>
        </w:rPr>
      </w:pPr>
      <w:r w:rsidRPr="00156690">
        <w:rPr>
          <w:rFonts w:cs="Times New Roman"/>
        </w:rPr>
        <w:t>Inšpektorát práce a iný orgán inšpekcie práce, Dopravný úrad, Štátny ústav pre kontrolu liečiv, Slovenský metrologický inšpektorát, Hlavný banský úrad a obvodné banské úrady, Ministerstvo dopravy Slovenskej republiky a regionálne úrady verejného zdravotníctva ako orgány dohľadu nad určeným výrobkom podľa čl. 11 nariadenia (EÚ) 2023/1542 v platnom znení pre vyberateľné a vymeniteľné prenosné batérie a LMT batérie, ktoré sú súčasťou určeného výrobku a pre zabudované prenosné batérie a LMT batérie, ktoré sú náhradnými dielmi k napájanému zariadeniu (výrobku), pre ktorý sú orgánom dohľadu nad určenými výrobkami podľa § 26 návrhu zákona budú pri výkone dohľadu nad určeným výrobkom podľa čl. 11 nariadenia (EÚ) 2023/1542 v platnom znení spolupracovať so Slovenskou obchodnou inšpekciou ako orgánom dohľadu nad určeným výrobkom podľa nariadenia (EÚ) 2023/1542 v platnom znení. Doterajšie odseky 7 a 8 sa označujú ako odseky 8 a 9.</w:t>
      </w:r>
    </w:p>
    <w:p w:rsidR="00156690" w:rsidRPr="00156690" w:rsidRDefault="00156690" w:rsidP="00156690">
      <w:pPr>
        <w:widowControl/>
        <w:adjustRightInd/>
        <w:spacing w:before="120" w:after="120"/>
        <w:jc w:val="both"/>
        <w:rPr>
          <w:rFonts w:eastAsiaTheme="minorHAnsi" w:cs="Times New Roman"/>
          <w:b/>
          <w:lang w:eastAsia="en-US"/>
        </w:rPr>
      </w:pPr>
    </w:p>
    <w:p w:rsidR="00156690" w:rsidRPr="00156690" w:rsidRDefault="00156690" w:rsidP="00156690">
      <w:pPr>
        <w:widowControl/>
        <w:adjustRightInd/>
        <w:spacing w:before="120" w:after="120"/>
        <w:jc w:val="both"/>
        <w:rPr>
          <w:rFonts w:eastAsiaTheme="minorHAnsi" w:cs="Times New Roman"/>
          <w:b/>
          <w:lang w:eastAsia="en-US"/>
        </w:rPr>
      </w:pPr>
      <w:r w:rsidRPr="00156690">
        <w:rPr>
          <w:rFonts w:eastAsiaTheme="minorHAnsi" w:cs="Times New Roman"/>
          <w:b/>
          <w:lang w:eastAsia="en-US"/>
        </w:rPr>
        <w:t>K bodu 54</w:t>
      </w:r>
    </w:p>
    <w:p w:rsidR="00156690" w:rsidRPr="00156690" w:rsidRDefault="00156690" w:rsidP="00156690">
      <w:pPr>
        <w:widowControl/>
        <w:adjustRightInd/>
        <w:spacing w:before="120" w:after="120"/>
        <w:jc w:val="both"/>
        <w:rPr>
          <w:rFonts w:eastAsiaTheme="minorHAnsi" w:cs="Times New Roman"/>
          <w:lang w:eastAsia="en-US"/>
        </w:rPr>
      </w:pPr>
      <w:r w:rsidRPr="00156690">
        <w:rPr>
          <w:rFonts w:eastAsiaTheme="minorHAnsi" w:cs="Times New Roman"/>
          <w:lang w:eastAsia="en-US"/>
        </w:rPr>
        <w:t>Legislatívno-technická úprava z dôvodu prijatia nových právnych predpisov nariadenia (EÚ) 2024/1689 a nariadenia (EÚ) 2024/2847 v platnom znení.</w:t>
      </w:r>
    </w:p>
    <w:p w:rsidR="00156690" w:rsidRPr="00156690" w:rsidRDefault="00156690" w:rsidP="00156690">
      <w:pPr>
        <w:widowControl/>
        <w:adjustRightInd/>
        <w:spacing w:before="120" w:after="120"/>
        <w:jc w:val="both"/>
        <w:rPr>
          <w:rFonts w:eastAsiaTheme="minorHAnsi" w:cs="Times New Roman"/>
          <w:lang w:eastAsia="en-US"/>
        </w:rPr>
      </w:pPr>
    </w:p>
    <w:p w:rsidR="00156690" w:rsidRPr="00156690" w:rsidRDefault="00156690" w:rsidP="00156690">
      <w:pPr>
        <w:widowControl/>
        <w:adjustRightInd/>
        <w:spacing w:before="120" w:after="120"/>
        <w:jc w:val="both"/>
        <w:rPr>
          <w:rFonts w:eastAsiaTheme="minorHAnsi" w:cs="Times New Roman"/>
          <w:b/>
          <w:lang w:eastAsia="en-US"/>
        </w:rPr>
      </w:pPr>
      <w:r w:rsidRPr="00156690">
        <w:rPr>
          <w:rFonts w:eastAsiaTheme="minorHAnsi" w:cs="Times New Roman"/>
          <w:b/>
          <w:lang w:eastAsia="en-US"/>
        </w:rPr>
        <w:t>K bodu 55</w:t>
      </w:r>
    </w:p>
    <w:p w:rsidR="00156690" w:rsidRPr="00156690" w:rsidRDefault="00156690" w:rsidP="00156690">
      <w:pPr>
        <w:widowControl/>
        <w:adjustRightInd/>
        <w:spacing w:before="120" w:after="120"/>
        <w:jc w:val="both"/>
        <w:rPr>
          <w:rFonts w:eastAsiaTheme="minorHAnsi" w:cs="Times New Roman"/>
          <w:lang w:eastAsia="en-US"/>
        </w:rPr>
      </w:pPr>
      <w:r w:rsidRPr="00156690">
        <w:rPr>
          <w:rFonts w:eastAsiaTheme="minorHAnsi" w:cs="Times New Roman"/>
          <w:lang w:eastAsia="en-US"/>
        </w:rPr>
        <w:t>Návrhom zákona sa dopĺňa spolupráca autorizovanej osoby, ktorá má udelenú autorizáciu pre technický predpis z oblasti posudzovania zhody, ktorým je zákon č. 64/2019 Z. z. v znení neskorších predpisov so Slovenskou obchodnou inšpekciou ako orgánom dohľadu nad určeným výrobkom pri výkone dohľadu nad sprístupňovaním strelnej zbrane, streliva alebo tlmiča hluku výstrelu na trhu podľa zákona č. 64/2019 Z. z. v znení neskorších predpisov. Uvedené ustanovenie je implementáciou Rozhodnutia Medzinárodnej stálej komisie na skúšky ručných palných zbraní XXXVI – 23 v príslušnej časti (C.I.P.).</w:t>
      </w:r>
    </w:p>
    <w:p w:rsidR="00156690" w:rsidRPr="00156690" w:rsidRDefault="00156690" w:rsidP="00156690">
      <w:pPr>
        <w:widowControl/>
        <w:adjustRightInd/>
        <w:spacing w:before="120" w:after="120"/>
        <w:jc w:val="both"/>
        <w:rPr>
          <w:rFonts w:eastAsiaTheme="minorHAnsi" w:cs="Times New Roman"/>
          <w:b/>
          <w:lang w:eastAsia="en-US"/>
        </w:rPr>
      </w:pPr>
    </w:p>
    <w:p w:rsidR="00156690" w:rsidRPr="00156690" w:rsidRDefault="00156690" w:rsidP="00156690">
      <w:pPr>
        <w:widowControl/>
        <w:adjustRightInd/>
        <w:spacing w:before="120" w:after="120"/>
        <w:jc w:val="both"/>
        <w:rPr>
          <w:rFonts w:eastAsiaTheme="minorHAnsi" w:cs="Times New Roman"/>
          <w:b/>
          <w:lang w:eastAsia="en-US"/>
        </w:rPr>
      </w:pPr>
      <w:r w:rsidRPr="00156690">
        <w:rPr>
          <w:rFonts w:eastAsiaTheme="minorHAnsi" w:cs="Times New Roman"/>
          <w:b/>
          <w:lang w:eastAsia="en-US"/>
        </w:rPr>
        <w:t>K bodu 56</w:t>
      </w:r>
    </w:p>
    <w:p w:rsidR="00156690" w:rsidRPr="00156690" w:rsidRDefault="00156690" w:rsidP="00156690">
      <w:pPr>
        <w:spacing w:before="120" w:after="120"/>
        <w:jc w:val="both"/>
        <w:rPr>
          <w:rFonts w:cs="Times New Roman"/>
        </w:rPr>
      </w:pPr>
      <w:r w:rsidRPr="00156690">
        <w:rPr>
          <w:rFonts w:cs="Times New Roman"/>
        </w:rPr>
        <w:t>Ustanovením sa implementuje čl. 35 ods. 2 nariadenia (EÚ) 2024/1781 v súlade s čl. 9 nariadenia Európskeho parlamentu a Rady (EÚ) 2022/2065 z 19. októbra 2022 o jednotnom trhu s digitálnymi službami a o zmene smernice 2000/31/ES (akt o digitálnych službách) (Ú. v. EÚ L 277, 27.10.2022) v platnom znení (ďalej len „nariadenie (EÚ) 2022/2065 v platnom znení“). V záujme zachovania konzistentnej aplikačnej praxe, pokiaľ ide o príkazy v zmysle čl. 9 nariadenia (EÚ) 2022/2065 v platnom znení, sa v návrhu zákona zohľadňuje aj znenie § 153 zákona č. 264/2022 Z. z. o mediálnych službách a o zmene a doplnení niektorých zákonov (zákon o mediálnych službách) v znení zákona č. 203/2024 Z. z.</w:t>
      </w:r>
    </w:p>
    <w:p w:rsidR="00156690" w:rsidRPr="00156690" w:rsidRDefault="00156690" w:rsidP="00156690">
      <w:pPr>
        <w:widowControl/>
        <w:adjustRightInd/>
        <w:spacing w:before="120" w:after="120"/>
        <w:jc w:val="both"/>
        <w:rPr>
          <w:rFonts w:eastAsiaTheme="minorHAnsi" w:cs="Times New Roman"/>
          <w:lang w:eastAsia="en-US"/>
        </w:rPr>
      </w:pPr>
      <w:r w:rsidRPr="00156690">
        <w:rPr>
          <w:rFonts w:eastAsiaTheme="minorHAnsi" w:cs="Times New Roman"/>
          <w:lang w:eastAsia="en-US"/>
        </w:rPr>
        <w:t xml:space="preserve">Orgán dohľadu nad určeným výrobkom podľa nariadenia (EÚ) 2024/1781, ktorým je Slovenská obchodná inšpekcia (ďalej len „orgán dohľadu nad určeným výrobkom podľa nariadenia (EÚ) 2024/1781“) je oprávnený vydať príkaz konať proti nezákonnému obsahu, ktorý sa týka nevyhovujúceho výrobku, na ktorý sa vzťahujú požiadavky na </w:t>
      </w:r>
      <w:proofErr w:type="spellStart"/>
      <w:r w:rsidRPr="00156690">
        <w:rPr>
          <w:rFonts w:eastAsiaTheme="minorHAnsi" w:cs="Times New Roman"/>
          <w:lang w:eastAsia="en-US"/>
        </w:rPr>
        <w:t>ekodizajn</w:t>
      </w:r>
      <w:proofErr w:type="spellEnd"/>
      <w:r w:rsidRPr="00156690">
        <w:rPr>
          <w:rFonts w:eastAsiaTheme="minorHAnsi" w:cs="Times New Roman"/>
          <w:lang w:eastAsia="en-US"/>
        </w:rPr>
        <w:t xml:space="preserve"> podľa delegovaného aktu prijatého podľa čl. 4 nariadenia (EÚ) 2024/1781. Príkazom poskytovateľovi online trhoviska, ktorým je prevádzkovateľ online trhoviska podľa čl. 2 bod 54 nariadenia (EÚ)  2024/1781  uloží povinnosť odstrániť nezákonný obsah, znemožniť prístup k nezákonnému obsahu alebo zverejniť upozornenie pre spotrebiteľov, ktorí pristupujú k online rozhraniu poskytovateľa online trhoviska. V odseku 2 sú taxatívne vymedzené obsahové náležitosti príkazu konať proti nezákonnému obsahu.</w:t>
      </w:r>
    </w:p>
    <w:p w:rsidR="00156690" w:rsidRPr="00156690" w:rsidRDefault="00156690" w:rsidP="00156690">
      <w:pPr>
        <w:widowControl/>
        <w:adjustRightInd/>
        <w:spacing w:before="120" w:after="120"/>
        <w:jc w:val="both"/>
        <w:rPr>
          <w:rFonts w:eastAsiaTheme="minorHAnsi" w:cs="Times New Roman"/>
          <w:lang w:eastAsia="en-US"/>
        </w:rPr>
      </w:pPr>
      <w:r w:rsidRPr="00156690">
        <w:rPr>
          <w:rFonts w:eastAsiaTheme="minorHAnsi" w:cs="Times New Roman"/>
          <w:lang w:eastAsia="en-US"/>
        </w:rPr>
        <w:t>Príkaz konať proti nezákonnému obsahu je ustanovený obdobne ako je to v § 8 zákona č. 83/2025 Z. z. o všeobecnej zodpovednosti výrobkov a o zmene a doplnení niektorých zákonov (ďalej len „zákon č. 83/2025 Z. z.“), aby bola zachovaná konzistentnosť spôsobu implementácie čl. 9 nariadenia (EÚ) 2022/2065 v platnom znení z dôvodu, aby adresáti – poskytovatelia online trhovísk vedeli rýchlo a jednoducho identifikovať, že ide o príkaz podľa čl. 9 nariadenia (EÚ) 2022/2065 v platnom znení a musia postupovať podľa čl. 9 nariadenia (EÚ) 2022/2065 v platnom znení.</w:t>
      </w:r>
    </w:p>
    <w:p w:rsidR="00156690" w:rsidRPr="00156690" w:rsidRDefault="00156690" w:rsidP="00156690">
      <w:pPr>
        <w:spacing w:before="120" w:after="120"/>
        <w:jc w:val="both"/>
        <w:rPr>
          <w:rFonts w:cs="Times New Roman"/>
        </w:rPr>
      </w:pPr>
      <w:r w:rsidRPr="00156690">
        <w:rPr>
          <w:rFonts w:cs="Times New Roman"/>
        </w:rPr>
        <w:t>O vydaní príkazu konať proti nezákonnému obsahu musí orgán dohľadu nad určeným výrobkom podľa nariadenia (EÚ) 2024/1781 informovať prostredníctvom svojho webového sídla, prípadne aj iným vhodným spôsobom. Keďže ide o odklon od úpravy doručovania rozhodnutí podľa správneho poriadku, je potrebné priamo v zákone uviesť odkaz na osobitný režim doručovania v zmysle čl. 9 ods. 2 písm. c) nariadenia (EÚ) 2022/2065 v platnom znení. Orgán dohľadu nad určeným výrobkom podľa nariadenia (EÚ) 2024/1781 o vydaní príkazu a vykonaní príkazu informuje koordinátora digitálnych služieb, ktorým je Rada pre mediálne služby.</w:t>
      </w:r>
    </w:p>
    <w:p w:rsidR="00156690" w:rsidRPr="00156690" w:rsidRDefault="00156690" w:rsidP="00156690">
      <w:pPr>
        <w:spacing w:before="120" w:after="120"/>
        <w:jc w:val="both"/>
        <w:rPr>
          <w:rFonts w:cs="Times New Roman"/>
        </w:rPr>
      </w:pPr>
      <w:r w:rsidRPr="00156690">
        <w:rPr>
          <w:rFonts w:cs="Times New Roman"/>
        </w:rPr>
        <w:t xml:space="preserve">Každý, kto sa cíti byť účinkami príkazu konať proti nebezpečnému obsahu dotknutý na svojich právach môže voči tomuto príkazu podať námietku. Poskytovateľ online trhoviska musí byť v príkaze poučený o možnosti podať námietku proti príkazu. Z dôvodu posilnenia právnej istoty je priamo v zákone stanovená lehota, v ktorej je možné podať námietky voči príkazom konať proti nezákonnému obsahu, a to konkrétne do piatich pracovných dní odo dňa doručenia príkazu. Podanie námietky nemá odkladný účinok a nevzťahujú sa naň ustanovenia správneho poriadku. Orgán dohľadu nad určeným výrobkom podľa nariadenia (EÚ) 2024/1781 môže uznať námietku za plne dôvodnú, čiastočne dôvodnú alebo nedôvodnú. Ak orgán dohľadu nad určeným výrobkom uzná námietku za plne alebo čiastočne dôvodnú, vydá rozhodnutie, ktorým zruší alebo nahradí pôvodný príkaz. V prípade, ak orgán dohľadu nad určeným výrobkom podľa nariadenia (EÚ) 2024/1781 neuzná námietku za dôvodnú, vydá rozhodnutie o zamietnutí námietky. O zamietnutí námietky je orgán dohľadu nad určeným výrobkom podľa nariadenia (EÚ) 2024/1781 povinný informovať jej podávateľa, pričom rozhodnutie o zamietnutí námietky je orgán dohľadu nad určeným výrobkom podľa nariadenia (EÚ) 2024/1781 povinný zverejniť prostredníctvom svojho webového sídla. </w:t>
      </w:r>
    </w:p>
    <w:p w:rsidR="00156690" w:rsidRPr="00156690" w:rsidRDefault="00156690" w:rsidP="00156690">
      <w:pPr>
        <w:spacing w:before="120" w:after="120"/>
        <w:jc w:val="both"/>
        <w:rPr>
          <w:rFonts w:cs="Times New Roman"/>
        </w:rPr>
      </w:pPr>
      <w:r w:rsidRPr="00156690">
        <w:rPr>
          <w:rFonts w:cs="Times New Roman"/>
        </w:rPr>
        <w:t xml:space="preserve">Poskytovateľ online trhoviska je povinný bez zbytočného odkladu informovať orgán dohľadu nad určeným výrobkom podľa nariadenia (EÚ) 2024/1781, ktorý príkaz vydal alebo každý iný orgán uvedený v príkaze o vykonaní príkazu, pričom musí uviesť, či a kedy sa príkaz vykonal. V prípade, ak poskytovateľ online trhoviska neinformuje orgán dohľadu nad určeným výrobkom podľa nariadenia (EÚ) 2024/1781 o vykonaní príkazu, orgán dohľadu nad určeným výrobkom podľa nariadenia (EÚ) 2024/1781 podá podnet koordinátorovi digitálnych služieb na porušenie povinnosti podľa čl. 9 ods. 1 nariadenia (EÚ) 2022/2065 v platnom znení.  </w:t>
      </w:r>
    </w:p>
    <w:p w:rsidR="00156690" w:rsidRPr="00156690" w:rsidRDefault="00156690" w:rsidP="00156690">
      <w:pPr>
        <w:widowControl/>
        <w:adjustRightInd/>
        <w:spacing w:before="120" w:after="120"/>
        <w:jc w:val="both"/>
        <w:rPr>
          <w:rFonts w:eastAsiaTheme="minorHAnsi" w:cs="Times New Roman"/>
          <w:b/>
          <w:lang w:eastAsia="en-US"/>
        </w:rPr>
      </w:pPr>
    </w:p>
    <w:p w:rsidR="00156690" w:rsidRPr="00156690" w:rsidRDefault="00156690" w:rsidP="00156690">
      <w:pPr>
        <w:widowControl/>
        <w:adjustRightInd/>
        <w:spacing w:before="120" w:after="120"/>
        <w:jc w:val="both"/>
        <w:rPr>
          <w:rFonts w:eastAsiaTheme="minorHAnsi" w:cs="Times New Roman"/>
          <w:b/>
          <w:lang w:eastAsia="en-US"/>
        </w:rPr>
      </w:pPr>
      <w:r w:rsidRPr="00156690">
        <w:rPr>
          <w:rFonts w:eastAsiaTheme="minorHAnsi" w:cs="Times New Roman"/>
          <w:b/>
          <w:lang w:eastAsia="en-US"/>
        </w:rPr>
        <w:t>K bodu 57</w:t>
      </w:r>
    </w:p>
    <w:p w:rsidR="00156690" w:rsidRPr="00156690" w:rsidRDefault="00156690" w:rsidP="00156690">
      <w:pPr>
        <w:spacing w:before="120" w:after="120"/>
        <w:jc w:val="both"/>
        <w:rPr>
          <w:rFonts w:cs="Times New Roman"/>
        </w:rPr>
      </w:pPr>
      <w:r w:rsidRPr="00156690">
        <w:rPr>
          <w:rFonts w:cs="Times New Roman"/>
        </w:rPr>
        <w:t>Z aplikačnej praxe vyplynulo, že právna úprava nie je dostatočná, nakoľko orgán dohľadu nad určenými výrobkami nevie v praxi zrealizovať vyvodenie zodpovednosti, ak je na trhu sprístupnený výrobok, ktorý nie je určeným výrobkom podľa § 4 ods. 1 a je označený značkou podľa § 24 alebo označením CE umiestneným v rozpore s § 25 ods. 6. V praxi sa často vyskytuje, že je na trhu  sprístupnený takýto výrobok, pričom ide o nedostatok závažného charakteru, ktorý deklaruje spotrebiteľovi posúdenie zhody aj pri výrobkoch, ktoré nie sú určenými výrobkami. U spotrebiteľa to môže vzbudzovať zdanie bezpečnosti alebo plnenia vyšších nárokov na samotnú kvalitu takéhoto výrobku. Precizovaním ustanovenia sa zabezpečí možnosť postihovať aj distribútorov, ktorí sprístupňujú na trhu výrobky, ktoré nie sú určenými výrobkami, ale napriek tomu sú označené značkou podľa § 24 alebo označením CE umiestneným v rozpore s § 25 ods. 6.</w:t>
      </w:r>
    </w:p>
    <w:p w:rsidR="00156690" w:rsidRPr="00156690" w:rsidRDefault="00156690" w:rsidP="00156690">
      <w:pPr>
        <w:spacing w:before="120" w:after="120"/>
        <w:contextualSpacing/>
        <w:jc w:val="both"/>
        <w:rPr>
          <w:rFonts w:cs="Times New Roman"/>
          <w:b/>
        </w:rPr>
      </w:pPr>
    </w:p>
    <w:p w:rsidR="00156690" w:rsidRPr="00156690" w:rsidRDefault="00156690" w:rsidP="00156690">
      <w:pPr>
        <w:spacing w:before="120" w:after="120"/>
        <w:contextualSpacing/>
        <w:jc w:val="both"/>
        <w:rPr>
          <w:rFonts w:cs="Times New Roman"/>
          <w:b/>
        </w:rPr>
      </w:pPr>
      <w:r w:rsidRPr="00156690">
        <w:rPr>
          <w:rFonts w:cs="Times New Roman"/>
          <w:b/>
        </w:rPr>
        <w:t>K bodu 58</w:t>
      </w:r>
    </w:p>
    <w:p w:rsidR="00156690" w:rsidRPr="00156690" w:rsidRDefault="00156690" w:rsidP="00156690">
      <w:pPr>
        <w:spacing w:before="120" w:after="120"/>
        <w:contextualSpacing/>
        <w:jc w:val="both"/>
        <w:rPr>
          <w:rFonts w:cs="Times New Roman"/>
        </w:rPr>
      </w:pPr>
      <w:r w:rsidRPr="00156690">
        <w:rPr>
          <w:rFonts w:cs="Times New Roman"/>
        </w:rPr>
        <w:t>Precizovanie doterajšej právnej úpravy, nakoľko sa častokrát stáva, že orgán dohľadu nad určenými výrobkami zistí nedostatky pri výkone dohľadu, ktoré sa týkajú nielen základných požiadaviek, ale aj požiadaviek ustanovených týmto zákonom alebo technickým predpisom z oblasti posudzovania zhody.</w:t>
      </w:r>
    </w:p>
    <w:p w:rsidR="00156690" w:rsidRPr="00156690" w:rsidRDefault="00156690" w:rsidP="00156690">
      <w:pPr>
        <w:widowControl/>
        <w:adjustRightInd/>
        <w:spacing w:before="120" w:after="120"/>
        <w:jc w:val="both"/>
        <w:rPr>
          <w:rFonts w:eastAsiaTheme="minorHAnsi" w:cs="Times New Roman"/>
          <w:b/>
          <w:lang w:eastAsia="en-US"/>
        </w:rPr>
      </w:pPr>
    </w:p>
    <w:p w:rsidR="00156690" w:rsidRPr="00156690" w:rsidRDefault="00156690" w:rsidP="00156690">
      <w:pPr>
        <w:widowControl/>
        <w:adjustRightInd/>
        <w:spacing w:before="120" w:after="120"/>
        <w:jc w:val="both"/>
        <w:rPr>
          <w:rFonts w:eastAsiaTheme="minorHAnsi" w:cs="Times New Roman"/>
          <w:b/>
          <w:lang w:eastAsia="en-US"/>
        </w:rPr>
      </w:pPr>
      <w:r w:rsidRPr="00156690">
        <w:rPr>
          <w:rFonts w:eastAsiaTheme="minorHAnsi" w:cs="Times New Roman"/>
          <w:b/>
          <w:lang w:eastAsia="en-US"/>
        </w:rPr>
        <w:t>K bodu 59</w:t>
      </w:r>
    </w:p>
    <w:p w:rsidR="00156690" w:rsidRPr="00156690" w:rsidRDefault="00156690" w:rsidP="00156690">
      <w:pPr>
        <w:spacing w:before="120" w:after="120"/>
        <w:jc w:val="both"/>
        <w:rPr>
          <w:rFonts w:cs="Times New Roman"/>
        </w:rPr>
      </w:pPr>
      <w:r w:rsidRPr="00156690">
        <w:rPr>
          <w:rFonts w:cs="Times New Roman"/>
        </w:rPr>
        <w:t>§ 28 sa dopĺňa o  nové skutkové podstaty, za ktoré je možné uložiť sankciu, ktorých sa môže dopustiť fyzická osoba, fyzická osoba podnikateľ alebo právnická osoba tým, že sprístupní na trhu určený výrobok bez posúdenia zhody, s výnimkou, ak nejde o určený výrobok, ktorý môže byť uvedený na trh bez posudzovania zhody postupom podľa § 4 ods. 5, alebo pri ktorom nevie preukázať posudzovanie zhody podľa zákona alebo technického predpisu z oblasti posudzovania zhody, ktorý nespĺňa základné požiadavky alebo požiadavky ustanovené zákonom alebo technickým predpisom z oblasti posudzovania zhody. Zmena vyplýva z aplikačnej praxe, ktorá ukázala, že tieto prípady nie sú zákonom pokryté sankciou. Ide o prípady, kedy je orgánom dohľadu nad určeným výrobkom identifikovaný nebezpečný výrobok sprístupňovaný na trhu Slovenskej republiky, t. j. tento nespĺňa základnú požiadavku, požiadavku ustanovenú týmto zákonom alebo technickým predpisom z oblasti posudzovania zhody, a súčasne je preukázané, že u tohto určeného výrobku nebola posúdená zhoda predpísaným spôsobom alebo prípady, kedy hospodársky subjekt v inom postavení ako je výrobca alebo splnomocnený zástupca nevie preukázať orgánu dohľadu nad určenými výrobkami, či bola zhoda určeného výrobku zo strany výrobcu posúdená a ani orgán dohľadu nad určenými výrobkami nevie pri výkone dohľadu jednoznačne zistiť, či bola zhoda určeného výrobku zo strany výrobcu posúdená.</w:t>
      </w:r>
    </w:p>
    <w:p w:rsidR="00156690" w:rsidRPr="00156690" w:rsidRDefault="00156690" w:rsidP="00156690">
      <w:pPr>
        <w:widowControl/>
        <w:adjustRightInd/>
        <w:spacing w:before="120" w:after="120"/>
        <w:jc w:val="both"/>
        <w:rPr>
          <w:rFonts w:eastAsiaTheme="minorHAnsi" w:cs="Times New Roman"/>
          <w:b/>
          <w:lang w:eastAsia="en-US"/>
        </w:rPr>
      </w:pPr>
    </w:p>
    <w:p w:rsidR="00156690" w:rsidRPr="00156690" w:rsidRDefault="00156690" w:rsidP="00156690">
      <w:pPr>
        <w:widowControl/>
        <w:adjustRightInd/>
        <w:spacing w:before="120" w:after="120"/>
        <w:jc w:val="both"/>
        <w:rPr>
          <w:rFonts w:eastAsiaTheme="minorHAnsi" w:cs="Times New Roman"/>
          <w:b/>
          <w:lang w:eastAsia="en-US"/>
        </w:rPr>
      </w:pPr>
      <w:r w:rsidRPr="00156690">
        <w:rPr>
          <w:rFonts w:eastAsiaTheme="minorHAnsi" w:cs="Times New Roman"/>
          <w:b/>
          <w:lang w:eastAsia="en-US"/>
        </w:rPr>
        <w:t>K bodu 60</w:t>
      </w:r>
    </w:p>
    <w:p w:rsidR="00156690" w:rsidRPr="00156690" w:rsidRDefault="00156690" w:rsidP="00156690">
      <w:pPr>
        <w:widowControl/>
        <w:adjustRightInd/>
        <w:spacing w:before="120" w:after="120"/>
        <w:jc w:val="both"/>
        <w:rPr>
          <w:rFonts w:eastAsiaTheme="minorHAnsi" w:cs="Times New Roman"/>
          <w:lang w:eastAsia="en-US"/>
        </w:rPr>
      </w:pPr>
      <w:r w:rsidRPr="00156690">
        <w:rPr>
          <w:rFonts w:eastAsiaTheme="minorHAnsi" w:cs="Times New Roman"/>
          <w:lang w:eastAsia="en-US"/>
        </w:rPr>
        <w:t>Upravuje sa vnútorný odkaz z dôvodu úpravy § 9a, čím sa zabezpečí vymožiteľnosť celého § 9a.</w:t>
      </w:r>
    </w:p>
    <w:p w:rsidR="00156690" w:rsidRPr="00156690" w:rsidRDefault="00156690" w:rsidP="00156690">
      <w:pPr>
        <w:widowControl/>
        <w:adjustRightInd/>
        <w:spacing w:before="120" w:after="120"/>
        <w:jc w:val="both"/>
        <w:rPr>
          <w:rFonts w:eastAsiaTheme="minorHAnsi" w:cs="Times New Roman"/>
          <w:b/>
          <w:lang w:eastAsia="en-US"/>
        </w:rPr>
      </w:pPr>
    </w:p>
    <w:p w:rsidR="00156690" w:rsidRPr="00156690" w:rsidRDefault="00156690" w:rsidP="00156690">
      <w:pPr>
        <w:widowControl/>
        <w:adjustRightInd/>
        <w:spacing w:before="120" w:after="120"/>
        <w:jc w:val="both"/>
        <w:rPr>
          <w:rFonts w:eastAsiaTheme="minorHAnsi" w:cs="Times New Roman"/>
          <w:b/>
          <w:lang w:eastAsia="en-US"/>
        </w:rPr>
      </w:pPr>
      <w:r w:rsidRPr="00156690">
        <w:rPr>
          <w:rFonts w:eastAsiaTheme="minorHAnsi" w:cs="Times New Roman"/>
          <w:b/>
          <w:lang w:eastAsia="en-US"/>
        </w:rPr>
        <w:t>K bodu 61</w:t>
      </w:r>
    </w:p>
    <w:p w:rsidR="00156690" w:rsidRPr="00156690" w:rsidRDefault="00156690" w:rsidP="00156690">
      <w:pPr>
        <w:widowControl/>
        <w:adjustRightInd/>
        <w:spacing w:before="120" w:after="120"/>
        <w:jc w:val="both"/>
        <w:rPr>
          <w:rFonts w:eastAsiaTheme="minorHAnsi" w:cs="Times New Roman"/>
          <w:lang w:eastAsia="en-US"/>
        </w:rPr>
      </w:pPr>
      <w:r w:rsidRPr="00156690">
        <w:rPr>
          <w:rFonts w:eastAsiaTheme="minorHAnsi" w:cs="Times New Roman"/>
          <w:lang w:eastAsia="en-US"/>
        </w:rPr>
        <w:t xml:space="preserve">Návrhom zákona sa implementuje ustanovenie čl. 99 ods. 4 písm. f) nariadenia (EÚ) 2024/1689, podľa ktorého bude úrad ukladať autorizovanej osobe pokutu za porušenie povinností vyplývajúcich jej z čl. 31, 33 ods. 1, 3 a 4 alebo čl. 34 nariadenia (EÚ) 2024/1689 a v prípade malých a stredných podnikov vrátane </w:t>
      </w:r>
      <w:proofErr w:type="spellStart"/>
      <w:r w:rsidRPr="00156690">
        <w:rPr>
          <w:rFonts w:eastAsiaTheme="minorHAnsi" w:cs="Times New Roman"/>
          <w:lang w:eastAsia="en-US"/>
        </w:rPr>
        <w:t>startupov</w:t>
      </w:r>
      <w:proofErr w:type="spellEnd"/>
      <w:r w:rsidRPr="00156690">
        <w:rPr>
          <w:rFonts w:eastAsiaTheme="minorHAnsi" w:cs="Times New Roman"/>
          <w:lang w:eastAsia="en-US"/>
        </w:rPr>
        <w:t xml:space="preserve"> bude úrad ukladať pokutu vo výške podľa čl. 6 nariadenia (EÚ) 2024/1689.</w:t>
      </w:r>
    </w:p>
    <w:p w:rsidR="00156690" w:rsidRPr="00156690" w:rsidRDefault="00156690" w:rsidP="00156690">
      <w:pPr>
        <w:spacing w:before="120" w:after="120"/>
        <w:jc w:val="both"/>
        <w:rPr>
          <w:rFonts w:cs="Times New Roman"/>
        </w:rPr>
      </w:pPr>
      <w:r w:rsidRPr="00156690">
        <w:rPr>
          <w:rFonts w:cs="Times New Roman"/>
        </w:rPr>
        <w:t xml:space="preserve">Taktiež sa implementuje ustanovenie čl. 64 ods. 3 nariadenia (EÚ) 2024/2847 v platnom znení, podľa ktorého bude úrad ukladať autorizovanej osobe pokutu za porušenie povinností vyplývajúcich jej z čl. 39, 41,47 a 49 nariadenia (EÚ) 2024/2847 v platnom znení.  </w:t>
      </w:r>
    </w:p>
    <w:p w:rsidR="00156690" w:rsidRPr="00156690" w:rsidRDefault="00156690" w:rsidP="00156690">
      <w:pPr>
        <w:spacing w:before="120" w:after="120"/>
        <w:jc w:val="both"/>
        <w:rPr>
          <w:rFonts w:cs="Times New Roman"/>
        </w:rPr>
      </w:pPr>
      <w:r w:rsidRPr="00156690">
        <w:rPr>
          <w:rFonts w:cs="Times New Roman"/>
        </w:rPr>
        <w:t>Úrad sa ustanovuje ako zodpovedný orgán za uloženie týchto sankcií.</w:t>
      </w:r>
    </w:p>
    <w:p w:rsidR="00156690" w:rsidRPr="00156690" w:rsidRDefault="00156690" w:rsidP="00156690">
      <w:pPr>
        <w:spacing w:before="120" w:after="120"/>
        <w:jc w:val="both"/>
        <w:rPr>
          <w:rFonts w:cs="Times New Roman"/>
          <w:b/>
        </w:rPr>
      </w:pPr>
    </w:p>
    <w:p w:rsidR="00156690" w:rsidRPr="00156690" w:rsidRDefault="00156690" w:rsidP="00156690">
      <w:pPr>
        <w:spacing w:before="120" w:after="120"/>
        <w:jc w:val="both"/>
        <w:rPr>
          <w:rFonts w:cs="Times New Roman"/>
          <w:b/>
        </w:rPr>
      </w:pPr>
      <w:r w:rsidRPr="00156690">
        <w:rPr>
          <w:rFonts w:cs="Times New Roman"/>
          <w:b/>
        </w:rPr>
        <w:t>K bodu 62</w:t>
      </w:r>
    </w:p>
    <w:p w:rsidR="00156690" w:rsidRPr="00156690" w:rsidRDefault="00156690" w:rsidP="00156690">
      <w:pPr>
        <w:spacing w:before="120" w:after="120"/>
        <w:jc w:val="both"/>
        <w:rPr>
          <w:rFonts w:cs="Times New Roman"/>
        </w:rPr>
      </w:pPr>
      <w:r w:rsidRPr="00156690">
        <w:rPr>
          <w:rFonts w:cs="Times New Roman"/>
        </w:rPr>
        <w:t>Z aplikačnej praxe vyplynulo, že zákonom nastavená sankcia vo výške 1500 eur motivuje hospodárske subjekty opakovane zaplatiť poriadkovú pokutu za rušenie, marenie alebo iným spôsobom sťažovanie výkonu kontroly alebo výkonu dohľadu a vyhnúť sa tak samotnej kontrole alebo výkonu dohľadu, z ktorej by im mohlo vyplynúť uloženie podstatne vyššej sankcie. Z uvedeného dôvodu sa výška sankcie upravuje na sumu 5000 eur, ktorá by mala pôsobiť preventívne a mala by viesť k tomu, aby hospodárske subjekty tak naďalej nepostupovali.</w:t>
      </w:r>
    </w:p>
    <w:p w:rsidR="00156690" w:rsidRPr="00156690" w:rsidRDefault="00156690" w:rsidP="00156690">
      <w:pPr>
        <w:spacing w:before="120" w:after="120"/>
        <w:jc w:val="both"/>
        <w:rPr>
          <w:rFonts w:cs="Times New Roman"/>
          <w:b/>
        </w:rPr>
      </w:pPr>
    </w:p>
    <w:p w:rsidR="00156690" w:rsidRPr="00156690" w:rsidRDefault="00156690" w:rsidP="00156690">
      <w:pPr>
        <w:spacing w:before="120" w:after="120"/>
        <w:jc w:val="both"/>
        <w:rPr>
          <w:rFonts w:cs="Times New Roman"/>
          <w:b/>
        </w:rPr>
      </w:pPr>
      <w:r w:rsidRPr="00156690">
        <w:rPr>
          <w:rFonts w:cs="Times New Roman"/>
          <w:b/>
        </w:rPr>
        <w:t>K bodu 63</w:t>
      </w:r>
    </w:p>
    <w:p w:rsidR="00156690" w:rsidRPr="00156690" w:rsidRDefault="00156690" w:rsidP="00156690">
      <w:pPr>
        <w:widowControl/>
        <w:adjustRightInd/>
        <w:spacing w:before="120" w:after="120"/>
        <w:jc w:val="both"/>
        <w:rPr>
          <w:rFonts w:eastAsiaTheme="minorHAnsi" w:cs="Times New Roman"/>
          <w:lang w:eastAsia="en-US"/>
        </w:rPr>
      </w:pPr>
      <w:r w:rsidRPr="00156690">
        <w:rPr>
          <w:rFonts w:eastAsiaTheme="minorHAnsi" w:cs="Times New Roman"/>
          <w:iCs/>
          <w:lang w:eastAsia="en-US"/>
        </w:rPr>
        <w:t xml:space="preserve">Upravuje sa objektívna lehota z troch na päť rokov pri uložení pokút podľa § 28. Jej predĺženie vyplynulo z aplikačnej praxe, kedy najmä orgány dohľadu nad určenými výrobkami v rámci trojročnej objektívnej lehoty v prípade porušenia povinností ustanovených zákonom už nemohli uložiť pokutu. Päťročná objektívna lehota reflektuje obdobie, v rámci ktorého orgán dohľadu nad určenými výrobkami môže vykonať dohľad nad určeným výrobkom cez celý distribučný reťazec (distribútor, dodávateľ, splnomocnený zástupca a výrobca), a v prípade porušenia povinností vyplývajúcich zo zákona uložiť pokutu podľa § 28. Pri súčasnej 3 ročnej objektívnej lehote sa stáva, že orgán dohľadu nad určenými výrobkami pri zistení porušenia povinností postupne, ako vykonáva dohľad nad celým distribučným reťazcom od distribútora cez dodávateľa, splnomocneného zástupcu až k výrobcovi už nemôže uložiť pokutu výrobcovi, nakoľko uplynula trojročná objektívna lehota. </w:t>
      </w:r>
      <w:proofErr w:type="spellStart"/>
      <w:r w:rsidRPr="00156690">
        <w:rPr>
          <w:rFonts w:eastAsiaTheme="minorHAnsi" w:cs="Times New Roman"/>
          <w:iCs/>
          <w:lang w:eastAsia="en-US"/>
        </w:rPr>
        <w:t>Dohľadávanie</w:t>
      </w:r>
      <w:proofErr w:type="spellEnd"/>
      <w:r w:rsidRPr="00156690">
        <w:rPr>
          <w:rFonts w:eastAsiaTheme="minorHAnsi" w:cs="Times New Roman"/>
          <w:iCs/>
          <w:lang w:eastAsia="en-US"/>
        </w:rPr>
        <w:t xml:space="preserve"> cez celý distribučný reťazec je zdĺhavé a celý proces, aj s uložením pokút, trvá zvyčajne päť rokov.</w:t>
      </w:r>
      <w:r w:rsidRPr="00156690">
        <w:rPr>
          <w:rFonts w:eastAsiaTheme="minorHAnsi" w:cs="Times New Roman"/>
          <w:lang w:eastAsia="en-US"/>
        </w:rPr>
        <w:t xml:space="preserve"> Upravuje sa vnútorný odkaz z dôvodu úpravy § 28, aby bola i naďalej zabezpečená vymožiteľnosť sankcií ustanovených v § 28 ods. 1 až 7.</w:t>
      </w:r>
    </w:p>
    <w:p w:rsidR="00156690" w:rsidRPr="00156690" w:rsidRDefault="00156690" w:rsidP="00156690">
      <w:pPr>
        <w:widowControl/>
        <w:adjustRightInd/>
        <w:spacing w:before="120" w:after="120"/>
        <w:jc w:val="both"/>
        <w:rPr>
          <w:rFonts w:eastAsiaTheme="minorHAnsi" w:cs="Times New Roman"/>
          <w:b/>
          <w:lang w:eastAsia="en-US"/>
        </w:rPr>
      </w:pPr>
    </w:p>
    <w:p w:rsidR="00156690" w:rsidRPr="00156690" w:rsidRDefault="00156690" w:rsidP="00156690">
      <w:pPr>
        <w:widowControl/>
        <w:adjustRightInd/>
        <w:spacing w:before="120" w:after="120"/>
        <w:jc w:val="both"/>
        <w:rPr>
          <w:rFonts w:eastAsiaTheme="minorHAnsi" w:cs="Times New Roman"/>
          <w:b/>
          <w:lang w:eastAsia="en-US"/>
        </w:rPr>
      </w:pPr>
      <w:r w:rsidRPr="00156690">
        <w:rPr>
          <w:rFonts w:eastAsiaTheme="minorHAnsi" w:cs="Times New Roman"/>
          <w:b/>
          <w:lang w:eastAsia="en-US"/>
        </w:rPr>
        <w:t>K bodu 64</w:t>
      </w:r>
    </w:p>
    <w:p w:rsidR="00156690" w:rsidRPr="00156690" w:rsidRDefault="00156690" w:rsidP="00156690">
      <w:pPr>
        <w:widowControl/>
        <w:adjustRightInd/>
        <w:spacing w:before="120" w:after="120"/>
        <w:jc w:val="both"/>
        <w:rPr>
          <w:rFonts w:eastAsiaTheme="minorHAnsi" w:cs="Times New Roman"/>
          <w:lang w:eastAsia="en-US"/>
        </w:rPr>
      </w:pPr>
      <w:r w:rsidRPr="00156690">
        <w:rPr>
          <w:rFonts w:eastAsiaTheme="minorHAnsi" w:cs="Times New Roman"/>
          <w:lang w:eastAsia="en-US"/>
        </w:rPr>
        <w:t>Upravuje sa vnútorný odkaz z dôvodu doplnenia nového odseku 6 do § 28.</w:t>
      </w:r>
    </w:p>
    <w:p w:rsidR="00156690" w:rsidRPr="00156690" w:rsidRDefault="00156690" w:rsidP="00156690">
      <w:pPr>
        <w:spacing w:before="120" w:after="120"/>
        <w:jc w:val="both"/>
        <w:rPr>
          <w:rFonts w:cs="Times New Roman"/>
          <w:b/>
        </w:rPr>
      </w:pPr>
    </w:p>
    <w:p w:rsidR="00156690" w:rsidRPr="00156690" w:rsidRDefault="00156690" w:rsidP="00156690">
      <w:pPr>
        <w:spacing w:before="120" w:after="120"/>
        <w:jc w:val="both"/>
        <w:rPr>
          <w:rFonts w:cs="Times New Roman"/>
          <w:b/>
        </w:rPr>
      </w:pPr>
      <w:r w:rsidRPr="00156690">
        <w:rPr>
          <w:rFonts w:cs="Times New Roman"/>
          <w:b/>
        </w:rPr>
        <w:t>K bodom 65 až 67</w:t>
      </w:r>
    </w:p>
    <w:p w:rsidR="00156690" w:rsidRPr="00156690" w:rsidRDefault="00156690" w:rsidP="00156690">
      <w:pPr>
        <w:widowControl/>
        <w:spacing w:before="120" w:after="120"/>
        <w:jc w:val="both"/>
        <w:rPr>
          <w:rFonts w:cs="Times New Roman"/>
        </w:rPr>
      </w:pPr>
      <w:r w:rsidRPr="00156690">
        <w:rPr>
          <w:rFonts w:cs="Times New Roman"/>
        </w:rPr>
        <w:t>Poznámky pod čiarou k odkazom 70, 71 a 71a sa upravujú z dôvodu prijatia nového právneho predpisu.</w:t>
      </w:r>
    </w:p>
    <w:p w:rsidR="00156690" w:rsidRPr="00156690" w:rsidRDefault="00156690" w:rsidP="00156690">
      <w:pPr>
        <w:spacing w:before="120" w:after="120"/>
        <w:jc w:val="both"/>
        <w:rPr>
          <w:rFonts w:cs="Times New Roman"/>
          <w:b/>
        </w:rPr>
      </w:pPr>
    </w:p>
    <w:p w:rsidR="00156690" w:rsidRPr="00156690" w:rsidRDefault="00156690" w:rsidP="00156690">
      <w:pPr>
        <w:spacing w:before="120" w:after="120"/>
        <w:jc w:val="both"/>
        <w:rPr>
          <w:rFonts w:cs="Times New Roman"/>
          <w:b/>
        </w:rPr>
      </w:pPr>
      <w:r w:rsidRPr="00156690">
        <w:rPr>
          <w:rFonts w:cs="Times New Roman"/>
          <w:b/>
        </w:rPr>
        <w:t>K bodom 68 a 69</w:t>
      </w:r>
    </w:p>
    <w:p w:rsidR="00156690" w:rsidRPr="00156690" w:rsidRDefault="00156690" w:rsidP="00156690">
      <w:pPr>
        <w:spacing w:before="120" w:after="120"/>
        <w:jc w:val="both"/>
        <w:rPr>
          <w:rFonts w:cs="Times New Roman"/>
        </w:rPr>
      </w:pPr>
      <w:r w:rsidRPr="00156690">
        <w:rPr>
          <w:rFonts w:cs="Times New Roman"/>
        </w:rPr>
        <w:t>V § 29 ods. 1 písm. d) a e) sa upravujú existujúce informačné povinnosti úradu. V písmenách f) až h) sa ustanovujú nové informačné povinnosti úradu, ktoré sa vykonávajú podľa vykonávacieho rozhodnutia Komisie (EÚ) 2023/1096 z 2. júna 2023, ktorým sa ustanovujú pravidlá uplatňovania smernice Európskeho parlamentu a Rady 2013/29/EÚ, pokiaľ ide o zber a aktualizáciu údajov o nehodách spojených s používaním pyrotechnických výrobkov (</w:t>
      </w:r>
      <w:r w:rsidRPr="00156690">
        <w:rPr>
          <w:rFonts w:cs="Times New Roman"/>
          <w:shd w:val="clear" w:color="auto" w:fill="FFFFFF"/>
        </w:rPr>
        <w:t>Ú. v. EÚ L 146, 6.6.2023</w:t>
      </w:r>
      <w:r w:rsidRPr="00156690">
        <w:rPr>
          <w:rFonts w:cs="Times New Roman"/>
        </w:rPr>
        <w:t>), pokiaľ ide o zber a aktualizáciu údajov o nehodách spojených s používaním pyrotechnických výrobkov, podľa vykonávacieho nariadenia Komisie (EÚ) 2024/1922 z 12. júla 2024, ktorým sa stanovuje vzor na zber údajov a informácií uvedených v článku 6 ods. 5 písm. a) až d) nariadenia Európskeho parlamentu a Rady (EÚ) 2023/1230 členskými štátmi (</w:t>
      </w:r>
      <w:r w:rsidRPr="00156690">
        <w:rPr>
          <w:rFonts w:cs="Times New Roman"/>
          <w:iCs/>
          <w:shd w:val="clear" w:color="auto" w:fill="FFFFFF"/>
        </w:rPr>
        <w:t>Ú. v. EÚ L, 2024/1922, 15.7.2024)</w:t>
      </w:r>
      <w:r w:rsidRPr="00156690">
        <w:rPr>
          <w:rFonts w:cs="Times New Roman"/>
        </w:rPr>
        <w:t xml:space="preserve">, ktorým sa ustanovuje vzor na zber údajov a informácií uvedených v článku 6 ods. 5 písm. a) až d) nariadenia Európskeho parlamentu a Rady (EÚ) 2023/1230 v platnom znení členskými štátmi v súvislosti so strojovými zariadeniami a podľa čl. 99 ods. 11 nariadenia (EÚ) 2024/1689 o pokutách, ktoré úrad uložil autorizovanej osobe za porušenie povinností vyplývajúcich jej z čl. 31, 33 ods. 1, 3 a 4 alebo čl. 34 nariadenia (EÚ) 2024/1689 a o sporoch alebo súdnych konaniach, ktoré úrad vedie voči autorizovanej osobe. </w:t>
      </w:r>
    </w:p>
    <w:p w:rsidR="00156690" w:rsidRPr="00156690" w:rsidRDefault="00156690" w:rsidP="00156690">
      <w:pPr>
        <w:spacing w:before="120" w:after="120"/>
        <w:jc w:val="both"/>
        <w:rPr>
          <w:rFonts w:cs="Times New Roman"/>
        </w:rPr>
      </w:pPr>
    </w:p>
    <w:p w:rsidR="00156690" w:rsidRPr="00156690" w:rsidRDefault="00156690" w:rsidP="00156690">
      <w:pPr>
        <w:spacing w:before="120" w:after="120"/>
        <w:jc w:val="both"/>
        <w:rPr>
          <w:rFonts w:cs="Times New Roman"/>
          <w:b/>
          <w:shd w:val="clear" w:color="auto" w:fill="FFFFFF"/>
        </w:rPr>
      </w:pPr>
      <w:r w:rsidRPr="00156690">
        <w:rPr>
          <w:rFonts w:cs="Times New Roman"/>
          <w:b/>
          <w:shd w:val="clear" w:color="auto" w:fill="FFFFFF"/>
        </w:rPr>
        <w:t>K bodu 70</w:t>
      </w:r>
    </w:p>
    <w:p w:rsidR="00156690" w:rsidRPr="00156690" w:rsidRDefault="00156690" w:rsidP="00156690">
      <w:pPr>
        <w:widowControl/>
        <w:adjustRightInd/>
        <w:spacing w:after="200"/>
        <w:jc w:val="both"/>
        <w:rPr>
          <w:rFonts w:eastAsiaTheme="minorHAnsi" w:cs="Times New Roman"/>
          <w:lang w:eastAsia="en-US"/>
        </w:rPr>
      </w:pPr>
      <w:r w:rsidRPr="00156690">
        <w:rPr>
          <w:rFonts w:eastAsiaTheme="minorHAnsi" w:cs="Times New Roman"/>
          <w:lang w:eastAsia="en-US"/>
        </w:rPr>
        <w:t>Upravuje sa vnútorný odkaz vypustením písmena d), pretože § 27 ods. 1 písm. d) je o dočasnom zákaze, pričom orgán dohľadu nad určenými výrobkami podľa § 29 ods. 4 písm. a) informuje o uloženom opatrení, ak sa až preukázateľne zistí, že určený výrobok predstavuje  ohrozenie oprávneného záujmu, aj keď spĺňa základnú požiadavku alebo požiadavku ustanovenú týmto zákonom alebo technickým predpisom z oblasti posudzovania zhody, a to je v prípade uložených opatrení podľa § 27 ods. 1 písm. a), e) až písm. j).</w:t>
      </w:r>
    </w:p>
    <w:p w:rsidR="00156690" w:rsidRPr="00156690" w:rsidRDefault="00156690" w:rsidP="00156690">
      <w:pPr>
        <w:spacing w:before="120" w:after="120"/>
        <w:jc w:val="both"/>
        <w:rPr>
          <w:rFonts w:cs="Times New Roman"/>
          <w:b/>
        </w:rPr>
      </w:pPr>
    </w:p>
    <w:p w:rsidR="00156690" w:rsidRPr="00156690" w:rsidRDefault="00156690" w:rsidP="00156690">
      <w:pPr>
        <w:spacing w:before="120" w:after="120"/>
        <w:jc w:val="both"/>
        <w:rPr>
          <w:rFonts w:cs="Times New Roman"/>
          <w:b/>
        </w:rPr>
      </w:pPr>
      <w:r w:rsidRPr="00156690">
        <w:rPr>
          <w:rFonts w:cs="Times New Roman"/>
          <w:b/>
        </w:rPr>
        <w:t>K bodu 71</w:t>
      </w:r>
    </w:p>
    <w:p w:rsidR="00156690" w:rsidRPr="00156690" w:rsidRDefault="00156690" w:rsidP="00156690">
      <w:pPr>
        <w:spacing w:before="120" w:after="120"/>
        <w:jc w:val="both"/>
        <w:rPr>
          <w:rFonts w:cs="Times New Roman"/>
          <w:shd w:val="clear" w:color="auto" w:fill="FFFFFF"/>
        </w:rPr>
      </w:pPr>
      <w:r w:rsidRPr="00156690">
        <w:rPr>
          <w:rFonts w:cs="Times New Roman"/>
          <w:shd w:val="clear" w:color="auto" w:fill="FFFFFF"/>
        </w:rPr>
        <w:t xml:space="preserve">Nariadením </w:t>
      </w:r>
      <w:r w:rsidRPr="00156690">
        <w:rPr>
          <w:rFonts w:cs="Times New Roman"/>
          <w:bCs/>
          <w:shd w:val="clear" w:color="auto" w:fill="FFFFFF"/>
        </w:rPr>
        <w:t>Európskeho parlamentu a Rady (EÚ) 2023/988 z 10. mája 2023 o všeobecnej bezpečnosti výrobkov, ktorým sa mení nariadenie Európskeho parlamentu a Rady (EÚ) č. 1025/2012 a smernica Európskeho parlamentu a Rady (EÚ) 2020/1828 a zrušuje smernica Európskeho parlamentu a Rady 2001/95/ES a smernica Rady 87/357/EHS (</w:t>
      </w:r>
      <w:r w:rsidRPr="00156690">
        <w:rPr>
          <w:rFonts w:cs="Times New Roman"/>
          <w:iCs/>
          <w:shd w:val="clear" w:color="auto" w:fill="FFFFFF"/>
        </w:rPr>
        <w:t>Ú. v. EÚ L 135, 23.5.2023) v platnom znení (ďalej len „nariadenie</w:t>
      </w:r>
      <w:r w:rsidRPr="00156690">
        <w:rPr>
          <w:rFonts w:cs="Times New Roman"/>
          <w:shd w:val="clear" w:color="auto" w:fill="FFFFFF"/>
        </w:rPr>
        <w:t xml:space="preserve"> (EÚ) 2023/988 v platnom znení“) sa mení skrátený názov RAPEX na systém </w:t>
      </w:r>
      <w:proofErr w:type="spellStart"/>
      <w:r w:rsidRPr="00156690">
        <w:rPr>
          <w:rFonts w:cs="Times New Roman"/>
          <w:shd w:val="clear" w:color="auto" w:fill="FFFFFF"/>
        </w:rPr>
        <w:t>Safety</w:t>
      </w:r>
      <w:proofErr w:type="spellEnd"/>
      <w:r w:rsidRPr="00156690">
        <w:rPr>
          <w:rFonts w:cs="Times New Roman"/>
          <w:shd w:val="clear" w:color="auto" w:fill="FFFFFF"/>
        </w:rPr>
        <w:t xml:space="preserve"> Gate. Systém </w:t>
      </w:r>
      <w:proofErr w:type="spellStart"/>
      <w:r w:rsidRPr="00156690">
        <w:rPr>
          <w:rFonts w:cs="Times New Roman"/>
          <w:shd w:val="clear" w:color="auto" w:fill="FFFFFF"/>
        </w:rPr>
        <w:t>Safety</w:t>
      </w:r>
      <w:proofErr w:type="spellEnd"/>
      <w:r w:rsidRPr="00156690">
        <w:rPr>
          <w:rFonts w:cs="Times New Roman"/>
          <w:shd w:val="clear" w:color="auto" w:fill="FFFFFF"/>
        </w:rPr>
        <w:t xml:space="preserve"> Gate zahŕňa tri prvky: systém na rýchlu výmenu informácií o nebezpečných nepotravinových výrobkoch, prostredníctvom ktorého si vnútroštátne orgány a Komisia môžu vymieňať informácie o takýchto výrobkoch (systém rýchleho varovania </w:t>
      </w:r>
      <w:proofErr w:type="spellStart"/>
      <w:r w:rsidRPr="00156690">
        <w:rPr>
          <w:rFonts w:cs="Times New Roman"/>
          <w:shd w:val="clear" w:color="auto" w:fill="FFFFFF"/>
        </w:rPr>
        <w:t>Safety</w:t>
      </w:r>
      <w:proofErr w:type="spellEnd"/>
      <w:r w:rsidRPr="00156690">
        <w:rPr>
          <w:rFonts w:cs="Times New Roman"/>
          <w:shd w:val="clear" w:color="auto" w:fill="FFFFFF"/>
        </w:rPr>
        <w:t xml:space="preserve"> Gate); webový portál, ktorý slúži na poskytovanie informácií verejnosti a umožňuje verejnosti podávať sťažnosti (portál </w:t>
      </w:r>
      <w:proofErr w:type="spellStart"/>
      <w:r w:rsidRPr="00156690">
        <w:rPr>
          <w:rFonts w:cs="Times New Roman"/>
          <w:shd w:val="clear" w:color="auto" w:fill="FFFFFF"/>
        </w:rPr>
        <w:t>Safety</w:t>
      </w:r>
      <w:proofErr w:type="spellEnd"/>
      <w:r w:rsidRPr="00156690">
        <w:rPr>
          <w:rFonts w:cs="Times New Roman"/>
          <w:shd w:val="clear" w:color="auto" w:fill="FFFFFF"/>
        </w:rPr>
        <w:t xml:space="preserve"> Gate); a  webový portál, ktorý umožní podnikom plniť si svoju povinnosť informovať orgány a spotrebiteľov o nebezpečných výrobkoch a nehodách (</w:t>
      </w:r>
      <w:proofErr w:type="spellStart"/>
      <w:r w:rsidRPr="00156690">
        <w:rPr>
          <w:rFonts w:cs="Times New Roman"/>
          <w:shd w:val="clear" w:color="auto" w:fill="FFFFFF"/>
        </w:rPr>
        <w:t>Safety</w:t>
      </w:r>
      <w:proofErr w:type="spellEnd"/>
      <w:r w:rsidRPr="00156690">
        <w:rPr>
          <w:rFonts w:cs="Times New Roman"/>
          <w:shd w:val="clear" w:color="auto" w:fill="FFFFFF"/>
        </w:rPr>
        <w:t xml:space="preserve"> Business </w:t>
      </w:r>
      <w:proofErr w:type="spellStart"/>
      <w:r w:rsidRPr="00156690">
        <w:rPr>
          <w:rFonts w:cs="Times New Roman"/>
          <w:shd w:val="clear" w:color="auto" w:fill="FFFFFF"/>
        </w:rPr>
        <w:t>Gateway</w:t>
      </w:r>
      <w:proofErr w:type="spellEnd"/>
      <w:r w:rsidRPr="00156690">
        <w:rPr>
          <w:rFonts w:cs="Times New Roman"/>
          <w:shd w:val="clear" w:color="auto" w:fill="FFFFFF"/>
        </w:rPr>
        <w:t xml:space="preserve">). Podľa čl. 20 nariadenia (EÚ) 2019/1020 v platnom znení sa na účely harmonizačných právnych predpisov Únie používa systém RAPEX, pričom v nadväznosti na to, sa ustanovenia nariadenia (EÚ) 2023/988 v platnom znení upravujúce systém </w:t>
      </w:r>
      <w:proofErr w:type="spellStart"/>
      <w:r w:rsidRPr="00156690">
        <w:rPr>
          <w:rFonts w:cs="Times New Roman"/>
          <w:shd w:val="clear" w:color="auto" w:fill="FFFFFF"/>
        </w:rPr>
        <w:t>Safety</w:t>
      </w:r>
      <w:proofErr w:type="spellEnd"/>
      <w:r w:rsidRPr="00156690">
        <w:rPr>
          <w:rFonts w:cs="Times New Roman"/>
          <w:shd w:val="clear" w:color="auto" w:fill="FFFFFF"/>
        </w:rPr>
        <w:t xml:space="preserve"> Gate a jeho fungovanie uplatňujú aj na výrobky, na ktoré sa vzťahujú harmonizačné právne predpisy Únie.</w:t>
      </w:r>
    </w:p>
    <w:p w:rsidR="00156690" w:rsidRPr="00156690" w:rsidRDefault="00156690" w:rsidP="00156690">
      <w:pPr>
        <w:widowControl/>
        <w:adjustRightInd/>
        <w:spacing w:before="120" w:after="120"/>
        <w:jc w:val="both"/>
        <w:rPr>
          <w:rFonts w:eastAsiaTheme="minorHAnsi" w:cs="Times New Roman"/>
          <w:lang w:eastAsia="en-US"/>
        </w:rPr>
      </w:pPr>
      <w:r w:rsidRPr="00156690">
        <w:rPr>
          <w:rFonts w:eastAsiaTheme="minorHAnsi" w:cs="Times New Roman"/>
          <w:lang w:eastAsia="en-US"/>
        </w:rPr>
        <w:t>Upravuje sa vnútorný odkaz z dôvodu úpravy § 27 ods. 1.</w:t>
      </w:r>
    </w:p>
    <w:p w:rsidR="00156690" w:rsidRPr="00156690" w:rsidRDefault="00156690" w:rsidP="00156690">
      <w:pPr>
        <w:widowControl/>
        <w:adjustRightInd/>
        <w:spacing w:before="120" w:after="120"/>
        <w:jc w:val="both"/>
        <w:rPr>
          <w:rFonts w:eastAsiaTheme="minorHAnsi" w:cs="Times New Roman"/>
          <w:lang w:eastAsia="en-US"/>
        </w:rPr>
      </w:pPr>
    </w:p>
    <w:p w:rsidR="00156690" w:rsidRPr="00156690" w:rsidRDefault="00156690" w:rsidP="00156690">
      <w:pPr>
        <w:widowControl/>
        <w:adjustRightInd/>
        <w:spacing w:before="120" w:after="120"/>
        <w:jc w:val="both"/>
        <w:rPr>
          <w:rFonts w:eastAsiaTheme="minorHAnsi" w:cs="Times New Roman"/>
          <w:b/>
          <w:lang w:eastAsia="en-US"/>
        </w:rPr>
      </w:pPr>
      <w:r w:rsidRPr="00156690">
        <w:rPr>
          <w:rFonts w:eastAsiaTheme="minorHAnsi" w:cs="Times New Roman"/>
          <w:b/>
          <w:lang w:eastAsia="en-US"/>
        </w:rPr>
        <w:t>K bodu 72</w:t>
      </w:r>
    </w:p>
    <w:p w:rsidR="00156690" w:rsidRPr="00156690" w:rsidRDefault="00156690" w:rsidP="00156690">
      <w:pPr>
        <w:widowControl/>
        <w:adjustRightInd/>
        <w:spacing w:after="200"/>
        <w:jc w:val="both"/>
        <w:rPr>
          <w:rFonts w:eastAsiaTheme="minorHAnsi" w:cs="Times New Roman"/>
          <w:lang w:eastAsia="en-US"/>
        </w:rPr>
      </w:pPr>
      <w:r w:rsidRPr="00156690">
        <w:rPr>
          <w:rFonts w:eastAsiaTheme="minorHAnsi" w:cs="Times New Roman"/>
          <w:lang w:eastAsia="en-US"/>
        </w:rPr>
        <w:t xml:space="preserve">Upravuje sa vnútorný odkaz z dôvodu úpravy § 27 ods. 1. </w:t>
      </w:r>
    </w:p>
    <w:p w:rsidR="00156690" w:rsidRPr="00156690" w:rsidRDefault="00156690" w:rsidP="00156690">
      <w:pPr>
        <w:widowControl/>
        <w:adjustRightInd/>
        <w:spacing w:after="200"/>
        <w:jc w:val="both"/>
        <w:rPr>
          <w:rFonts w:eastAsiaTheme="minorHAnsi" w:cs="Times New Roman"/>
          <w:lang w:eastAsia="en-US"/>
        </w:rPr>
      </w:pPr>
    </w:p>
    <w:p w:rsidR="00156690" w:rsidRPr="00156690" w:rsidRDefault="00156690" w:rsidP="00156690">
      <w:pPr>
        <w:widowControl/>
        <w:adjustRightInd/>
        <w:spacing w:after="200"/>
        <w:jc w:val="both"/>
        <w:rPr>
          <w:rFonts w:eastAsiaTheme="minorHAnsi" w:cs="Times New Roman"/>
          <w:b/>
          <w:lang w:eastAsia="en-US"/>
        </w:rPr>
      </w:pPr>
      <w:r w:rsidRPr="00156690">
        <w:rPr>
          <w:rFonts w:eastAsiaTheme="minorHAnsi" w:cs="Times New Roman"/>
          <w:lang w:eastAsia="en-US"/>
        </w:rPr>
        <w:t xml:space="preserve"> </w:t>
      </w:r>
      <w:r w:rsidRPr="00156690">
        <w:rPr>
          <w:rFonts w:eastAsiaTheme="minorHAnsi" w:cs="Times New Roman"/>
          <w:b/>
          <w:lang w:eastAsia="en-US"/>
        </w:rPr>
        <w:t>K bodu 73</w:t>
      </w:r>
    </w:p>
    <w:p w:rsidR="00156690" w:rsidRPr="00156690" w:rsidRDefault="00156690" w:rsidP="00156690">
      <w:pPr>
        <w:widowControl/>
        <w:adjustRightInd/>
        <w:spacing w:after="200"/>
        <w:jc w:val="both"/>
        <w:rPr>
          <w:rFonts w:eastAsiaTheme="minorHAnsi" w:cs="Times New Roman"/>
          <w:lang w:eastAsia="en-US"/>
        </w:rPr>
      </w:pPr>
      <w:r w:rsidRPr="00156690">
        <w:rPr>
          <w:rFonts w:eastAsiaTheme="minorHAnsi" w:cs="Times New Roman"/>
          <w:lang w:eastAsia="en-US"/>
        </w:rPr>
        <w:t>Upravuje sa vnútorný odkaz z dôvodu úpravy § 27 ods. 1. Zároveň sa rozširuje povinnosť orgánu dohľadu nad určenými výrobkami informovať úrad a notifikovanú osobu o uloženom opatrení podľa § 27 ods. 1 písm. a),e) až písm. j),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 Doteraz informoval len v prípade zisteného formálneho nedostatku podľa § 27 ods. 1 písm. h) zákona.</w:t>
      </w:r>
    </w:p>
    <w:p w:rsidR="00156690" w:rsidRPr="00156690" w:rsidRDefault="00156690" w:rsidP="00156690">
      <w:pPr>
        <w:widowControl/>
        <w:spacing w:before="120" w:after="120"/>
        <w:jc w:val="both"/>
        <w:rPr>
          <w:rFonts w:cs="Times New Roman"/>
          <w:b/>
        </w:rPr>
      </w:pPr>
    </w:p>
    <w:p w:rsidR="00156690" w:rsidRPr="00156690" w:rsidRDefault="00156690" w:rsidP="00156690">
      <w:pPr>
        <w:widowControl/>
        <w:spacing w:before="120" w:after="120"/>
        <w:jc w:val="both"/>
        <w:rPr>
          <w:rFonts w:cs="Times New Roman"/>
          <w:b/>
        </w:rPr>
      </w:pPr>
      <w:r w:rsidRPr="00156690">
        <w:rPr>
          <w:rFonts w:cs="Times New Roman"/>
          <w:b/>
        </w:rPr>
        <w:t>K bodu 74</w:t>
      </w:r>
    </w:p>
    <w:p w:rsidR="00156690" w:rsidRPr="00156690" w:rsidRDefault="00156690" w:rsidP="00156690">
      <w:pPr>
        <w:widowControl/>
        <w:spacing w:before="120" w:after="120"/>
        <w:jc w:val="both"/>
        <w:rPr>
          <w:rFonts w:cs="Times New Roman"/>
        </w:rPr>
      </w:pPr>
      <w:r w:rsidRPr="00156690">
        <w:rPr>
          <w:rFonts w:cs="Times New Roman"/>
        </w:rPr>
        <w:t xml:space="preserve">Poznámka pod čiarou k odkazu 82 sa upravuje z dôvodu prijatia nového právneho predpisu </w:t>
      </w:r>
      <w:r w:rsidRPr="00156690">
        <w:rPr>
          <w:rFonts w:cs="Times New Roman"/>
          <w:bCs/>
          <w:shd w:val="clear" w:color="auto" w:fill="FFFFFF"/>
        </w:rPr>
        <w:t>nariadenia Európskeho parlamentu a Rady (EÚ) 2024/3110 z 27. novembra 2024, ktorým sa stanovujú harmonizované pravidlá uvádzania stavebných výrobkov na trh a zrušuje nariadenie (EÚ) č. 305/2011 (</w:t>
      </w:r>
      <w:r w:rsidRPr="00156690">
        <w:rPr>
          <w:rFonts w:cs="Times New Roman"/>
          <w:iCs/>
          <w:shd w:val="clear" w:color="auto" w:fill="FFFFFF"/>
        </w:rPr>
        <w:t>Ú. v. EÚ L, 2024/3110, 18.12.2024) (ďalej len „</w:t>
      </w:r>
      <w:r w:rsidRPr="00156690">
        <w:rPr>
          <w:rFonts w:cs="Times New Roman"/>
        </w:rPr>
        <w:t xml:space="preserve">nariadenie (EÚ) 2024/3110“). </w:t>
      </w:r>
      <w:r w:rsidRPr="00156690">
        <w:rPr>
          <w:rFonts w:cs="Times New Roman"/>
          <w:bCs/>
          <w:shd w:val="clear" w:color="auto" w:fill="FFFFFF"/>
        </w:rPr>
        <w:t>Nariadenie Európskeho parlamentu a Rady (EÚ) č. 305/2011 z  9. marca 2011, ktorým sa ustanovujú harmonizované podmienky uvádzania stavebných výrobkov na trh a ktorým sa zrušuje smernica Rady 89/106/EHS (</w:t>
      </w:r>
      <w:r w:rsidRPr="00156690">
        <w:rPr>
          <w:rFonts w:cs="Times New Roman"/>
          <w:iCs/>
          <w:shd w:val="clear" w:color="auto" w:fill="FFFFFF"/>
        </w:rPr>
        <w:t>Ú. v. EÚ L 88, 4.4.2011) v platnom znení (ďalej len „n</w:t>
      </w:r>
      <w:r w:rsidRPr="00156690">
        <w:rPr>
          <w:rFonts w:cs="Times New Roman"/>
        </w:rPr>
        <w:t>ariadenie (EÚ) 305/2011 v platnom znení“) sa ku dňu účinnosti nariadenia (EÚ) 2024/3110 nezrušuje celkom ani obsahovo a ani časovo. Z obsahového hľadiska nariadenie (EÚ) 305/2011 v platnom znení zostáva v platnosti pre režim uvádzania stavebných výrobkov na trhu podľa harmonizovaných noriem a európskych technických posúdení vydaných pred 8.1.2025 až do ich nahradenia novými harmonizovanými normami a delegovanými aktmi Komisie. Tento postup má byť dokončený do 08.01.2040.</w:t>
      </w:r>
    </w:p>
    <w:p w:rsidR="00156690" w:rsidRPr="00156690" w:rsidRDefault="00156690" w:rsidP="00156690">
      <w:pPr>
        <w:widowControl/>
        <w:spacing w:before="120" w:after="120"/>
        <w:jc w:val="both"/>
        <w:rPr>
          <w:rFonts w:cs="Times New Roman"/>
          <w:b/>
        </w:rPr>
      </w:pPr>
    </w:p>
    <w:p w:rsidR="00156690" w:rsidRPr="00156690" w:rsidRDefault="00156690" w:rsidP="00156690">
      <w:pPr>
        <w:widowControl/>
        <w:spacing w:before="120" w:after="120"/>
        <w:jc w:val="both"/>
        <w:rPr>
          <w:rFonts w:cs="Times New Roman"/>
          <w:b/>
        </w:rPr>
      </w:pPr>
      <w:r w:rsidRPr="00156690">
        <w:rPr>
          <w:rFonts w:cs="Times New Roman"/>
          <w:b/>
        </w:rPr>
        <w:t>K bodu 75</w:t>
      </w:r>
    </w:p>
    <w:p w:rsidR="00156690" w:rsidRPr="00156690" w:rsidRDefault="00156690" w:rsidP="00156690">
      <w:pPr>
        <w:widowControl/>
        <w:spacing w:before="120" w:after="120"/>
        <w:jc w:val="both"/>
        <w:rPr>
          <w:rFonts w:cs="Times New Roman"/>
        </w:rPr>
      </w:pPr>
      <w:r w:rsidRPr="00156690">
        <w:rPr>
          <w:rFonts w:cs="Times New Roman"/>
        </w:rPr>
        <w:t>V nadväznosti na nový § 27a sa ustanovuje, že sa správny poriadok nevzťahuje na konanie podľa § 27a.</w:t>
      </w:r>
    </w:p>
    <w:p w:rsidR="00156690" w:rsidRPr="00156690" w:rsidRDefault="00156690" w:rsidP="00156690">
      <w:pPr>
        <w:widowControl/>
        <w:spacing w:before="120" w:after="120"/>
        <w:jc w:val="both"/>
        <w:rPr>
          <w:rFonts w:cs="Times New Roman"/>
          <w:b/>
        </w:rPr>
      </w:pPr>
    </w:p>
    <w:p w:rsidR="00156690" w:rsidRPr="00156690" w:rsidRDefault="00156690" w:rsidP="00156690">
      <w:pPr>
        <w:widowControl/>
        <w:spacing w:before="120" w:after="120"/>
        <w:jc w:val="both"/>
        <w:rPr>
          <w:rFonts w:cs="Times New Roman"/>
          <w:b/>
        </w:rPr>
      </w:pPr>
      <w:r w:rsidRPr="00156690">
        <w:rPr>
          <w:rFonts w:cs="Times New Roman"/>
          <w:b/>
        </w:rPr>
        <w:t>K bodu 76</w:t>
      </w:r>
    </w:p>
    <w:p w:rsidR="00156690" w:rsidRPr="00156690" w:rsidRDefault="00156690" w:rsidP="00156690">
      <w:pPr>
        <w:widowControl/>
        <w:spacing w:before="120" w:after="120"/>
        <w:jc w:val="both"/>
        <w:rPr>
          <w:rFonts w:cs="Times New Roman"/>
        </w:rPr>
      </w:pPr>
      <w:r w:rsidRPr="00156690">
        <w:rPr>
          <w:rFonts w:cs="Times New Roman"/>
        </w:rPr>
        <w:t>Ustanovuje sa prechodné ustanovenie pre výkon dohľadu podľa § 27 a ukladanie sankcií podľa § 28 začaté a právoplatne neskončené do 01.01.2026 sa dokončia podľa zákona v znení účinnom do 31.12.2025.</w:t>
      </w:r>
    </w:p>
    <w:p w:rsidR="00156690" w:rsidRPr="00156690" w:rsidRDefault="00156690" w:rsidP="00156690">
      <w:pPr>
        <w:spacing w:before="120" w:after="120"/>
        <w:jc w:val="both"/>
        <w:rPr>
          <w:rFonts w:cs="Times New Roman"/>
          <w:b/>
        </w:rPr>
      </w:pPr>
    </w:p>
    <w:p w:rsidR="00156690" w:rsidRPr="00156690" w:rsidRDefault="00156690" w:rsidP="00156690">
      <w:pPr>
        <w:spacing w:before="120" w:after="120"/>
        <w:jc w:val="both"/>
        <w:rPr>
          <w:rFonts w:cs="Times New Roman"/>
          <w:b/>
        </w:rPr>
      </w:pPr>
      <w:r w:rsidRPr="00156690">
        <w:rPr>
          <w:rFonts w:cs="Times New Roman"/>
          <w:b/>
        </w:rPr>
        <w:t>K bodu 77</w:t>
      </w:r>
    </w:p>
    <w:p w:rsidR="00156690" w:rsidRPr="00156690" w:rsidRDefault="00156690" w:rsidP="00156690">
      <w:pPr>
        <w:widowControl/>
        <w:spacing w:before="120" w:after="120"/>
        <w:jc w:val="both"/>
        <w:rPr>
          <w:rFonts w:cs="Times New Roman"/>
        </w:rPr>
      </w:pPr>
      <w:r w:rsidRPr="00156690">
        <w:rPr>
          <w:rFonts w:cs="Times New Roman"/>
        </w:rPr>
        <w:t xml:space="preserve">Príloha sa dopĺňa pätnástym a šestnástym bodom, ktoré sú aproximačnou prílohou, a to o </w:t>
      </w:r>
      <w:r w:rsidRPr="00156690">
        <w:rPr>
          <w:rFonts w:cs="Times New Roman"/>
          <w:bCs/>
          <w:shd w:val="clear" w:color="auto" w:fill="FFFFFF"/>
        </w:rPr>
        <w:t>smernicu Európskeho parlamentu a Rady (EÚ) 2024/2839 z 23. októbra 2024, ktorou sa menia smernice 1999/2/ES, 2000/14/ES, 2011/24/EÚ a 2014/53/EÚ, pokiaľ ide o určité požiadavky na podávanie správ v oblasti potravín a prídavných látok do potravín, hluku vo voľnom priestranstve, práv pacientov a rádiových zariadení (</w:t>
      </w:r>
      <w:r w:rsidRPr="00156690">
        <w:rPr>
          <w:rFonts w:cs="Times New Roman"/>
          <w:iCs/>
          <w:shd w:val="clear" w:color="auto" w:fill="FFFFFF"/>
        </w:rPr>
        <w:t xml:space="preserve">Ú. v. EÚ L, 2024/2839, 7.11.2024) </w:t>
      </w:r>
      <w:r w:rsidRPr="00156690">
        <w:rPr>
          <w:rFonts w:cs="Times New Roman"/>
        </w:rPr>
        <w:t>a </w:t>
      </w:r>
      <w:r w:rsidRPr="00156690">
        <w:rPr>
          <w:rFonts w:cs="Times New Roman"/>
          <w:iCs/>
          <w:shd w:val="clear" w:color="auto" w:fill="FFFFFF"/>
        </w:rPr>
        <w:t xml:space="preserve">smernicu (EÚ) 2023/2413 </w:t>
      </w:r>
      <w:r w:rsidRPr="00156690">
        <w:rPr>
          <w:rFonts w:cs="Times New Roman"/>
        </w:rPr>
        <w:t>z dôvodu zabezpečenia povinnosti uviesť priamo v prijatých ustanoveniach návrhu zákona odkaz na smernicu (EÚ) 2024/2839, a smernicu (EÚ) 2023/2413.</w:t>
      </w:r>
    </w:p>
    <w:p w:rsidR="00156690" w:rsidRPr="00156690" w:rsidRDefault="00156690" w:rsidP="00156690">
      <w:pPr>
        <w:widowControl/>
        <w:spacing w:before="120" w:after="120"/>
        <w:jc w:val="both"/>
        <w:rPr>
          <w:rFonts w:cs="Times New Roman"/>
          <w:b/>
        </w:rPr>
      </w:pPr>
    </w:p>
    <w:p w:rsidR="00156690" w:rsidRPr="00156690" w:rsidRDefault="00156690" w:rsidP="00156690">
      <w:pPr>
        <w:widowControl/>
        <w:spacing w:before="120" w:after="120"/>
        <w:jc w:val="both"/>
        <w:rPr>
          <w:rFonts w:cs="Times New Roman"/>
          <w:b/>
        </w:rPr>
      </w:pPr>
      <w:r w:rsidRPr="00156690">
        <w:rPr>
          <w:rFonts w:cs="Times New Roman"/>
          <w:b/>
        </w:rPr>
        <w:t xml:space="preserve">K Čl. II </w:t>
      </w:r>
    </w:p>
    <w:p w:rsidR="00156690" w:rsidRPr="00156690" w:rsidRDefault="00156690" w:rsidP="00156690">
      <w:pPr>
        <w:widowControl/>
        <w:spacing w:before="120" w:after="120"/>
        <w:jc w:val="both"/>
        <w:rPr>
          <w:rFonts w:cs="Times New Roman"/>
        </w:rPr>
      </w:pPr>
      <w:r w:rsidRPr="00156690">
        <w:rPr>
          <w:rFonts w:cs="Times New Roman"/>
        </w:rPr>
        <w:t>Zákon Národnej rady Slovenskej republiky č. 145/1995 Z. z. o správnych poplatkoch v znení neskorších predpisov sa dopĺňa v položke 237 doplnením nového správneho poplatku za prvostupňové overenie výstupného dokumentu posudzovania zhody podľa § 21 ods. 3 zákona č. 56/2018 Z. z. Výška správneho poplatku je 10,- EUR za overenie celého výstupného dokumentu posudzovania zhody.  Výška zodpovedá výške obdobných správnych poplatkov za prvostupňové overenie dokumentov orgánmi verejnej správy. Úradu overovaním výstupných dokumentov posudzovania zhody vznikajú administratívne náklady, ktoré v sebe zahŕňajú úkony súvisiace s podaním žiadosti o prvostupňové overenie až po zabezpečenie celého procesu prvostupňového overenia výstupných dokumentov z oblasti posudzovania zhody.</w:t>
      </w:r>
    </w:p>
    <w:p w:rsidR="00156690" w:rsidRPr="00156690" w:rsidRDefault="00156690" w:rsidP="00156690">
      <w:pPr>
        <w:widowControl/>
        <w:spacing w:before="120" w:after="120"/>
        <w:jc w:val="both"/>
        <w:rPr>
          <w:rFonts w:cs="Times New Roman"/>
          <w:b/>
        </w:rPr>
      </w:pPr>
    </w:p>
    <w:p w:rsidR="00156690" w:rsidRPr="00156690" w:rsidRDefault="00156690" w:rsidP="00156690">
      <w:pPr>
        <w:widowControl/>
        <w:spacing w:before="120" w:after="120"/>
        <w:jc w:val="both"/>
        <w:rPr>
          <w:rFonts w:cs="Times New Roman"/>
          <w:b/>
        </w:rPr>
      </w:pPr>
      <w:r w:rsidRPr="00156690">
        <w:rPr>
          <w:rFonts w:cs="Times New Roman"/>
          <w:b/>
        </w:rPr>
        <w:t>K Čl. III</w:t>
      </w:r>
    </w:p>
    <w:p w:rsidR="00156690" w:rsidRPr="00156690" w:rsidRDefault="00156690" w:rsidP="00156690">
      <w:pPr>
        <w:spacing w:before="120" w:after="120"/>
        <w:jc w:val="both"/>
        <w:rPr>
          <w:rFonts w:cs="Times New Roman"/>
          <w:lang w:eastAsia="cs-CZ"/>
        </w:rPr>
      </w:pPr>
      <w:r w:rsidRPr="00156690">
        <w:rPr>
          <w:rFonts w:cs="Times New Roman"/>
        </w:rPr>
        <w:t xml:space="preserve">Potreba úpravy zákona č. 435/2000 Z. z. o námornej plavbe v znení neskorších predpisov vyplynula </w:t>
      </w:r>
      <w:r w:rsidRPr="00156690">
        <w:rPr>
          <w:rFonts w:cs="Times New Roman"/>
          <w:lang w:eastAsia="cs-CZ"/>
        </w:rPr>
        <w:t xml:space="preserve"> z dôvodu jeho zosúladenia so zákonom č. 56/2018 Z. z., a to úpravou poznámky pod čiarou k odkazu 1bj. Ministerstvo dopravy Slovenskej republiky vykonáva dohľad nad vybavením námornej lode podľa § 26 písm. g) zákona č. 56/2018 Z. z. </w:t>
      </w:r>
    </w:p>
    <w:p w:rsidR="00156690" w:rsidRPr="00156690" w:rsidRDefault="00156690" w:rsidP="00156690">
      <w:pPr>
        <w:widowControl/>
        <w:spacing w:before="120" w:after="120"/>
        <w:jc w:val="both"/>
        <w:rPr>
          <w:rFonts w:cs="Times New Roman"/>
          <w:b/>
        </w:rPr>
      </w:pPr>
    </w:p>
    <w:p w:rsidR="00156690" w:rsidRPr="00156690" w:rsidRDefault="00156690" w:rsidP="00156690">
      <w:pPr>
        <w:widowControl/>
        <w:spacing w:before="120" w:after="120"/>
        <w:jc w:val="both"/>
        <w:rPr>
          <w:rFonts w:cs="Times New Roman"/>
          <w:b/>
        </w:rPr>
      </w:pPr>
      <w:r w:rsidRPr="00156690">
        <w:rPr>
          <w:rFonts w:cs="Times New Roman"/>
          <w:b/>
        </w:rPr>
        <w:t>K Čl. IV</w:t>
      </w:r>
    </w:p>
    <w:p w:rsidR="00156690" w:rsidRPr="00156690" w:rsidRDefault="00156690" w:rsidP="00156690">
      <w:pPr>
        <w:widowControl/>
        <w:spacing w:before="120" w:after="120"/>
        <w:jc w:val="both"/>
        <w:rPr>
          <w:rFonts w:cs="Times New Roman"/>
        </w:rPr>
      </w:pPr>
      <w:r w:rsidRPr="00156690">
        <w:rPr>
          <w:rFonts w:cs="Times New Roman"/>
        </w:rPr>
        <w:t xml:space="preserve">Potreba úpravy zákona č. 128/2002 Z. z. o štátnej kontrole vnútorného trhu vo veciach ochrany spotrebiteľa a o zmene a doplnení niektorých zákonov v znení neskorších predpisov vyplynula </w:t>
      </w:r>
      <w:r w:rsidRPr="00156690">
        <w:rPr>
          <w:rFonts w:cs="Times New Roman"/>
          <w:lang w:eastAsia="cs-CZ"/>
        </w:rPr>
        <w:t>z dôvodu jeho zosúladenia so zákonom č. 56/2018 Z. z. Dopĺňa sa poznámka pod čiarou k odkazu 14e, čím sa ustanovuje kompetencia vydať príkaz konať proti nezákonnému obsahu aj podľa § 27a návrhu zákona.</w:t>
      </w:r>
      <w:r w:rsidRPr="00156690">
        <w:rPr>
          <w:rFonts w:cs="Times New Roman"/>
        </w:rPr>
        <w:t xml:space="preserve"> </w:t>
      </w:r>
    </w:p>
    <w:p w:rsidR="00156690" w:rsidRPr="00156690" w:rsidRDefault="00156690" w:rsidP="00156690">
      <w:pPr>
        <w:widowControl/>
        <w:spacing w:before="120" w:after="120"/>
        <w:jc w:val="both"/>
        <w:rPr>
          <w:rFonts w:cs="Times New Roman"/>
          <w:b/>
        </w:rPr>
      </w:pPr>
    </w:p>
    <w:p w:rsidR="00156690" w:rsidRPr="00156690" w:rsidRDefault="00156690" w:rsidP="00156690">
      <w:pPr>
        <w:widowControl/>
        <w:spacing w:before="120" w:after="120"/>
        <w:jc w:val="both"/>
        <w:rPr>
          <w:rFonts w:cs="Times New Roman"/>
          <w:b/>
        </w:rPr>
      </w:pPr>
      <w:r w:rsidRPr="00156690">
        <w:rPr>
          <w:rFonts w:cs="Times New Roman"/>
          <w:b/>
        </w:rPr>
        <w:t>K Čl. V</w:t>
      </w:r>
    </w:p>
    <w:p w:rsidR="00156690" w:rsidRPr="00156690" w:rsidRDefault="00156690" w:rsidP="00156690">
      <w:pPr>
        <w:widowControl/>
        <w:adjustRightInd/>
        <w:spacing w:before="120" w:after="120"/>
        <w:jc w:val="both"/>
        <w:rPr>
          <w:rFonts w:eastAsiaTheme="minorHAnsi" w:cs="Times New Roman"/>
          <w:lang w:eastAsia="en-US"/>
        </w:rPr>
      </w:pPr>
      <w:r w:rsidRPr="00156690">
        <w:rPr>
          <w:rFonts w:eastAsiaTheme="minorHAnsi" w:cs="Times New Roman"/>
          <w:lang w:eastAsia="en-US"/>
        </w:rPr>
        <w:t>Zákon č.</w:t>
      </w:r>
      <w:r w:rsidRPr="00156690">
        <w:rPr>
          <w:rFonts w:eastAsiaTheme="minorHAnsi" w:cs="Times New Roman"/>
          <w:b/>
          <w:lang w:eastAsia="en-US"/>
        </w:rPr>
        <w:t xml:space="preserve"> </w:t>
      </w:r>
      <w:r w:rsidRPr="00156690">
        <w:rPr>
          <w:rFonts w:eastAsiaTheme="minorHAnsi" w:cs="Times New Roman"/>
          <w:lang w:eastAsia="en-US"/>
        </w:rPr>
        <w:t xml:space="preserve">125/2006 Z. z. o inšpekcii práce a o zmene a doplnení zákona č. 85/2005 Z. z. o nelegálnej práci a nelegálnom zamestnávaní a o zmene a doplnení niektorých zákonov v znení neskorších predpisov sa dopĺňa z dôvodu požiadaviek aplikačnej praxe. Navrhovaným znením sa zosúlaďuje ustanovená kompetencia inšpektorátu práce a iného orgánu inšpekcie práce ako orgánu dohľadu nad určeným výrobkom podľa návrhu zákona. Výkon dohľadu nad určeným výrobkom je upravený v § 27 až 29 zákona č. 56/2018 Z. z., a preto </w:t>
      </w:r>
      <w:r w:rsidRPr="00156690">
        <w:rPr>
          <w:rFonts w:eastAsiaTheme="minorHAnsi" w:cs="Times New Roman"/>
        </w:rPr>
        <w:t xml:space="preserve">sa subsumuje pod tento zákon. Jednotná legislatíva v prípade zákonného postupu inšpektorátu práce a iného orgánu inšpekcie práce ako orgánu dohľadu nad určeným výrobkom pri výkone kontrolnej činnosti zjednoduší samotný výkon kontrol, ako aj následné prípadné správne konanie. </w:t>
      </w:r>
      <w:r w:rsidRPr="00156690">
        <w:rPr>
          <w:rFonts w:eastAsiaTheme="minorHAnsi" w:cs="Times New Roman"/>
          <w:lang w:eastAsia="en-US"/>
        </w:rPr>
        <w:t>Zároveň sa aktualizuje poznámka pod čiarou k odkazu 1.</w:t>
      </w:r>
    </w:p>
    <w:p w:rsidR="00156690" w:rsidRPr="00156690" w:rsidRDefault="00156690" w:rsidP="00156690">
      <w:pPr>
        <w:widowControl/>
        <w:spacing w:before="120" w:after="120"/>
        <w:jc w:val="both"/>
        <w:rPr>
          <w:rFonts w:cs="Times New Roman"/>
          <w:b/>
        </w:rPr>
      </w:pPr>
    </w:p>
    <w:p w:rsidR="00156690" w:rsidRPr="00156690" w:rsidRDefault="00156690" w:rsidP="00156690">
      <w:pPr>
        <w:widowControl/>
        <w:spacing w:before="120" w:after="120"/>
        <w:jc w:val="both"/>
        <w:rPr>
          <w:rFonts w:cs="Times New Roman"/>
          <w:b/>
        </w:rPr>
      </w:pPr>
      <w:r w:rsidRPr="00156690">
        <w:rPr>
          <w:rFonts w:cs="Times New Roman"/>
          <w:b/>
        </w:rPr>
        <w:t>K Čl. VI</w:t>
      </w:r>
    </w:p>
    <w:p w:rsidR="00156690" w:rsidRPr="00156690" w:rsidRDefault="00156690" w:rsidP="00156690">
      <w:pPr>
        <w:widowControl/>
        <w:spacing w:before="120" w:after="120"/>
        <w:jc w:val="both"/>
        <w:rPr>
          <w:rFonts w:cs="Times New Roman"/>
        </w:rPr>
      </w:pPr>
      <w:r w:rsidRPr="00156690">
        <w:rPr>
          <w:rFonts w:cs="Times New Roman"/>
        </w:rPr>
        <w:t xml:space="preserve">Mení a dopĺňa sa zákon č. 355/2007 Z. z. z dôvodu implementácie </w:t>
      </w:r>
      <w:r w:rsidRPr="00156690">
        <w:rPr>
          <w:rFonts w:cs="Times New Roman"/>
          <w:bCs/>
          <w:lang w:eastAsia="cs-CZ"/>
        </w:rPr>
        <w:t xml:space="preserve">delegovaného nariadenia (EÚ) 2024/370 a delegovaného nariadenia (EÚ) 2024/371 návrhom zákona. </w:t>
      </w:r>
      <w:r w:rsidRPr="00156690">
        <w:rPr>
          <w:rFonts w:cs="Times New Roman"/>
        </w:rPr>
        <w:t xml:space="preserve">V súvislosti s tým sa príslušné ustanovenia zákona č. 355/2007 Z. z. dávajú do súladu s návrhom zákona. </w:t>
      </w:r>
    </w:p>
    <w:p w:rsidR="00156690" w:rsidRPr="00156690" w:rsidRDefault="00156690" w:rsidP="00156690">
      <w:pPr>
        <w:widowControl/>
        <w:spacing w:before="120" w:after="120"/>
        <w:jc w:val="both"/>
        <w:rPr>
          <w:rFonts w:cs="Times New Roman"/>
        </w:rPr>
      </w:pPr>
      <w:r w:rsidRPr="00156690">
        <w:rPr>
          <w:rFonts w:cs="Times New Roman"/>
        </w:rPr>
        <w:t>Výrobky, ktoré prichádzajú do kontaktu s vodou určenou na ľudskú spotrebu sa stávajú určenými výrobkami podľa § 4 ods. 1 zákona č. 56/2018 Z. z. Regionálne úrady verejného zdravotníctva sa explicitne ustanovujú ako orgány dohľadu, ktoré budú vykonávať dohľad nad týmito určenými výrobkami podľa § 26 až 29 zákona č. 56/2018 Z. z. a budú ukladať sankcie pod</w:t>
      </w:r>
      <w:bookmarkStart w:id="5" w:name="_Hlk183080718"/>
      <w:r w:rsidRPr="00156690">
        <w:rPr>
          <w:rFonts w:cs="Times New Roman"/>
        </w:rPr>
        <w:t>ľa § 28 zákona č. 56/2008 Z. z. Hospodárskym subjektom, ktorými sú výrobca, dovozca a splnomocnený zástupca pred sprístupnením určeného výrobku, ktorým je výrobok určený na styk s pitnou vodou sa ustanovujú nové povinnosti, ktoré musia plniť podľa vykonávacieho rozhodnutia Komisie (EÚ) 2024/367 z 23. januára 2024, ktorým sa stanovujú pravidlá uplatňovania smernice Európskeho parlamentu a Rady (EÚ) 2020/2184 prostredníctvom vypracovania európskych zoznamov povolených východiskových látok, zmesí alebo zložiek povolených na použitie pri výrobe materiálov alebo výrobkov, ktoré prichádzajú do kontaktu s vodou určenou na ľudskú spotrebu (Ú. v. EÚ L, 2024/367, 23.4.2024) (ďalej len „</w:t>
      </w:r>
      <w:bookmarkEnd w:id="5"/>
      <w:r w:rsidRPr="00156690">
        <w:rPr>
          <w:rFonts w:cs="Times New Roman"/>
        </w:rPr>
        <w:t>vykonávacie rozhodnutie (EÚ) 2024/367“), vykonávacieho rozhodnutia Komisie (EÚ) 2024/368 z 23. januára 2024, ktorým sa stanovujú pravidlá uplatňovania smernice Európskeho parlamentu a Rady (EÚ) 2020/2184, pokiaľ ide o postupy a metódy testovania a schvaľovania konečných materiálov používaných vo výrobkoch prichádzajúcich do kontaktu s vodou určenou na ľudskú spotrebu (Ú. v. EÚ L, 2024/368, 23.4.2024) (ďalej len „vykonávacie rozhodnutie (EÚ) 2024/368“), delegovaného nariadenia (EÚ) 2024/370, delegovaného nariadenia (EÚ) 2024/371 a podľa zákona č. 56/2018 Z. z. ako rámcového zákona pre sprístupňovanie určených výrobkov na trhu.</w:t>
      </w:r>
    </w:p>
    <w:p w:rsidR="00156690" w:rsidRPr="00156690" w:rsidRDefault="00156690" w:rsidP="00156690">
      <w:pPr>
        <w:spacing w:before="120" w:after="120"/>
        <w:contextualSpacing/>
        <w:jc w:val="both"/>
        <w:rPr>
          <w:rFonts w:cs="Times New Roman"/>
        </w:rPr>
      </w:pPr>
      <w:r w:rsidRPr="00156690">
        <w:rPr>
          <w:rFonts w:cs="Times New Roman"/>
        </w:rPr>
        <w:t xml:space="preserve">Na materiály určené na styk s pitnou vodou sa naďalej vzťahujú ustanovenia zákona č. 355/2007 Z. z., keďže nie sú určenými výrobkami podľa § 4 ods. 1 zákona č. 56/2018 Z. z., musia  však spĺňať požiadavky stanovené vo </w:t>
      </w:r>
      <w:r w:rsidRPr="00156690">
        <w:rPr>
          <w:rFonts w:cs="Times New Roman"/>
          <w:bCs/>
          <w:shd w:val="clear" w:color="auto" w:fill="FFFFFF"/>
        </w:rPr>
        <w:t>vykonávacom rozhodnutí Komisie (EÚ) 2024/365 z 23. januára 2024, ktorým sa stanovujú pravidlá uplatňovania smernice Európskeho parlamentu a Rady (EÚ) 2020/2184, pokiaľ ide o metodiky testovania a schvaľovania východiskových látok, zmesí a zložiek, ktoré sa majú zaradiť do európskych zoznamov povolených látok (</w:t>
      </w:r>
      <w:r w:rsidRPr="00156690">
        <w:rPr>
          <w:rFonts w:cs="Times New Roman"/>
          <w:iCs/>
          <w:shd w:val="clear" w:color="auto" w:fill="FFFFFF"/>
        </w:rPr>
        <w:t xml:space="preserve">Ú. v. EÚ L, 2024/365, 23.4.2024), </w:t>
      </w:r>
      <w:r w:rsidRPr="00156690">
        <w:rPr>
          <w:rFonts w:cs="Times New Roman"/>
        </w:rPr>
        <w:t xml:space="preserve">vykonávacom rozhodnutí (EÚ) 2024/367, vykonávacom rozhodnutí (EÚ) 2024/368 a </w:t>
      </w:r>
      <w:r w:rsidRPr="00156690">
        <w:rPr>
          <w:rFonts w:cs="Times New Roman"/>
          <w:bCs/>
          <w:shd w:val="clear" w:color="auto" w:fill="FFFFFF"/>
        </w:rPr>
        <w:t>delegovanom nariadení Komisie (EÚ) 2024/369 z 23. januára 2024, ktorým sa dopĺňa smernica Európskeho parlamentu a Rady (EÚ) 2020/2184 stanovením postupu týkajúceho sa zaradenia východiskových látok, zmesí alebo zložiek do európskych zoznamov povolených východiskových látok, zmesí alebo zložiek alebo ich vypustenia z daných zoznamov (</w:t>
      </w:r>
      <w:r w:rsidRPr="00156690">
        <w:rPr>
          <w:rFonts w:cs="Times New Roman"/>
          <w:iCs/>
          <w:shd w:val="clear" w:color="auto" w:fill="FFFFFF"/>
        </w:rPr>
        <w:t>Ú. v. EÚ L, 2024/369, 23.4.2024)</w:t>
      </w:r>
      <w:r w:rsidRPr="00156690">
        <w:rPr>
          <w:rFonts w:cs="Times New Roman"/>
        </w:rPr>
        <w:t xml:space="preserve">. Kompetencia Regionálneho úradu verejného zdravotníctva so sídlom v Poprade nad hodnotením zdravotnej bezpečnosti nad materiálmi určenými na styk s pitnou vodou zostáva zachovaná a vykonáva sa naďalej podľa príslušných ustanovení zákona č. 355/2007 Z. z. </w:t>
      </w:r>
    </w:p>
    <w:p w:rsidR="00156690" w:rsidRPr="00156690" w:rsidRDefault="00156690" w:rsidP="00156690">
      <w:pPr>
        <w:spacing w:before="120" w:after="120"/>
        <w:jc w:val="both"/>
        <w:rPr>
          <w:rFonts w:cs="Times New Roman"/>
        </w:rPr>
      </w:pPr>
      <w:r w:rsidRPr="00156690">
        <w:rPr>
          <w:rFonts w:cs="Times New Roman"/>
        </w:rPr>
        <w:t>Regionálne úrady verejného zdravotníctva sa ustanovujú aj ako orgán dohľadu nad určeným výrobkom podľa čl. 11 nariadenia (EÚ) 2023/1542 v platnom znení pre vyberateľné a vymeniteľné prenosné batérie a LMT batérie, ktoré sú súčasťou určeného výrobku, pre ktorý sú orgánom dohľadu nad určenými výrobkami podľa § 26 návrhu zákona a pre zabudované prenosné batérie a LMT batérie, ktoré sú náhradnými dielmi k napájanému zariadeniu (výrobku), a to pre rozsah činnosti pri výkone dohľadu podľa čl. 79 až 83 nariadenia (EÚ) 2023/1542 v platnom znení.</w:t>
      </w:r>
    </w:p>
    <w:p w:rsidR="00156690" w:rsidRPr="00156690" w:rsidRDefault="00156690" w:rsidP="00156690">
      <w:pPr>
        <w:spacing w:before="120" w:after="120"/>
        <w:jc w:val="both"/>
        <w:rPr>
          <w:rFonts w:cs="Times New Roman"/>
        </w:rPr>
      </w:pPr>
      <w:r w:rsidRPr="00156690">
        <w:rPr>
          <w:rFonts w:cs="Times New Roman"/>
        </w:rPr>
        <w:t>Zrušuje sa v</w:t>
      </w:r>
      <w:r w:rsidRPr="00156690">
        <w:rPr>
          <w:rFonts w:cs="Times New Roman"/>
          <w:bCs/>
          <w:lang w:eastAsia="cs-CZ"/>
        </w:rPr>
        <w:t>yhláška Ministerstva zdravotníctva Slovenskej republiky č. 550/2007 Z. z. o podrobnostiach o požiadavkách na výrobky určené na styk s pitnou vodou.</w:t>
      </w:r>
    </w:p>
    <w:p w:rsidR="00156690" w:rsidRPr="00156690" w:rsidRDefault="00156690" w:rsidP="00156690">
      <w:pPr>
        <w:spacing w:before="120" w:after="120"/>
        <w:contextualSpacing/>
        <w:jc w:val="both"/>
        <w:rPr>
          <w:rFonts w:cs="Times New Roman"/>
        </w:rPr>
      </w:pPr>
    </w:p>
    <w:p w:rsidR="00156690" w:rsidRPr="00156690" w:rsidRDefault="00156690" w:rsidP="00156690">
      <w:pPr>
        <w:spacing w:before="120" w:after="120"/>
        <w:contextualSpacing/>
        <w:jc w:val="both"/>
        <w:rPr>
          <w:rFonts w:cs="Times New Roman"/>
          <w:b/>
          <w:lang w:eastAsia="cs-CZ"/>
        </w:rPr>
      </w:pPr>
      <w:r w:rsidRPr="00156690">
        <w:rPr>
          <w:rFonts w:cs="Times New Roman"/>
          <w:b/>
          <w:lang w:eastAsia="cs-CZ"/>
        </w:rPr>
        <w:t>K Čl. VII</w:t>
      </w:r>
    </w:p>
    <w:p w:rsidR="00156690" w:rsidRPr="00156690" w:rsidRDefault="00156690" w:rsidP="00156690">
      <w:pPr>
        <w:widowControl/>
        <w:adjustRightInd/>
        <w:spacing w:after="120"/>
        <w:jc w:val="both"/>
        <w:rPr>
          <w:rFonts w:eastAsiaTheme="minorHAnsi" w:cs="Times New Roman"/>
          <w:lang w:eastAsia="en-US"/>
        </w:rPr>
      </w:pPr>
      <w:r w:rsidRPr="00156690">
        <w:rPr>
          <w:rFonts w:eastAsiaTheme="minorHAnsi" w:cs="Times New Roman"/>
          <w:lang w:eastAsia="cs-CZ"/>
        </w:rPr>
        <w:t xml:space="preserve">Zákon </w:t>
      </w:r>
      <w:r w:rsidRPr="00156690">
        <w:rPr>
          <w:rFonts w:eastAsiaTheme="minorHAnsi" w:cs="Times New Roman"/>
          <w:lang w:eastAsia="en-US"/>
        </w:rPr>
        <w:t xml:space="preserve">č. 346/2013 Z. z. </w:t>
      </w:r>
      <w:r w:rsidRPr="00156690">
        <w:rPr>
          <w:rFonts w:eastAsiaTheme="minorHAnsi" w:cs="Times New Roman"/>
          <w:lang w:eastAsia="cs-CZ"/>
        </w:rPr>
        <w:t xml:space="preserve">obmedzení používania určitých nebezpečných látok v elektrických zariadeniach a elektronických zariadeniach a ktorým sa mení zákon č. 223/2001 Z. z. o odpadoch a o zmene a doplnení niektorých zákonov v znení neskorších predpisov </w:t>
      </w:r>
      <w:r w:rsidRPr="00156690">
        <w:rPr>
          <w:rFonts w:eastAsiaTheme="minorHAnsi" w:cs="Times New Roman"/>
          <w:lang w:eastAsia="en-US"/>
        </w:rPr>
        <w:t>sa dopĺňa, že ide o určený výrobok podľa § 4 ods. 1 zákona č. 56/2018 Z. z., aby bolo jednoznačne zrejmé, že ide o technický predpis z oblasti posudzovania zhody. Zároveň sa aktualizujú poznámky pod čiarou k viacerým odkazom na nové právne predpisy.</w:t>
      </w:r>
    </w:p>
    <w:p w:rsidR="00156690" w:rsidRDefault="00156690" w:rsidP="00156690">
      <w:pPr>
        <w:widowControl/>
        <w:adjustRightInd/>
        <w:spacing w:after="120"/>
        <w:jc w:val="both"/>
        <w:rPr>
          <w:rFonts w:eastAsiaTheme="minorHAnsi" w:cs="Times New Roman"/>
          <w:b/>
          <w:lang w:eastAsia="en-US"/>
        </w:rPr>
      </w:pPr>
    </w:p>
    <w:p w:rsidR="00762333" w:rsidRPr="00156690" w:rsidRDefault="00762333" w:rsidP="00156690">
      <w:pPr>
        <w:widowControl/>
        <w:adjustRightInd/>
        <w:spacing w:after="120"/>
        <w:jc w:val="both"/>
        <w:rPr>
          <w:rFonts w:eastAsiaTheme="minorHAnsi" w:cs="Times New Roman"/>
          <w:b/>
          <w:lang w:eastAsia="en-US"/>
        </w:rPr>
      </w:pPr>
    </w:p>
    <w:p w:rsidR="00156690" w:rsidRPr="00156690" w:rsidRDefault="00156690" w:rsidP="00156690">
      <w:pPr>
        <w:widowControl/>
        <w:adjustRightInd/>
        <w:spacing w:after="120"/>
        <w:jc w:val="both"/>
        <w:rPr>
          <w:rFonts w:eastAsiaTheme="minorHAnsi" w:cs="Times New Roman"/>
          <w:b/>
          <w:lang w:eastAsia="en-US"/>
        </w:rPr>
      </w:pPr>
      <w:r w:rsidRPr="00156690">
        <w:rPr>
          <w:rFonts w:eastAsiaTheme="minorHAnsi" w:cs="Times New Roman"/>
          <w:b/>
          <w:lang w:eastAsia="en-US"/>
        </w:rPr>
        <w:t xml:space="preserve">K Čl. VIII </w:t>
      </w:r>
    </w:p>
    <w:p w:rsidR="00156690" w:rsidRPr="00156690" w:rsidRDefault="00156690" w:rsidP="00156690">
      <w:pPr>
        <w:widowControl/>
        <w:adjustRightInd/>
        <w:spacing w:before="120" w:after="120"/>
        <w:jc w:val="both"/>
        <w:rPr>
          <w:rFonts w:eastAsiaTheme="minorHAnsi" w:cs="Times New Roman"/>
          <w:lang w:eastAsia="cs-CZ"/>
        </w:rPr>
      </w:pPr>
      <w:r w:rsidRPr="00156690">
        <w:rPr>
          <w:rFonts w:eastAsiaTheme="minorHAnsi" w:cs="Times New Roman"/>
          <w:lang w:eastAsia="cs-CZ"/>
        </w:rPr>
        <w:t>Zákonom č. 69/2018 Z. z. o kybernetickej bezpečnosti a o zmene a doplnení niektorých zákonov v znení neskorších predpisov sa ustanovuje NBÚ ako orgán dohľadu nad trhom podľa čl. 52 ods. 2 nariadenia (EÚ) 2024/2847 v platnom znení pre produkt s digitálnymi prvkami podľa čl. 3 bod 1 nariadenia (EÚ) 2024/2847 v platnom znení v nadväznosti na jeho doplnenie do § 26 písm. j) návrhu zákona ako orgánu dohľadu nad určeným výrobkom podľa čl. 2 ods. 1 nariadenia (EÚ) 2024/2847 v platnom znení, ktorým je produkt s digitálnymi prvkami.</w:t>
      </w:r>
    </w:p>
    <w:p w:rsidR="00156690" w:rsidRPr="00156690" w:rsidRDefault="00156690" w:rsidP="00156690">
      <w:pPr>
        <w:spacing w:before="120" w:after="120"/>
        <w:jc w:val="both"/>
        <w:rPr>
          <w:rFonts w:cs="Times New Roman"/>
          <w:b/>
          <w:lang w:eastAsia="cs-CZ"/>
        </w:rPr>
      </w:pPr>
    </w:p>
    <w:p w:rsidR="00156690" w:rsidRPr="00156690" w:rsidRDefault="00156690" w:rsidP="00156690">
      <w:pPr>
        <w:spacing w:before="120" w:after="120"/>
        <w:jc w:val="both"/>
        <w:rPr>
          <w:rFonts w:cs="Times New Roman"/>
          <w:b/>
          <w:lang w:eastAsia="cs-CZ"/>
        </w:rPr>
      </w:pPr>
      <w:r w:rsidRPr="00156690">
        <w:rPr>
          <w:rFonts w:cs="Times New Roman"/>
          <w:b/>
          <w:lang w:eastAsia="cs-CZ"/>
        </w:rPr>
        <w:t>K Čl. IX</w:t>
      </w:r>
    </w:p>
    <w:p w:rsidR="00156690" w:rsidRPr="00156690" w:rsidRDefault="00156690" w:rsidP="00156690">
      <w:pPr>
        <w:spacing w:before="120" w:after="120"/>
        <w:jc w:val="both"/>
        <w:rPr>
          <w:rFonts w:cs="Times New Roman"/>
          <w:lang w:eastAsia="cs-CZ"/>
        </w:rPr>
      </w:pPr>
      <w:r w:rsidRPr="00156690">
        <w:rPr>
          <w:rFonts w:cs="Times New Roman"/>
        </w:rPr>
        <w:t xml:space="preserve">Potreba úpravy zákona č. </w:t>
      </w:r>
      <w:r w:rsidRPr="00156690">
        <w:rPr>
          <w:rFonts w:cs="Times New Roman"/>
          <w:lang w:eastAsia="cs-CZ"/>
        </w:rPr>
        <w:t xml:space="preserve">351/2022 Z. z. o prístupnosti výrobkov a služieb pre osoby so zdravotným postihnutím a o zmene a doplnení niektorých zákonov </w:t>
      </w:r>
      <w:r w:rsidRPr="00156690">
        <w:rPr>
          <w:rFonts w:cs="Times New Roman"/>
        </w:rPr>
        <w:t xml:space="preserve">vyplynula </w:t>
      </w:r>
      <w:r w:rsidRPr="00156690">
        <w:rPr>
          <w:rFonts w:cs="Times New Roman"/>
          <w:lang w:eastAsia="cs-CZ"/>
        </w:rPr>
        <w:t>z dôvodu jeho zosúladenia so zákonom č. 56/2018 Z. z. Precizuje sa poznámka pod čiarou k odkazu 22 konkrétnym odvolaním sa na § 26 písm. a), podľa ktorého je Slovenská obchodná inšpekcia orgánom dohľadu nad určeným výrobkom podľa n</w:t>
      </w:r>
      <w:r w:rsidRPr="00156690">
        <w:rPr>
          <w:rFonts w:cs="Times New Roman"/>
          <w:bCs/>
          <w:shd w:val="clear" w:color="auto" w:fill="FFFFFF"/>
        </w:rPr>
        <w:t>ariadenia vlády Slovenskej republiky č. 282/2023 Z. z., ktorým sa ustanovujú technické požiadavky na prístupnosť výrobkov pre osoby so zdravotným postihnutím.</w:t>
      </w:r>
    </w:p>
    <w:p w:rsidR="00156690" w:rsidRPr="00156690" w:rsidRDefault="00156690" w:rsidP="00156690">
      <w:pPr>
        <w:spacing w:before="120" w:after="120"/>
        <w:jc w:val="both"/>
        <w:rPr>
          <w:rFonts w:cs="Times New Roman"/>
          <w:b/>
          <w:lang w:eastAsia="cs-CZ"/>
        </w:rPr>
      </w:pPr>
    </w:p>
    <w:p w:rsidR="00156690" w:rsidRPr="00156690" w:rsidRDefault="00156690" w:rsidP="00156690">
      <w:pPr>
        <w:spacing w:before="120" w:after="120"/>
        <w:jc w:val="both"/>
        <w:rPr>
          <w:rFonts w:cs="Times New Roman"/>
          <w:b/>
          <w:lang w:eastAsia="cs-CZ"/>
        </w:rPr>
      </w:pPr>
      <w:r w:rsidRPr="00156690">
        <w:rPr>
          <w:rFonts w:cs="Times New Roman"/>
          <w:b/>
          <w:lang w:eastAsia="cs-CZ"/>
        </w:rPr>
        <w:t>K Čl. X</w:t>
      </w:r>
    </w:p>
    <w:p w:rsidR="00156690" w:rsidRDefault="00156690" w:rsidP="00156690">
      <w:pPr>
        <w:widowControl/>
        <w:spacing w:before="120" w:after="120"/>
        <w:jc w:val="both"/>
        <w:rPr>
          <w:rFonts w:cs="Times New Roman"/>
        </w:rPr>
      </w:pPr>
      <w:r w:rsidRPr="00156690">
        <w:rPr>
          <w:rFonts w:cs="Times New Roman"/>
        </w:rPr>
        <w:t xml:space="preserve">Účinnosť tohto zákona sa navrhuje od 1. januára 2026. </w:t>
      </w:r>
    </w:p>
    <w:p w:rsidR="00156690" w:rsidRDefault="00156690" w:rsidP="00156690">
      <w:pPr>
        <w:widowControl/>
        <w:spacing w:before="120" w:after="120"/>
        <w:jc w:val="both"/>
        <w:rPr>
          <w:rFonts w:cs="Times New Roman"/>
        </w:rPr>
      </w:pPr>
    </w:p>
    <w:p w:rsidR="00156690" w:rsidRDefault="00156690" w:rsidP="00156690">
      <w:pPr>
        <w:widowControl/>
        <w:spacing w:before="120" w:after="120"/>
        <w:jc w:val="both"/>
        <w:rPr>
          <w:rFonts w:cs="Times New Roman"/>
        </w:rPr>
      </w:pPr>
      <w:r>
        <w:rPr>
          <w:rFonts w:cs="Times New Roman"/>
        </w:rPr>
        <w:t>Bratislava 20. augusta 2025</w:t>
      </w:r>
    </w:p>
    <w:p w:rsidR="00156690" w:rsidRDefault="00156690" w:rsidP="00156690">
      <w:pPr>
        <w:widowControl/>
        <w:spacing w:before="120" w:after="120"/>
        <w:jc w:val="both"/>
        <w:rPr>
          <w:rFonts w:cs="Times New Roman"/>
        </w:rPr>
      </w:pPr>
    </w:p>
    <w:p w:rsidR="00762333" w:rsidRDefault="00762333" w:rsidP="00156690">
      <w:pPr>
        <w:widowControl/>
        <w:spacing w:before="120" w:after="120"/>
        <w:jc w:val="both"/>
        <w:rPr>
          <w:rFonts w:cs="Times New Roman"/>
        </w:rPr>
      </w:pPr>
    </w:p>
    <w:p w:rsidR="00762333" w:rsidRDefault="00762333" w:rsidP="00156690">
      <w:pPr>
        <w:widowControl/>
        <w:spacing w:before="120" w:after="120"/>
        <w:jc w:val="both"/>
        <w:rPr>
          <w:rFonts w:cs="Times New Roman"/>
        </w:rPr>
      </w:pPr>
    </w:p>
    <w:p w:rsidR="00762333" w:rsidRDefault="00762333" w:rsidP="00156690">
      <w:pPr>
        <w:widowControl/>
        <w:spacing w:before="120" w:after="120"/>
        <w:jc w:val="both"/>
        <w:rPr>
          <w:rFonts w:cs="Times New Roman"/>
        </w:rPr>
      </w:pPr>
    </w:p>
    <w:p w:rsidR="00762333" w:rsidRDefault="00762333" w:rsidP="00156690">
      <w:pPr>
        <w:widowControl/>
        <w:spacing w:before="120" w:after="120"/>
        <w:jc w:val="both"/>
        <w:rPr>
          <w:rFonts w:cs="Times New Roman"/>
        </w:rPr>
      </w:pPr>
    </w:p>
    <w:p w:rsidR="00432C1C" w:rsidRPr="00DD397C" w:rsidRDefault="00432C1C" w:rsidP="00432C1C">
      <w:pPr>
        <w:widowControl/>
        <w:jc w:val="center"/>
        <w:rPr>
          <w:rStyle w:val="Zstupntext"/>
          <w:color w:val="000000"/>
        </w:rPr>
      </w:pPr>
      <w:r>
        <w:rPr>
          <w:rStyle w:val="Zstupntext"/>
          <w:b/>
          <w:color w:val="000000"/>
        </w:rPr>
        <w:t>Robert Fico v. r.</w:t>
      </w:r>
    </w:p>
    <w:p w:rsidR="00432C1C" w:rsidRPr="00DD397C" w:rsidRDefault="00432C1C" w:rsidP="00432C1C">
      <w:pPr>
        <w:widowControl/>
        <w:jc w:val="center"/>
        <w:rPr>
          <w:rStyle w:val="Zstupntext"/>
          <w:color w:val="000000"/>
        </w:rPr>
      </w:pPr>
      <w:r w:rsidRPr="00DD397C">
        <w:rPr>
          <w:rStyle w:val="Zstupntext"/>
          <w:color w:val="000000"/>
        </w:rPr>
        <w:t>predseda vlády Slovenskej republiky</w:t>
      </w:r>
    </w:p>
    <w:p w:rsidR="00432C1C" w:rsidRPr="00DD397C" w:rsidRDefault="00432C1C" w:rsidP="00432C1C">
      <w:pPr>
        <w:widowControl/>
        <w:spacing w:after="100" w:afterAutospacing="1"/>
        <w:rPr>
          <w:rStyle w:val="Zstupntext"/>
          <w:color w:val="000000"/>
        </w:rPr>
      </w:pPr>
    </w:p>
    <w:p w:rsidR="00432C1C" w:rsidRPr="00DD397C" w:rsidRDefault="00432C1C" w:rsidP="00432C1C">
      <w:pPr>
        <w:widowControl/>
        <w:spacing w:after="100" w:afterAutospacing="1"/>
        <w:rPr>
          <w:rStyle w:val="Zstupntext"/>
          <w:color w:val="000000"/>
        </w:rPr>
      </w:pPr>
    </w:p>
    <w:p w:rsidR="00432C1C" w:rsidRPr="00DD397C" w:rsidRDefault="00432C1C" w:rsidP="00432C1C">
      <w:pPr>
        <w:widowControl/>
        <w:spacing w:after="100" w:afterAutospacing="1"/>
        <w:rPr>
          <w:rStyle w:val="Zstupntext"/>
          <w:color w:val="000000"/>
        </w:rPr>
      </w:pPr>
    </w:p>
    <w:p w:rsidR="00432C1C" w:rsidRPr="00432C1C" w:rsidRDefault="00432C1C" w:rsidP="00432C1C">
      <w:pPr>
        <w:jc w:val="both"/>
        <w:rPr>
          <w:rStyle w:val="Zstupntext"/>
          <w:rFonts w:cs="Arial Unicode MS"/>
          <w:color w:val="auto"/>
          <w:lang w:val="en-US"/>
        </w:rPr>
      </w:pPr>
    </w:p>
    <w:p w:rsidR="00762333" w:rsidRPr="00DD397C" w:rsidRDefault="00762333" w:rsidP="00156690">
      <w:pPr>
        <w:widowControl/>
        <w:spacing w:after="100" w:afterAutospacing="1"/>
        <w:rPr>
          <w:rStyle w:val="Zstupntext"/>
          <w:color w:val="000000"/>
        </w:rPr>
      </w:pPr>
    </w:p>
    <w:p w:rsidR="00156690" w:rsidRPr="00DD397C" w:rsidRDefault="00156690" w:rsidP="00156690">
      <w:pPr>
        <w:widowControl/>
        <w:spacing w:after="100" w:afterAutospacing="1"/>
        <w:rPr>
          <w:rStyle w:val="Zstupntext"/>
          <w:color w:val="000000"/>
        </w:rPr>
      </w:pPr>
    </w:p>
    <w:p w:rsidR="00156690" w:rsidRPr="00DD397C" w:rsidRDefault="00156690" w:rsidP="00156690">
      <w:pPr>
        <w:widowControl/>
        <w:jc w:val="center"/>
        <w:rPr>
          <w:rStyle w:val="Zstupntext"/>
          <w:b/>
          <w:color w:val="000000"/>
        </w:rPr>
      </w:pPr>
      <w:r>
        <w:rPr>
          <w:rStyle w:val="Zstupntext"/>
          <w:b/>
          <w:color w:val="000000"/>
        </w:rPr>
        <w:t>Peter Kadlec</w:t>
      </w:r>
      <w:r w:rsidR="00432C1C">
        <w:rPr>
          <w:rStyle w:val="Zstupntext"/>
          <w:b/>
          <w:color w:val="000000"/>
        </w:rPr>
        <w:t xml:space="preserve"> v. r.</w:t>
      </w:r>
    </w:p>
    <w:p w:rsidR="00156690" w:rsidRPr="00DD397C" w:rsidRDefault="00156690" w:rsidP="00156690">
      <w:pPr>
        <w:widowControl/>
        <w:jc w:val="center"/>
        <w:rPr>
          <w:rStyle w:val="Zstupntext"/>
          <w:color w:val="000000"/>
        </w:rPr>
      </w:pPr>
      <w:r w:rsidRPr="00DD397C">
        <w:rPr>
          <w:rStyle w:val="Zstupntext"/>
          <w:color w:val="000000"/>
        </w:rPr>
        <w:t>predseda Úradu pre normalizáciu, metrológiu</w:t>
      </w:r>
    </w:p>
    <w:p w:rsidR="00156690" w:rsidRPr="00DD397C" w:rsidRDefault="00156690" w:rsidP="00156690">
      <w:pPr>
        <w:widowControl/>
        <w:jc w:val="center"/>
        <w:rPr>
          <w:rStyle w:val="Zstupntext"/>
          <w:color w:val="000000"/>
        </w:rPr>
      </w:pPr>
      <w:r w:rsidRPr="00DD397C">
        <w:rPr>
          <w:rStyle w:val="Zstupntext"/>
          <w:color w:val="000000"/>
        </w:rPr>
        <w:t xml:space="preserve"> a skúšobníctvo Slovenskej republiky</w:t>
      </w:r>
    </w:p>
    <w:p w:rsidR="00156690" w:rsidRDefault="00156690" w:rsidP="00156690">
      <w:pPr>
        <w:jc w:val="both"/>
        <w:rPr>
          <w:lang w:val="en-US"/>
        </w:rPr>
      </w:pPr>
      <w:r>
        <w:rPr>
          <w:lang w:val="en-US"/>
        </w:rPr>
        <w:t> </w:t>
      </w:r>
    </w:p>
    <w:p w:rsidR="00156690" w:rsidRPr="00156690" w:rsidRDefault="00156690" w:rsidP="00156690">
      <w:pPr>
        <w:widowControl/>
        <w:spacing w:before="120" w:after="120"/>
        <w:jc w:val="both"/>
        <w:rPr>
          <w:rFonts w:cs="Times New Roman"/>
        </w:rPr>
      </w:pPr>
    </w:p>
    <w:sectPr w:rsidR="00156690" w:rsidRPr="00156690" w:rsidSect="00762333">
      <w:pgSz w:w="12240" w:h="15840"/>
      <w:pgMar w:top="1417" w:right="1440" w:bottom="14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E03" w:rsidRDefault="007F0E03" w:rsidP="00146C23">
      <w:r>
        <w:separator/>
      </w:r>
    </w:p>
  </w:endnote>
  <w:endnote w:type="continuationSeparator" w:id="0">
    <w:p w:rsidR="007F0E03" w:rsidRDefault="007F0E03" w:rsidP="00146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772513"/>
      <w:docPartObj>
        <w:docPartGallery w:val="Page Numbers (Bottom of Page)"/>
        <w:docPartUnique/>
      </w:docPartObj>
    </w:sdtPr>
    <w:sdtEndPr/>
    <w:sdtContent>
      <w:p w:rsidR="002D14AA" w:rsidRDefault="002D14AA">
        <w:pPr>
          <w:pStyle w:val="Pta"/>
          <w:jc w:val="center"/>
        </w:pPr>
        <w:r>
          <w:fldChar w:fldCharType="begin"/>
        </w:r>
        <w:r>
          <w:instrText>PAGE   \* MERGEFORMAT</w:instrText>
        </w:r>
        <w:r>
          <w:fldChar w:fldCharType="separate"/>
        </w:r>
        <w:r w:rsidR="00D22762">
          <w:rPr>
            <w:noProof/>
          </w:rPr>
          <w:t>13</w:t>
        </w:r>
        <w:r>
          <w:fldChar w:fldCharType="end"/>
        </w:r>
      </w:p>
    </w:sdtContent>
  </w:sdt>
  <w:p w:rsidR="007F0E03" w:rsidRDefault="007F0E0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E03" w:rsidRDefault="007F0E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7F0E03" w:rsidRDefault="007F0E03">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1476723"/>
      <w:docPartObj>
        <w:docPartGallery w:val="Page Numbers (Bottom of Page)"/>
        <w:docPartUnique/>
      </w:docPartObj>
    </w:sdtPr>
    <w:sdtEndPr/>
    <w:sdtContent>
      <w:p w:rsidR="00262746" w:rsidRDefault="00262746">
        <w:pPr>
          <w:pStyle w:val="Pta"/>
          <w:jc w:val="center"/>
        </w:pPr>
        <w:r>
          <w:fldChar w:fldCharType="begin"/>
        </w:r>
        <w:r>
          <w:instrText>PAGE   \* MERGEFORMAT</w:instrText>
        </w:r>
        <w:r>
          <w:fldChar w:fldCharType="separate"/>
        </w:r>
        <w:r w:rsidR="00D22762">
          <w:rPr>
            <w:noProof/>
          </w:rPr>
          <w:t>26</w:t>
        </w:r>
        <w:r>
          <w:fldChar w:fldCharType="end"/>
        </w:r>
      </w:p>
    </w:sdtContent>
  </w:sdt>
  <w:p w:rsidR="007F0E03" w:rsidRDefault="007F0E03">
    <w:pPr>
      <w:pStyle w:val="Pta"/>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E03" w:rsidRDefault="007F0E03">
    <w:pPr>
      <w:pStyle w:val="Pta"/>
      <w:jc w:val="right"/>
    </w:pPr>
    <w:r>
      <w:fldChar w:fldCharType="begin"/>
    </w:r>
    <w:r>
      <w:instrText>PAGE   \* MERGEFORMAT</w:instrText>
    </w:r>
    <w:r>
      <w:fldChar w:fldCharType="separate"/>
    </w:r>
    <w:r>
      <w:rPr>
        <w:noProof/>
      </w:rPr>
      <w:t>0</w:t>
    </w:r>
    <w:r>
      <w:fldChar w:fldCharType="end"/>
    </w:r>
  </w:p>
  <w:p w:rsidR="007F0E03" w:rsidRDefault="007F0E03">
    <w:pPr>
      <w:pStyle w:val="Pt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487381"/>
      <w:docPartObj>
        <w:docPartGallery w:val="Page Numbers (Bottom of Page)"/>
        <w:docPartUnique/>
      </w:docPartObj>
    </w:sdtPr>
    <w:sdtEndPr/>
    <w:sdtContent>
      <w:p w:rsidR="002D14AA" w:rsidRDefault="002D14AA">
        <w:pPr>
          <w:pStyle w:val="Pta"/>
          <w:jc w:val="center"/>
        </w:pPr>
        <w:r>
          <w:fldChar w:fldCharType="begin"/>
        </w:r>
        <w:r>
          <w:instrText>PAGE   \* MERGEFORMAT</w:instrText>
        </w:r>
        <w:r>
          <w:fldChar w:fldCharType="separate"/>
        </w:r>
        <w:r w:rsidR="00D22762">
          <w:rPr>
            <w:noProof/>
          </w:rPr>
          <w:t>31</w:t>
        </w:r>
        <w:r>
          <w:fldChar w:fldCharType="end"/>
        </w:r>
      </w:p>
    </w:sdtContent>
  </w:sdt>
  <w:p w:rsidR="007F0E03" w:rsidRDefault="007F0E0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E03" w:rsidRDefault="007F0E03" w:rsidP="00146C23">
      <w:r>
        <w:separator/>
      </w:r>
    </w:p>
  </w:footnote>
  <w:footnote w:type="continuationSeparator" w:id="0">
    <w:p w:rsidR="007F0E03" w:rsidRDefault="007F0E03" w:rsidP="00146C23">
      <w:r>
        <w:continuationSeparator/>
      </w:r>
    </w:p>
  </w:footnote>
  <w:footnote w:id="1">
    <w:p w:rsidR="007F0E03" w:rsidRPr="000A6B7F" w:rsidRDefault="007F0E03" w:rsidP="00146C23">
      <w:pPr>
        <w:pStyle w:val="Textpoznmkypodiarou"/>
        <w:rPr>
          <w:rFonts w:ascii="Times New Roman" w:hAnsi="Times New Roman"/>
        </w:rPr>
      </w:pPr>
      <w:r>
        <w:rPr>
          <w:rStyle w:val="Odkaznapoznmkupodiarou"/>
        </w:rPr>
        <w:footnoteRef/>
      </w:r>
      <w:r>
        <w:t xml:space="preserve"> </w:t>
      </w:r>
      <w:r w:rsidRPr="000A6B7F">
        <w:rPr>
          <w:rFonts w:ascii="Times New Roman" w:hAnsi="Times New Roman"/>
        </w:rPr>
        <w:t xml:space="preserve">Definícia </w:t>
      </w:r>
      <w:proofErr w:type="spellStart"/>
      <w:r w:rsidRPr="000A6B7F">
        <w:rPr>
          <w:rFonts w:ascii="Times New Roman" w:hAnsi="Times New Roman"/>
        </w:rPr>
        <w:t>goldplatingu</w:t>
      </w:r>
      <w:proofErr w:type="spellEnd"/>
      <w:r w:rsidRPr="000A6B7F">
        <w:rPr>
          <w:rFonts w:ascii="Times New Roman" w:hAnsi="Times New Roman"/>
        </w:rPr>
        <w:t xml:space="preserve"> </w:t>
      </w:r>
      <w:r w:rsidRPr="00D114ED">
        <w:rPr>
          <w:rFonts w:ascii="Times New Roman" w:hAnsi="Times New Roman"/>
        </w:rPr>
        <w:t>je uvedená v bode 4 časti III. jednotnej metodiky.</w:t>
      </w:r>
    </w:p>
  </w:footnote>
  <w:footnote w:id="2">
    <w:p w:rsidR="007F0E03" w:rsidRPr="00804BC8" w:rsidRDefault="007F0E03" w:rsidP="00146C23">
      <w:pPr>
        <w:pStyle w:val="Textpoznmkypodiarou"/>
        <w:jc w:val="both"/>
        <w:rPr>
          <w:rFonts w:ascii="Times New Roman" w:hAnsi="Times New Roman"/>
        </w:rPr>
      </w:pPr>
      <w:r w:rsidRPr="0099544D">
        <w:rPr>
          <w:rStyle w:val="Odkaznapoznmkupodiarou"/>
          <w:rFonts w:ascii="Times New Roman" w:hAnsi="Times New Roman"/>
        </w:rPr>
        <w:footnoteRef/>
      </w:r>
      <w:r w:rsidRPr="0099544D">
        <w:rPr>
          <w:rFonts w:ascii="Times New Roman" w:hAnsi="Times New Roman"/>
        </w:rPr>
        <w:t xml:space="preserve"> </w:t>
      </w:r>
      <w:r w:rsidRPr="00804BC8">
        <w:rPr>
          <w:rFonts w:ascii="Times New Roman" w:hAnsi="Times New Roman"/>
        </w:rPr>
        <w:t xml:space="preserve">Informácie sa uvádzajú  iba v prípade, ak sa predkladaným návrhom regulácie vykonáva transpozícia smernice </w:t>
      </w:r>
      <w:r w:rsidRPr="0099544D">
        <w:rPr>
          <w:rFonts w:ascii="Times New Roman" w:hAnsi="Times New Roman"/>
        </w:rPr>
        <w:t>EÚ</w:t>
      </w:r>
      <w:r w:rsidRPr="00804BC8">
        <w:rPr>
          <w:rFonts w:ascii="Times New Roman" w:hAnsi="Times New Roman"/>
        </w:rPr>
        <w:t xml:space="preserve"> a bol identifikovaný goldplating podľa tabuľky zhody alebo sa vykonáva implementácia nariadenia EÚ s </w:t>
      </w:r>
      <w:proofErr w:type="spellStart"/>
      <w:r w:rsidRPr="00804BC8">
        <w:rPr>
          <w:rFonts w:ascii="Times New Roman" w:hAnsi="Times New Roman"/>
        </w:rPr>
        <w:t>goldplatingom</w:t>
      </w:r>
      <w:proofErr w:type="spellEnd"/>
      <w:r w:rsidRPr="00804BC8">
        <w:rPr>
          <w:rFonts w:ascii="Times New Roman" w:hAnsi="Times New Roman"/>
        </w:rPr>
        <w:t>.</w:t>
      </w:r>
      <w:r>
        <w:rPr>
          <w:rFonts w:ascii="Times New Roman" w:hAnsi="Times New Roman"/>
        </w:rPr>
        <w:t xml:space="preserve"> Informácie sa uvádzajú aj v prípade</w:t>
      </w:r>
      <w:r w:rsidRPr="00CF4D09">
        <w:rPr>
          <w:rFonts w:ascii="Times New Roman" w:hAnsi="Times New Roman"/>
        </w:rPr>
        <w:t xml:space="preserve"> (ak nejde o transpozíciu smernice EÚ alebo implementáciu nariadenia EÚ)</w:t>
      </w:r>
      <w:r>
        <w:rPr>
          <w:rFonts w:ascii="Times New Roman" w:hAnsi="Times New Roman"/>
        </w:rPr>
        <w:t>, ak sa predloženým návrhom odstraňuje goldplating, ktorého pôvod je v skoršom zachovaní existujúcej právnej úpravy (existujúcich vnútroštátnych požiadaviek).</w:t>
      </w:r>
    </w:p>
    <w:p w:rsidR="007F0E03" w:rsidRDefault="007F0E03" w:rsidP="00146C2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E03" w:rsidRDefault="007F0E03" w:rsidP="00146C23">
    <w:pPr>
      <w:pStyle w:val="Hlavika"/>
      <w:jc w:val="right"/>
      <w:rPr>
        <w:sz w:val="24"/>
        <w:szCs w:val="24"/>
      </w:rPr>
    </w:pPr>
    <w:r>
      <w:rPr>
        <w:sz w:val="24"/>
        <w:szCs w:val="24"/>
      </w:rPr>
      <w:t>Príloha č. 2</w:t>
    </w:r>
  </w:p>
  <w:p w:rsidR="007F0E03" w:rsidRPr="00EB59C8" w:rsidRDefault="007F0E03" w:rsidP="00146C23">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E03" w:rsidRPr="000A15AE" w:rsidRDefault="007F0E03" w:rsidP="00146C23">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4113"/>
    <w:multiLevelType w:val="hybridMultilevel"/>
    <w:tmpl w:val="49386852"/>
    <w:lvl w:ilvl="0" w:tplc="C4F0A124">
      <w:start w:val="3"/>
      <w:numFmt w:val="bullet"/>
      <w:lvlText w:val="-"/>
      <w:lvlJc w:val="left"/>
      <w:pPr>
        <w:ind w:left="1068" w:hanging="360"/>
      </w:pPr>
      <w:rPr>
        <w:rFonts w:ascii="Arial Unicode MS" w:eastAsia="Times New Roman" w:hAnsi="Arial Unicode MS" w:hint="default"/>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 w15:restartNumberingAfterBreak="0">
    <w:nsid w:val="049334AC"/>
    <w:multiLevelType w:val="hybridMultilevel"/>
    <w:tmpl w:val="EBDCE426"/>
    <w:lvl w:ilvl="0" w:tplc="041B0005">
      <w:start w:val="1"/>
      <w:numFmt w:val="bullet"/>
      <w:lvlText w:val=""/>
      <w:lvlJc w:val="left"/>
      <w:pPr>
        <w:ind w:left="720" w:hanging="360"/>
      </w:pPr>
      <w:rPr>
        <w:rFonts w:ascii="Wingdings" w:hAnsi="Wingdings" w:hint="default"/>
      </w:rPr>
    </w:lvl>
    <w:lvl w:ilvl="1" w:tplc="041B000B">
      <w:start w:val="1"/>
      <w:numFmt w:val="bullet"/>
      <w:lvlText w:val=""/>
      <w:lvlJc w:val="left"/>
      <w:pPr>
        <w:ind w:left="1440" w:hanging="360"/>
      </w:pPr>
      <w:rPr>
        <w:rFonts w:ascii="Wingdings" w:hAnsi="Wingding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7842C8"/>
    <w:multiLevelType w:val="hybridMultilevel"/>
    <w:tmpl w:val="F85C9C5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CE28A3"/>
    <w:multiLevelType w:val="hybridMultilevel"/>
    <w:tmpl w:val="D92E74C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1A7761B"/>
    <w:multiLevelType w:val="hybridMultilevel"/>
    <w:tmpl w:val="72C69222"/>
    <w:lvl w:ilvl="0" w:tplc="1B981018">
      <w:start w:val="1"/>
      <w:numFmt w:val="bullet"/>
      <w:lvlText w:val="-"/>
      <w:lvlJc w:val="left"/>
      <w:pPr>
        <w:ind w:left="720" w:hanging="360"/>
      </w:pPr>
      <w:rPr>
        <w:rFonts w:ascii="Arial"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9A16E2"/>
    <w:multiLevelType w:val="hybridMultilevel"/>
    <w:tmpl w:val="A0B0F628"/>
    <w:lvl w:ilvl="0" w:tplc="33441AB2">
      <w:numFmt w:val="bullet"/>
      <w:lvlText w:val="-"/>
      <w:lvlJc w:val="left"/>
      <w:pPr>
        <w:ind w:left="720" w:hanging="360"/>
      </w:pPr>
      <w:rPr>
        <w:rFonts w:ascii="Times New Roman" w:eastAsiaTheme="minorHAnsi" w:hAnsi="Times New Roman" w:cs="Times New Roman" w:hint="default"/>
        <w:color w:val="auto"/>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7530AE7"/>
    <w:multiLevelType w:val="hybridMultilevel"/>
    <w:tmpl w:val="AF1A2576"/>
    <w:lvl w:ilvl="0" w:tplc="7D40668E">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B20474E"/>
    <w:multiLevelType w:val="hybridMultilevel"/>
    <w:tmpl w:val="67E2A4E2"/>
    <w:lvl w:ilvl="0" w:tplc="C4F0A124">
      <w:start w:val="3"/>
      <w:numFmt w:val="bullet"/>
      <w:lvlText w:val="-"/>
      <w:lvlJc w:val="left"/>
      <w:pPr>
        <w:ind w:left="1429" w:hanging="360"/>
      </w:pPr>
      <w:rPr>
        <w:rFonts w:ascii="Arial Unicode MS" w:eastAsia="Times New Roman" w:hAnsi="Arial Unicode MS" w:hint="default"/>
      </w:rPr>
    </w:lvl>
    <w:lvl w:ilvl="1" w:tplc="041B0003" w:tentative="1">
      <w:start w:val="1"/>
      <w:numFmt w:val="bullet"/>
      <w:lvlText w:val="o"/>
      <w:lvlJc w:val="left"/>
      <w:pPr>
        <w:ind w:left="2149" w:hanging="360"/>
      </w:pPr>
      <w:rPr>
        <w:rFonts w:ascii="Courier New" w:hAnsi="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DD1FDC"/>
    <w:multiLevelType w:val="hybridMultilevel"/>
    <w:tmpl w:val="C22474C6"/>
    <w:lvl w:ilvl="0" w:tplc="4656D504">
      <w:start w:val="1"/>
      <w:numFmt w:val="decimal"/>
      <w:lvlText w:val="%1."/>
      <w:lvlJc w:val="left"/>
      <w:pPr>
        <w:ind w:left="3338" w:hanging="360"/>
      </w:pPr>
      <w:rPr>
        <w:rFonts w:ascii="Times New Roman" w:hAnsi="Times New Roman" w:cs="Times New Roman" w:hint="default"/>
        <w:i w:val="0"/>
        <w:color w:val="auto"/>
        <w:sz w:val="24"/>
        <w:szCs w:val="24"/>
      </w:rPr>
    </w:lvl>
    <w:lvl w:ilvl="1" w:tplc="041B0019" w:tentative="1">
      <w:start w:val="1"/>
      <w:numFmt w:val="lowerLetter"/>
      <w:lvlText w:val="%2."/>
      <w:lvlJc w:val="left"/>
      <w:pPr>
        <w:ind w:left="1710" w:hanging="360"/>
      </w:pPr>
    </w:lvl>
    <w:lvl w:ilvl="2" w:tplc="041B001B" w:tentative="1">
      <w:start w:val="1"/>
      <w:numFmt w:val="lowerRoman"/>
      <w:lvlText w:val="%3."/>
      <w:lvlJc w:val="right"/>
      <w:pPr>
        <w:ind w:left="2430" w:hanging="180"/>
      </w:pPr>
    </w:lvl>
    <w:lvl w:ilvl="3" w:tplc="041B000F" w:tentative="1">
      <w:start w:val="1"/>
      <w:numFmt w:val="decimal"/>
      <w:lvlText w:val="%4."/>
      <w:lvlJc w:val="left"/>
      <w:pPr>
        <w:ind w:left="3150" w:hanging="360"/>
      </w:pPr>
    </w:lvl>
    <w:lvl w:ilvl="4" w:tplc="041B0019" w:tentative="1">
      <w:start w:val="1"/>
      <w:numFmt w:val="lowerLetter"/>
      <w:lvlText w:val="%5."/>
      <w:lvlJc w:val="left"/>
      <w:pPr>
        <w:ind w:left="3870" w:hanging="360"/>
      </w:pPr>
    </w:lvl>
    <w:lvl w:ilvl="5" w:tplc="041B001B" w:tentative="1">
      <w:start w:val="1"/>
      <w:numFmt w:val="lowerRoman"/>
      <w:lvlText w:val="%6."/>
      <w:lvlJc w:val="right"/>
      <w:pPr>
        <w:ind w:left="4590" w:hanging="180"/>
      </w:pPr>
    </w:lvl>
    <w:lvl w:ilvl="6" w:tplc="041B000F" w:tentative="1">
      <w:start w:val="1"/>
      <w:numFmt w:val="decimal"/>
      <w:lvlText w:val="%7."/>
      <w:lvlJc w:val="left"/>
      <w:pPr>
        <w:ind w:left="5310" w:hanging="360"/>
      </w:pPr>
    </w:lvl>
    <w:lvl w:ilvl="7" w:tplc="041B0019" w:tentative="1">
      <w:start w:val="1"/>
      <w:numFmt w:val="lowerLetter"/>
      <w:lvlText w:val="%8."/>
      <w:lvlJc w:val="left"/>
      <w:pPr>
        <w:ind w:left="6030" w:hanging="360"/>
      </w:pPr>
    </w:lvl>
    <w:lvl w:ilvl="8" w:tplc="041B001B" w:tentative="1">
      <w:start w:val="1"/>
      <w:numFmt w:val="lowerRoman"/>
      <w:lvlText w:val="%9."/>
      <w:lvlJc w:val="right"/>
      <w:pPr>
        <w:ind w:left="6750" w:hanging="180"/>
      </w:pPr>
    </w:lvl>
  </w:abstractNum>
  <w:abstractNum w:abstractNumId="11" w15:restartNumberingAfterBreak="0">
    <w:nsid w:val="24870C11"/>
    <w:multiLevelType w:val="hybridMultilevel"/>
    <w:tmpl w:val="22EE902C"/>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92B10B8"/>
    <w:multiLevelType w:val="hybridMultilevel"/>
    <w:tmpl w:val="52282B72"/>
    <w:lvl w:ilvl="0" w:tplc="041B000B">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2BFE60F6"/>
    <w:multiLevelType w:val="hybridMultilevel"/>
    <w:tmpl w:val="34FCFA3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D29330C"/>
    <w:multiLevelType w:val="hybridMultilevel"/>
    <w:tmpl w:val="43DE0BE4"/>
    <w:lvl w:ilvl="0" w:tplc="FFAC089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5" w15:restartNumberingAfterBreak="0">
    <w:nsid w:val="2DB64C57"/>
    <w:multiLevelType w:val="hybridMultilevel"/>
    <w:tmpl w:val="50A669EA"/>
    <w:lvl w:ilvl="0" w:tplc="041B000B">
      <w:start w:val="1"/>
      <w:numFmt w:val="bullet"/>
      <w:lvlText w:val=""/>
      <w:lvlJc w:val="left"/>
      <w:pPr>
        <w:ind w:left="862" w:hanging="360"/>
      </w:pPr>
      <w:rPr>
        <w:rFonts w:ascii="Wingdings" w:hAnsi="Wingdings"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6"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93435A"/>
    <w:multiLevelType w:val="hybridMultilevel"/>
    <w:tmpl w:val="2120235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0732C1F"/>
    <w:multiLevelType w:val="hybridMultilevel"/>
    <w:tmpl w:val="DB6EA02A"/>
    <w:lvl w:ilvl="0" w:tplc="C4F0A124">
      <w:start w:val="3"/>
      <w:numFmt w:val="bullet"/>
      <w:lvlText w:val="-"/>
      <w:lvlJc w:val="left"/>
      <w:pPr>
        <w:ind w:left="5747" w:hanging="360"/>
      </w:pPr>
      <w:rPr>
        <w:rFonts w:ascii="Arial Unicode MS" w:eastAsia="Times New Roman" w:hAnsi="Arial Unicode MS" w:hint="default"/>
      </w:rPr>
    </w:lvl>
    <w:lvl w:ilvl="1" w:tplc="041B0003" w:tentative="1">
      <w:start w:val="1"/>
      <w:numFmt w:val="bullet"/>
      <w:lvlText w:val="o"/>
      <w:lvlJc w:val="left"/>
      <w:pPr>
        <w:ind w:left="2149" w:hanging="360"/>
      </w:pPr>
      <w:rPr>
        <w:rFonts w:ascii="Courier New" w:hAnsi="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9" w15:restartNumberingAfterBreak="0">
    <w:nsid w:val="41E537C4"/>
    <w:multiLevelType w:val="hybridMultilevel"/>
    <w:tmpl w:val="E4425C7C"/>
    <w:lvl w:ilvl="0" w:tplc="D4C6372C">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4B7617C"/>
    <w:multiLevelType w:val="hybridMultilevel"/>
    <w:tmpl w:val="533A3DB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45976463"/>
    <w:multiLevelType w:val="hybridMultilevel"/>
    <w:tmpl w:val="07FCCD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7AF39B5"/>
    <w:multiLevelType w:val="hybridMultilevel"/>
    <w:tmpl w:val="FBA44B6C"/>
    <w:lvl w:ilvl="0" w:tplc="041B000D">
      <w:start w:val="1"/>
      <w:numFmt w:val="bullet"/>
      <w:lvlText w:val=""/>
      <w:lvlJc w:val="left"/>
      <w:pPr>
        <w:ind w:left="720" w:hanging="360"/>
      </w:pPr>
      <w:rPr>
        <w:rFonts w:ascii="Wingdings" w:hAnsi="Wingdings" w:hint="default"/>
        <w:color w:val="333333"/>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91500FE"/>
    <w:multiLevelType w:val="hybridMultilevel"/>
    <w:tmpl w:val="62F26FF0"/>
    <w:lvl w:ilvl="0" w:tplc="041B000B">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15:restartNumberingAfterBreak="0">
    <w:nsid w:val="4A183ECA"/>
    <w:multiLevelType w:val="hybridMultilevel"/>
    <w:tmpl w:val="0FE2C5B8"/>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5" w15:restartNumberingAfterBreak="0">
    <w:nsid w:val="501739D7"/>
    <w:multiLevelType w:val="hybridMultilevel"/>
    <w:tmpl w:val="59602D38"/>
    <w:lvl w:ilvl="0" w:tplc="041B0001">
      <w:start w:val="1"/>
      <w:numFmt w:val="bullet"/>
      <w:lvlText w:val=""/>
      <w:lvlJc w:val="left"/>
      <w:pPr>
        <w:ind w:left="768" w:hanging="360"/>
      </w:pPr>
      <w:rPr>
        <w:rFonts w:ascii="Symbol" w:hAnsi="Symbol" w:hint="default"/>
      </w:rPr>
    </w:lvl>
    <w:lvl w:ilvl="1" w:tplc="041B0003">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26" w15:restartNumberingAfterBreak="0">
    <w:nsid w:val="53EA74AD"/>
    <w:multiLevelType w:val="hybridMultilevel"/>
    <w:tmpl w:val="0A3CFE80"/>
    <w:lvl w:ilvl="0" w:tplc="041B0011">
      <w:start w:val="1"/>
      <w:numFmt w:val="decimal"/>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7" w15:restartNumberingAfterBreak="0">
    <w:nsid w:val="5D455A39"/>
    <w:multiLevelType w:val="hybridMultilevel"/>
    <w:tmpl w:val="7C3ED8EC"/>
    <w:lvl w:ilvl="0" w:tplc="33AA847E">
      <w:numFmt w:val="bullet"/>
      <w:lvlText w:val=""/>
      <w:lvlJc w:val="left"/>
      <w:pPr>
        <w:ind w:left="-540" w:hanging="360"/>
      </w:pPr>
      <w:rPr>
        <w:rFonts w:ascii="Symbol" w:eastAsia="Times New Roman" w:hAnsi="Symbol" w:cs="Times New Roman" w:hint="default"/>
      </w:rPr>
    </w:lvl>
    <w:lvl w:ilvl="1" w:tplc="041B0003" w:tentative="1">
      <w:start w:val="1"/>
      <w:numFmt w:val="bullet"/>
      <w:lvlText w:val="o"/>
      <w:lvlJc w:val="left"/>
      <w:pPr>
        <w:ind w:left="180" w:hanging="360"/>
      </w:pPr>
      <w:rPr>
        <w:rFonts w:ascii="Courier New" w:hAnsi="Courier New" w:cs="Courier New" w:hint="default"/>
      </w:rPr>
    </w:lvl>
    <w:lvl w:ilvl="2" w:tplc="041B0005" w:tentative="1">
      <w:start w:val="1"/>
      <w:numFmt w:val="bullet"/>
      <w:lvlText w:val=""/>
      <w:lvlJc w:val="left"/>
      <w:pPr>
        <w:ind w:left="900" w:hanging="360"/>
      </w:pPr>
      <w:rPr>
        <w:rFonts w:ascii="Wingdings" w:hAnsi="Wingdings" w:hint="default"/>
      </w:rPr>
    </w:lvl>
    <w:lvl w:ilvl="3" w:tplc="041B0001" w:tentative="1">
      <w:start w:val="1"/>
      <w:numFmt w:val="bullet"/>
      <w:lvlText w:val=""/>
      <w:lvlJc w:val="left"/>
      <w:pPr>
        <w:ind w:left="1620" w:hanging="360"/>
      </w:pPr>
      <w:rPr>
        <w:rFonts w:ascii="Symbol" w:hAnsi="Symbol" w:hint="default"/>
      </w:rPr>
    </w:lvl>
    <w:lvl w:ilvl="4" w:tplc="041B0003" w:tentative="1">
      <w:start w:val="1"/>
      <w:numFmt w:val="bullet"/>
      <w:lvlText w:val="o"/>
      <w:lvlJc w:val="left"/>
      <w:pPr>
        <w:ind w:left="2340" w:hanging="360"/>
      </w:pPr>
      <w:rPr>
        <w:rFonts w:ascii="Courier New" w:hAnsi="Courier New" w:cs="Courier New" w:hint="default"/>
      </w:rPr>
    </w:lvl>
    <w:lvl w:ilvl="5" w:tplc="041B0005" w:tentative="1">
      <w:start w:val="1"/>
      <w:numFmt w:val="bullet"/>
      <w:lvlText w:val=""/>
      <w:lvlJc w:val="left"/>
      <w:pPr>
        <w:ind w:left="3060" w:hanging="360"/>
      </w:pPr>
      <w:rPr>
        <w:rFonts w:ascii="Wingdings" w:hAnsi="Wingdings" w:hint="default"/>
      </w:rPr>
    </w:lvl>
    <w:lvl w:ilvl="6" w:tplc="041B0001" w:tentative="1">
      <w:start w:val="1"/>
      <w:numFmt w:val="bullet"/>
      <w:lvlText w:val=""/>
      <w:lvlJc w:val="left"/>
      <w:pPr>
        <w:ind w:left="3780" w:hanging="360"/>
      </w:pPr>
      <w:rPr>
        <w:rFonts w:ascii="Symbol" w:hAnsi="Symbol" w:hint="default"/>
      </w:rPr>
    </w:lvl>
    <w:lvl w:ilvl="7" w:tplc="041B0003" w:tentative="1">
      <w:start w:val="1"/>
      <w:numFmt w:val="bullet"/>
      <w:lvlText w:val="o"/>
      <w:lvlJc w:val="left"/>
      <w:pPr>
        <w:ind w:left="4500" w:hanging="360"/>
      </w:pPr>
      <w:rPr>
        <w:rFonts w:ascii="Courier New" w:hAnsi="Courier New" w:cs="Courier New" w:hint="default"/>
      </w:rPr>
    </w:lvl>
    <w:lvl w:ilvl="8" w:tplc="041B0005" w:tentative="1">
      <w:start w:val="1"/>
      <w:numFmt w:val="bullet"/>
      <w:lvlText w:val=""/>
      <w:lvlJc w:val="left"/>
      <w:pPr>
        <w:ind w:left="5220" w:hanging="360"/>
      </w:pPr>
      <w:rPr>
        <w:rFonts w:ascii="Wingdings" w:hAnsi="Wingdings" w:hint="default"/>
      </w:rPr>
    </w:lvl>
  </w:abstractNum>
  <w:abstractNum w:abstractNumId="28" w15:restartNumberingAfterBreak="0">
    <w:nsid w:val="63324192"/>
    <w:multiLevelType w:val="hybridMultilevel"/>
    <w:tmpl w:val="060AE6D2"/>
    <w:lvl w:ilvl="0" w:tplc="41B08A5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59540EA"/>
    <w:multiLevelType w:val="hybridMultilevel"/>
    <w:tmpl w:val="1924EE42"/>
    <w:lvl w:ilvl="0" w:tplc="041B000D">
      <w:start w:val="1"/>
      <w:numFmt w:val="bullet"/>
      <w:lvlText w:val=""/>
      <w:lvlJc w:val="left"/>
      <w:pPr>
        <w:ind w:left="1710" w:hanging="360"/>
      </w:pPr>
      <w:rPr>
        <w:rFonts w:ascii="Wingdings" w:hAnsi="Wingdings" w:hint="default"/>
      </w:rPr>
    </w:lvl>
    <w:lvl w:ilvl="1" w:tplc="041B0003" w:tentative="1">
      <w:start w:val="1"/>
      <w:numFmt w:val="bullet"/>
      <w:lvlText w:val="o"/>
      <w:lvlJc w:val="left"/>
      <w:pPr>
        <w:ind w:left="2430" w:hanging="360"/>
      </w:pPr>
      <w:rPr>
        <w:rFonts w:ascii="Courier New" w:hAnsi="Courier New" w:cs="Courier New" w:hint="default"/>
      </w:rPr>
    </w:lvl>
    <w:lvl w:ilvl="2" w:tplc="041B0005" w:tentative="1">
      <w:start w:val="1"/>
      <w:numFmt w:val="bullet"/>
      <w:lvlText w:val=""/>
      <w:lvlJc w:val="left"/>
      <w:pPr>
        <w:ind w:left="3150" w:hanging="360"/>
      </w:pPr>
      <w:rPr>
        <w:rFonts w:ascii="Wingdings" w:hAnsi="Wingdings" w:hint="default"/>
      </w:rPr>
    </w:lvl>
    <w:lvl w:ilvl="3" w:tplc="041B0001" w:tentative="1">
      <w:start w:val="1"/>
      <w:numFmt w:val="bullet"/>
      <w:lvlText w:val=""/>
      <w:lvlJc w:val="left"/>
      <w:pPr>
        <w:ind w:left="3870" w:hanging="360"/>
      </w:pPr>
      <w:rPr>
        <w:rFonts w:ascii="Symbol" w:hAnsi="Symbol" w:hint="default"/>
      </w:rPr>
    </w:lvl>
    <w:lvl w:ilvl="4" w:tplc="041B0003" w:tentative="1">
      <w:start w:val="1"/>
      <w:numFmt w:val="bullet"/>
      <w:lvlText w:val="o"/>
      <w:lvlJc w:val="left"/>
      <w:pPr>
        <w:ind w:left="4590" w:hanging="360"/>
      </w:pPr>
      <w:rPr>
        <w:rFonts w:ascii="Courier New" w:hAnsi="Courier New" w:cs="Courier New" w:hint="default"/>
      </w:rPr>
    </w:lvl>
    <w:lvl w:ilvl="5" w:tplc="041B0005" w:tentative="1">
      <w:start w:val="1"/>
      <w:numFmt w:val="bullet"/>
      <w:lvlText w:val=""/>
      <w:lvlJc w:val="left"/>
      <w:pPr>
        <w:ind w:left="5310" w:hanging="360"/>
      </w:pPr>
      <w:rPr>
        <w:rFonts w:ascii="Wingdings" w:hAnsi="Wingdings" w:hint="default"/>
      </w:rPr>
    </w:lvl>
    <w:lvl w:ilvl="6" w:tplc="041B0001" w:tentative="1">
      <w:start w:val="1"/>
      <w:numFmt w:val="bullet"/>
      <w:lvlText w:val=""/>
      <w:lvlJc w:val="left"/>
      <w:pPr>
        <w:ind w:left="6030" w:hanging="360"/>
      </w:pPr>
      <w:rPr>
        <w:rFonts w:ascii="Symbol" w:hAnsi="Symbol" w:hint="default"/>
      </w:rPr>
    </w:lvl>
    <w:lvl w:ilvl="7" w:tplc="041B0003" w:tentative="1">
      <w:start w:val="1"/>
      <w:numFmt w:val="bullet"/>
      <w:lvlText w:val="o"/>
      <w:lvlJc w:val="left"/>
      <w:pPr>
        <w:ind w:left="6750" w:hanging="360"/>
      </w:pPr>
      <w:rPr>
        <w:rFonts w:ascii="Courier New" w:hAnsi="Courier New" w:cs="Courier New" w:hint="default"/>
      </w:rPr>
    </w:lvl>
    <w:lvl w:ilvl="8" w:tplc="041B0005" w:tentative="1">
      <w:start w:val="1"/>
      <w:numFmt w:val="bullet"/>
      <w:lvlText w:val=""/>
      <w:lvlJc w:val="left"/>
      <w:pPr>
        <w:ind w:left="7470" w:hanging="360"/>
      </w:pPr>
      <w:rPr>
        <w:rFonts w:ascii="Wingdings" w:hAnsi="Wingdings" w:hint="default"/>
      </w:rPr>
    </w:lvl>
  </w:abstractNum>
  <w:abstractNum w:abstractNumId="30" w15:restartNumberingAfterBreak="0">
    <w:nsid w:val="66970779"/>
    <w:multiLevelType w:val="hybridMultilevel"/>
    <w:tmpl w:val="DE5E7D56"/>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1" w15:restartNumberingAfterBreak="0">
    <w:nsid w:val="68D61CF7"/>
    <w:multiLevelType w:val="hybridMultilevel"/>
    <w:tmpl w:val="D4344D52"/>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2" w15:restartNumberingAfterBreak="0">
    <w:nsid w:val="69C15561"/>
    <w:multiLevelType w:val="hybridMultilevel"/>
    <w:tmpl w:val="E65C04AC"/>
    <w:lvl w:ilvl="0" w:tplc="18863B3C">
      <w:numFmt w:val="bullet"/>
      <w:lvlText w:val=""/>
      <w:lvlJc w:val="left"/>
      <w:pPr>
        <w:ind w:left="-540" w:hanging="360"/>
      </w:pPr>
      <w:rPr>
        <w:rFonts w:ascii="Symbol" w:eastAsia="Times New Roman" w:hAnsi="Symbol" w:cs="Times New Roman" w:hint="default"/>
      </w:rPr>
    </w:lvl>
    <w:lvl w:ilvl="1" w:tplc="041B0003" w:tentative="1">
      <w:start w:val="1"/>
      <w:numFmt w:val="bullet"/>
      <w:lvlText w:val="o"/>
      <w:lvlJc w:val="left"/>
      <w:pPr>
        <w:ind w:left="180" w:hanging="360"/>
      </w:pPr>
      <w:rPr>
        <w:rFonts w:ascii="Courier New" w:hAnsi="Courier New" w:cs="Courier New" w:hint="default"/>
      </w:rPr>
    </w:lvl>
    <w:lvl w:ilvl="2" w:tplc="041B0005" w:tentative="1">
      <w:start w:val="1"/>
      <w:numFmt w:val="bullet"/>
      <w:lvlText w:val=""/>
      <w:lvlJc w:val="left"/>
      <w:pPr>
        <w:ind w:left="900" w:hanging="360"/>
      </w:pPr>
      <w:rPr>
        <w:rFonts w:ascii="Wingdings" w:hAnsi="Wingdings" w:hint="default"/>
      </w:rPr>
    </w:lvl>
    <w:lvl w:ilvl="3" w:tplc="041B0001" w:tentative="1">
      <w:start w:val="1"/>
      <w:numFmt w:val="bullet"/>
      <w:lvlText w:val=""/>
      <w:lvlJc w:val="left"/>
      <w:pPr>
        <w:ind w:left="1620" w:hanging="360"/>
      </w:pPr>
      <w:rPr>
        <w:rFonts w:ascii="Symbol" w:hAnsi="Symbol" w:hint="default"/>
      </w:rPr>
    </w:lvl>
    <w:lvl w:ilvl="4" w:tplc="041B0003" w:tentative="1">
      <w:start w:val="1"/>
      <w:numFmt w:val="bullet"/>
      <w:lvlText w:val="o"/>
      <w:lvlJc w:val="left"/>
      <w:pPr>
        <w:ind w:left="2340" w:hanging="360"/>
      </w:pPr>
      <w:rPr>
        <w:rFonts w:ascii="Courier New" w:hAnsi="Courier New" w:cs="Courier New" w:hint="default"/>
      </w:rPr>
    </w:lvl>
    <w:lvl w:ilvl="5" w:tplc="041B0005" w:tentative="1">
      <w:start w:val="1"/>
      <w:numFmt w:val="bullet"/>
      <w:lvlText w:val=""/>
      <w:lvlJc w:val="left"/>
      <w:pPr>
        <w:ind w:left="3060" w:hanging="360"/>
      </w:pPr>
      <w:rPr>
        <w:rFonts w:ascii="Wingdings" w:hAnsi="Wingdings" w:hint="default"/>
      </w:rPr>
    </w:lvl>
    <w:lvl w:ilvl="6" w:tplc="041B0001" w:tentative="1">
      <w:start w:val="1"/>
      <w:numFmt w:val="bullet"/>
      <w:lvlText w:val=""/>
      <w:lvlJc w:val="left"/>
      <w:pPr>
        <w:ind w:left="3780" w:hanging="360"/>
      </w:pPr>
      <w:rPr>
        <w:rFonts w:ascii="Symbol" w:hAnsi="Symbol" w:hint="default"/>
      </w:rPr>
    </w:lvl>
    <w:lvl w:ilvl="7" w:tplc="041B0003" w:tentative="1">
      <w:start w:val="1"/>
      <w:numFmt w:val="bullet"/>
      <w:lvlText w:val="o"/>
      <w:lvlJc w:val="left"/>
      <w:pPr>
        <w:ind w:left="4500" w:hanging="360"/>
      </w:pPr>
      <w:rPr>
        <w:rFonts w:ascii="Courier New" w:hAnsi="Courier New" w:cs="Courier New" w:hint="default"/>
      </w:rPr>
    </w:lvl>
    <w:lvl w:ilvl="8" w:tplc="041B0005" w:tentative="1">
      <w:start w:val="1"/>
      <w:numFmt w:val="bullet"/>
      <w:lvlText w:val=""/>
      <w:lvlJc w:val="left"/>
      <w:pPr>
        <w:ind w:left="5220" w:hanging="360"/>
      </w:pPr>
      <w:rPr>
        <w:rFonts w:ascii="Wingdings" w:hAnsi="Wingdings" w:hint="default"/>
      </w:rPr>
    </w:lvl>
  </w:abstractNum>
  <w:abstractNum w:abstractNumId="33" w15:restartNumberingAfterBreak="0">
    <w:nsid w:val="765B5216"/>
    <w:multiLevelType w:val="multilevel"/>
    <w:tmpl w:val="D5EEC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194556"/>
    <w:multiLevelType w:val="hybridMultilevel"/>
    <w:tmpl w:val="C22474C6"/>
    <w:lvl w:ilvl="0" w:tplc="4656D504">
      <w:start w:val="1"/>
      <w:numFmt w:val="decimal"/>
      <w:lvlText w:val="%1."/>
      <w:lvlJc w:val="left"/>
      <w:pPr>
        <w:ind w:left="3338" w:hanging="360"/>
      </w:pPr>
      <w:rPr>
        <w:rFonts w:ascii="Times New Roman" w:hAnsi="Times New Roman" w:cs="Times New Roman" w:hint="default"/>
        <w:i w:val="0"/>
        <w:color w:val="auto"/>
        <w:sz w:val="24"/>
        <w:szCs w:val="24"/>
      </w:rPr>
    </w:lvl>
    <w:lvl w:ilvl="1" w:tplc="041B0019" w:tentative="1">
      <w:start w:val="1"/>
      <w:numFmt w:val="lowerLetter"/>
      <w:lvlText w:val="%2."/>
      <w:lvlJc w:val="left"/>
      <w:pPr>
        <w:ind w:left="1710" w:hanging="360"/>
      </w:pPr>
    </w:lvl>
    <w:lvl w:ilvl="2" w:tplc="041B001B" w:tentative="1">
      <w:start w:val="1"/>
      <w:numFmt w:val="lowerRoman"/>
      <w:lvlText w:val="%3."/>
      <w:lvlJc w:val="right"/>
      <w:pPr>
        <w:ind w:left="2430" w:hanging="180"/>
      </w:pPr>
    </w:lvl>
    <w:lvl w:ilvl="3" w:tplc="041B000F" w:tentative="1">
      <w:start w:val="1"/>
      <w:numFmt w:val="decimal"/>
      <w:lvlText w:val="%4."/>
      <w:lvlJc w:val="left"/>
      <w:pPr>
        <w:ind w:left="3150" w:hanging="360"/>
      </w:pPr>
    </w:lvl>
    <w:lvl w:ilvl="4" w:tplc="041B0019" w:tentative="1">
      <w:start w:val="1"/>
      <w:numFmt w:val="lowerLetter"/>
      <w:lvlText w:val="%5."/>
      <w:lvlJc w:val="left"/>
      <w:pPr>
        <w:ind w:left="3870" w:hanging="360"/>
      </w:pPr>
    </w:lvl>
    <w:lvl w:ilvl="5" w:tplc="041B001B" w:tentative="1">
      <w:start w:val="1"/>
      <w:numFmt w:val="lowerRoman"/>
      <w:lvlText w:val="%6."/>
      <w:lvlJc w:val="right"/>
      <w:pPr>
        <w:ind w:left="4590" w:hanging="180"/>
      </w:pPr>
    </w:lvl>
    <w:lvl w:ilvl="6" w:tplc="041B000F" w:tentative="1">
      <w:start w:val="1"/>
      <w:numFmt w:val="decimal"/>
      <w:lvlText w:val="%7."/>
      <w:lvlJc w:val="left"/>
      <w:pPr>
        <w:ind w:left="5310" w:hanging="360"/>
      </w:pPr>
    </w:lvl>
    <w:lvl w:ilvl="7" w:tplc="041B0019" w:tentative="1">
      <w:start w:val="1"/>
      <w:numFmt w:val="lowerLetter"/>
      <w:lvlText w:val="%8."/>
      <w:lvlJc w:val="left"/>
      <w:pPr>
        <w:ind w:left="6030" w:hanging="360"/>
      </w:pPr>
    </w:lvl>
    <w:lvl w:ilvl="8" w:tplc="041B001B" w:tentative="1">
      <w:start w:val="1"/>
      <w:numFmt w:val="lowerRoman"/>
      <w:lvlText w:val="%9."/>
      <w:lvlJc w:val="right"/>
      <w:pPr>
        <w:ind w:left="6750" w:hanging="180"/>
      </w:pPr>
    </w:lvl>
  </w:abstractNum>
  <w:abstractNum w:abstractNumId="35" w15:restartNumberingAfterBreak="0">
    <w:nsid w:val="7BA360F4"/>
    <w:multiLevelType w:val="hybridMultilevel"/>
    <w:tmpl w:val="76A2A6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BDE54EF"/>
    <w:multiLevelType w:val="hybridMultilevel"/>
    <w:tmpl w:val="419C7968"/>
    <w:lvl w:ilvl="0" w:tplc="041B000F">
      <w:start w:val="1"/>
      <w:numFmt w:val="decimal"/>
      <w:lvlText w:val="%1."/>
      <w:lvlJc w:val="left"/>
      <w:pPr>
        <w:ind w:left="532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7" w15:restartNumberingAfterBreak="0">
    <w:nsid w:val="7C215981"/>
    <w:multiLevelType w:val="hybridMultilevel"/>
    <w:tmpl w:val="94E2491A"/>
    <w:lvl w:ilvl="0" w:tplc="715E856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5"/>
  </w:num>
  <w:num w:numId="2">
    <w:abstractNumId w:val="1"/>
  </w:num>
  <w:num w:numId="3">
    <w:abstractNumId w:val="4"/>
  </w:num>
  <w:num w:numId="4">
    <w:abstractNumId w:val="12"/>
  </w:num>
  <w:num w:numId="5">
    <w:abstractNumId w:val="23"/>
  </w:num>
  <w:num w:numId="6">
    <w:abstractNumId w:val="15"/>
  </w:num>
  <w:num w:numId="7">
    <w:abstractNumId w:val="36"/>
  </w:num>
  <w:num w:numId="8">
    <w:abstractNumId w:val="21"/>
  </w:num>
  <w:num w:numId="9">
    <w:abstractNumId w:val="28"/>
  </w:num>
  <w:num w:numId="10">
    <w:abstractNumId w:val="25"/>
  </w:num>
  <w:num w:numId="11">
    <w:abstractNumId w:val="19"/>
  </w:num>
  <w:num w:numId="12">
    <w:abstractNumId w:val="9"/>
  </w:num>
  <w:num w:numId="13">
    <w:abstractNumId w:val="16"/>
  </w:num>
  <w:num w:numId="14">
    <w:abstractNumId w:val="3"/>
  </w:num>
  <w:num w:numId="15">
    <w:abstractNumId w:val="32"/>
  </w:num>
  <w:num w:numId="16">
    <w:abstractNumId w:val="27"/>
  </w:num>
  <w:num w:numId="17">
    <w:abstractNumId w:val="7"/>
  </w:num>
  <w:num w:numId="18">
    <w:abstractNumId w:val="0"/>
  </w:num>
  <w:num w:numId="19">
    <w:abstractNumId w:val="24"/>
  </w:num>
  <w:num w:numId="20">
    <w:abstractNumId w:val="30"/>
  </w:num>
  <w:num w:numId="21">
    <w:abstractNumId w:val="2"/>
  </w:num>
  <w:num w:numId="22">
    <w:abstractNumId w:val="8"/>
  </w:num>
  <w:num w:numId="23">
    <w:abstractNumId w:val="18"/>
  </w:num>
  <w:num w:numId="24">
    <w:abstractNumId w:val="17"/>
  </w:num>
  <w:num w:numId="25">
    <w:abstractNumId w:val="13"/>
  </w:num>
  <w:num w:numId="26">
    <w:abstractNumId w:val="20"/>
  </w:num>
  <w:num w:numId="27">
    <w:abstractNumId w:val="31"/>
  </w:num>
  <w:num w:numId="28">
    <w:abstractNumId w:val="37"/>
  </w:num>
  <w:num w:numId="29">
    <w:abstractNumId w:val="34"/>
  </w:num>
  <w:num w:numId="30">
    <w:abstractNumId w:val="11"/>
  </w:num>
  <w:num w:numId="31">
    <w:abstractNumId w:val="29"/>
  </w:num>
  <w:num w:numId="32">
    <w:abstractNumId w:val="22"/>
  </w:num>
  <w:num w:numId="33">
    <w:abstractNumId w:val="6"/>
  </w:num>
  <w:num w:numId="34">
    <w:abstractNumId w:val="14"/>
  </w:num>
  <w:num w:numId="35">
    <w:abstractNumId w:val="10"/>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5"/>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9E"/>
    <w:rsid w:val="00146C23"/>
    <w:rsid w:val="00156690"/>
    <w:rsid w:val="001A1CDB"/>
    <w:rsid w:val="001B7B2E"/>
    <w:rsid w:val="001C2A95"/>
    <w:rsid w:val="002263FB"/>
    <w:rsid w:val="00262746"/>
    <w:rsid w:val="002D14AA"/>
    <w:rsid w:val="00300D8C"/>
    <w:rsid w:val="003E388D"/>
    <w:rsid w:val="00432C1C"/>
    <w:rsid w:val="0056331F"/>
    <w:rsid w:val="0057430E"/>
    <w:rsid w:val="00673E9B"/>
    <w:rsid w:val="006E4C59"/>
    <w:rsid w:val="007528A2"/>
    <w:rsid w:val="00762333"/>
    <w:rsid w:val="007662F9"/>
    <w:rsid w:val="007F0E03"/>
    <w:rsid w:val="00890AE4"/>
    <w:rsid w:val="008911AB"/>
    <w:rsid w:val="009C242A"/>
    <w:rsid w:val="00B2359E"/>
    <w:rsid w:val="00B239B6"/>
    <w:rsid w:val="00B921D9"/>
    <w:rsid w:val="00C3126C"/>
    <w:rsid w:val="00D227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C1273"/>
  <w15:chartTrackingRefBased/>
  <w15:docId w15:val="{C04AC66C-63AA-4A83-8CAE-9DE067C47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6C23"/>
    <w:pPr>
      <w:widowControl w:val="0"/>
      <w:adjustRightInd w:val="0"/>
    </w:pPr>
    <w:rPr>
      <w:rFonts w:ascii="Times New Roman" w:eastAsia="Times New Roman" w:hAnsi="Times New Roman" w:cs="Arial Unicode MS"/>
      <w:sz w:val="24"/>
      <w:szCs w:val="24"/>
      <w:lang w:eastAsia="sk-SK"/>
    </w:rPr>
  </w:style>
  <w:style w:type="paragraph" w:styleId="Nadpis2">
    <w:name w:val="heading 2"/>
    <w:basedOn w:val="Normlny"/>
    <w:next w:val="Normlny"/>
    <w:link w:val="Nadpis2Char"/>
    <w:uiPriority w:val="99"/>
    <w:qFormat/>
    <w:rsid w:val="00156690"/>
    <w:pPr>
      <w:keepNext/>
      <w:keepLines/>
      <w:widowControl/>
      <w:adjustRightInd/>
      <w:spacing w:before="240" w:after="120"/>
      <w:jc w:val="center"/>
      <w:outlineLvl w:val="1"/>
    </w:pPr>
    <w:rPr>
      <w:rFonts w:cs="Times New Roman"/>
      <w:b/>
      <w:bCs/>
      <w:sz w:val="26"/>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146C23"/>
    <w:rPr>
      <w:rFonts w:ascii="Times New Roman" w:hAnsi="Times New Roman" w:cs="Times New Roman"/>
      <w:color w:val="808080"/>
    </w:rPr>
  </w:style>
  <w:style w:type="paragraph" w:customStyle="1" w:styleId="PMsoNormal">
    <w:name w:val="P_MsoNormal"/>
    <w:basedOn w:val="Normlny"/>
    <w:uiPriority w:val="99"/>
    <w:rsid w:val="00146C23"/>
    <w:rPr>
      <w:rFonts w:cs="Times New Roman"/>
    </w:rPr>
  </w:style>
  <w:style w:type="character" w:customStyle="1" w:styleId="placeholdertext0">
    <w:name w:val="placeholdertext0"/>
    <w:basedOn w:val="Predvolenpsmoodseku"/>
    <w:uiPriority w:val="99"/>
    <w:rsid w:val="00146C23"/>
    <w:rPr>
      <w:rFonts w:cs="Times New Roman"/>
    </w:rPr>
  </w:style>
  <w:style w:type="character" w:styleId="Zvraznenie">
    <w:name w:val="Emphasis"/>
    <w:basedOn w:val="Predvolenpsmoodseku"/>
    <w:uiPriority w:val="20"/>
    <w:qFormat/>
    <w:rsid w:val="00146C23"/>
    <w:rPr>
      <w:rFonts w:cs="Times New Roman"/>
      <w:i/>
    </w:rPr>
  </w:style>
  <w:style w:type="paragraph" w:styleId="Odsekzoznamu">
    <w:name w:val="List Paragraph"/>
    <w:basedOn w:val="Normlny"/>
    <w:uiPriority w:val="1"/>
    <w:qFormat/>
    <w:rsid w:val="00146C23"/>
    <w:pPr>
      <w:widowControl/>
      <w:adjustRightInd/>
      <w:spacing w:after="160" w:line="259" w:lineRule="auto"/>
      <w:ind w:left="720"/>
      <w:contextualSpacing/>
    </w:pPr>
    <w:rPr>
      <w:rFonts w:ascii="Calibri" w:hAnsi="Calibri" w:cs="Times New Roman"/>
      <w:sz w:val="22"/>
      <w:szCs w:val="22"/>
      <w:lang w:eastAsia="en-US"/>
    </w:rPr>
  </w:style>
  <w:style w:type="paragraph" w:styleId="Bezriadkovania">
    <w:name w:val="No Spacing"/>
    <w:basedOn w:val="Normlny"/>
    <w:link w:val="BezriadkovaniaChar"/>
    <w:uiPriority w:val="1"/>
    <w:qFormat/>
    <w:rsid w:val="00146C23"/>
    <w:pPr>
      <w:widowControl/>
      <w:adjustRightInd/>
      <w:spacing w:line="276" w:lineRule="auto"/>
    </w:pPr>
    <w:rPr>
      <w:rFonts w:asciiTheme="minorHAnsi" w:eastAsiaTheme="minorEastAsia" w:hAnsiTheme="minorHAnsi" w:cs="Times New Roman"/>
      <w:sz w:val="22"/>
      <w:szCs w:val="22"/>
    </w:rPr>
  </w:style>
  <w:style w:type="character" w:customStyle="1" w:styleId="BezriadkovaniaChar">
    <w:name w:val="Bez riadkovania Char"/>
    <w:basedOn w:val="Predvolenpsmoodseku"/>
    <w:link w:val="Bezriadkovania"/>
    <w:uiPriority w:val="1"/>
    <w:rsid w:val="00146C23"/>
    <w:rPr>
      <w:rFonts w:asciiTheme="minorHAnsi" w:eastAsiaTheme="minorEastAsia" w:hAnsiTheme="minorHAnsi" w:cs="Times New Roman"/>
      <w:lang w:eastAsia="sk-SK"/>
    </w:rPr>
  </w:style>
  <w:style w:type="paragraph" w:styleId="Pta">
    <w:name w:val="footer"/>
    <w:basedOn w:val="Normlny"/>
    <w:link w:val="PtaChar"/>
    <w:uiPriority w:val="99"/>
    <w:rsid w:val="00146C23"/>
    <w:pPr>
      <w:tabs>
        <w:tab w:val="center" w:pos="4536"/>
        <w:tab w:val="right" w:pos="9072"/>
      </w:tabs>
    </w:pPr>
  </w:style>
  <w:style w:type="character" w:customStyle="1" w:styleId="PtaChar">
    <w:name w:val="Päta Char"/>
    <w:basedOn w:val="Predvolenpsmoodseku"/>
    <w:link w:val="Pta"/>
    <w:uiPriority w:val="99"/>
    <w:rsid w:val="00146C23"/>
    <w:rPr>
      <w:rFonts w:ascii="Times New Roman" w:eastAsia="Times New Roman" w:hAnsi="Times New Roman" w:cs="Arial Unicode MS"/>
      <w:sz w:val="24"/>
      <w:szCs w:val="24"/>
      <w:lang w:eastAsia="sk-SK"/>
    </w:rPr>
  </w:style>
  <w:style w:type="table" w:customStyle="1" w:styleId="Mriekatabuky1">
    <w:name w:val="Mriežka tabuľky1"/>
    <w:basedOn w:val="Normlnatabuka"/>
    <w:next w:val="Mriekatabuky"/>
    <w:uiPriority w:val="59"/>
    <w:rsid w:val="00146C23"/>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6C23"/>
    <w:pPr>
      <w:autoSpaceDE w:val="0"/>
      <w:autoSpaceDN w:val="0"/>
      <w:adjustRightInd w:val="0"/>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146C23"/>
    <w:rPr>
      <w:color w:val="0000FF" w:themeColor="hyperlink"/>
      <w:u w:val="single"/>
    </w:rPr>
  </w:style>
  <w:style w:type="table" w:styleId="Mriekatabuky">
    <w:name w:val="Table Grid"/>
    <w:basedOn w:val="Normlnatabuka"/>
    <w:uiPriority w:val="59"/>
    <w:rsid w:val="00146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59"/>
    <w:rsid w:val="00146C23"/>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46C23"/>
    <w:pPr>
      <w:widowControl/>
      <w:tabs>
        <w:tab w:val="center" w:pos="4536"/>
        <w:tab w:val="right" w:pos="9072"/>
      </w:tabs>
      <w:adjustRightInd/>
    </w:pPr>
    <w:rPr>
      <w:rFonts w:ascii="Calibri" w:eastAsia="Calibri" w:hAnsi="Calibri" w:cs="Times New Roman"/>
      <w:sz w:val="22"/>
      <w:szCs w:val="22"/>
      <w:lang w:eastAsia="en-US"/>
    </w:rPr>
  </w:style>
  <w:style w:type="character" w:customStyle="1" w:styleId="HlavikaChar">
    <w:name w:val="Hlavička Char"/>
    <w:basedOn w:val="Predvolenpsmoodseku"/>
    <w:link w:val="Hlavika"/>
    <w:uiPriority w:val="99"/>
    <w:rsid w:val="00146C23"/>
    <w:rPr>
      <w:rFonts w:ascii="Calibri" w:eastAsia="Calibri" w:hAnsi="Calibri" w:cs="Times New Roman"/>
    </w:rPr>
  </w:style>
  <w:style w:type="paragraph" w:styleId="Textpoznmkypodiarou">
    <w:name w:val="footnote text"/>
    <w:basedOn w:val="Normlny"/>
    <w:link w:val="TextpoznmkypodiarouChar"/>
    <w:uiPriority w:val="99"/>
    <w:semiHidden/>
    <w:unhideWhenUsed/>
    <w:rsid w:val="00146C23"/>
    <w:pPr>
      <w:widowControl/>
      <w:adjustRightInd/>
    </w:pPr>
    <w:rPr>
      <w:rFonts w:ascii="Calibri" w:eastAsia="Calibri" w:hAnsi="Calibri" w:cs="Times New Roman"/>
      <w:sz w:val="20"/>
      <w:szCs w:val="20"/>
      <w:lang w:eastAsia="en-US"/>
    </w:rPr>
  </w:style>
  <w:style w:type="character" w:customStyle="1" w:styleId="TextpoznmkypodiarouChar">
    <w:name w:val="Text poznámky pod čiarou Char"/>
    <w:basedOn w:val="Predvolenpsmoodseku"/>
    <w:link w:val="Textpoznmkypodiarou"/>
    <w:uiPriority w:val="99"/>
    <w:semiHidden/>
    <w:rsid w:val="00146C23"/>
    <w:rPr>
      <w:rFonts w:ascii="Calibri" w:eastAsia="Calibri" w:hAnsi="Calibri" w:cs="Times New Roman"/>
      <w:sz w:val="20"/>
      <w:szCs w:val="20"/>
    </w:rPr>
  </w:style>
  <w:style w:type="character" w:styleId="Odkaznapoznmkupodiarou">
    <w:name w:val="footnote reference"/>
    <w:basedOn w:val="Predvolenpsmoodseku"/>
    <w:uiPriority w:val="99"/>
    <w:semiHidden/>
    <w:unhideWhenUsed/>
    <w:rsid w:val="00146C23"/>
    <w:rPr>
      <w:vertAlign w:val="superscript"/>
    </w:rPr>
  </w:style>
  <w:style w:type="numbering" w:customStyle="1" w:styleId="Bezzoznamu1">
    <w:name w:val="Bez zoznamu1"/>
    <w:next w:val="Bezzoznamu"/>
    <w:uiPriority w:val="99"/>
    <w:semiHidden/>
    <w:unhideWhenUsed/>
    <w:rsid w:val="00146C23"/>
  </w:style>
  <w:style w:type="character" w:styleId="slostrany">
    <w:name w:val="page number"/>
    <w:basedOn w:val="Predvolenpsmoodseku"/>
    <w:uiPriority w:val="99"/>
    <w:rsid w:val="00146C23"/>
    <w:rPr>
      <w:rFonts w:cs="Times New Roman"/>
    </w:rPr>
  </w:style>
  <w:style w:type="paragraph" w:styleId="Textbubliny">
    <w:name w:val="Balloon Text"/>
    <w:basedOn w:val="Normlny"/>
    <w:link w:val="TextbublinyChar"/>
    <w:uiPriority w:val="99"/>
    <w:semiHidden/>
    <w:unhideWhenUsed/>
    <w:rsid w:val="00146C23"/>
    <w:pPr>
      <w:widowControl/>
      <w:adjustRightInd/>
    </w:pPr>
    <w:rPr>
      <w:rFonts w:ascii="Tahoma" w:eastAsiaTheme="minorHAnsi" w:hAnsi="Tahoma" w:cs="Tahoma"/>
      <w:sz w:val="16"/>
      <w:szCs w:val="16"/>
      <w:lang w:eastAsia="en-US"/>
    </w:rPr>
  </w:style>
  <w:style w:type="character" w:customStyle="1" w:styleId="TextbublinyChar">
    <w:name w:val="Text bubliny Char"/>
    <w:basedOn w:val="Predvolenpsmoodseku"/>
    <w:link w:val="Textbubliny"/>
    <w:uiPriority w:val="99"/>
    <w:semiHidden/>
    <w:rsid w:val="00146C23"/>
    <w:rPr>
      <w:rFonts w:ascii="Tahoma" w:hAnsi="Tahoma" w:cs="Tahoma"/>
      <w:sz w:val="16"/>
      <w:szCs w:val="16"/>
    </w:rPr>
  </w:style>
  <w:style w:type="character" w:styleId="Odkaznakomentr">
    <w:name w:val="annotation reference"/>
    <w:basedOn w:val="Predvolenpsmoodseku"/>
    <w:uiPriority w:val="99"/>
    <w:semiHidden/>
    <w:unhideWhenUsed/>
    <w:rsid w:val="00146C23"/>
    <w:rPr>
      <w:sz w:val="16"/>
      <w:szCs w:val="16"/>
    </w:rPr>
  </w:style>
  <w:style w:type="paragraph" w:styleId="Textkomentra">
    <w:name w:val="annotation text"/>
    <w:basedOn w:val="Normlny"/>
    <w:link w:val="TextkomentraChar"/>
    <w:uiPriority w:val="99"/>
    <w:unhideWhenUsed/>
    <w:rsid w:val="00146C23"/>
    <w:pPr>
      <w:widowControl/>
      <w:adjustRightInd/>
      <w:spacing w:after="200"/>
    </w:pPr>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rsid w:val="00146C23"/>
    <w:rPr>
      <w:rFonts w:asciiTheme="minorHAnsi" w:hAnsiTheme="minorHAnsi" w:cstheme="minorBidi"/>
      <w:sz w:val="20"/>
      <w:szCs w:val="20"/>
    </w:rPr>
  </w:style>
  <w:style w:type="paragraph" w:styleId="Predmetkomentra">
    <w:name w:val="annotation subject"/>
    <w:basedOn w:val="Textkomentra"/>
    <w:next w:val="Textkomentra"/>
    <w:link w:val="PredmetkomentraChar"/>
    <w:uiPriority w:val="99"/>
    <w:semiHidden/>
    <w:unhideWhenUsed/>
    <w:rsid w:val="00146C23"/>
    <w:rPr>
      <w:b/>
      <w:bCs/>
    </w:rPr>
  </w:style>
  <w:style w:type="character" w:customStyle="1" w:styleId="PredmetkomentraChar">
    <w:name w:val="Predmet komentára Char"/>
    <w:basedOn w:val="TextkomentraChar"/>
    <w:link w:val="Predmetkomentra"/>
    <w:uiPriority w:val="99"/>
    <w:semiHidden/>
    <w:rsid w:val="00146C23"/>
    <w:rPr>
      <w:rFonts w:asciiTheme="minorHAnsi" w:hAnsiTheme="minorHAnsi" w:cstheme="minorBidi"/>
      <w:b/>
      <w:bCs/>
      <w:sz w:val="20"/>
      <w:szCs w:val="20"/>
    </w:rPr>
  </w:style>
  <w:style w:type="paragraph" w:styleId="Revzia">
    <w:name w:val="Revision"/>
    <w:hidden/>
    <w:uiPriority w:val="99"/>
    <w:semiHidden/>
    <w:rsid w:val="00146C23"/>
    <w:rPr>
      <w:rFonts w:asciiTheme="minorHAnsi" w:hAnsiTheme="minorHAnsi" w:cstheme="minorBidi"/>
    </w:rPr>
  </w:style>
  <w:style w:type="character" w:customStyle="1" w:styleId="Nadpis2Char">
    <w:name w:val="Nadpis 2 Char"/>
    <w:basedOn w:val="Predvolenpsmoodseku"/>
    <w:link w:val="Nadpis2"/>
    <w:uiPriority w:val="99"/>
    <w:rsid w:val="00156690"/>
    <w:rPr>
      <w:rFonts w:ascii="Times New Roman" w:eastAsia="Times New Roman" w:hAnsi="Times New Roman" w:cs="Times New Roman"/>
      <w:b/>
      <w:bCs/>
      <w:sz w:val="26"/>
      <w:szCs w:val="26"/>
    </w:rPr>
  </w:style>
  <w:style w:type="paragraph" w:customStyle="1" w:styleId="oj-normal">
    <w:name w:val="oj-normal"/>
    <w:basedOn w:val="Normlny"/>
    <w:rsid w:val="00156690"/>
    <w:pPr>
      <w:widowControl/>
      <w:adjustRightInd/>
      <w:spacing w:before="100" w:beforeAutospacing="1" w:after="100" w:afterAutospacing="1"/>
    </w:pPr>
    <w:rPr>
      <w:rFonts w:cs="Times New Roman"/>
    </w:rPr>
  </w:style>
  <w:style w:type="character" w:customStyle="1" w:styleId="boldface">
    <w:name w:val="boldface"/>
    <w:basedOn w:val="Predvolenpsmoodseku"/>
    <w:rsid w:val="00156690"/>
  </w:style>
  <w:style w:type="numbering" w:customStyle="1" w:styleId="Bezzoznamu2">
    <w:name w:val="Bez zoznamu2"/>
    <w:next w:val="Bezzoznamu"/>
    <w:uiPriority w:val="99"/>
    <w:semiHidden/>
    <w:unhideWhenUsed/>
    <w:rsid w:val="00156690"/>
  </w:style>
  <w:style w:type="character" w:customStyle="1" w:styleId="super">
    <w:name w:val="super"/>
    <w:basedOn w:val="Predvolenpsmoodseku"/>
    <w:rsid w:val="00156690"/>
  </w:style>
  <w:style w:type="character" w:customStyle="1" w:styleId="awspan">
    <w:name w:val="awspan"/>
    <w:basedOn w:val="Predvolenpsmoodseku"/>
    <w:rsid w:val="00156690"/>
  </w:style>
  <w:style w:type="character" w:customStyle="1" w:styleId="oj-italic">
    <w:name w:val="oj-italic"/>
    <w:basedOn w:val="Predvolenpsmoodseku"/>
    <w:rsid w:val="00156690"/>
  </w:style>
  <w:style w:type="character" w:customStyle="1" w:styleId="oj-super">
    <w:name w:val="oj-super"/>
    <w:basedOn w:val="Predvolenpsmoodseku"/>
    <w:rsid w:val="00156690"/>
  </w:style>
  <w:style w:type="character" w:customStyle="1" w:styleId="UnresolvedMention">
    <w:name w:val="Unresolved Mention"/>
    <w:basedOn w:val="Predvolenpsmoodseku"/>
    <w:uiPriority w:val="99"/>
    <w:semiHidden/>
    <w:unhideWhenUsed/>
    <w:rsid w:val="001566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ana.tahotna@normoff.gov.sk" TargetMode="Externa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www.slov-lex.sk/pravne-predpisy/SK/ZZ/2019/331/" TargetMode="External"/><Relationship Id="rId7" Type="http://schemas.openxmlformats.org/officeDocument/2006/relationships/endnotes" Target="endnotes.xml"/><Relationship Id="rId12" Type="http://schemas.openxmlformats.org/officeDocument/2006/relationships/hyperlink" Target="https://www.normoff.gov.sk/stranka/97/slovenske-notifikovane-osoby/" TargetMode="Externa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www.slov-lex.sk/pravne-predpisy/SK/ZZ/2019/3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moff.gov.sk/stranka/372/vyrocne-sprav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slov-lex.sk/pravne-predpisy/SK/ZZ/2013/346/" TargetMode="External"/><Relationship Id="rId10" Type="http://schemas.openxmlformats.org/officeDocument/2006/relationships/footer" Target="footer1.xml"/><Relationship Id="rId19" Type="http://schemas.openxmlformats.org/officeDocument/2006/relationships/hyperlink" Target="https://www.slov-lex.sk/pravne-predpisy/SK/ZZ/2019/326/" TargetMode="External"/><Relationship Id="rId4" Type="http://schemas.openxmlformats.org/officeDocument/2006/relationships/settings" Target="settings.xml"/><Relationship Id="rId9" Type="http://schemas.openxmlformats.org/officeDocument/2006/relationships/hyperlink" Target="https://www.mhsr.sk/podnikatelske-prostredie/lepsia-regulacia/regulacne-zatazenie/kalkulacka-nakladov-regulacie" TargetMode="External"/><Relationship Id="rId14" Type="http://schemas.openxmlformats.org/officeDocument/2006/relationships/footer" Target="footer2.xml"/><Relationship Id="rId22" Type="http://schemas.openxmlformats.org/officeDocument/2006/relationships/hyperlink" Target="https://www.slov-lex.sk/pravne-predpisy/SK/ZZ/2019/325/"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4D699-A4BF-4DC2-B191-F7631AA90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67</Pages>
  <Words>28499</Words>
  <Characters>162446</Characters>
  <Application>Microsoft Office Word</Application>
  <DocSecurity>0</DocSecurity>
  <Lines>1353</Lines>
  <Paragraphs>381</Paragraphs>
  <ScaleCrop>false</ScaleCrop>
  <HeadingPairs>
    <vt:vector size="2" baseType="variant">
      <vt:variant>
        <vt:lpstr>Názov</vt:lpstr>
      </vt:variant>
      <vt:variant>
        <vt:i4>1</vt:i4>
      </vt:variant>
    </vt:vector>
  </HeadingPairs>
  <TitlesOfParts>
    <vt:vector size="1" baseType="lpstr">
      <vt:lpstr/>
    </vt:vector>
  </TitlesOfParts>
  <Company>ÚNMS SR</Company>
  <LinksUpToDate>false</LinksUpToDate>
  <CharactersWithSpaces>190564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Tahotná Liliana, JUDr.</dc:creator>
  <cp:keywords/>
  <dc:description/>
  <cp:lastModifiedBy>Tahotná Liliana, JUDr.</cp:lastModifiedBy>
  <cp:revision>3</cp:revision>
  <cp:lastPrinted>2025-08-21T13:35:00Z</cp:lastPrinted>
  <dcterms:created xsi:type="dcterms:W3CDTF">2025-08-20T09:27:00Z</dcterms:created>
  <dcterms:modified xsi:type="dcterms:W3CDTF">2025-08-21T13:35:00Z</dcterms:modified>
</cp:coreProperties>
</file>