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CD6E47">
      <w:pPr>
        <w:pStyle w:val="Standard"/>
        <w:pageBreakBefore/>
        <w:suppressAutoHyphens w:val="0"/>
        <w:spacing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bookmarkStart w:id="0" w:name="_GoBack"/>
      <w:bookmarkEnd w:id="0"/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CD6E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CD6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27966C8A" w:rsidR="00CD6E47" w:rsidRPr="00C27E76" w:rsidRDefault="00D15656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Navrhovateľ zákona</w:t>
      </w:r>
      <w:r w:rsidR="00CD6E47" w:rsidRPr="00C27E76">
        <w:rPr>
          <w:rFonts w:ascii="Times New Roman" w:hAnsi="Times New Roman"/>
          <w:b/>
          <w:bCs/>
          <w:sz w:val="24"/>
          <w:szCs w:val="24"/>
        </w:rPr>
        <w:t>:</w:t>
      </w:r>
      <w:r w:rsidR="00CD6E47"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03614D">
        <w:rPr>
          <w:rFonts w:ascii="Times New Roman" w:hAnsi="Times New Roman"/>
          <w:sz w:val="24"/>
          <w:szCs w:val="24"/>
        </w:rPr>
        <w:t>V</w:t>
      </w:r>
      <w:r w:rsidR="00070AF1">
        <w:rPr>
          <w:rFonts w:ascii="Times New Roman" w:hAnsi="Times New Roman"/>
          <w:sz w:val="24"/>
          <w:szCs w:val="24"/>
        </w:rPr>
        <w:t xml:space="preserve">láda </w:t>
      </w:r>
      <w:r w:rsidR="00DF758B">
        <w:rPr>
          <w:rFonts w:ascii="Times New Roman" w:hAnsi="Times New Roman"/>
          <w:sz w:val="24"/>
          <w:szCs w:val="24"/>
        </w:rPr>
        <w:t>Slovenskej republiky</w:t>
      </w:r>
      <w:r w:rsidR="0003614D">
        <w:rPr>
          <w:rFonts w:ascii="Times New Roman" w:hAnsi="Times New Roman"/>
          <w:sz w:val="24"/>
          <w:szCs w:val="24"/>
        </w:rPr>
        <w:t>.</w:t>
      </w:r>
    </w:p>
    <w:p w14:paraId="4BCD54C5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577AFAAC" w14:textId="78262A94" w:rsidR="003B04FE" w:rsidRPr="003B04FE" w:rsidRDefault="00CD6E47" w:rsidP="003B04FE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04FE">
        <w:rPr>
          <w:rFonts w:ascii="Times New Roman" w:hAnsi="Times New Roman"/>
          <w:b/>
          <w:bCs/>
          <w:sz w:val="24"/>
          <w:szCs w:val="24"/>
        </w:rPr>
        <w:t>Názov návrhu</w:t>
      </w:r>
      <w:r w:rsidR="002F351B">
        <w:rPr>
          <w:rFonts w:ascii="Times New Roman" w:hAnsi="Times New Roman"/>
          <w:b/>
          <w:bCs/>
          <w:sz w:val="24"/>
          <w:szCs w:val="24"/>
        </w:rPr>
        <w:t xml:space="preserve"> zákona</w:t>
      </w:r>
      <w:r w:rsidRPr="003B04F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22F90" w:rsidRPr="00222F90">
        <w:rPr>
          <w:rFonts w:ascii="Times New Roman" w:hAnsi="Times New Roman"/>
          <w:bCs/>
          <w:sz w:val="24"/>
          <w:szCs w:val="24"/>
        </w:rPr>
        <w:t>Vládny n</w:t>
      </w:r>
      <w:r w:rsidR="002C1F24" w:rsidRPr="00222F90">
        <w:rPr>
          <w:rFonts w:ascii="Times New Roman" w:hAnsi="Times New Roman"/>
          <w:bCs/>
          <w:sz w:val="24"/>
          <w:szCs w:val="24"/>
        </w:rPr>
        <w:t>ávrh</w:t>
      </w:r>
      <w:r w:rsidR="003B04FE" w:rsidRPr="003B04FE">
        <w:rPr>
          <w:rFonts w:ascii="Times New Roman" w:hAnsi="Times New Roman"/>
          <w:bCs/>
          <w:sz w:val="24"/>
          <w:szCs w:val="24"/>
        </w:rPr>
        <w:t xml:space="preserve"> zákona, ktorým sa mení a dopĺňa zákon č. 475/2005 Z. z. o výkone trestu odňatia slobody a o zmene a doplnení niektorých zákonov v znení neskorších predpisov a ktorým sa menia a dopĺňajú niektoré zákony</w:t>
      </w:r>
      <w:r w:rsidR="0003614D">
        <w:rPr>
          <w:rFonts w:ascii="Times New Roman" w:hAnsi="Times New Roman"/>
          <w:bCs/>
          <w:sz w:val="24"/>
          <w:szCs w:val="24"/>
        </w:rPr>
        <w:t>.</w:t>
      </w:r>
    </w:p>
    <w:p w14:paraId="79EBF50A" w14:textId="77777777" w:rsidR="003B04FE" w:rsidRPr="003B04FE" w:rsidRDefault="003B04FE" w:rsidP="003B04F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7D019C7A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 xml:space="preserve">Predmet návrhu </w:t>
      </w:r>
      <w:r w:rsidR="002F351B">
        <w:rPr>
          <w:rFonts w:ascii="Times New Roman" w:hAnsi="Times New Roman"/>
          <w:b/>
          <w:bCs/>
          <w:sz w:val="24"/>
          <w:szCs w:val="24"/>
        </w:rPr>
        <w:t xml:space="preserve">zákona </w:t>
      </w:r>
      <w:r w:rsidR="00B449FA">
        <w:rPr>
          <w:rFonts w:ascii="Times New Roman" w:hAnsi="Times New Roman"/>
          <w:b/>
          <w:bCs/>
          <w:sz w:val="24"/>
          <w:szCs w:val="24"/>
        </w:rPr>
        <w:t>je upravený</w:t>
      </w:r>
      <w:r w:rsidR="00C34835">
        <w:rPr>
          <w:rFonts w:ascii="Times New Roman" w:hAnsi="Times New Roman"/>
          <w:b/>
          <w:bCs/>
          <w:sz w:val="24"/>
          <w:szCs w:val="24"/>
        </w:rPr>
        <w:t xml:space="preserve"> v práve Európskej únie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46ABBFED" w14:textId="41DCEAA2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a)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primárnom 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práve </w:t>
      </w:r>
    </w:p>
    <w:p w14:paraId="49F85BB7" w14:textId="236CC53B" w:rsidR="004E66E1" w:rsidRPr="00F55BC8" w:rsidRDefault="00B449FA" w:rsidP="00693697">
      <w:pPr>
        <w:pStyle w:val="Standard"/>
        <w:widowControl w:val="0"/>
        <w:suppressAutoHyphens w:val="0"/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F55BC8">
        <w:rPr>
          <w:rFonts w:ascii="Times New Roman" w:hAnsi="Times New Roman" w:cs="Times New Roman"/>
          <w:i/>
          <w:sz w:val="24"/>
          <w:lang w:eastAsia="sk-SK"/>
        </w:rPr>
        <w:t xml:space="preserve">Čl. </w:t>
      </w:r>
      <w:r w:rsidR="00693697" w:rsidRPr="00693697">
        <w:rPr>
          <w:rFonts w:ascii="Times New Roman" w:hAnsi="Times New Roman" w:cs="Times New Roman"/>
          <w:i/>
          <w:sz w:val="24"/>
          <w:lang w:eastAsia="sk-SK"/>
        </w:rPr>
        <w:t>82 ods. 2 písm. b)</w:t>
      </w:r>
      <w:r w:rsidR="00693697">
        <w:rPr>
          <w:rFonts w:ascii="Times New Roman" w:hAnsi="Times New Roman" w:cs="Times New Roman"/>
          <w:i/>
          <w:sz w:val="24"/>
          <w:lang w:eastAsia="sk-SK"/>
        </w:rPr>
        <w:t xml:space="preserve"> </w:t>
      </w:r>
      <w:r w:rsidRPr="00F55BC8">
        <w:rPr>
          <w:rFonts w:ascii="Times New Roman" w:hAnsi="Times New Roman" w:cs="Times New Roman"/>
          <w:i/>
          <w:sz w:val="24"/>
          <w:lang w:eastAsia="sk-SK"/>
        </w:rPr>
        <w:t>Zmluvy</w:t>
      </w:r>
      <w:r w:rsidR="004E66E1" w:rsidRPr="00F55BC8">
        <w:rPr>
          <w:rFonts w:ascii="Times New Roman" w:hAnsi="Times New Roman" w:cs="Times New Roman"/>
          <w:i/>
          <w:sz w:val="24"/>
          <w:lang w:eastAsia="sk-SK"/>
        </w:rPr>
        <w:t xml:space="preserve"> o fungovaní Európskej únie</w:t>
      </w:r>
      <w:r w:rsidRPr="00F55BC8">
        <w:rPr>
          <w:rFonts w:ascii="Times New Roman" w:hAnsi="Times New Roman" w:cs="Times New Roman"/>
          <w:i/>
          <w:sz w:val="24"/>
          <w:lang w:eastAsia="sk-SK"/>
        </w:rPr>
        <w:t xml:space="preserve"> (ZFEÚ)</w:t>
      </w:r>
      <w:r w:rsidR="00A05011">
        <w:rPr>
          <w:rFonts w:ascii="Times New Roman" w:hAnsi="Times New Roman" w:cs="Times New Roman"/>
          <w:i/>
          <w:sz w:val="24"/>
          <w:lang w:eastAsia="sk-SK"/>
        </w:rPr>
        <w:t xml:space="preserve"> (Ú. v. EÚ C 202, 7.6.2016)</w:t>
      </w:r>
      <w:r w:rsidR="0003614D">
        <w:rPr>
          <w:rFonts w:ascii="Times New Roman" w:hAnsi="Times New Roman" w:cs="Times New Roman"/>
          <w:i/>
          <w:sz w:val="24"/>
          <w:lang w:eastAsia="sk-SK"/>
        </w:rPr>
        <w:t>,</w:t>
      </w:r>
    </w:p>
    <w:p w14:paraId="45EECAC1" w14:textId="53221B7F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b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 w:rsidR="00B449FA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>v</w:t>
      </w:r>
      <w:r>
        <w:rPr>
          <w:rFonts w:ascii="Times New Roman" w:hAnsi="Times New Roman" w:cs="Times New Roman"/>
          <w:sz w:val="24"/>
          <w:lang w:eastAsia="sk-SK"/>
        </w:rPr>
        <w:t xml:space="preserve"> sekundárnom 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práve </w:t>
      </w:r>
    </w:p>
    <w:p w14:paraId="20B60332" w14:textId="1ED733AA" w:rsidR="00B449FA" w:rsidRDefault="003B04FE" w:rsidP="00B449FA">
      <w:pPr>
        <w:pStyle w:val="Standard"/>
        <w:widowControl w:val="0"/>
        <w:suppressAutoHyphens w:val="0"/>
        <w:spacing w:line="240" w:lineRule="auto"/>
        <w:ind w:left="708"/>
        <w:jc w:val="both"/>
        <w:rPr>
          <w:rFonts w:ascii="Times New Roman" w:hAnsi="Times New Roman" w:cs="Times New Roman"/>
          <w:sz w:val="24"/>
          <w:lang w:eastAsia="sk-SK"/>
        </w:rPr>
      </w:pPr>
      <w:r w:rsidRPr="003B04FE">
        <w:rPr>
          <w:rFonts w:ascii="Times New Roman" w:hAnsi="Times New Roman" w:cs="Times New Roman"/>
          <w:i/>
          <w:sz w:val="24"/>
          <w:lang w:eastAsia="sk-SK"/>
        </w:rPr>
        <w:t>Smernica Európskeho parlamentu a Rady (EÚ) 2016/800 z 11. mája 2016 o procesných zárukách pre deti, ktoré sú podozrivými alebo obvinenými osobami v trestnom konaní (Ú. v. EÚ L 132, 21. 5. 2016)</w:t>
      </w:r>
      <w:r w:rsidR="0003614D">
        <w:rPr>
          <w:rFonts w:ascii="Times New Roman" w:hAnsi="Times New Roman" w:cs="Times New Roman"/>
          <w:i/>
          <w:sz w:val="24"/>
          <w:lang w:eastAsia="sk-SK"/>
        </w:rPr>
        <w:t>,</w:t>
      </w:r>
    </w:p>
    <w:p w14:paraId="624F1051" w14:textId="2950B44C" w:rsidR="006D33C6" w:rsidRPr="00136217" w:rsidRDefault="006D33C6" w:rsidP="00B449FA">
      <w:pPr>
        <w:pStyle w:val="Standard"/>
        <w:widowControl w:val="0"/>
        <w:suppressAutoHyphens w:val="0"/>
        <w:spacing w:line="240" w:lineRule="auto"/>
        <w:ind w:left="708"/>
        <w:jc w:val="both"/>
        <w:rPr>
          <w:rFonts w:ascii="Times New Roman" w:hAnsi="Times New Roman" w:cs="Times New Roman"/>
          <w:i/>
          <w:sz w:val="24"/>
        </w:rPr>
      </w:pPr>
      <w:r w:rsidRPr="007560B7">
        <w:rPr>
          <w:rFonts w:ascii="Times New Roman" w:hAnsi="Times New Roman" w:cs="Times New Roman"/>
          <w:sz w:val="24"/>
          <w:lang w:eastAsia="sk-SK"/>
        </w:rPr>
        <w:t>Gestor:</w:t>
      </w:r>
      <w:r w:rsidRPr="00136217">
        <w:rPr>
          <w:rFonts w:ascii="Times New Roman" w:hAnsi="Times New Roman" w:cs="Times New Roman"/>
          <w:i/>
          <w:sz w:val="24"/>
          <w:lang w:eastAsia="sk-SK"/>
        </w:rPr>
        <w:t xml:space="preserve"> Ministerstvo spravodlivosti Slovenskej republiky</w:t>
      </w:r>
    </w:p>
    <w:p w14:paraId="74E517EA" w14:textId="0BF16526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>c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 w:rsidR="00694416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lang w:eastAsia="sk-SK"/>
        </w:rPr>
        <w:t>je obsiahnutý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 v judikatúre Súdneho dvora Európskej únie</w:t>
      </w:r>
    </w:p>
    <w:p w14:paraId="7FBD4326" w14:textId="09EA88A0" w:rsidR="00357B42" w:rsidRPr="00357B42" w:rsidRDefault="00357B42" w:rsidP="00357B42">
      <w:pPr>
        <w:pStyle w:val="Standard"/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357B42">
        <w:rPr>
          <w:rFonts w:ascii="Times New Roman" w:hAnsi="Times New Roman" w:cs="Times New Roman"/>
          <w:i/>
          <w:sz w:val="24"/>
          <w:lang w:eastAsia="sk-SK"/>
        </w:rPr>
        <w:t xml:space="preserve">rozsudok Súdneho dvora z 27. februára 2003, Komisia/Belgicko, C-415/01, </w:t>
      </w:r>
    </w:p>
    <w:p w14:paraId="158A2579" w14:textId="13E2EEC9" w:rsidR="00357B42" w:rsidRPr="00357B42" w:rsidRDefault="00357B42" w:rsidP="00357B42">
      <w:pPr>
        <w:pStyle w:val="Standard"/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357B42">
        <w:rPr>
          <w:rFonts w:ascii="Times New Roman" w:hAnsi="Times New Roman" w:cs="Times New Roman"/>
          <w:i/>
          <w:sz w:val="24"/>
          <w:lang w:eastAsia="sk-SK"/>
        </w:rPr>
        <w:t>rozsudok Súdneho dvora (siedma komora) z 29. októbra 2009, Komisia/Poľsko, C-551/08,</w:t>
      </w:r>
    </w:p>
    <w:p w14:paraId="6FCC4C80" w14:textId="37C1EFFD" w:rsidR="00357B42" w:rsidRDefault="00357B42" w:rsidP="00357B42">
      <w:pPr>
        <w:pStyle w:val="Standard"/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357B42">
        <w:rPr>
          <w:rFonts w:ascii="Times New Roman" w:hAnsi="Times New Roman" w:cs="Times New Roman"/>
          <w:i/>
          <w:sz w:val="24"/>
          <w:lang w:eastAsia="sk-SK"/>
        </w:rPr>
        <w:t xml:space="preserve">rozsudok Súdneho dvora z 11. júna 2015, Komisia/Poľsko, C-29/14, </w:t>
      </w:r>
    </w:p>
    <w:p w14:paraId="26209FC8" w14:textId="460A4357" w:rsidR="00B30E6E" w:rsidRPr="00357B42" w:rsidRDefault="00B30E6E" w:rsidP="00357B42">
      <w:pPr>
        <w:pStyle w:val="Standard"/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357B42">
        <w:rPr>
          <w:rFonts w:ascii="Times New Roman" w:hAnsi="Times New Roman" w:cs="Times New Roman"/>
          <w:i/>
          <w:sz w:val="24"/>
          <w:lang w:eastAsia="sk-SK"/>
        </w:rPr>
        <w:t>rozsudok Súdneho dvora zo 4. októbra 2018, Komisia/Španielsko, C-599/17</w:t>
      </w:r>
      <w:r>
        <w:rPr>
          <w:rFonts w:ascii="Times New Roman" w:hAnsi="Times New Roman" w:cs="Times New Roman"/>
          <w:i/>
          <w:sz w:val="24"/>
          <w:lang w:eastAsia="sk-SK"/>
        </w:rPr>
        <w:t>,</w:t>
      </w:r>
    </w:p>
    <w:p w14:paraId="46C20B44" w14:textId="562AE118" w:rsidR="00694416" w:rsidRPr="00B30E6E" w:rsidRDefault="00357B42" w:rsidP="00B30E6E">
      <w:pPr>
        <w:pStyle w:val="Standard"/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i/>
          <w:sz w:val="24"/>
          <w:lang w:eastAsia="sk-SK"/>
        </w:rPr>
      </w:pPr>
      <w:r w:rsidRPr="00357B42">
        <w:rPr>
          <w:rFonts w:ascii="Times New Roman" w:hAnsi="Times New Roman" w:cs="Times New Roman"/>
          <w:i/>
          <w:sz w:val="24"/>
          <w:lang w:eastAsia="sk-SK"/>
        </w:rPr>
        <w:t>rozsudok Súdneho dvora (veľká komora) z 8. júla 2019, Komisia/Belgicko</w:t>
      </w:r>
      <w:r w:rsidR="00B30E6E">
        <w:rPr>
          <w:rFonts w:ascii="Times New Roman" w:hAnsi="Times New Roman" w:cs="Times New Roman"/>
          <w:i/>
          <w:sz w:val="24"/>
          <w:lang w:eastAsia="sk-SK"/>
        </w:rPr>
        <w:t>, C-543/17.</w:t>
      </w:r>
      <w:r w:rsidRPr="00357B42">
        <w:rPr>
          <w:rFonts w:ascii="Times New Roman" w:hAnsi="Times New Roman" w:cs="Times New Roman"/>
          <w:i/>
          <w:sz w:val="24"/>
          <w:lang w:eastAsia="sk-SK"/>
        </w:rPr>
        <w:t xml:space="preserve"> </w:t>
      </w:r>
    </w:p>
    <w:p w14:paraId="13D368FE" w14:textId="77777777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4F746E73" w14:textId="682F544C" w:rsidR="002B0484" w:rsidRPr="002B0484" w:rsidRDefault="002B0484" w:rsidP="002B0484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484">
        <w:rPr>
          <w:rFonts w:ascii="Times New Roman" w:hAnsi="Times New Roman" w:cs="Times New Roman"/>
          <w:b/>
          <w:sz w:val="24"/>
          <w:szCs w:val="24"/>
        </w:rPr>
        <w:t>4.</w:t>
      </w:r>
      <w:r w:rsidRPr="007F6C4C">
        <w:rPr>
          <w:b/>
        </w:rPr>
        <w:tab/>
      </w:r>
      <w:r w:rsidRPr="002B0484">
        <w:rPr>
          <w:rFonts w:ascii="Times New Roman" w:hAnsi="Times New Roman" w:cs="Times New Roman"/>
          <w:b/>
          <w:sz w:val="24"/>
          <w:szCs w:val="24"/>
        </w:rPr>
        <w:t xml:space="preserve">Záväzky Slovenskej republiky vo vzťahu k Európskej únii: </w:t>
      </w:r>
    </w:p>
    <w:p w14:paraId="597C73C8" w14:textId="526D37A9" w:rsidR="002B0484" w:rsidRDefault="002B0484" w:rsidP="00F55BC8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a)</w:t>
      </w:r>
      <w:r w:rsidRPr="002B0484">
        <w:rPr>
          <w:rFonts w:ascii="Times New Roman" w:hAnsi="Times New Roman" w:cs="Times New Roman"/>
          <w:sz w:val="24"/>
          <w:szCs w:val="24"/>
        </w:rPr>
        <w:tab/>
        <w:t>lehota na prebranie príslušnéh</w:t>
      </w:r>
      <w:r w:rsidR="00F55BC8">
        <w:rPr>
          <w:rFonts w:ascii="Times New Roman" w:hAnsi="Times New Roman" w:cs="Times New Roman"/>
          <w:sz w:val="24"/>
          <w:szCs w:val="24"/>
        </w:rPr>
        <w:t>o právneho aktu Európskej únie</w:t>
      </w:r>
    </w:p>
    <w:p w14:paraId="7C5B7659" w14:textId="38B1CB93" w:rsidR="002B0484" w:rsidRPr="00D63363" w:rsidRDefault="00F55BC8" w:rsidP="00F55BC8">
      <w:pPr>
        <w:ind w:left="709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04FE">
        <w:rPr>
          <w:rFonts w:ascii="Times New Roman" w:hAnsi="Times New Roman" w:cs="Times New Roman"/>
          <w:i/>
          <w:sz w:val="24"/>
          <w:szCs w:val="24"/>
        </w:rPr>
        <w:t>11. jún 2019</w:t>
      </w:r>
    </w:p>
    <w:p w14:paraId="1069FD43" w14:textId="52F638C0" w:rsidR="002B0484" w:rsidRDefault="002B0484" w:rsidP="00F55BC8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b)</w:t>
      </w:r>
      <w:r w:rsidRPr="002B0484">
        <w:rPr>
          <w:rFonts w:ascii="Times New Roman" w:hAnsi="Times New Roman" w:cs="Times New Roman"/>
          <w:sz w:val="24"/>
          <w:szCs w:val="24"/>
        </w:rPr>
        <w:tab/>
        <w:t xml:space="preserve">informácia o začatí konania v rámci „EÚ Pilot“ alebo o začatí postupu Európskej komisie, alebo o konaní Súdneho dvora Európskej únie proti Slovenskej republike podľa čl. 258 a 260 Zmluvy o fungovaní Európskej únie v jej platnom znení, spolu s uvedením konkrétnych vytýkaných nedostatkov a požiadaviek na zabezpečenie nápravy so zreteľom na nariadenie Európskeho parlamentu a Rady (ES) č. 1049/2001 z 30. mája 2001 z 30. mája 2001 o prístupe 3 verejnosti k dokumentom Európskeho parlamentu, Rady a Komisie, </w:t>
      </w:r>
    </w:p>
    <w:p w14:paraId="4AEC0D65" w14:textId="404DF40D" w:rsidR="00075967" w:rsidRPr="00FC4422" w:rsidRDefault="00075967" w:rsidP="00F55BC8">
      <w:pPr>
        <w:ind w:left="709" w:hanging="34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C4422">
        <w:rPr>
          <w:rFonts w:ascii="Times New Roman" w:hAnsi="Times New Roman" w:cs="Times New Roman"/>
          <w:sz w:val="24"/>
          <w:szCs w:val="24"/>
        </w:rPr>
        <w:t xml:space="preserve">- </w:t>
      </w:r>
      <w:r w:rsidR="00FC4422" w:rsidRPr="00FC4422">
        <w:rPr>
          <w:rFonts w:ascii="Times New Roman" w:hAnsi="Times New Roman" w:cs="Times New Roman"/>
          <w:i/>
          <w:sz w:val="24"/>
          <w:szCs w:val="24"/>
        </w:rPr>
        <w:t>konanie č. 2023/2108 v súvislosti s čiastočným neoznámením opatrení na transpozíciu smernice Európskeho parlamentu a Rady (EÚ) 2016/800 z 11. mája 2016 o procesných zárukách pre deti, ktoré sú podozrivými alebo obvinenými osobami v trestnom konaní (Ú. v. EÚ L 132, 21.5.2016, s. 1 – 20), do vnútroštátneho práva</w:t>
      </w:r>
      <w:r w:rsidR="00FC4422">
        <w:rPr>
          <w:rFonts w:ascii="Times New Roman" w:hAnsi="Times New Roman" w:cs="Times New Roman"/>
          <w:i/>
          <w:sz w:val="24"/>
          <w:szCs w:val="24"/>
        </w:rPr>
        <w:t>.</w:t>
      </w:r>
    </w:p>
    <w:p w14:paraId="5728507C" w14:textId="3AAB03E5" w:rsidR="002B0484" w:rsidRDefault="002B0484" w:rsidP="002B0484">
      <w:pPr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c)</w:t>
      </w:r>
      <w:r w:rsidRPr="002B0484">
        <w:rPr>
          <w:rFonts w:ascii="Times New Roman" w:hAnsi="Times New Roman" w:cs="Times New Roman"/>
          <w:sz w:val="24"/>
          <w:szCs w:val="24"/>
        </w:rPr>
        <w:tab/>
        <w:t>informácia o právnych predpisoch, v ktorých sú uvádzané právne akty Európskej únie už prebrané, spolu s uvedením rozsahu ich prebrania, príp. potreby prijatia ďalších úprav</w:t>
      </w:r>
    </w:p>
    <w:p w14:paraId="0BB9C8B3" w14:textId="5BA04D92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 xml:space="preserve">Zákon č. 300/2005 Z. z. Trestný zákon v znení neskorších predpisov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71553625" w14:textId="2E55C6B7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 xml:space="preserve">Zákon č. 301/2005 Z. z. Trestný poriadok v znení neskorších predpisov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6D0B0F57" w14:textId="4A1285CF" w:rsidR="000675C5" w:rsidRPr="00357B42" w:rsidRDefault="00EF719C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36/2005 Z. z. z</w:t>
      </w:r>
      <w:r w:rsidR="000675C5" w:rsidRPr="00357B42">
        <w:rPr>
          <w:rFonts w:ascii="Times New Roman" w:hAnsi="Times New Roman"/>
          <w:i/>
          <w:sz w:val="24"/>
          <w:szCs w:val="24"/>
        </w:rPr>
        <w:t>ákon o rodine a o zmene a doplnení niektorých zákonov v znení neskorších predpisov</w:t>
      </w:r>
      <w:r w:rsidR="00357B42">
        <w:rPr>
          <w:rFonts w:ascii="Times New Roman" w:hAnsi="Times New Roman"/>
          <w:i/>
          <w:sz w:val="24"/>
          <w:szCs w:val="24"/>
        </w:rPr>
        <w:t xml:space="preserve">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5C587E01" w14:textId="57647D17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221/2006 Z. z</w:t>
      </w:r>
      <w:r w:rsidR="00EF719C" w:rsidRPr="00357B42">
        <w:rPr>
          <w:rFonts w:ascii="Times New Roman" w:hAnsi="Times New Roman"/>
          <w:i/>
          <w:sz w:val="24"/>
          <w:szCs w:val="24"/>
        </w:rPr>
        <w:t>. z</w:t>
      </w:r>
      <w:r w:rsidRPr="00357B42">
        <w:rPr>
          <w:rFonts w:ascii="Times New Roman" w:hAnsi="Times New Roman"/>
          <w:i/>
          <w:sz w:val="24"/>
          <w:szCs w:val="24"/>
        </w:rPr>
        <w:t>ákon o výkone väzby v znení neskorších predpisov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49E6E0E0" w14:textId="6B10FBB2" w:rsidR="000675C5" w:rsidRPr="00357B42" w:rsidRDefault="00EF719C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475/2005 Z. z. z</w:t>
      </w:r>
      <w:r w:rsidR="000675C5" w:rsidRPr="00357B42">
        <w:rPr>
          <w:rFonts w:ascii="Times New Roman" w:hAnsi="Times New Roman"/>
          <w:i/>
          <w:sz w:val="24"/>
          <w:szCs w:val="24"/>
        </w:rPr>
        <w:t>ákon o výkone trestu odňatia slobody a o zmene a doplnení niektorých zákonov v znení neskorších predpisov</w:t>
      </w:r>
      <w:r w:rsidR="00357B42">
        <w:rPr>
          <w:rFonts w:ascii="Times New Roman" w:hAnsi="Times New Roman"/>
          <w:i/>
          <w:sz w:val="24"/>
          <w:szCs w:val="24"/>
        </w:rPr>
        <w:t xml:space="preserve">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7B11D0C6" w14:textId="0F5CDE7B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548/2003 Z. z. o Justičnej akadémii a o zmene a doplnení niektorých zákonov v znení neskorších predpisov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758342CC" w14:textId="4CC8CA2C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154/2001 Z. z. o  prokurátoroch a právnych čakateľoch prokuratúry v znení neskorších predpisov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47A68A83" w14:textId="68EF903E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73/1998 Z. z. o štátnej službe príslušníkov Policajného zboru, Slovenskej informačnej služby, Zboru väzenskej a justičnej stráže Slovenskej republiky a Železničnej polície v znení neskorších predpisov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5B1CADE9" w14:textId="0594C9AA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154/2010 Z. z. o európskom zatýkacom rozkaze v znení neskorších predpisov</w:t>
      </w:r>
      <w:r w:rsidR="00357B42">
        <w:rPr>
          <w:rFonts w:ascii="Times New Roman" w:hAnsi="Times New Roman"/>
          <w:i/>
          <w:sz w:val="24"/>
          <w:szCs w:val="24"/>
        </w:rPr>
        <w:t xml:space="preserve">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7648BA2E" w14:textId="5DA6A368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171/1993 Z. z. o Policajnom zbore v znení neskorších predpisov</w:t>
      </w:r>
      <w:r w:rsidR="00357B42">
        <w:rPr>
          <w:rFonts w:ascii="Times New Roman" w:hAnsi="Times New Roman"/>
          <w:i/>
          <w:sz w:val="24"/>
          <w:szCs w:val="24"/>
        </w:rPr>
        <w:t xml:space="preserve">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37F92B6F" w14:textId="69815B45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576/2004 Z. z. o zdravotnej starostlivosti, službách súvisiacich s poskytovaním zdravotnej starostlivosti a o zmene a doplnení niektorých zákonov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4F626526" w14:textId="16B7F376" w:rsidR="000675C5" w:rsidRPr="00357B42" w:rsidRDefault="00DB1ACA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Zákon</w:t>
      </w:r>
      <w:r w:rsidR="000675C5" w:rsidRPr="00357B42">
        <w:rPr>
          <w:rFonts w:ascii="Times New Roman" w:hAnsi="Times New Roman"/>
          <w:i/>
          <w:sz w:val="24"/>
          <w:szCs w:val="24"/>
        </w:rPr>
        <w:t xml:space="preserve"> č. 274/2017 Z. z. o  obetiach trestných činov a o zmene a doplnení niektorých zákonov</w:t>
      </w:r>
      <w:r w:rsidR="00357B42">
        <w:rPr>
          <w:rFonts w:ascii="Times New Roman" w:hAnsi="Times New Roman"/>
          <w:i/>
          <w:sz w:val="24"/>
          <w:szCs w:val="24"/>
        </w:rPr>
        <w:t xml:space="preserve"> 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(úplná transpozícia), </w:t>
      </w:r>
    </w:p>
    <w:p w14:paraId="0CCF3A40" w14:textId="43C1C763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305/2005 Z. z. o sociálnoprávnej ochrane detí a o sociálnej kuratele a o zmene a doplnení niektorých zákonov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04FA5BC1" w14:textId="261C5286" w:rsidR="000675C5" w:rsidRPr="00357B42" w:rsidRDefault="000675C5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219/2014 o sociálnej práci a o podmienkach na výkon niektorých odborných činností v oblasti sociálnych vecí a rodiny a o zmene a doplnení niektorých zákonov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(úplná transpozícia), </w:t>
      </w:r>
    </w:p>
    <w:p w14:paraId="33948423" w14:textId="02074096" w:rsidR="00F431D5" w:rsidRPr="00357B42" w:rsidRDefault="00AB4F54" w:rsidP="00357B42">
      <w:pPr>
        <w:pStyle w:val="Odsekzoznamu"/>
        <w:numPr>
          <w:ilvl w:val="0"/>
          <w:numId w:val="19"/>
        </w:numPr>
        <w:jc w:val="both"/>
        <w:rPr>
          <w:rFonts w:ascii="Times New Roman" w:hAnsi="Times New Roman"/>
          <w:i/>
          <w:sz w:val="24"/>
          <w:szCs w:val="24"/>
        </w:rPr>
      </w:pPr>
      <w:r w:rsidRPr="00357B42">
        <w:rPr>
          <w:rFonts w:ascii="Times New Roman" w:hAnsi="Times New Roman"/>
          <w:i/>
          <w:sz w:val="24"/>
          <w:szCs w:val="24"/>
        </w:rPr>
        <w:t>Zákon č. 264/2022 Z. z. o mediálnych službách a o zmene a doplnení niektorých zákonov (zákon o mediálnych službách)</w:t>
      </w:r>
      <w:r w:rsidR="00157909">
        <w:rPr>
          <w:rFonts w:ascii="Times New Roman" w:hAnsi="Times New Roman"/>
          <w:i/>
          <w:sz w:val="24"/>
          <w:szCs w:val="24"/>
        </w:rPr>
        <w:t xml:space="preserve"> (úplná transpozícia).</w:t>
      </w:r>
      <w:r w:rsidR="00357B42" w:rsidRPr="00357B42">
        <w:rPr>
          <w:rFonts w:ascii="Times New Roman" w:hAnsi="Times New Roman"/>
          <w:i/>
          <w:sz w:val="24"/>
          <w:szCs w:val="24"/>
        </w:rPr>
        <w:t xml:space="preserve"> </w:t>
      </w:r>
    </w:p>
    <w:p w14:paraId="6196DDA5" w14:textId="1435F0AE" w:rsidR="002B0484" w:rsidRPr="002B0484" w:rsidRDefault="002B0484" w:rsidP="002B0484">
      <w:pPr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484">
        <w:rPr>
          <w:rFonts w:ascii="Times New Roman" w:hAnsi="Times New Roman" w:cs="Times New Roman"/>
          <w:b/>
          <w:sz w:val="24"/>
          <w:szCs w:val="24"/>
        </w:rPr>
        <w:t>5.</w:t>
      </w:r>
      <w:r w:rsidRPr="002B0484">
        <w:rPr>
          <w:rFonts w:ascii="Times New Roman" w:hAnsi="Times New Roman" w:cs="Times New Roman"/>
          <w:b/>
          <w:sz w:val="24"/>
          <w:szCs w:val="24"/>
        </w:rPr>
        <w:tab/>
        <w:t xml:space="preserve">Návrh </w:t>
      </w:r>
      <w:r w:rsidR="008E4499">
        <w:rPr>
          <w:rFonts w:ascii="Times New Roman" w:hAnsi="Times New Roman" w:cs="Times New Roman"/>
          <w:b/>
          <w:sz w:val="24"/>
          <w:szCs w:val="24"/>
        </w:rPr>
        <w:t xml:space="preserve">zákona </w:t>
      </w:r>
      <w:r w:rsidRPr="002B0484">
        <w:rPr>
          <w:rFonts w:ascii="Times New Roman" w:hAnsi="Times New Roman" w:cs="Times New Roman"/>
          <w:b/>
          <w:sz w:val="24"/>
          <w:szCs w:val="24"/>
        </w:rPr>
        <w:t>je zlučiteľný s právom Európskej únie:</w:t>
      </w:r>
    </w:p>
    <w:p w14:paraId="73C1DF1A" w14:textId="77777777" w:rsidR="002B0484" w:rsidRPr="002B0484" w:rsidRDefault="002B0484" w:rsidP="002B048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0484">
        <w:rPr>
          <w:rFonts w:ascii="Times New Roman" w:hAnsi="Times New Roman" w:cs="Times New Roman"/>
          <w:sz w:val="24"/>
          <w:szCs w:val="24"/>
        </w:rPr>
        <w:t>úplne</w:t>
      </w:r>
    </w:p>
    <w:p w14:paraId="6595F2C8" w14:textId="130F2283" w:rsidR="00CD6E47" w:rsidRPr="00C27E76" w:rsidRDefault="00CD6E47" w:rsidP="00934D85">
      <w:pPr>
        <w:spacing w:after="0" w:line="276" w:lineRule="auto"/>
        <w:ind w:left="850"/>
        <w:rPr>
          <w:rFonts w:ascii="Times New Roman" w:hAnsi="Times New Roman" w:cs="Times New Roman"/>
          <w:sz w:val="24"/>
          <w:szCs w:val="24"/>
        </w:rPr>
      </w:pPr>
    </w:p>
    <w:sectPr w:rsidR="00CD6E47" w:rsidRPr="00C27E76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C6B3C" w14:textId="77777777" w:rsidR="000C4E68" w:rsidRDefault="000C4E68">
      <w:pPr>
        <w:spacing w:after="0" w:line="240" w:lineRule="auto"/>
      </w:pPr>
      <w:r>
        <w:separator/>
      </w:r>
    </w:p>
  </w:endnote>
  <w:endnote w:type="continuationSeparator" w:id="0">
    <w:p w14:paraId="15031067" w14:textId="77777777" w:rsidR="000C4E68" w:rsidRDefault="000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">
    <w:altName w:val="Calibri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B345" w14:textId="77777777" w:rsidR="000E605A" w:rsidRDefault="000E60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7D3D" w14:textId="77777777" w:rsidR="000E605A" w:rsidRPr="000C2E96" w:rsidRDefault="000E605A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228B" w14:textId="77777777" w:rsidR="000E605A" w:rsidRDefault="000E60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5CA7A" w14:textId="77777777" w:rsidR="000C4E68" w:rsidRDefault="000C4E68">
      <w:pPr>
        <w:spacing w:after="0" w:line="240" w:lineRule="auto"/>
      </w:pPr>
      <w:r>
        <w:separator/>
      </w:r>
    </w:p>
  </w:footnote>
  <w:footnote w:type="continuationSeparator" w:id="0">
    <w:p w14:paraId="0BDAB17F" w14:textId="77777777" w:rsidR="000C4E68" w:rsidRDefault="000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0738" w14:textId="77777777" w:rsidR="000E605A" w:rsidRDefault="000E60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6973" w14:textId="77777777" w:rsidR="000E605A" w:rsidRDefault="000E60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FDE" w14:textId="77777777" w:rsidR="000E605A" w:rsidRDefault="000E60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884F1E"/>
    <w:multiLevelType w:val="hybridMultilevel"/>
    <w:tmpl w:val="D2AA4AF0"/>
    <w:lvl w:ilvl="0" w:tplc="6AD039E8">
      <w:numFmt w:val="bullet"/>
      <w:lvlText w:val="-"/>
      <w:lvlJc w:val="left"/>
      <w:pPr>
        <w:ind w:left="360" w:firstLine="0"/>
      </w:pPr>
      <w:rPr>
        <w:rFonts w:ascii="Times New Roman" w:eastAsia="Alegrey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8ED4A20"/>
    <w:multiLevelType w:val="hybridMultilevel"/>
    <w:tmpl w:val="CBDA1608"/>
    <w:lvl w:ilvl="0" w:tplc="7C6A551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0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3E6093"/>
    <w:multiLevelType w:val="hybridMultilevel"/>
    <w:tmpl w:val="392829BC"/>
    <w:lvl w:ilvl="0" w:tplc="D66EB902">
      <w:start w:val="1"/>
      <w:numFmt w:val="decimal"/>
      <w:lvlText w:val="%1."/>
      <w:lvlJc w:val="left"/>
      <w:pPr>
        <w:ind w:left="1429" w:hanging="1069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6A6E5479"/>
    <w:multiLevelType w:val="hybridMultilevel"/>
    <w:tmpl w:val="B5645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27412E1"/>
    <w:multiLevelType w:val="hybridMultilevel"/>
    <w:tmpl w:val="EEB6496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4"/>
  </w:num>
  <w:num w:numId="5">
    <w:abstractNumId w:val="3"/>
  </w:num>
  <w:num w:numId="6">
    <w:abstractNumId w:val="16"/>
  </w:num>
  <w:num w:numId="7">
    <w:abstractNumId w:val="6"/>
  </w:num>
  <w:num w:numId="8">
    <w:abstractNumId w:val="19"/>
  </w:num>
  <w:num w:numId="9">
    <w:abstractNumId w:val="8"/>
  </w:num>
  <w:num w:numId="10">
    <w:abstractNumId w:val="14"/>
  </w:num>
  <w:num w:numId="11">
    <w:abstractNumId w:val="10"/>
  </w:num>
  <w:num w:numId="12">
    <w:abstractNumId w:val="20"/>
  </w:num>
  <w:num w:numId="13">
    <w:abstractNumId w:val="0"/>
  </w:num>
  <w:num w:numId="14">
    <w:abstractNumId w:val="12"/>
  </w:num>
  <w:num w:numId="15">
    <w:abstractNumId w:val="7"/>
  </w:num>
  <w:num w:numId="16">
    <w:abstractNumId w:val="13"/>
  </w:num>
  <w:num w:numId="17">
    <w:abstractNumId w:val="17"/>
  </w:num>
  <w:num w:numId="18">
    <w:abstractNumId w:val="11"/>
  </w:num>
  <w:num w:numId="19">
    <w:abstractNumId w:val="5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3614D"/>
    <w:rsid w:val="000675C5"/>
    <w:rsid w:val="00070AF1"/>
    <w:rsid w:val="00075967"/>
    <w:rsid w:val="000C419F"/>
    <w:rsid w:val="000C4E68"/>
    <w:rsid w:val="000D36B5"/>
    <w:rsid w:val="000E605A"/>
    <w:rsid w:val="00101711"/>
    <w:rsid w:val="00136217"/>
    <w:rsid w:val="00157909"/>
    <w:rsid w:val="00180BD0"/>
    <w:rsid w:val="0019116B"/>
    <w:rsid w:val="001E153C"/>
    <w:rsid w:val="00203127"/>
    <w:rsid w:val="00222F90"/>
    <w:rsid w:val="00254DAD"/>
    <w:rsid w:val="002B0484"/>
    <w:rsid w:val="002C1F24"/>
    <w:rsid w:val="002D29CB"/>
    <w:rsid w:val="002F351B"/>
    <w:rsid w:val="003036C2"/>
    <w:rsid w:val="00357B42"/>
    <w:rsid w:val="00377AF0"/>
    <w:rsid w:val="003A49C8"/>
    <w:rsid w:val="003B04FE"/>
    <w:rsid w:val="00414AAB"/>
    <w:rsid w:val="00433571"/>
    <w:rsid w:val="00477202"/>
    <w:rsid w:val="004854A3"/>
    <w:rsid w:val="0048788B"/>
    <w:rsid w:val="004929AD"/>
    <w:rsid w:val="004B2234"/>
    <w:rsid w:val="004E66E1"/>
    <w:rsid w:val="0055530F"/>
    <w:rsid w:val="00587267"/>
    <w:rsid w:val="005932BB"/>
    <w:rsid w:val="005B2E75"/>
    <w:rsid w:val="005B3DCC"/>
    <w:rsid w:val="005E1EBE"/>
    <w:rsid w:val="005F1EBB"/>
    <w:rsid w:val="00693697"/>
    <w:rsid w:val="00694416"/>
    <w:rsid w:val="006D33C6"/>
    <w:rsid w:val="006D3723"/>
    <w:rsid w:val="006D513D"/>
    <w:rsid w:val="00721987"/>
    <w:rsid w:val="007560B7"/>
    <w:rsid w:val="007B4908"/>
    <w:rsid w:val="007E0F17"/>
    <w:rsid w:val="00834C64"/>
    <w:rsid w:val="008362EF"/>
    <w:rsid w:val="008657DA"/>
    <w:rsid w:val="00887F99"/>
    <w:rsid w:val="008E4499"/>
    <w:rsid w:val="00916D22"/>
    <w:rsid w:val="00934D85"/>
    <w:rsid w:val="00980ECE"/>
    <w:rsid w:val="009B0AED"/>
    <w:rsid w:val="009C28F5"/>
    <w:rsid w:val="009F3141"/>
    <w:rsid w:val="009F5FFC"/>
    <w:rsid w:val="00A05011"/>
    <w:rsid w:val="00A24ACE"/>
    <w:rsid w:val="00A360E3"/>
    <w:rsid w:val="00A5650E"/>
    <w:rsid w:val="00A84C19"/>
    <w:rsid w:val="00AB4F54"/>
    <w:rsid w:val="00AC4811"/>
    <w:rsid w:val="00AE263B"/>
    <w:rsid w:val="00B30E6E"/>
    <w:rsid w:val="00B40BD8"/>
    <w:rsid w:val="00B449FA"/>
    <w:rsid w:val="00B62252"/>
    <w:rsid w:val="00B6630D"/>
    <w:rsid w:val="00BB02E8"/>
    <w:rsid w:val="00BB6555"/>
    <w:rsid w:val="00BF0752"/>
    <w:rsid w:val="00C214BF"/>
    <w:rsid w:val="00C34835"/>
    <w:rsid w:val="00C52852"/>
    <w:rsid w:val="00C97A6D"/>
    <w:rsid w:val="00CD5DEB"/>
    <w:rsid w:val="00CD6E47"/>
    <w:rsid w:val="00D15656"/>
    <w:rsid w:val="00D56B20"/>
    <w:rsid w:val="00D63363"/>
    <w:rsid w:val="00DA27E0"/>
    <w:rsid w:val="00DB1ACA"/>
    <w:rsid w:val="00DE1AA2"/>
    <w:rsid w:val="00DF758B"/>
    <w:rsid w:val="00E5204B"/>
    <w:rsid w:val="00E525C7"/>
    <w:rsid w:val="00ED4C1D"/>
    <w:rsid w:val="00EE3EFD"/>
    <w:rsid w:val="00EF719C"/>
    <w:rsid w:val="00F431D5"/>
    <w:rsid w:val="00F55BC8"/>
    <w:rsid w:val="00F55E0C"/>
    <w:rsid w:val="00FC4422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2025-08-14T10:54:00Z</dcterms:created>
  <dcterms:modified xsi:type="dcterms:W3CDTF">2025-08-20T08:54:00Z</dcterms:modified>
</cp:coreProperties>
</file>