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256AF" w14:textId="77777777" w:rsidR="0047658D" w:rsidRPr="007622D4" w:rsidRDefault="0047658D" w:rsidP="00A64364">
      <w:pPr>
        <w:spacing w:after="0" w:line="240" w:lineRule="auto"/>
        <w:jc w:val="center"/>
        <w:rPr>
          <w:rFonts w:ascii="Times New Roman" w:hAnsi="Times New Roman" w:cs="Times New Roman"/>
          <w:b/>
          <w:caps/>
          <w:spacing w:val="30"/>
          <w:sz w:val="24"/>
          <w:szCs w:val="24"/>
        </w:rPr>
      </w:pPr>
      <w:r w:rsidRPr="007622D4">
        <w:rPr>
          <w:rFonts w:ascii="Times New Roman" w:hAnsi="Times New Roman" w:cs="Times New Roman"/>
          <w:b/>
          <w:caps/>
          <w:spacing w:val="30"/>
          <w:sz w:val="24"/>
          <w:szCs w:val="24"/>
        </w:rPr>
        <w:t>Dôvodová správa</w:t>
      </w:r>
    </w:p>
    <w:p w14:paraId="42943C5C" w14:textId="77777777" w:rsidR="0047658D" w:rsidRPr="007622D4" w:rsidRDefault="0047658D" w:rsidP="00A64364">
      <w:pPr>
        <w:spacing w:after="0" w:line="240" w:lineRule="auto"/>
        <w:jc w:val="both"/>
        <w:rPr>
          <w:rFonts w:ascii="Times New Roman" w:hAnsi="Times New Roman" w:cs="Times New Roman"/>
          <w:sz w:val="24"/>
          <w:szCs w:val="24"/>
        </w:rPr>
      </w:pPr>
    </w:p>
    <w:p w14:paraId="4BDC6585" w14:textId="77777777" w:rsidR="0047658D" w:rsidRPr="007622D4" w:rsidRDefault="0047658D" w:rsidP="00A64364">
      <w:pPr>
        <w:pStyle w:val="Odsekzoznamu"/>
        <w:numPr>
          <w:ilvl w:val="0"/>
          <w:numId w:val="1"/>
        </w:numPr>
        <w:spacing w:after="0" w:line="240" w:lineRule="auto"/>
        <w:jc w:val="both"/>
        <w:rPr>
          <w:rFonts w:ascii="Times New Roman" w:hAnsi="Times New Roman" w:cs="Times New Roman"/>
          <w:b/>
          <w:sz w:val="24"/>
          <w:szCs w:val="24"/>
        </w:rPr>
      </w:pPr>
      <w:r w:rsidRPr="007622D4">
        <w:rPr>
          <w:rFonts w:ascii="Times New Roman" w:hAnsi="Times New Roman" w:cs="Times New Roman"/>
          <w:b/>
          <w:sz w:val="24"/>
          <w:szCs w:val="24"/>
        </w:rPr>
        <w:t>Všeobecná časť</w:t>
      </w:r>
    </w:p>
    <w:p w14:paraId="612F7FD3" w14:textId="77777777" w:rsidR="0047658D" w:rsidRPr="007622D4" w:rsidRDefault="0047658D" w:rsidP="00A64364">
      <w:pPr>
        <w:spacing w:after="0" w:line="240" w:lineRule="auto"/>
        <w:jc w:val="both"/>
        <w:rPr>
          <w:rFonts w:ascii="Times New Roman" w:hAnsi="Times New Roman" w:cs="Times New Roman"/>
          <w:sz w:val="24"/>
          <w:szCs w:val="24"/>
        </w:rPr>
      </w:pPr>
    </w:p>
    <w:p w14:paraId="764799B1" w14:textId="1C0F4DDF" w:rsidR="00271158" w:rsidRPr="007622D4" w:rsidRDefault="002B4527" w:rsidP="00A64364">
      <w:pPr>
        <w:spacing w:after="0" w:line="240" w:lineRule="auto"/>
        <w:ind w:firstLine="708"/>
        <w:jc w:val="both"/>
        <w:rPr>
          <w:rFonts w:ascii="Times New Roman" w:hAnsi="Times New Roman" w:cs="Times New Roman"/>
          <w:sz w:val="24"/>
          <w:szCs w:val="24"/>
        </w:rPr>
      </w:pPr>
      <w:r w:rsidRPr="0070433C">
        <w:rPr>
          <w:rFonts w:ascii="Times New Roman" w:hAnsi="Times New Roman" w:cs="Times New Roman"/>
          <w:sz w:val="24"/>
          <w:szCs w:val="24"/>
        </w:rPr>
        <w:t>Vláda</w:t>
      </w:r>
      <w:r w:rsidR="00271158" w:rsidRPr="0070433C">
        <w:rPr>
          <w:rFonts w:ascii="Times New Roman" w:hAnsi="Times New Roman" w:cs="Times New Roman"/>
          <w:sz w:val="24"/>
          <w:szCs w:val="24"/>
        </w:rPr>
        <w:t xml:space="preserve"> Slovenskej republiky predkladá </w:t>
      </w:r>
      <w:r w:rsidR="00390C09" w:rsidRPr="0070433C">
        <w:rPr>
          <w:rFonts w:ascii="Times New Roman" w:hAnsi="Times New Roman" w:cs="Times New Roman"/>
          <w:sz w:val="24"/>
          <w:szCs w:val="24"/>
        </w:rPr>
        <w:t xml:space="preserve">na rokovanie </w:t>
      </w:r>
      <w:r w:rsidRPr="0070433C">
        <w:rPr>
          <w:rFonts w:ascii="Times New Roman" w:hAnsi="Times New Roman" w:cs="Times New Roman"/>
          <w:sz w:val="24"/>
          <w:szCs w:val="24"/>
        </w:rPr>
        <w:t xml:space="preserve">Národnej rady </w:t>
      </w:r>
      <w:r w:rsidR="0029341D" w:rsidRPr="0070433C">
        <w:rPr>
          <w:rFonts w:ascii="Times New Roman" w:hAnsi="Times New Roman" w:cs="Times New Roman"/>
          <w:sz w:val="24"/>
          <w:szCs w:val="24"/>
        </w:rPr>
        <w:t>Slovenskej</w:t>
      </w:r>
      <w:r w:rsidRPr="0070433C">
        <w:rPr>
          <w:rFonts w:ascii="Times New Roman" w:hAnsi="Times New Roman" w:cs="Times New Roman"/>
          <w:sz w:val="24"/>
          <w:szCs w:val="24"/>
        </w:rPr>
        <w:t xml:space="preserve"> republiky </w:t>
      </w:r>
      <w:r w:rsidR="00390C09" w:rsidRPr="0070433C">
        <w:rPr>
          <w:rFonts w:ascii="Times New Roman" w:hAnsi="Times New Roman" w:cs="Times New Roman"/>
          <w:sz w:val="24"/>
          <w:szCs w:val="24"/>
        </w:rPr>
        <w:t>Slovenskej republiky</w:t>
      </w:r>
      <w:r w:rsidR="00390C09">
        <w:rPr>
          <w:rFonts w:ascii="Times New Roman" w:hAnsi="Times New Roman" w:cs="Times New Roman"/>
          <w:sz w:val="24"/>
          <w:szCs w:val="24"/>
        </w:rPr>
        <w:t xml:space="preserve"> </w:t>
      </w:r>
      <w:r w:rsidR="00271158" w:rsidRPr="007622D4">
        <w:rPr>
          <w:rFonts w:ascii="Times New Roman" w:hAnsi="Times New Roman" w:cs="Times New Roman"/>
          <w:sz w:val="24"/>
          <w:szCs w:val="24"/>
        </w:rPr>
        <w:t xml:space="preserve">návrh zákona </w:t>
      </w:r>
      <w:r w:rsidR="004A4EDD" w:rsidRPr="007622D4">
        <w:rPr>
          <w:rFonts w:ascii="Times New Roman" w:hAnsi="Times New Roman" w:cs="Times New Roman"/>
          <w:sz w:val="24"/>
          <w:szCs w:val="24"/>
        </w:rPr>
        <w:t xml:space="preserve">o niektorých administratívnych opatreniach súvisiacich so zhromažďovaním elektronických dôkazov v trestnom konaní </w:t>
      </w:r>
      <w:r w:rsidR="00F60E6E" w:rsidRPr="00F60E6E">
        <w:rPr>
          <w:rFonts w:ascii="Times New Roman" w:hAnsi="Times New Roman" w:cs="Times New Roman"/>
          <w:sz w:val="24"/>
          <w:szCs w:val="24"/>
        </w:rPr>
        <w:t xml:space="preserve">a o zmene a doplnení </w:t>
      </w:r>
      <w:r w:rsidR="00E179A3" w:rsidRPr="00E179A3">
        <w:rPr>
          <w:rFonts w:ascii="Times New Roman" w:hAnsi="Times New Roman" w:cs="Times New Roman"/>
          <w:sz w:val="24"/>
          <w:szCs w:val="24"/>
        </w:rPr>
        <w:t xml:space="preserve">niektorých zákonov </w:t>
      </w:r>
      <w:r w:rsidR="004A4EDD" w:rsidRPr="007622D4">
        <w:rPr>
          <w:rFonts w:ascii="Times New Roman" w:hAnsi="Times New Roman" w:cs="Times New Roman"/>
          <w:sz w:val="24"/>
          <w:szCs w:val="24"/>
        </w:rPr>
        <w:t>(ďalej len „návrh zákona“)</w:t>
      </w:r>
      <w:r w:rsidR="00271158" w:rsidRPr="007622D4">
        <w:rPr>
          <w:rFonts w:ascii="Times New Roman" w:hAnsi="Times New Roman" w:cs="Times New Roman"/>
          <w:sz w:val="24"/>
          <w:szCs w:val="24"/>
        </w:rPr>
        <w:t>.</w:t>
      </w:r>
    </w:p>
    <w:p w14:paraId="33E0058D" w14:textId="77777777" w:rsidR="00271158" w:rsidRPr="007622D4" w:rsidRDefault="00271158" w:rsidP="00A64364">
      <w:pPr>
        <w:spacing w:after="0" w:line="240" w:lineRule="auto"/>
        <w:ind w:firstLine="708"/>
        <w:jc w:val="both"/>
        <w:rPr>
          <w:rFonts w:ascii="Times New Roman" w:hAnsi="Times New Roman" w:cs="Times New Roman"/>
          <w:sz w:val="24"/>
          <w:szCs w:val="24"/>
        </w:rPr>
      </w:pPr>
    </w:p>
    <w:p w14:paraId="3441BB94" w14:textId="75E26418" w:rsidR="00EF2ED3" w:rsidRDefault="00EF2ED3"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Návrh zákona sa predkladá v súlade s Plánom legislatívnych úloh vlády Slovenskej republiky na rok 2025, ktorý je zároveň podnetom pre vypracovanie návrhu zákona. Okrem toho sa predkladaným návrhom zákona plní úloha B.3. uznesenia vlády Slovenskej republiky z 29. novembra 2023 č. 634.</w:t>
      </w:r>
    </w:p>
    <w:p w14:paraId="0926F192" w14:textId="64ABE615" w:rsidR="00DB3929" w:rsidRDefault="00DB3929" w:rsidP="00A64364">
      <w:pPr>
        <w:spacing w:after="0" w:line="240" w:lineRule="auto"/>
        <w:ind w:firstLine="708"/>
        <w:jc w:val="both"/>
        <w:rPr>
          <w:rFonts w:ascii="Times New Roman" w:hAnsi="Times New Roman" w:cs="Times New Roman"/>
          <w:sz w:val="24"/>
          <w:szCs w:val="24"/>
        </w:rPr>
      </w:pPr>
    </w:p>
    <w:p w14:paraId="31A69975" w14:textId="58B61B8E" w:rsidR="00DB3929" w:rsidRPr="007622D4" w:rsidRDefault="00DB3929" w:rsidP="00A6436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Návrh zákona bol vypracovaný na po</w:t>
      </w:r>
      <w:r w:rsidR="00877B54">
        <w:rPr>
          <w:rFonts w:ascii="Times New Roman" w:hAnsi="Times New Roman" w:cs="Times New Roman"/>
          <w:sz w:val="24"/>
          <w:szCs w:val="24"/>
        </w:rPr>
        <w:t>d</w:t>
      </w:r>
      <w:r>
        <w:rPr>
          <w:rFonts w:ascii="Times New Roman" w:hAnsi="Times New Roman" w:cs="Times New Roman"/>
          <w:sz w:val="24"/>
          <w:szCs w:val="24"/>
        </w:rPr>
        <w:t>klade širokej medzirezortnej spolupráce, ktorá zahŕňala Ministerstvo vnútra Slovenskej republiky vrátane Policajného zboru, Ministerstvo hospodárstva Slovenskej republiky, Ministerstvo dopravy Slovenskej republiky, Ministerstvo kultúry Slovenskej republiky, Ministerstvo</w:t>
      </w:r>
      <w:r w:rsidRPr="00DB3929">
        <w:rPr>
          <w:rFonts w:ascii="Times New Roman" w:hAnsi="Times New Roman" w:cs="Times New Roman"/>
          <w:sz w:val="24"/>
          <w:szCs w:val="24"/>
        </w:rPr>
        <w:t xml:space="preserve"> investícií, regionálneho rozvoja a informatizácie Slovenskej republiky</w:t>
      </w:r>
      <w:r>
        <w:rPr>
          <w:rFonts w:ascii="Times New Roman" w:hAnsi="Times New Roman" w:cs="Times New Roman"/>
          <w:sz w:val="24"/>
          <w:szCs w:val="24"/>
        </w:rPr>
        <w:t xml:space="preserve">, Generálnu prokuratúru Slovenskej republiky a Radu pre mediálne služby. Pri </w:t>
      </w:r>
      <w:r w:rsidR="00877B54">
        <w:rPr>
          <w:rFonts w:ascii="Times New Roman" w:hAnsi="Times New Roman" w:cs="Times New Roman"/>
          <w:sz w:val="24"/>
          <w:szCs w:val="24"/>
        </w:rPr>
        <w:t xml:space="preserve">príprave </w:t>
      </w:r>
      <w:r>
        <w:rPr>
          <w:rFonts w:ascii="Times New Roman" w:hAnsi="Times New Roman" w:cs="Times New Roman"/>
          <w:sz w:val="24"/>
          <w:szCs w:val="24"/>
        </w:rPr>
        <w:t xml:space="preserve">návrhu zákona predkladateľ využil inštitút konzultácií s podnikateľským prostredím, pričom k spolupráci oslovil </w:t>
      </w:r>
      <w:r w:rsidRPr="00DB3929">
        <w:rPr>
          <w:rFonts w:ascii="Times New Roman" w:hAnsi="Times New Roman" w:cs="Times New Roman"/>
          <w:sz w:val="24"/>
          <w:szCs w:val="24"/>
        </w:rPr>
        <w:t>Asociáci</w:t>
      </w:r>
      <w:r>
        <w:rPr>
          <w:rFonts w:ascii="Times New Roman" w:hAnsi="Times New Roman" w:cs="Times New Roman"/>
          <w:sz w:val="24"/>
          <w:szCs w:val="24"/>
        </w:rPr>
        <w:t>u</w:t>
      </w:r>
      <w:r w:rsidRPr="00DB3929">
        <w:rPr>
          <w:rFonts w:ascii="Times New Roman" w:hAnsi="Times New Roman" w:cs="Times New Roman"/>
          <w:sz w:val="24"/>
          <w:szCs w:val="24"/>
        </w:rPr>
        <w:t xml:space="preserve"> mobilných operátorov Slovenska (ASMOS), Fórum pre komunikačné te</w:t>
      </w:r>
      <w:r>
        <w:rPr>
          <w:rFonts w:ascii="Times New Roman" w:hAnsi="Times New Roman" w:cs="Times New Roman"/>
          <w:sz w:val="24"/>
          <w:szCs w:val="24"/>
        </w:rPr>
        <w:t>chnológie (CTF), Telekomunikačnú</w:t>
      </w:r>
      <w:r w:rsidRPr="00DB3929">
        <w:rPr>
          <w:rFonts w:ascii="Times New Roman" w:hAnsi="Times New Roman" w:cs="Times New Roman"/>
          <w:sz w:val="24"/>
          <w:szCs w:val="24"/>
        </w:rPr>
        <w:t xml:space="preserve"> </w:t>
      </w:r>
      <w:r w:rsidR="00DD38E5" w:rsidRPr="00DB3929">
        <w:rPr>
          <w:rFonts w:ascii="Times New Roman" w:hAnsi="Times New Roman" w:cs="Times New Roman"/>
          <w:sz w:val="24"/>
          <w:szCs w:val="24"/>
        </w:rPr>
        <w:t>úni</w:t>
      </w:r>
      <w:r w:rsidR="00DD38E5">
        <w:rPr>
          <w:rFonts w:ascii="Times New Roman" w:hAnsi="Times New Roman" w:cs="Times New Roman"/>
          <w:sz w:val="24"/>
          <w:szCs w:val="24"/>
        </w:rPr>
        <w:t>u</w:t>
      </w:r>
      <w:r w:rsidR="00DD38E5" w:rsidRPr="00DB3929">
        <w:rPr>
          <w:rFonts w:ascii="Times New Roman" w:hAnsi="Times New Roman" w:cs="Times New Roman"/>
          <w:sz w:val="24"/>
          <w:szCs w:val="24"/>
        </w:rPr>
        <w:t xml:space="preserve"> </w:t>
      </w:r>
      <w:r w:rsidRPr="00DB3929">
        <w:rPr>
          <w:rFonts w:ascii="Times New Roman" w:hAnsi="Times New Roman" w:cs="Times New Roman"/>
          <w:sz w:val="24"/>
          <w:szCs w:val="24"/>
        </w:rPr>
        <w:t>Slovenskej repub</w:t>
      </w:r>
      <w:r>
        <w:rPr>
          <w:rFonts w:ascii="Times New Roman" w:hAnsi="Times New Roman" w:cs="Times New Roman"/>
          <w:sz w:val="24"/>
          <w:szCs w:val="24"/>
        </w:rPr>
        <w:t>liky (TUSR), SK-NIC, Republikovú úniu</w:t>
      </w:r>
      <w:r w:rsidRPr="00DB3929">
        <w:rPr>
          <w:rFonts w:ascii="Times New Roman" w:hAnsi="Times New Roman" w:cs="Times New Roman"/>
          <w:sz w:val="24"/>
          <w:szCs w:val="24"/>
        </w:rPr>
        <w:t xml:space="preserve"> zamestnávateľov (</w:t>
      </w:r>
      <w:r w:rsidR="00DD38E5" w:rsidRPr="00DB3929">
        <w:rPr>
          <w:rFonts w:ascii="Times New Roman" w:hAnsi="Times New Roman" w:cs="Times New Roman"/>
          <w:sz w:val="24"/>
          <w:szCs w:val="24"/>
        </w:rPr>
        <w:t>digit</w:t>
      </w:r>
      <w:r w:rsidR="00DD38E5">
        <w:rPr>
          <w:rFonts w:ascii="Times New Roman" w:hAnsi="Times New Roman" w:cs="Times New Roman"/>
          <w:sz w:val="24"/>
          <w:szCs w:val="24"/>
        </w:rPr>
        <w:t xml:space="preserve">álny </w:t>
      </w:r>
      <w:r>
        <w:rPr>
          <w:rFonts w:ascii="Times New Roman" w:hAnsi="Times New Roman" w:cs="Times New Roman"/>
          <w:sz w:val="24"/>
          <w:szCs w:val="24"/>
        </w:rPr>
        <w:t>výbor), Klub 500, Asociáciu</w:t>
      </w:r>
      <w:r w:rsidRPr="00DB3929">
        <w:rPr>
          <w:rFonts w:ascii="Times New Roman" w:hAnsi="Times New Roman" w:cs="Times New Roman"/>
          <w:sz w:val="24"/>
          <w:szCs w:val="24"/>
        </w:rPr>
        <w:t xml:space="preserve"> zamestnávateľských zväzov Slovenska, Inštitút pre regulác</w:t>
      </w:r>
      <w:r>
        <w:rPr>
          <w:rFonts w:ascii="Times New Roman" w:hAnsi="Times New Roman" w:cs="Times New Roman"/>
          <w:sz w:val="24"/>
          <w:szCs w:val="24"/>
        </w:rPr>
        <w:t>iu hazardných hier, IT Asociáciu</w:t>
      </w:r>
      <w:r w:rsidRPr="00DB3929">
        <w:rPr>
          <w:rFonts w:ascii="Times New Roman" w:hAnsi="Times New Roman" w:cs="Times New Roman"/>
          <w:sz w:val="24"/>
          <w:szCs w:val="24"/>
        </w:rPr>
        <w:t xml:space="preserve"> Slovenska</w:t>
      </w:r>
      <w:r>
        <w:rPr>
          <w:rFonts w:ascii="Times New Roman" w:hAnsi="Times New Roman" w:cs="Times New Roman"/>
          <w:sz w:val="24"/>
          <w:szCs w:val="24"/>
        </w:rPr>
        <w:t xml:space="preserve"> a</w:t>
      </w:r>
      <w:r w:rsidRPr="00DB3929">
        <w:rPr>
          <w:rFonts w:ascii="Times New Roman" w:hAnsi="Times New Roman" w:cs="Times New Roman"/>
          <w:sz w:val="24"/>
          <w:szCs w:val="24"/>
        </w:rPr>
        <w:t xml:space="preserve"> A</w:t>
      </w:r>
      <w:r>
        <w:rPr>
          <w:rFonts w:ascii="Times New Roman" w:hAnsi="Times New Roman" w:cs="Times New Roman"/>
          <w:sz w:val="24"/>
          <w:szCs w:val="24"/>
        </w:rPr>
        <w:t>merickú</w:t>
      </w:r>
      <w:r w:rsidRPr="00DB3929">
        <w:rPr>
          <w:rFonts w:ascii="Times New Roman" w:hAnsi="Times New Roman" w:cs="Times New Roman"/>
          <w:sz w:val="24"/>
          <w:szCs w:val="24"/>
        </w:rPr>
        <w:t xml:space="preserve"> </w:t>
      </w:r>
      <w:r w:rsidR="00E864D0" w:rsidRPr="00DB3929">
        <w:rPr>
          <w:rFonts w:ascii="Times New Roman" w:hAnsi="Times New Roman" w:cs="Times New Roman"/>
          <w:sz w:val="24"/>
          <w:szCs w:val="24"/>
        </w:rPr>
        <w:t>obchodn</w:t>
      </w:r>
      <w:r w:rsidR="00E864D0">
        <w:rPr>
          <w:rFonts w:ascii="Times New Roman" w:hAnsi="Times New Roman" w:cs="Times New Roman"/>
          <w:sz w:val="24"/>
          <w:szCs w:val="24"/>
        </w:rPr>
        <w:t>ú</w:t>
      </w:r>
      <w:r w:rsidR="00E864D0" w:rsidRPr="00DB3929">
        <w:rPr>
          <w:rFonts w:ascii="Times New Roman" w:hAnsi="Times New Roman" w:cs="Times New Roman"/>
          <w:sz w:val="24"/>
          <w:szCs w:val="24"/>
        </w:rPr>
        <w:t xml:space="preserve"> </w:t>
      </w:r>
      <w:r w:rsidRPr="00DB3929">
        <w:rPr>
          <w:rFonts w:ascii="Times New Roman" w:hAnsi="Times New Roman" w:cs="Times New Roman"/>
          <w:sz w:val="24"/>
          <w:szCs w:val="24"/>
        </w:rPr>
        <w:t>komora (</w:t>
      </w:r>
      <w:r>
        <w:rPr>
          <w:rFonts w:ascii="Times New Roman" w:hAnsi="Times New Roman" w:cs="Times New Roman"/>
          <w:sz w:val="24"/>
          <w:szCs w:val="24"/>
        </w:rPr>
        <w:t>digitálny výbor</w:t>
      </w:r>
      <w:r w:rsidRPr="00DB3929">
        <w:rPr>
          <w:rFonts w:ascii="Times New Roman" w:hAnsi="Times New Roman" w:cs="Times New Roman"/>
          <w:sz w:val="24"/>
          <w:szCs w:val="24"/>
        </w:rPr>
        <w:t>)</w:t>
      </w:r>
      <w:r>
        <w:rPr>
          <w:rFonts w:ascii="Times New Roman" w:hAnsi="Times New Roman" w:cs="Times New Roman"/>
          <w:sz w:val="24"/>
          <w:szCs w:val="24"/>
        </w:rPr>
        <w:t>.</w:t>
      </w:r>
    </w:p>
    <w:p w14:paraId="58C5EFEF" w14:textId="77777777" w:rsidR="00EF2ED3" w:rsidRPr="007622D4" w:rsidRDefault="00EF2ED3" w:rsidP="00A64364">
      <w:pPr>
        <w:spacing w:after="0" w:line="240" w:lineRule="auto"/>
        <w:ind w:firstLine="708"/>
        <w:jc w:val="both"/>
        <w:rPr>
          <w:rFonts w:ascii="Times New Roman" w:hAnsi="Times New Roman" w:cs="Times New Roman"/>
          <w:sz w:val="24"/>
          <w:szCs w:val="24"/>
        </w:rPr>
      </w:pPr>
    </w:p>
    <w:p w14:paraId="33490189" w14:textId="6EC6B404" w:rsidR="005B0AFA" w:rsidRDefault="0033699C" w:rsidP="00A6436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Hlavným c</w:t>
      </w:r>
      <w:r w:rsidR="00271158" w:rsidRPr="007622D4">
        <w:rPr>
          <w:rFonts w:ascii="Times New Roman" w:hAnsi="Times New Roman" w:cs="Times New Roman"/>
          <w:sz w:val="24"/>
          <w:szCs w:val="24"/>
        </w:rPr>
        <w:t xml:space="preserve">ieľom návrhu zákona je transpozícia smernice Európskeho parlamentu a Rady (EÚ) 2023/1544 z 12. júla 2023, ktorou sa stanovujú harmonizované pravidlá určovania určených prevádzkarní a vymenúvania právnych zástupcov na účely zhromažďovania dôkazov v trestnom konaní </w:t>
      </w:r>
      <w:r w:rsidR="00546E47" w:rsidRPr="00546E47">
        <w:rPr>
          <w:rFonts w:ascii="Times New Roman" w:hAnsi="Times New Roman" w:cs="Times New Roman"/>
          <w:sz w:val="24"/>
          <w:szCs w:val="24"/>
        </w:rPr>
        <w:t xml:space="preserve">(Ú. v. EÚ L 191, 28.7.2023) </w:t>
      </w:r>
      <w:r w:rsidR="00A33194" w:rsidRPr="007622D4">
        <w:rPr>
          <w:rFonts w:ascii="Times New Roman" w:hAnsi="Times New Roman" w:cs="Times New Roman"/>
          <w:sz w:val="24"/>
          <w:szCs w:val="24"/>
        </w:rPr>
        <w:t xml:space="preserve">(ďalej len „smernica“). Prijatie toho zákona je jednou z podmienok riadnej aplikácie </w:t>
      </w:r>
      <w:r w:rsidR="00271158" w:rsidRPr="007622D4">
        <w:rPr>
          <w:rFonts w:ascii="Times New Roman" w:hAnsi="Times New Roman" w:cs="Times New Roman"/>
          <w:sz w:val="24"/>
          <w:szCs w:val="24"/>
        </w:rPr>
        <w:t>nariadenia Európskeho parlamentu a Rady (EÚ) 2023/1543 z 12. júla 2023 o európskych príkazoch na predloženie elektronických dôkazov a európskych príkazoch na uchovanie elektronických dôkazov v trestnom konaní a na výkon trestu odňatia slobody v nadväznosti na trestné konanie</w:t>
      </w:r>
      <w:r w:rsidR="00BA2097" w:rsidRPr="007622D4">
        <w:rPr>
          <w:rFonts w:ascii="Times New Roman" w:hAnsi="Times New Roman" w:cs="Times New Roman"/>
          <w:sz w:val="24"/>
          <w:szCs w:val="24"/>
        </w:rPr>
        <w:t xml:space="preserve"> </w:t>
      </w:r>
      <w:r w:rsidR="00B73C00" w:rsidRPr="00B73C00">
        <w:rPr>
          <w:rFonts w:ascii="Times New Roman" w:hAnsi="Times New Roman" w:cs="Times New Roman"/>
          <w:sz w:val="24"/>
          <w:szCs w:val="24"/>
        </w:rPr>
        <w:t xml:space="preserve">(Ú. v. EÚ L 191, 28.7.2023) </w:t>
      </w:r>
      <w:r w:rsidR="00BA2097" w:rsidRPr="007622D4">
        <w:rPr>
          <w:rFonts w:ascii="Times New Roman" w:hAnsi="Times New Roman" w:cs="Times New Roman"/>
          <w:sz w:val="24"/>
          <w:szCs w:val="24"/>
        </w:rPr>
        <w:t>(ďalej len „nariadenie“)</w:t>
      </w:r>
      <w:r w:rsidR="00271158" w:rsidRPr="007622D4">
        <w:rPr>
          <w:rFonts w:ascii="Times New Roman" w:hAnsi="Times New Roman" w:cs="Times New Roman"/>
          <w:sz w:val="24"/>
          <w:szCs w:val="24"/>
        </w:rPr>
        <w:t xml:space="preserve">. </w:t>
      </w:r>
    </w:p>
    <w:p w14:paraId="5074BDFA" w14:textId="77777777" w:rsidR="005B0AFA" w:rsidRDefault="005B0AFA" w:rsidP="00A64364">
      <w:pPr>
        <w:spacing w:after="0" w:line="240" w:lineRule="auto"/>
        <w:ind w:firstLine="708"/>
        <w:jc w:val="both"/>
        <w:rPr>
          <w:rFonts w:ascii="Times New Roman" w:hAnsi="Times New Roman" w:cs="Times New Roman"/>
          <w:sz w:val="24"/>
          <w:szCs w:val="24"/>
        </w:rPr>
      </w:pPr>
    </w:p>
    <w:p w14:paraId="3C92957E" w14:textId="10FE8A4C" w:rsidR="00EF2ED3" w:rsidRPr="007622D4" w:rsidRDefault="00A33194"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Smernica je vo svojej podstate súborom administratívnych noriem, ktoré sú komplementárneho charakteru vo vzťahu k nariadeniu. Nariadenie má povahu nástroja justičnej spolupráce v trestných veciach a svojou povahou ide</w:t>
      </w:r>
      <w:r w:rsidR="004C4584">
        <w:rPr>
          <w:rFonts w:ascii="Times New Roman" w:hAnsi="Times New Roman" w:cs="Times New Roman"/>
          <w:sz w:val="24"/>
          <w:szCs w:val="24"/>
        </w:rPr>
        <w:t xml:space="preserve"> prevažujúco</w:t>
      </w:r>
      <w:r w:rsidRPr="007622D4">
        <w:rPr>
          <w:rFonts w:ascii="Times New Roman" w:hAnsi="Times New Roman" w:cs="Times New Roman"/>
          <w:sz w:val="24"/>
          <w:szCs w:val="24"/>
        </w:rPr>
        <w:t xml:space="preserve"> o predp</w:t>
      </w:r>
      <w:r w:rsidR="00840EC9">
        <w:rPr>
          <w:rFonts w:ascii="Times New Roman" w:hAnsi="Times New Roman" w:cs="Times New Roman"/>
          <w:sz w:val="24"/>
          <w:szCs w:val="24"/>
        </w:rPr>
        <w:t>is trestného práva procesného s</w:t>
      </w:r>
      <w:r w:rsidRPr="007622D4">
        <w:rPr>
          <w:rFonts w:ascii="Times New Roman" w:hAnsi="Times New Roman" w:cs="Times New Roman"/>
          <w:sz w:val="24"/>
          <w:szCs w:val="24"/>
        </w:rPr>
        <w:t xml:space="preserve"> cezhraničným prvkom. Berúc do úvahy odlišný charakter smernice a nariadenia predkladateľ volí riešenie, ktoré rozdelí transpozíciu smernice a implementáciu nariadeni</w:t>
      </w:r>
      <w:r w:rsidR="001C06FF" w:rsidRPr="007622D4">
        <w:rPr>
          <w:rFonts w:ascii="Times New Roman" w:hAnsi="Times New Roman" w:cs="Times New Roman"/>
          <w:sz w:val="24"/>
          <w:szCs w:val="24"/>
        </w:rPr>
        <w:t xml:space="preserve">a do dvoch samostatných zákonov. </w:t>
      </w:r>
      <w:r w:rsidR="00D31BE2" w:rsidRPr="007622D4">
        <w:rPr>
          <w:rFonts w:ascii="Times New Roman" w:hAnsi="Times New Roman" w:cs="Times New Roman"/>
          <w:sz w:val="24"/>
          <w:szCs w:val="24"/>
        </w:rPr>
        <w:t xml:space="preserve">Legislatívne opatrenia potrebné pre implementáciu nariadenia budú </w:t>
      </w:r>
      <w:r w:rsidR="00B816F9">
        <w:rPr>
          <w:rFonts w:ascii="Times New Roman" w:hAnsi="Times New Roman" w:cs="Times New Roman"/>
          <w:sz w:val="24"/>
          <w:szCs w:val="24"/>
        </w:rPr>
        <w:t xml:space="preserve">prioritne </w:t>
      </w:r>
      <w:r w:rsidR="00D31BE2" w:rsidRPr="007622D4">
        <w:rPr>
          <w:rFonts w:ascii="Times New Roman" w:hAnsi="Times New Roman" w:cs="Times New Roman"/>
          <w:sz w:val="24"/>
          <w:szCs w:val="24"/>
        </w:rPr>
        <w:t>zaradené do návrhu zákona o justičnej spolupráci v trestných veciach.</w:t>
      </w:r>
      <w:r w:rsidR="00B816F9">
        <w:rPr>
          <w:rFonts w:ascii="Times New Roman" w:hAnsi="Times New Roman" w:cs="Times New Roman"/>
          <w:sz w:val="24"/>
          <w:szCs w:val="24"/>
        </w:rPr>
        <w:t xml:space="preserve"> Avšak čl. </w:t>
      </w:r>
      <w:r w:rsidR="00087387">
        <w:rPr>
          <w:rFonts w:ascii="Times New Roman" w:hAnsi="Times New Roman" w:cs="Times New Roman"/>
          <w:sz w:val="24"/>
          <w:szCs w:val="24"/>
        </w:rPr>
        <w:t xml:space="preserve">19 ods. 2 </w:t>
      </w:r>
      <w:r w:rsidR="00B816F9">
        <w:rPr>
          <w:rFonts w:ascii="Times New Roman" w:hAnsi="Times New Roman" w:cs="Times New Roman"/>
          <w:sz w:val="24"/>
          <w:szCs w:val="24"/>
        </w:rPr>
        <w:t xml:space="preserve">nariadenia bude implementovaný v predkladanom návrhu zákona, pretože ide o administratívne opatrenie a naopak čl. 3 ods.  </w:t>
      </w:r>
      <w:r w:rsidR="003B457C">
        <w:rPr>
          <w:rFonts w:ascii="Times New Roman" w:hAnsi="Times New Roman" w:cs="Times New Roman"/>
          <w:sz w:val="24"/>
          <w:szCs w:val="24"/>
        </w:rPr>
        <w:t xml:space="preserve">5 </w:t>
      </w:r>
      <w:r w:rsidR="00B816F9">
        <w:rPr>
          <w:rFonts w:ascii="Times New Roman" w:hAnsi="Times New Roman" w:cs="Times New Roman"/>
          <w:sz w:val="24"/>
          <w:szCs w:val="24"/>
        </w:rPr>
        <w:t xml:space="preserve">smernice bude transponovaným v zákone </w:t>
      </w:r>
      <w:r w:rsidR="00B816F9" w:rsidRPr="007622D4">
        <w:rPr>
          <w:rFonts w:ascii="Times New Roman" w:hAnsi="Times New Roman" w:cs="Times New Roman"/>
          <w:sz w:val="24"/>
          <w:szCs w:val="24"/>
        </w:rPr>
        <w:t>o justičnej spolupráci v trestných veciach</w:t>
      </w:r>
      <w:r w:rsidR="00B816F9">
        <w:rPr>
          <w:rFonts w:ascii="Times New Roman" w:hAnsi="Times New Roman" w:cs="Times New Roman"/>
          <w:sz w:val="24"/>
          <w:szCs w:val="24"/>
        </w:rPr>
        <w:t xml:space="preserve">, pretože citované ustanovenie smernice sa týka </w:t>
      </w:r>
      <w:r w:rsidR="00A53A7D">
        <w:rPr>
          <w:rFonts w:ascii="Times New Roman" w:hAnsi="Times New Roman" w:cs="Times New Roman"/>
          <w:sz w:val="24"/>
          <w:szCs w:val="24"/>
        </w:rPr>
        <w:t>vyvodzovania zodpovednosti za porušenie substantívnych povinností upravených nariadením</w:t>
      </w:r>
      <w:r w:rsidR="00B816F9">
        <w:rPr>
          <w:rFonts w:ascii="Times New Roman" w:hAnsi="Times New Roman" w:cs="Times New Roman"/>
          <w:sz w:val="24"/>
          <w:szCs w:val="24"/>
        </w:rPr>
        <w:t>.</w:t>
      </w:r>
      <w:r w:rsidR="00A53A7D">
        <w:rPr>
          <w:rFonts w:ascii="Times New Roman" w:hAnsi="Times New Roman" w:cs="Times New Roman"/>
          <w:sz w:val="24"/>
          <w:szCs w:val="24"/>
        </w:rPr>
        <w:t xml:space="preserve"> </w:t>
      </w:r>
      <w:r w:rsidR="00C069A5">
        <w:rPr>
          <w:rFonts w:ascii="Times New Roman" w:hAnsi="Times New Roman" w:cs="Times New Roman"/>
          <w:sz w:val="24"/>
          <w:szCs w:val="24"/>
        </w:rPr>
        <w:t>Sekundárne</w:t>
      </w:r>
      <w:r w:rsidR="00A53A7D">
        <w:rPr>
          <w:rFonts w:ascii="Times New Roman" w:hAnsi="Times New Roman" w:cs="Times New Roman"/>
          <w:sz w:val="24"/>
          <w:szCs w:val="24"/>
        </w:rPr>
        <w:t xml:space="preserve"> </w:t>
      </w:r>
      <w:r w:rsidR="00CA4505">
        <w:rPr>
          <w:rFonts w:ascii="Times New Roman" w:hAnsi="Times New Roman" w:cs="Times New Roman"/>
          <w:sz w:val="24"/>
          <w:szCs w:val="24"/>
        </w:rPr>
        <w:t xml:space="preserve">je </w:t>
      </w:r>
      <w:r w:rsidR="00A53A7D">
        <w:rPr>
          <w:rFonts w:ascii="Times New Roman" w:hAnsi="Times New Roman" w:cs="Times New Roman"/>
          <w:sz w:val="24"/>
          <w:szCs w:val="24"/>
        </w:rPr>
        <w:t xml:space="preserve">tak predkladaný návrh zákona zároveň aj (legislatívnym) implementačným nástrojom vo vzťahu k nariadeniu. </w:t>
      </w:r>
      <w:r w:rsidR="00B816F9">
        <w:rPr>
          <w:rFonts w:ascii="Times New Roman" w:hAnsi="Times New Roman" w:cs="Times New Roman"/>
          <w:sz w:val="24"/>
          <w:szCs w:val="24"/>
        </w:rPr>
        <w:t xml:space="preserve">  </w:t>
      </w:r>
    </w:p>
    <w:p w14:paraId="5E7DCB4D" w14:textId="77777777" w:rsidR="00271158" w:rsidRPr="007622D4" w:rsidRDefault="00271158" w:rsidP="00A64364">
      <w:pPr>
        <w:spacing w:after="0" w:line="240" w:lineRule="auto"/>
        <w:jc w:val="both"/>
        <w:rPr>
          <w:rFonts w:ascii="Times New Roman" w:hAnsi="Times New Roman" w:cs="Times New Roman"/>
          <w:sz w:val="24"/>
          <w:szCs w:val="24"/>
        </w:rPr>
      </w:pPr>
    </w:p>
    <w:p w14:paraId="16B9C385" w14:textId="3379BE81" w:rsidR="00A75292" w:rsidRPr="007622D4" w:rsidRDefault="00A24BAB"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lastRenderedPageBreak/>
        <w:t xml:space="preserve">Predkladateľ zvažoval aj riešenie založené výlučne na novelizácii existujúcich zákonov. Vzhľadom na charakter nariadenia, ako aj smernice, je však riešenie spočívajúce výlučne v zmenách a doplnení existujúcich zákonov nepostačujúce, pretože nie je garanciou úplnej transpozície </w:t>
      </w:r>
      <w:r w:rsidR="00174C20">
        <w:rPr>
          <w:rFonts w:ascii="Times New Roman" w:hAnsi="Times New Roman" w:cs="Times New Roman"/>
          <w:sz w:val="24"/>
          <w:szCs w:val="24"/>
        </w:rPr>
        <w:t xml:space="preserve">smernice </w:t>
      </w:r>
      <w:r w:rsidRPr="007622D4">
        <w:rPr>
          <w:rFonts w:ascii="Times New Roman" w:hAnsi="Times New Roman" w:cs="Times New Roman"/>
          <w:sz w:val="24"/>
          <w:szCs w:val="24"/>
        </w:rPr>
        <w:t>(napr</w:t>
      </w:r>
      <w:r w:rsidR="00F56A39">
        <w:rPr>
          <w:rFonts w:ascii="Times New Roman" w:hAnsi="Times New Roman" w:cs="Times New Roman"/>
          <w:sz w:val="24"/>
          <w:szCs w:val="24"/>
        </w:rPr>
        <w:t>íklad</w:t>
      </w:r>
      <w:r w:rsidRPr="007622D4">
        <w:rPr>
          <w:rFonts w:ascii="Times New Roman" w:hAnsi="Times New Roman" w:cs="Times New Roman"/>
          <w:sz w:val="24"/>
          <w:szCs w:val="24"/>
        </w:rPr>
        <w:t xml:space="preserve"> preto, lebo právne predpisy v Slovenskej republike neregulujú všetky ponúkané služby, ktoré sú smernicou dotknuté) alebo riadnej implementácie</w:t>
      </w:r>
      <w:r w:rsidR="00174C20">
        <w:rPr>
          <w:rFonts w:ascii="Times New Roman" w:hAnsi="Times New Roman" w:cs="Times New Roman"/>
          <w:sz w:val="24"/>
          <w:szCs w:val="24"/>
        </w:rPr>
        <w:t xml:space="preserve"> nariadenia</w:t>
      </w:r>
      <w:r w:rsidRPr="007622D4">
        <w:rPr>
          <w:rFonts w:ascii="Times New Roman" w:hAnsi="Times New Roman" w:cs="Times New Roman"/>
          <w:sz w:val="24"/>
          <w:szCs w:val="24"/>
        </w:rPr>
        <w:t>.</w:t>
      </w:r>
      <w:r w:rsidR="00942E8D">
        <w:rPr>
          <w:rFonts w:ascii="Times New Roman" w:hAnsi="Times New Roman" w:cs="Times New Roman"/>
          <w:sz w:val="24"/>
          <w:szCs w:val="24"/>
        </w:rPr>
        <w:t xml:space="preserve"> </w:t>
      </w:r>
      <w:r w:rsidR="00671F06">
        <w:rPr>
          <w:rFonts w:ascii="Times New Roman" w:hAnsi="Times New Roman" w:cs="Times New Roman"/>
          <w:sz w:val="24"/>
          <w:szCs w:val="24"/>
        </w:rPr>
        <w:t xml:space="preserve">Ako najvhodnejšie riešenie sa preto javí „sektorový“ návrh zákona zameraný na problematiku administratívnych opatrení súvisiacich </w:t>
      </w:r>
      <w:r w:rsidR="0053752D">
        <w:rPr>
          <w:rFonts w:ascii="Times New Roman" w:hAnsi="Times New Roman" w:cs="Times New Roman"/>
          <w:sz w:val="24"/>
          <w:szCs w:val="24"/>
        </w:rPr>
        <w:t xml:space="preserve">so </w:t>
      </w:r>
      <w:r w:rsidR="00671F06">
        <w:rPr>
          <w:rFonts w:ascii="Times New Roman" w:hAnsi="Times New Roman" w:cs="Times New Roman"/>
          <w:sz w:val="24"/>
          <w:szCs w:val="24"/>
        </w:rPr>
        <w:t xml:space="preserve">zhromažďovaním elektronických dôkazov v trestnom konaní. </w:t>
      </w:r>
      <w:r w:rsidR="00650305" w:rsidRPr="007622D4">
        <w:rPr>
          <w:rFonts w:ascii="Times New Roman" w:hAnsi="Times New Roman" w:cs="Times New Roman"/>
          <w:sz w:val="24"/>
          <w:szCs w:val="24"/>
        </w:rPr>
        <w:t xml:space="preserve">Predkladateľ </w:t>
      </w:r>
      <w:r w:rsidR="00671F06">
        <w:rPr>
          <w:rFonts w:ascii="Times New Roman" w:hAnsi="Times New Roman" w:cs="Times New Roman"/>
          <w:sz w:val="24"/>
          <w:szCs w:val="24"/>
        </w:rPr>
        <w:t xml:space="preserve">má za to, že úprava problematiky smernice </w:t>
      </w:r>
      <w:r w:rsidR="009533C6" w:rsidRPr="007622D4">
        <w:rPr>
          <w:rFonts w:ascii="Times New Roman" w:hAnsi="Times New Roman" w:cs="Times New Roman"/>
          <w:sz w:val="24"/>
          <w:szCs w:val="24"/>
        </w:rPr>
        <w:t>„na jednom mieste“</w:t>
      </w:r>
      <w:r w:rsidR="00671F06">
        <w:rPr>
          <w:rFonts w:ascii="Times New Roman" w:hAnsi="Times New Roman" w:cs="Times New Roman"/>
          <w:sz w:val="24"/>
          <w:szCs w:val="24"/>
        </w:rPr>
        <w:t xml:space="preserve"> bude zrozumiteľnejším riešením aj pre adresátov práv a povinností plynúcich zo smernice</w:t>
      </w:r>
      <w:r w:rsidR="00804029">
        <w:rPr>
          <w:rFonts w:ascii="Times New Roman" w:hAnsi="Times New Roman" w:cs="Times New Roman"/>
          <w:sz w:val="24"/>
          <w:szCs w:val="24"/>
        </w:rPr>
        <w:t>, resp. transpozičného zákona</w:t>
      </w:r>
      <w:r w:rsidR="00671F06">
        <w:rPr>
          <w:rFonts w:ascii="Times New Roman" w:hAnsi="Times New Roman" w:cs="Times New Roman"/>
          <w:sz w:val="24"/>
          <w:szCs w:val="24"/>
        </w:rPr>
        <w:t>.</w:t>
      </w:r>
    </w:p>
    <w:p w14:paraId="6F8E7DCF" w14:textId="77777777" w:rsidR="00A75292" w:rsidRPr="007622D4" w:rsidRDefault="00A75292" w:rsidP="00A64364">
      <w:pPr>
        <w:spacing w:after="0" w:line="240" w:lineRule="auto"/>
        <w:jc w:val="both"/>
        <w:rPr>
          <w:rFonts w:ascii="Times New Roman" w:hAnsi="Times New Roman" w:cs="Times New Roman"/>
          <w:sz w:val="24"/>
          <w:szCs w:val="24"/>
        </w:rPr>
      </w:pPr>
    </w:p>
    <w:p w14:paraId="487D6CC1" w14:textId="0B08D86B" w:rsidR="00650305" w:rsidRPr="007622D4" w:rsidRDefault="00A75292"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Berúc do úvahy priamu aplikovateľnosť nariadenia, jeho implementácia sa vykonáva bez preberania jeho jednotlivých ustanovení</w:t>
      </w:r>
      <w:r w:rsidR="0053752D">
        <w:rPr>
          <w:rFonts w:ascii="Times New Roman" w:hAnsi="Times New Roman" w:cs="Times New Roman"/>
          <w:sz w:val="24"/>
          <w:szCs w:val="24"/>
        </w:rPr>
        <w:t>.</w:t>
      </w:r>
      <w:r w:rsidRPr="007622D4">
        <w:rPr>
          <w:rFonts w:ascii="Times New Roman" w:hAnsi="Times New Roman" w:cs="Times New Roman"/>
          <w:sz w:val="24"/>
          <w:szCs w:val="24"/>
        </w:rPr>
        <w:t xml:space="preserve"> </w:t>
      </w:r>
      <w:r w:rsidR="0053752D">
        <w:rPr>
          <w:rFonts w:ascii="Times New Roman" w:hAnsi="Times New Roman" w:cs="Times New Roman"/>
          <w:sz w:val="24"/>
          <w:szCs w:val="24"/>
        </w:rPr>
        <w:t>To</w:t>
      </w:r>
      <w:r w:rsidR="0053752D" w:rsidRPr="007622D4">
        <w:rPr>
          <w:rFonts w:ascii="Times New Roman" w:hAnsi="Times New Roman" w:cs="Times New Roman"/>
          <w:sz w:val="24"/>
          <w:szCs w:val="24"/>
        </w:rPr>
        <w:t xml:space="preserve"> </w:t>
      </w:r>
      <w:r w:rsidRPr="007622D4">
        <w:rPr>
          <w:rFonts w:ascii="Times New Roman" w:hAnsi="Times New Roman" w:cs="Times New Roman"/>
          <w:sz w:val="24"/>
          <w:szCs w:val="24"/>
        </w:rPr>
        <w:t>znamená, že návrh zákona</w:t>
      </w:r>
      <w:r w:rsidR="0055428C" w:rsidRPr="007622D4">
        <w:rPr>
          <w:rFonts w:ascii="Times New Roman" w:hAnsi="Times New Roman" w:cs="Times New Roman"/>
          <w:sz w:val="24"/>
          <w:szCs w:val="24"/>
        </w:rPr>
        <w:t xml:space="preserve"> berie existenciu </w:t>
      </w:r>
      <w:r w:rsidR="00151E32" w:rsidRPr="007622D4">
        <w:rPr>
          <w:rFonts w:ascii="Times New Roman" w:hAnsi="Times New Roman" w:cs="Times New Roman"/>
          <w:sz w:val="24"/>
          <w:szCs w:val="24"/>
        </w:rPr>
        <w:t xml:space="preserve">nariadenia </w:t>
      </w:r>
      <w:r w:rsidR="0055428C" w:rsidRPr="007622D4">
        <w:rPr>
          <w:rFonts w:ascii="Times New Roman" w:hAnsi="Times New Roman" w:cs="Times New Roman"/>
          <w:sz w:val="24"/>
          <w:szCs w:val="24"/>
        </w:rPr>
        <w:t>ako fakt, pričom v nevyhnutnej miere odkazu</w:t>
      </w:r>
      <w:r w:rsidR="00FB1DE8" w:rsidRPr="007622D4">
        <w:rPr>
          <w:rFonts w:ascii="Times New Roman" w:hAnsi="Times New Roman" w:cs="Times New Roman"/>
          <w:sz w:val="24"/>
          <w:szCs w:val="24"/>
        </w:rPr>
        <w:t>je</w:t>
      </w:r>
      <w:r w:rsidR="0055428C" w:rsidRPr="007622D4">
        <w:rPr>
          <w:rFonts w:ascii="Times New Roman" w:hAnsi="Times New Roman" w:cs="Times New Roman"/>
          <w:sz w:val="24"/>
          <w:szCs w:val="24"/>
        </w:rPr>
        <w:t xml:space="preserve"> v poznámkovom aparáte na nariadenie, resp. matériu, ktorá sa tým-ktorým ustanovením návrhu zákona „vykonáva“ v rámci pravidiel vnútroštátneho práva. </w:t>
      </w:r>
      <w:r w:rsidRPr="007622D4">
        <w:rPr>
          <w:rFonts w:ascii="Times New Roman" w:hAnsi="Times New Roman" w:cs="Times New Roman"/>
          <w:sz w:val="24"/>
          <w:szCs w:val="24"/>
        </w:rPr>
        <w:t xml:space="preserve"> </w:t>
      </w:r>
    </w:p>
    <w:p w14:paraId="0EC1FA03" w14:textId="77777777" w:rsidR="00D27AF9" w:rsidRPr="007622D4" w:rsidRDefault="00D27AF9" w:rsidP="00A64364">
      <w:pPr>
        <w:spacing w:after="0" w:line="240" w:lineRule="auto"/>
        <w:jc w:val="both"/>
        <w:rPr>
          <w:rFonts w:ascii="Times New Roman" w:hAnsi="Times New Roman" w:cs="Times New Roman"/>
          <w:sz w:val="24"/>
          <w:szCs w:val="24"/>
        </w:rPr>
      </w:pPr>
    </w:p>
    <w:p w14:paraId="42A10D05" w14:textId="77777777" w:rsidR="00D27AF9" w:rsidRPr="007622D4" w:rsidRDefault="00D27AF9"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 xml:space="preserve">V prípade transpozície smernice sa návrh zákona konštruuje ako právna úprava, ktorou sa zavádzajú minimálne štandardy požadované smernicou, a to aj s ohľadom na čl. 1 ods. 4 smernice, podľa ktorého </w:t>
      </w:r>
      <w:r w:rsidRPr="007622D4">
        <w:rPr>
          <w:rFonts w:ascii="Times New Roman" w:hAnsi="Times New Roman" w:cs="Times New Roman"/>
          <w:i/>
          <w:sz w:val="24"/>
          <w:szCs w:val="24"/>
        </w:rPr>
        <w:t>„Členské štáty nesmú uložiť poskytovateľom služieb ďalšie povinnosti okrem tých, ktoré vyplývajú z tejto smernice, najmä pokiaľ ide o určenie určených prevádzkarní alebo vymenovanie právnych zástupcov, na účely stanovené v odseku 1.“</w:t>
      </w:r>
      <w:r w:rsidRPr="007622D4">
        <w:rPr>
          <w:rFonts w:ascii="Times New Roman" w:hAnsi="Times New Roman" w:cs="Times New Roman"/>
          <w:sz w:val="24"/>
          <w:szCs w:val="24"/>
        </w:rPr>
        <w:t xml:space="preserve"> </w:t>
      </w:r>
    </w:p>
    <w:p w14:paraId="377D610B" w14:textId="77777777" w:rsidR="007B1E5E" w:rsidRPr="007622D4" w:rsidRDefault="007B1E5E" w:rsidP="00A64364">
      <w:pPr>
        <w:spacing w:after="0" w:line="240" w:lineRule="auto"/>
        <w:jc w:val="both"/>
        <w:rPr>
          <w:rFonts w:ascii="Times New Roman" w:hAnsi="Times New Roman" w:cs="Times New Roman"/>
          <w:sz w:val="24"/>
          <w:szCs w:val="24"/>
        </w:rPr>
      </w:pPr>
    </w:p>
    <w:p w14:paraId="6000AFDF" w14:textId="29FA2DAC" w:rsidR="007B1E5E" w:rsidRPr="007622D4" w:rsidRDefault="007B1E5E"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 xml:space="preserve">Tam, kde smernica vyžaduje oznámiť niektoré skutočnosti Európskej únii, resp. jej orgánom, účel </w:t>
      </w:r>
      <w:r w:rsidR="004F4108" w:rsidRPr="007622D4">
        <w:rPr>
          <w:rFonts w:ascii="Times New Roman" w:hAnsi="Times New Roman" w:cs="Times New Roman"/>
          <w:sz w:val="24"/>
          <w:szCs w:val="24"/>
        </w:rPr>
        <w:t xml:space="preserve">príslušných právnych noriem </w:t>
      </w:r>
      <w:r w:rsidRPr="007622D4">
        <w:rPr>
          <w:rFonts w:ascii="Times New Roman" w:hAnsi="Times New Roman" w:cs="Times New Roman"/>
          <w:sz w:val="24"/>
          <w:szCs w:val="24"/>
        </w:rPr>
        <w:t>bude dosiahnutý štandardnou notifikačnou procedúrou, bez prijímania osobitnej vnútroštátnej regulácie</w:t>
      </w:r>
      <w:r w:rsidR="00DA69F7" w:rsidRPr="007622D4">
        <w:rPr>
          <w:rFonts w:ascii="Times New Roman" w:hAnsi="Times New Roman" w:cs="Times New Roman"/>
          <w:sz w:val="24"/>
          <w:szCs w:val="24"/>
        </w:rPr>
        <w:t xml:space="preserve"> (napríklad oznámenie určených orgánov, notifikácia samotnej transpozície a pod.)</w:t>
      </w:r>
      <w:r w:rsidRPr="007622D4">
        <w:rPr>
          <w:rFonts w:ascii="Times New Roman" w:hAnsi="Times New Roman" w:cs="Times New Roman"/>
          <w:sz w:val="24"/>
          <w:szCs w:val="24"/>
        </w:rPr>
        <w:t xml:space="preserve">. </w:t>
      </w:r>
    </w:p>
    <w:p w14:paraId="1567E5CA" w14:textId="77777777" w:rsidR="0067552A" w:rsidRPr="007622D4" w:rsidRDefault="0067552A" w:rsidP="00A64364">
      <w:pPr>
        <w:spacing w:after="0" w:line="240" w:lineRule="auto"/>
        <w:ind w:firstLine="708"/>
        <w:jc w:val="both"/>
        <w:rPr>
          <w:rFonts w:ascii="Times New Roman" w:hAnsi="Times New Roman" w:cs="Times New Roman"/>
          <w:sz w:val="24"/>
          <w:szCs w:val="24"/>
        </w:rPr>
      </w:pPr>
    </w:p>
    <w:p w14:paraId="4DE73FD0" w14:textId="447AA4E1" w:rsidR="0067552A" w:rsidRPr="007622D4" w:rsidRDefault="0067552A"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 xml:space="preserve">Inšpiračným zdrojom pri prípravne návrhu zákona sú aj niektoré iné </w:t>
      </w:r>
      <w:r w:rsidR="00B87469" w:rsidRPr="007622D4">
        <w:rPr>
          <w:rFonts w:ascii="Times New Roman" w:hAnsi="Times New Roman" w:cs="Times New Roman"/>
          <w:sz w:val="24"/>
          <w:szCs w:val="24"/>
        </w:rPr>
        <w:t>obdobn</w:t>
      </w:r>
      <w:r w:rsidR="00B87469">
        <w:rPr>
          <w:rFonts w:ascii="Times New Roman" w:hAnsi="Times New Roman" w:cs="Times New Roman"/>
          <w:sz w:val="24"/>
          <w:szCs w:val="24"/>
        </w:rPr>
        <w:t>é</w:t>
      </w:r>
      <w:r w:rsidR="00B87469" w:rsidRPr="007622D4">
        <w:rPr>
          <w:rFonts w:ascii="Times New Roman" w:hAnsi="Times New Roman" w:cs="Times New Roman"/>
          <w:sz w:val="24"/>
          <w:szCs w:val="24"/>
        </w:rPr>
        <w:t xml:space="preserve"> </w:t>
      </w:r>
      <w:r w:rsidRPr="007622D4">
        <w:rPr>
          <w:rFonts w:ascii="Times New Roman" w:hAnsi="Times New Roman" w:cs="Times New Roman"/>
          <w:sz w:val="24"/>
          <w:szCs w:val="24"/>
        </w:rPr>
        <w:t xml:space="preserve">transpozičné úpravy, ktoré sa premietli do osobitných zákonov. Naposledy takto koncipovanou úpravou je transpozícia smernice Európskeho parlamentu a Rady (EÚ) 2022/2381 z 23. novembra 2022 o zlepšení rodovej vyváženosti medzi riadiacimi pracovníkmi kótovaných spoločností a súvisiacich opatreniach </w:t>
      </w:r>
      <w:r w:rsidR="002A33CA" w:rsidRPr="002A33CA">
        <w:rPr>
          <w:rFonts w:ascii="Times New Roman" w:hAnsi="Times New Roman" w:cs="Times New Roman"/>
          <w:sz w:val="24"/>
          <w:szCs w:val="24"/>
        </w:rPr>
        <w:t>(Ú. v. EÚ L 315, 7.12.2022)</w:t>
      </w:r>
      <w:r w:rsidR="002A33CA">
        <w:rPr>
          <w:rFonts w:ascii="Times New Roman" w:hAnsi="Times New Roman" w:cs="Times New Roman"/>
          <w:sz w:val="24"/>
          <w:szCs w:val="24"/>
        </w:rPr>
        <w:t xml:space="preserve"> </w:t>
      </w:r>
      <w:r w:rsidRPr="007622D4">
        <w:rPr>
          <w:rFonts w:ascii="Times New Roman" w:hAnsi="Times New Roman" w:cs="Times New Roman"/>
          <w:sz w:val="24"/>
          <w:szCs w:val="24"/>
        </w:rPr>
        <w:t>vykonaná zákonom č. 300/2024 Z. z. o niektorých opatreniach súvisiacich s riadením kótovanej spoločnosti. Zo štrukturálneho hľadiska ide o takmer totožné právne regulácie</w:t>
      </w:r>
      <w:r w:rsidR="007B24A8">
        <w:rPr>
          <w:rFonts w:ascii="Times New Roman" w:hAnsi="Times New Roman" w:cs="Times New Roman"/>
          <w:sz w:val="24"/>
          <w:szCs w:val="24"/>
        </w:rPr>
        <w:t xml:space="preserve"> (povinnosť prijať opatrenia, oznamovacie povinnosti, evidencia údajov, </w:t>
      </w:r>
      <w:r w:rsidR="00971B15">
        <w:rPr>
          <w:rFonts w:ascii="Times New Roman" w:hAnsi="Times New Roman" w:cs="Times New Roman"/>
          <w:sz w:val="24"/>
          <w:szCs w:val="24"/>
        </w:rPr>
        <w:t>sankčný</w:t>
      </w:r>
      <w:r w:rsidR="007B24A8">
        <w:rPr>
          <w:rFonts w:ascii="Times New Roman" w:hAnsi="Times New Roman" w:cs="Times New Roman"/>
          <w:sz w:val="24"/>
          <w:szCs w:val="24"/>
        </w:rPr>
        <w:t xml:space="preserve"> režim, spolupráca v rámci Európskej únie a pod.)</w:t>
      </w:r>
      <w:r w:rsidR="00B7253F">
        <w:rPr>
          <w:rFonts w:ascii="Times New Roman" w:hAnsi="Times New Roman" w:cs="Times New Roman"/>
          <w:sz w:val="24"/>
          <w:szCs w:val="24"/>
        </w:rPr>
        <w:t>,</w:t>
      </w:r>
      <w:r w:rsidR="007B24A8">
        <w:rPr>
          <w:rFonts w:ascii="Times New Roman" w:hAnsi="Times New Roman" w:cs="Times New Roman"/>
          <w:sz w:val="24"/>
          <w:szCs w:val="24"/>
        </w:rPr>
        <w:t xml:space="preserve"> </w:t>
      </w:r>
      <w:r w:rsidRPr="007622D4">
        <w:rPr>
          <w:rFonts w:ascii="Times New Roman" w:hAnsi="Times New Roman" w:cs="Times New Roman"/>
          <w:sz w:val="24"/>
          <w:szCs w:val="24"/>
        </w:rPr>
        <w:t xml:space="preserve">ktorých transpozícia sa vykonáva samostatným návrhom zákona, ktorý má v oboch prípadoch takmer rovnakú štruktúru a systematiku. </w:t>
      </w:r>
    </w:p>
    <w:p w14:paraId="3B87E8B4" w14:textId="77777777" w:rsidR="00F008E4" w:rsidRPr="007622D4" w:rsidRDefault="00F008E4" w:rsidP="00A64364">
      <w:pPr>
        <w:spacing w:after="0" w:line="240" w:lineRule="auto"/>
        <w:jc w:val="both"/>
        <w:rPr>
          <w:rFonts w:ascii="Times New Roman" w:hAnsi="Times New Roman" w:cs="Times New Roman"/>
          <w:sz w:val="24"/>
          <w:szCs w:val="24"/>
        </w:rPr>
      </w:pPr>
    </w:p>
    <w:p w14:paraId="1B7B7E6D" w14:textId="77777777" w:rsidR="009F02FC" w:rsidRPr="007622D4" w:rsidRDefault="009F02FC"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 xml:space="preserve">Návrh zákona vymedzuje predmet úpravy, rozsah </w:t>
      </w:r>
      <w:r w:rsidR="00BB12D1" w:rsidRPr="007622D4">
        <w:rPr>
          <w:rFonts w:ascii="Times New Roman" w:hAnsi="Times New Roman" w:cs="Times New Roman"/>
          <w:sz w:val="24"/>
          <w:szCs w:val="24"/>
        </w:rPr>
        <w:t xml:space="preserve">svojej </w:t>
      </w:r>
      <w:r w:rsidRPr="007622D4">
        <w:rPr>
          <w:rFonts w:ascii="Times New Roman" w:hAnsi="Times New Roman" w:cs="Times New Roman"/>
          <w:sz w:val="24"/>
          <w:szCs w:val="24"/>
        </w:rPr>
        <w:t xml:space="preserve">pôsobnosti, niektoré používané pojmy, </w:t>
      </w:r>
      <w:r w:rsidR="00BB12D1" w:rsidRPr="007622D4">
        <w:rPr>
          <w:rFonts w:ascii="Times New Roman" w:hAnsi="Times New Roman" w:cs="Times New Roman"/>
          <w:sz w:val="24"/>
          <w:szCs w:val="24"/>
        </w:rPr>
        <w:t xml:space="preserve">bližšie vymedzuje povinnosť určiť určenú prevádzkareň a právneho zástupcu, ako aj  oznamovaciu povinnosť. Na účely riadnej aplikácie zákona sa navrhuje aj prechodné ustanovenie. </w:t>
      </w:r>
    </w:p>
    <w:p w14:paraId="6BADD943" w14:textId="77777777" w:rsidR="009F02FC" w:rsidRPr="007622D4" w:rsidRDefault="009F02FC" w:rsidP="00A64364">
      <w:pPr>
        <w:spacing w:after="0" w:line="240" w:lineRule="auto"/>
        <w:jc w:val="both"/>
        <w:rPr>
          <w:rFonts w:ascii="Times New Roman" w:hAnsi="Times New Roman" w:cs="Times New Roman"/>
          <w:sz w:val="24"/>
          <w:szCs w:val="24"/>
        </w:rPr>
      </w:pPr>
    </w:p>
    <w:p w14:paraId="0774CBFD" w14:textId="5682B143" w:rsidR="000D544F" w:rsidRPr="007622D4" w:rsidRDefault="003F28B5"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Účinnosť návrhu zákona sa</w:t>
      </w:r>
      <w:r w:rsidR="0049274C">
        <w:rPr>
          <w:rFonts w:ascii="Times New Roman" w:hAnsi="Times New Roman" w:cs="Times New Roman"/>
          <w:sz w:val="24"/>
          <w:szCs w:val="24"/>
        </w:rPr>
        <w:t xml:space="preserve"> vo väzbe na čl. I a II</w:t>
      </w:r>
      <w:r w:rsidRPr="007622D4">
        <w:rPr>
          <w:rFonts w:ascii="Times New Roman" w:hAnsi="Times New Roman" w:cs="Times New Roman"/>
          <w:sz w:val="24"/>
          <w:szCs w:val="24"/>
        </w:rPr>
        <w:t xml:space="preserve"> navrhuje od 18. februára 2026, čo zohľadňuje transpozičný termín vyplývajúci z čl. 7 ods. 1 smernice.</w:t>
      </w:r>
      <w:r w:rsidR="00B5175C" w:rsidRPr="00B5175C">
        <w:t xml:space="preserve"> </w:t>
      </w:r>
      <w:r w:rsidR="00B5175C" w:rsidRPr="00B5175C">
        <w:rPr>
          <w:rFonts w:ascii="Times New Roman" w:hAnsi="Times New Roman" w:cs="Times New Roman"/>
          <w:sz w:val="24"/>
          <w:szCs w:val="24"/>
        </w:rPr>
        <w:t xml:space="preserve">Odlišný termín transpozície od termínu uplatňovania nariadenia je </w:t>
      </w:r>
      <w:r w:rsidR="00B5175C">
        <w:rPr>
          <w:rFonts w:ascii="Times New Roman" w:hAnsi="Times New Roman" w:cs="Times New Roman"/>
          <w:sz w:val="24"/>
          <w:szCs w:val="24"/>
        </w:rPr>
        <w:t>určený</w:t>
      </w:r>
      <w:r w:rsidR="00B5175C" w:rsidRPr="00B5175C">
        <w:rPr>
          <w:rFonts w:ascii="Times New Roman" w:hAnsi="Times New Roman" w:cs="Times New Roman"/>
          <w:sz w:val="24"/>
          <w:szCs w:val="24"/>
        </w:rPr>
        <w:t xml:space="preserve"> z dôvodu zabezpečenia funkčnosti decentralizovaného informačného systému, prostredníctvom ktorého sa bude realizovať spolupráca justičného a súkromného sektora.</w:t>
      </w:r>
      <w:r w:rsidR="00BD1FF7">
        <w:rPr>
          <w:rFonts w:ascii="Times New Roman" w:hAnsi="Times New Roman" w:cs="Times New Roman"/>
          <w:sz w:val="24"/>
          <w:szCs w:val="24"/>
        </w:rPr>
        <w:t xml:space="preserve"> Vzhľadom na potrebu zabezpečiť účinnosť čl. </w:t>
      </w:r>
      <w:r w:rsidR="0049274C">
        <w:rPr>
          <w:rFonts w:ascii="Times New Roman" w:hAnsi="Times New Roman" w:cs="Times New Roman"/>
          <w:sz w:val="24"/>
          <w:szCs w:val="24"/>
        </w:rPr>
        <w:t>I</w:t>
      </w:r>
      <w:r w:rsidR="00BD1FF7">
        <w:rPr>
          <w:rFonts w:ascii="Times New Roman" w:hAnsi="Times New Roman" w:cs="Times New Roman"/>
          <w:sz w:val="24"/>
          <w:szCs w:val="24"/>
        </w:rPr>
        <w:t xml:space="preserve">II do 31. decembra 2025 sa navrhuje, aby čl. </w:t>
      </w:r>
      <w:r w:rsidR="0049274C">
        <w:rPr>
          <w:rFonts w:ascii="Times New Roman" w:hAnsi="Times New Roman" w:cs="Times New Roman"/>
          <w:sz w:val="24"/>
          <w:szCs w:val="24"/>
        </w:rPr>
        <w:t>I</w:t>
      </w:r>
      <w:r w:rsidR="00BD1FF7">
        <w:rPr>
          <w:rFonts w:ascii="Times New Roman" w:hAnsi="Times New Roman" w:cs="Times New Roman"/>
          <w:sz w:val="24"/>
          <w:szCs w:val="24"/>
        </w:rPr>
        <w:t>II nadobudol účinnosť 1. decembra 2025.</w:t>
      </w:r>
    </w:p>
    <w:p w14:paraId="26C26B13" w14:textId="77777777" w:rsidR="0098151D" w:rsidRPr="007622D4" w:rsidRDefault="0098151D" w:rsidP="00A64364">
      <w:pPr>
        <w:spacing w:after="0" w:line="240" w:lineRule="auto"/>
        <w:ind w:firstLine="708"/>
        <w:jc w:val="both"/>
        <w:rPr>
          <w:rFonts w:ascii="Times New Roman" w:hAnsi="Times New Roman" w:cs="Times New Roman"/>
          <w:sz w:val="24"/>
          <w:szCs w:val="24"/>
        </w:rPr>
      </w:pPr>
    </w:p>
    <w:p w14:paraId="0B927A4B" w14:textId="77777777" w:rsidR="0098151D" w:rsidRPr="007622D4" w:rsidRDefault="0098151D"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 xml:space="preserve">Predložený návrh zákona nemá vplyv na rozpočet verejnej správy, sociálne vplyvy, vplyv na životné prostredie, vplyv na informatizáciu spoločnosti, vplyv na služby verejnej správy pre občana, ani vplyv na manželstvo, rodičovstvo a rodinu. Návrh zákona má vplyvy na podnikateľské prostredie, ktoré sú bližšie popísané v doložke vybraných vplyvov a príslušnej analýze. </w:t>
      </w:r>
    </w:p>
    <w:p w14:paraId="0D6A402D" w14:textId="77777777" w:rsidR="0098151D" w:rsidRPr="007622D4" w:rsidRDefault="0098151D" w:rsidP="00A64364">
      <w:pPr>
        <w:spacing w:after="0" w:line="240" w:lineRule="auto"/>
        <w:ind w:firstLine="708"/>
        <w:jc w:val="both"/>
        <w:rPr>
          <w:rFonts w:ascii="Times New Roman" w:hAnsi="Times New Roman" w:cs="Times New Roman"/>
          <w:sz w:val="24"/>
          <w:szCs w:val="24"/>
        </w:rPr>
      </w:pPr>
    </w:p>
    <w:p w14:paraId="402CC947" w14:textId="7DC9B7D1" w:rsidR="0098151D" w:rsidRPr="007622D4" w:rsidRDefault="008E14F1" w:rsidP="00A64364">
      <w:pPr>
        <w:spacing w:after="0" w:line="240" w:lineRule="auto"/>
        <w:ind w:firstLine="708"/>
        <w:jc w:val="both"/>
        <w:rPr>
          <w:rFonts w:ascii="Times New Roman" w:hAnsi="Times New Roman" w:cs="Times New Roman"/>
          <w:sz w:val="24"/>
          <w:szCs w:val="24"/>
        </w:rPr>
      </w:pPr>
      <w:r w:rsidRPr="008E14F1">
        <w:rPr>
          <w:rFonts w:ascii="Times New Roman" w:hAnsi="Times New Roman" w:cs="Times New Roman"/>
          <w:sz w:val="24"/>
          <w:szCs w:val="24"/>
        </w:rPr>
        <w:t>Návrh zákona je v súlade s Ústavou Slovenskej republiky, ústavnými zákonmi a nálezmi Ústavného súdu Slovenskej republiky a zákonmi, ako aj s medzinárodnými zmluvami a inými medzinárodnými dokumentami, ktorými je Slovenská republika viazaná a súčasne je v</w:t>
      </w:r>
      <w:r w:rsidR="000A72FD">
        <w:rPr>
          <w:rFonts w:ascii="Times New Roman" w:hAnsi="Times New Roman" w:cs="Times New Roman"/>
          <w:sz w:val="24"/>
          <w:szCs w:val="24"/>
        </w:rPr>
        <w:t xml:space="preserve"> súlade s právom Európskej únie</w:t>
      </w:r>
      <w:r w:rsidR="0098151D" w:rsidRPr="007622D4">
        <w:rPr>
          <w:rFonts w:ascii="Times New Roman" w:hAnsi="Times New Roman" w:cs="Times New Roman"/>
          <w:sz w:val="24"/>
          <w:szCs w:val="24"/>
        </w:rPr>
        <w:t>.</w:t>
      </w:r>
    </w:p>
    <w:p w14:paraId="113274D9" w14:textId="77777777" w:rsidR="0098151D" w:rsidRPr="007622D4" w:rsidRDefault="0098151D" w:rsidP="00A64364">
      <w:pPr>
        <w:spacing w:after="0" w:line="240" w:lineRule="auto"/>
        <w:ind w:firstLine="708"/>
        <w:jc w:val="both"/>
        <w:rPr>
          <w:rFonts w:ascii="Times New Roman" w:hAnsi="Times New Roman" w:cs="Times New Roman"/>
          <w:sz w:val="24"/>
          <w:szCs w:val="24"/>
        </w:rPr>
      </w:pPr>
    </w:p>
    <w:p w14:paraId="57B96A51" w14:textId="68811396" w:rsidR="0098151D" w:rsidRDefault="0098151D"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Návrh zákona nie je predmetom vnútrokomunitárneho pripomienkového konania.</w:t>
      </w:r>
    </w:p>
    <w:p w14:paraId="3AD94825" w14:textId="48C411EE" w:rsidR="002B329D" w:rsidRDefault="002B329D" w:rsidP="00A64364">
      <w:pPr>
        <w:spacing w:after="0" w:line="240" w:lineRule="auto"/>
        <w:ind w:firstLine="708"/>
        <w:jc w:val="both"/>
        <w:rPr>
          <w:rFonts w:ascii="Times New Roman" w:hAnsi="Times New Roman" w:cs="Times New Roman"/>
          <w:sz w:val="24"/>
          <w:szCs w:val="24"/>
        </w:rPr>
      </w:pPr>
    </w:p>
    <w:p w14:paraId="24F0C070" w14:textId="7B1F9D16" w:rsidR="002B329D" w:rsidRPr="007622D4" w:rsidRDefault="002B329D" w:rsidP="00A64364">
      <w:pPr>
        <w:spacing w:after="0" w:line="240" w:lineRule="auto"/>
        <w:ind w:firstLine="708"/>
        <w:jc w:val="both"/>
        <w:rPr>
          <w:rFonts w:ascii="Times New Roman" w:hAnsi="Times New Roman" w:cs="Times New Roman"/>
          <w:sz w:val="24"/>
          <w:szCs w:val="24"/>
        </w:rPr>
      </w:pPr>
      <w:r w:rsidRPr="00AE6DCD">
        <w:rPr>
          <w:rFonts w:ascii="Times New Roman" w:hAnsi="Times New Roman" w:cs="Times New Roman"/>
          <w:sz w:val="24"/>
          <w:szCs w:val="24"/>
        </w:rPr>
        <w:t>Návrh zákona bol predmetom riadneho pripomienkového konania a bol prerokovaný Legislatívnou radou vlády Slovenskej republiky a vládou Slovenskej republiky.</w:t>
      </w:r>
      <w:r>
        <w:rPr>
          <w:rFonts w:ascii="Times New Roman" w:hAnsi="Times New Roman" w:cs="Times New Roman"/>
          <w:sz w:val="24"/>
          <w:szCs w:val="24"/>
        </w:rPr>
        <w:t xml:space="preserve"> </w:t>
      </w:r>
    </w:p>
    <w:p w14:paraId="7F309C2F" w14:textId="77777777" w:rsidR="00FC3CA2" w:rsidRPr="007622D4" w:rsidRDefault="00FC3CA2" w:rsidP="00A64364">
      <w:pPr>
        <w:spacing w:after="0" w:line="240" w:lineRule="auto"/>
        <w:jc w:val="both"/>
        <w:rPr>
          <w:rFonts w:ascii="Times New Roman" w:hAnsi="Times New Roman" w:cs="Times New Roman"/>
          <w:sz w:val="24"/>
          <w:szCs w:val="24"/>
        </w:rPr>
      </w:pPr>
    </w:p>
    <w:p w14:paraId="06E4B376" w14:textId="77777777" w:rsidR="0047658D" w:rsidRPr="007622D4" w:rsidRDefault="0047658D" w:rsidP="00A64364">
      <w:pPr>
        <w:spacing w:after="0" w:line="240" w:lineRule="auto"/>
        <w:rPr>
          <w:rFonts w:ascii="Times New Roman" w:hAnsi="Times New Roman" w:cs="Times New Roman"/>
          <w:b/>
          <w:sz w:val="24"/>
          <w:szCs w:val="24"/>
        </w:rPr>
      </w:pPr>
      <w:r w:rsidRPr="007622D4">
        <w:rPr>
          <w:rFonts w:ascii="Times New Roman" w:hAnsi="Times New Roman" w:cs="Times New Roman"/>
          <w:b/>
          <w:sz w:val="24"/>
          <w:szCs w:val="24"/>
        </w:rPr>
        <w:br w:type="page"/>
      </w:r>
    </w:p>
    <w:p w14:paraId="0EC55710" w14:textId="77777777" w:rsidR="0047658D" w:rsidRPr="007622D4" w:rsidRDefault="0047658D" w:rsidP="00A64364">
      <w:pPr>
        <w:pStyle w:val="Odsekzoznamu"/>
        <w:numPr>
          <w:ilvl w:val="0"/>
          <w:numId w:val="1"/>
        </w:numPr>
        <w:spacing w:after="0" w:line="240" w:lineRule="auto"/>
        <w:jc w:val="both"/>
        <w:rPr>
          <w:rFonts w:ascii="Times New Roman" w:hAnsi="Times New Roman" w:cs="Times New Roman"/>
          <w:b/>
          <w:sz w:val="24"/>
          <w:szCs w:val="24"/>
        </w:rPr>
      </w:pPr>
      <w:r w:rsidRPr="007622D4">
        <w:rPr>
          <w:rFonts w:ascii="Times New Roman" w:hAnsi="Times New Roman" w:cs="Times New Roman"/>
          <w:b/>
          <w:sz w:val="24"/>
          <w:szCs w:val="24"/>
        </w:rPr>
        <w:lastRenderedPageBreak/>
        <w:t>Osobitná časť</w:t>
      </w:r>
    </w:p>
    <w:p w14:paraId="43A9C632" w14:textId="5F1C7E4C" w:rsidR="0047658D" w:rsidRDefault="0047658D" w:rsidP="00A64364">
      <w:pPr>
        <w:spacing w:after="0" w:line="240" w:lineRule="auto"/>
        <w:jc w:val="both"/>
        <w:rPr>
          <w:rFonts w:ascii="Times New Roman" w:hAnsi="Times New Roman" w:cs="Times New Roman"/>
          <w:sz w:val="24"/>
          <w:szCs w:val="24"/>
        </w:rPr>
      </w:pPr>
    </w:p>
    <w:p w14:paraId="632609BE" w14:textId="792D3C00" w:rsidR="00165B54" w:rsidRPr="00165B54" w:rsidRDefault="00165B54" w:rsidP="00A64364">
      <w:pPr>
        <w:spacing w:after="0" w:line="240" w:lineRule="auto"/>
        <w:jc w:val="both"/>
        <w:rPr>
          <w:rFonts w:ascii="Times New Roman" w:hAnsi="Times New Roman" w:cs="Times New Roman"/>
          <w:b/>
          <w:sz w:val="24"/>
          <w:szCs w:val="24"/>
        </w:rPr>
      </w:pPr>
      <w:r w:rsidRPr="00165B54">
        <w:rPr>
          <w:rFonts w:ascii="Times New Roman" w:hAnsi="Times New Roman" w:cs="Times New Roman"/>
          <w:b/>
          <w:sz w:val="24"/>
          <w:szCs w:val="24"/>
        </w:rPr>
        <w:t>K čl. I</w:t>
      </w:r>
    </w:p>
    <w:p w14:paraId="56DF328C" w14:textId="60750DD2" w:rsidR="00165B54" w:rsidRPr="00165B54" w:rsidRDefault="00165B54" w:rsidP="00A64364">
      <w:pPr>
        <w:spacing w:after="0" w:line="240" w:lineRule="auto"/>
        <w:jc w:val="both"/>
        <w:rPr>
          <w:rFonts w:ascii="Times New Roman" w:hAnsi="Times New Roman" w:cs="Times New Roman"/>
          <w:i/>
          <w:sz w:val="24"/>
          <w:szCs w:val="24"/>
        </w:rPr>
      </w:pPr>
      <w:r w:rsidRPr="00165B54">
        <w:rPr>
          <w:rFonts w:ascii="Times New Roman" w:hAnsi="Times New Roman" w:cs="Times New Roman"/>
          <w:i/>
          <w:sz w:val="24"/>
          <w:szCs w:val="24"/>
        </w:rPr>
        <w:t>(návrh zákona o niektorých administratívnych opatreniach súvisiacich so zhromažďovaním elektronických dôkazov v trestnom konaní)</w:t>
      </w:r>
    </w:p>
    <w:p w14:paraId="234FDE71" w14:textId="3B84ABDB" w:rsidR="00165B54" w:rsidRDefault="00165B54" w:rsidP="00A64364">
      <w:pPr>
        <w:spacing w:after="0" w:line="240" w:lineRule="auto"/>
        <w:jc w:val="both"/>
        <w:rPr>
          <w:rFonts w:ascii="Times New Roman" w:hAnsi="Times New Roman" w:cs="Times New Roman"/>
          <w:sz w:val="24"/>
          <w:szCs w:val="24"/>
        </w:rPr>
      </w:pPr>
    </w:p>
    <w:p w14:paraId="6BC1CDB1" w14:textId="77777777" w:rsidR="00D671AF" w:rsidRPr="007622D4" w:rsidRDefault="00D671AF" w:rsidP="00A64364">
      <w:pPr>
        <w:spacing w:after="0" w:line="240" w:lineRule="auto"/>
        <w:jc w:val="both"/>
        <w:rPr>
          <w:rFonts w:ascii="Times New Roman" w:hAnsi="Times New Roman" w:cs="Times New Roman"/>
          <w:sz w:val="24"/>
          <w:szCs w:val="24"/>
        </w:rPr>
      </w:pPr>
    </w:p>
    <w:p w14:paraId="63254DA5" w14:textId="77777777" w:rsidR="00FC3CA2" w:rsidRPr="007622D4" w:rsidRDefault="00FC3CA2" w:rsidP="00A64364">
      <w:pPr>
        <w:spacing w:after="0" w:line="240" w:lineRule="auto"/>
        <w:jc w:val="both"/>
        <w:rPr>
          <w:rFonts w:ascii="Times New Roman" w:hAnsi="Times New Roman" w:cs="Times New Roman"/>
          <w:sz w:val="24"/>
          <w:szCs w:val="24"/>
          <w:u w:val="single"/>
        </w:rPr>
      </w:pPr>
      <w:r w:rsidRPr="007622D4">
        <w:rPr>
          <w:rFonts w:ascii="Times New Roman" w:hAnsi="Times New Roman" w:cs="Times New Roman"/>
          <w:sz w:val="24"/>
          <w:szCs w:val="24"/>
          <w:u w:val="single"/>
        </w:rPr>
        <w:t>K § 1</w:t>
      </w:r>
    </w:p>
    <w:p w14:paraId="292098D8" w14:textId="77777777" w:rsidR="00FC3CA2" w:rsidRPr="007622D4" w:rsidRDefault="00FC3CA2" w:rsidP="00A64364">
      <w:pPr>
        <w:spacing w:after="0" w:line="240" w:lineRule="auto"/>
        <w:jc w:val="both"/>
        <w:rPr>
          <w:rFonts w:ascii="Times New Roman" w:hAnsi="Times New Roman" w:cs="Times New Roman"/>
          <w:sz w:val="24"/>
          <w:szCs w:val="24"/>
        </w:rPr>
      </w:pPr>
    </w:p>
    <w:p w14:paraId="62947181" w14:textId="5B9397FD" w:rsidR="00FC3CA2" w:rsidRPr="007622D4" w:rsidRDefault="00FC3CA2"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 xml:space="preserve">Cieľom § 1 je vymedziť predmet právnej úpravy. Na tento účel sa v odseku 1 normuje, že zákon upravuje niektoré opatrenia súvisiace so zhromažďovaním elektronických dôkazov v trestnom konaní na základe rozhodnutí a príkazov vydaných príslušnými orgánmi členských štátov Európskej únie podľa osobitný predpisov. </w:t>
      </w:r>
    </w:p>
    <w:p w14:paraId="73D3564D" w14:textId="77777777" w:rsidR="00FC3CA2" w:rsidRPr="007622D4" w:rsidRDefault="00FC3CA2" w:rsidP="00A64364">
      <w:pPr>
        <w:spacing w:after="0" w:line="240" w:lineRule="auto"/>
        <w:jc w:val="both"/>
        <w:rPr>
          <w:rFonts w:ascii="Times New Roman" w:hAnsi="Times New Roman" w:cs="Times New Roman"/>
          <w:sz w:val="24"/>
          <w:szCs w:val="24"/>
        </w:rPr>
      </w:pPr>
    </w:p>
    <w:p w14:paraId="0DA2AC28" w14:textId="679DB2A4" w:rsidR="00FC3CA2" w:rsidRPr="007622D4" w:rsidRDefault="00FC3CA2"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 xml:space="preserve">Niektorými opatreniami treba rozumieť </w:t>
      </w:r>
      <w:r w:rsidR="002061C9" w:rsidRPr="007622D4">
        <w:rPr>
          <w:rFonts w:ascii="Times New Roman" w:hAnsi="Times New Roman" w:cs="Times New Roman"/>
          <w:sz w:val="24"/>
          <w:szCs w:val="24"/>
        </w:rPr>
        <w:t xml:space="preserve">tie opatrenia, ktoré upravuje </w:t>
      </w:r>
      <w:r w:rsidRPr="007622D4">
        <w:rPr>
          <w:rFonts w:ascii="Times New Roman" w:hAnsi="Times New Roman" w:cs="Times New Roman"/>
          <w:sz w:val="24"/>
          <w:szCs w:val="24"/>
        </w:rPr>
        <w:t>smerni</w:t>
      </w:r>
      <w:r w:rsidR="00971746">
        <w:rPr>
          <w:rFonts w:ascii="Times New Roman" w:hAnsi="Times New Roman" w:cs="Times New Roman"/>
          <w:sz w:val="24"/>
          <w:szCs w:val="24"/>
        </w:rPr>
        <w:t>ca</w:t>
      </w:r>
      <w:r w:rsidR="00744B54" w:rsidRPr="00744B54">
        <w:rPr>
          <w:rFonts w:ascii="Times New Roman" w:hAnsi="Times New Roman" w:cs="Times New Roman"/>
          <w:sz w:val="24"/>
          <w:szCs w:val="24"/>
        </w:rPr>
        <w:t xml:space="preserve"> </w:t>
      </w:r>
      <w:r w:rsidR="00744B54" w:rsidRPr="007622D4">
        <w:rPr>
          <w:rFonts w:ascii="Times New Roman" w:hAnsi="Times New Roman" w:cs="Times New Roman"/>
          <w:sz w:val="24"/>
          <w:szCs w:val="24"/>
        </w:rPr>
        <w:t xml:space="preserve">Európskeho parlamentu a Rady (EÚ) 2023/1544 z 12. júla 2023, ktorou sa stanovujú harmonizované pravidlá určovania určených prevádzkarní a vymenúvania právnych zástupcov na účely zhromažďovania dôkazov v trestnom konaní </w:t>
      </w:r>
      <w:r w:rsidR="00744B54" w:rsidRPr="00546E47">
        <w:rPr>
          <w:rFonts w:ascii="Times New Roman" w:hAnsi="Times New Roman" w:cs="Times New Roman"/>
          <w:sz w:val="24"/>
          <w:szCs w:val="24"/>
        </w:rPr>
        <w:t xml:space="preserve">(Ú. v. EÚ L 191, 28.7.2023) </w:t>
      </w:r>
      <w:r w:rsidR="00744B54" w:rsidRPr="007622D4">
        <w:rPr>
          <w:rFonts w:ascii="Times New Roman" w:hAnsi="Times New Roman" w:cs="Times New Roman"/>
          <w:sz w:val="24"/>
          <w:szCs w:val="24"/>
        </w:rPr>
        <w:t>(ďalej len „smernica“)</w:t>
      </w:r>
      <w:r w:rsidR="00971746">
        <w:rPr>
          <w:rFonts w:ascii="Times New Roman" w:hAnsi="Times New Roman" w:cs="Times New Roman"/>
          <w:sz w:val="24"/>
          <w:szCs w:val="24"/>
        </w:rPr>
        <w:t xml:space="preserve"> </w:t>
      </w:r>
      <w:r w:rsidR="00432D80">
        <w:rPr>
          <w:rFonts w:ascii="Times New Roman" w:hAnsi="Times New Roman" w:cs="Times New Roman"/>
          <w:sz w:val="24"/>
          <w:szCs w:val="24"/>
        </w:rPr>
        <w:t xml:space="preserve">a v jednom prípade nariadenie </w:t>
      </w:r>
      <w:r w:rsidR="005255B8" w:rsidRPr="007622D4">
        <w:rPr>
          <w:rFonts w:ascii="Times New Roman" w:hAnsi="Times New Roman" w:cs="Times New Roman"/>
          <w:sz w:val="24"/>
          <w:szCs w:val="24"/>
        </w:rPr>
        <w:t xml:space="preserve">Európskeho parlamentu a Rady (EÚ) 2023/1543 z 12. júla 2023 o európskych príkazoch na predloženie elektronických dôkazov a európskych príkazoch na uchovanie elektronických dôkazov v trestnom konaní a na výkon trestu odňatia slobody v nadväznosti na trestné konanie </w:t>
      </w:r>
      <w:r w:rsidR="005255B8" w:rsidRPr="00B73C00">
        <w:rPr>
          <w:rFonts w:ascii="Times New Roman" w:hAnsi="Times New Roman" w:cs="Times New Roman"/>
          <w:sz w:val="24"/>
          <w:szCs w:val="24"/>
        </w:rPr>
        <w:t xml:space="preserve">(Ú. v. EÚ L 191, 28.7.2023) </w:t>
      </w:r>
      <w:r w:rsidR="005255B8" w:rsidRPr="007622D4">
        <w:rPr>
          <w:rFonts w:ascii="Times New Roman" w:hAnsi="Times New Roman" w:cs="Times New Roman"/>
          <w:sz w:val="24"/>
          <w:szCs w:val="24"/>
        </w:rPr>
        <w:t>(ďalej len „nariadenie“)</w:t>
      </w:r>
      <w:r w:rsidR="005255B8">
        <w:rPr>
          <w:rFonts w:ascii="Times New Roman" w:hAnsi="Times New Roman" w:cs="Times New Roman"/>
          <w:sz w:val="24"/>
          <w:szCs w:val="24"/>
        </w:rPr>
        <w:t xml:space="preserve"> v </w:t>
      </w:r>
      <w:r w:rsidR="00432D80">
        <w:rPr>
          <w:rFonts w:ascii="Times New Roman" w:hAnsi="Times New Roman" w:cs="Times New Roman"/>
          <w:sz w:val="24"/>
          <w:szCs w:val="24"/>
        </w:rPr>
        <w:t>čl. 19 ods. 2</w:t>
      </w:r>
      <w:r w:rsidR="0059310D">
        <w:rPr>
          <w:rFonts w:ascii="Times New Roman" w:hAnsi="Times New Roman" w:cs="Times New Roman"/>
          <w:sz w:val="24"/>
          <w:szCs w:val="24"/>
        </w:rPr>
        <w:t>,</w:t>
      </w:r>
      <w:r w:rsidR="00432D80">
        <w:rPr>
          <w:rFonts w:ascii="Times New Roman" w:hAnsi="Times New Roman" w:cs="Times New Roman"/>
          <w:sz w:val="24"/>
          <w:szCs w:val="24"/>
        </w:rPr>
        <w:t xml:space="preserve"> </w:t>
      </w:r>
      <w:r w:rsidR="00971746">
        <w:rPr>
          <w:rFonts w:ascii="Times New Roman" w:hAnsi="Times New Roman" w:cs="Times New Roman"/>
          <w:sz w:val="24"/>
          <w:szCs w:val="24"/>
        </w:rPr>
        <w:t>a ktoré majú povahu administratívnych opatrení.</w:t>
      </w:r>
      <w:r w:rsidR="002061C9" w:rsidRPr="007622D4">
        <w:rPr>
          <w:rFonts w:ascii="Times New Roman" w:hAnsi="Times New Roman" w:cs="Times New Roman"/>
          <w:sz w:val="24"/>
          <w:szCs w:val="24"/>
        </w:rPr>
        <w:t xml:space="preserve"> Na zvýraznenie tejto skutočnosti sa používa adjektívum „administratívne“ </w:t>
      </w:r>
      <w:r w:rsidR="0059310D">
        <w:rPr>
          <w:rFonts w:ascii="Times New Roman" w:hAnsi="Times New Roman" w:cs="Times New Roman"/>
          <w:sz w:val="24"/>
          <w:szCs w:val="24"/>
        </w:rPr>
        <w:t>(</w:t>
      </w:r>
      <w:r w:rsidR="002061C9" w:rsidRPr="007622D4">
        <w:rPr>
          <w:rFonts w:ascii="Times New Roman" w:hAnsi="Times New Roman" w:cs="Times New Roman"/>
          <w:sz w:val="24"/>
          <w:szCs w:val="24"/>
        </w:rPr>
        <w:t>opatrenia</w:t>
      </w:r>
      <w:r w:rsidR="0059310D">
        <w:rPr>
          <w:rFonts w:ascii="Times New Roman" w:hAnsi="Times New Roman" w:cs="Times New Roman"/>
          <w:sz w:val="24"/>
          <w:szCs w:val="24"/>
        </w:rPr>
        <w:t>)</w:t>
      </w:r>
      <w:r w:rsidR="002061C9" w:rsidRPr="007622D4">
        <w:rPr>
          <w:rFonts w:ascii="Times New Roman" w:hAnsi="Times New Roman" w:cs="Times New Roman"/>
          <w:sz w:val="24"/>
          <w:szCs w:val="24"/>
        </w:rPr>
        <w:t xml:space="preserve">, pretože smernica má </w:t>
      </w:r>
      <w:r w:rsidR="00AA09FA">
        <w:rPr>
          <w:rFonts w:ascii="Times New Roman" w:hAnsi="Times New Roman" w:cs="Times New Roman"/>
          <w:sz w:val="24"/>
          <w:szCs w:val="24"/>
        </w:rPr>
        <w:t xml:space="preserve">takmer </w:t>
      </w:r>
      <w:r w:rsidR="002061C9" w:rsidRPr="007622D4">
        <w:rPr>
          <w:rFonts w:ascii="Times New Roman" w:hAnsi="Times New Roman" w:cs="Times New Roman"/>
          <w:sz w:val="24"/>
          <w:szCs w:val="24"/>
        </w:rPr>
        <w:t xml:space="preserve">rýdzo administratívny charakter. </w:t>
      </w:r>
      <w:r w:rsidR="00165F60" w:rsidRPr="007622D4">
        <w:rPr>
          <w:rFonts w:ascii="Times New Roman" w:hAnsi="Times New Roman" w:cs="Times New Roman"/>
          <w:sz w:val="24"/>
          <w:szCs w:val="24"/>
        </w:rPr>
        <w:t xml:space="preserve">Ako vyplýva zo všeobecnej časti dôvodovej správy, implementácia nariadenia </w:t>
      </w:r>
      <w:r w:rsidR="00144E6A" w:rsidRPr="007622D4">
        <w:rPr>
          <w:rFonts w:ascii="Times New Roman" w:hAnsi="Times New Roman" w:cs="Times New Roman"/>
          <w:sz w:val="24"/>
          <w:szCs w:val="24"/>
        </w:rPr>
        <w:t>s</w:t>
      </w:r>
      <w:r w:rsidR="00144E6A">
        <w:rPr>
          <w:rFonts w:ascii="Times New Roman" w:hAnsi="Times New Roman" w:cs="Times New Roman"/>
          <w:sz w:val="24"/>
          <w:szCs w:val="24"/>
        </w:rPr>
        <w:t>i</w:t>
      </w:r>
      <w:r w:rsidR="00144E6A" w:rsidRPr="007622D4">
        <w:rPr>
          <w:rFonts w:ascii="Times New Roman" w:hAnsi="Times New Roman" w:cs="Times New Roman"/>
          <w:sz w:val="24"/>
          <w:szCs w:val="24"/>
        </w:rPr>
        <w:t xml:space="preserve"> </w:t>
      </w:r>
      <w:r w:rsidR="00165F60" w:rsidRPr="007622D4">
        <w:rPr>
          <w:rFonts w:ascii="Times New Roman" w:hAnsi="Times New Roman" w:cs="Times New Roman"/>
          <w:sz w:val="24"/>
          <w:szCs w:val="24"/>
        </w:rPr>
        <w:t xml:space="preserve">bude </w:t>
      </w:r>
      <w:r w:rsidR="00144E6A">
        <w:rPr>
          <w:rFonts w:ascii="Times New Roman" w:hAnsi="Times New Roman" w:cs="Times New Roman"/>
          <w:sz w:val="24"/>
          <w:szCs w:val="24"/>
        </w:rPr>
        <w:t xml:space="preserve">taktiež </w:t>
      </w:r>
      <w:r w:rsidR="00165F60" w:rsidRPr="007622D4">
        <w:rPr>
          <w:rFonts w:ascii="Times New Roman" w:hAnsi="Times New Roman" w:cs="Times New Roman"/>
          <w:sz w:val="24"/>
          <w:szCs w:val="24"/>
        </w:rPr>
        <w:t xml:space="preserve">vyžadovať prijatie legislatívnych opatrení, ale tieto budú mať </w:t>
      </w:r>
      <w:r w:rsidR="001306EA">
        <w:rPr>
          <w:rFonts w:ascii="Times New Roman" w:hAnsi="Times New Roman" w:cs="Times New Roman"/>
          <w:sz w:val="24"/>
          <w:szCs w:val="24"/>
        </w:rPr>
        <w:t>primárne trestnoprávny</w:t>
      </w:r>
      <w:r w:rsidR="00165F60" w:rsidRPr="007622D4">
        <w:rPr>
          <w:rFonts w:ascii="Times New Roman" w:hAnsi="Times New Roman" w:cs="Times New Roman"/>
          <w:sz w:val="24"/>
          <w:szCs w:val="24"/>
        </w:rPr>
        <w:t xml:space="preserve"> a nie administratívnych charakter</w:t>
      </w:r>
      <w:r w:rsidR="004A736D">
        <w:rPr>
          <w:rFonts w:ascii="Times New Roman" w:hAnsi="Times New Roman" w:cs="Times New Roman"/>
          <w:sz w:val="24"/>
          <w:szCs w:val="24"/>
        </w:rPr>
        <w:t xml:space="preserve"> a budú zaradené do iného návrhu zákona</w:t>
      </w:r>
      <w:r w:rsidR="00165F60" w:rsidRPr="007622D4">
        <w:rPr>
          <w:rFonts w:ascii="Times New Roman" w:hAnsi="Times New Roman" w:cs="Times New Roman"/>
          <w:sz w:val="24"/>
          <w:szCs w:val="24"/>
        </w:rPr>
        <w:t>.</w:t>
      </w:r>
    </w:p>
    <w:p w14:paraId="34B32877" w14:textId="77777777" w:rsidR="00FC3CA2" w:rsidRPr="007622D4" w:rsidRDefault="00FC3CA2" w:rsidP="00A64364">
      <w:pPr>
        <w:spacing w:after="0" w:line="240" w:lineRule="auto"/>
        <w:jc w:val="both"/>
        <w:rPr>
          <w:rFonts w:ascii="Times New Roman" w:hAnsi="Times New Roman" w:cs="Times New Roman"/>
          <w:sz w:val="24"/>
          <w:szCs w:val="24"/>
        </w:rPr>
      </w:pPr>
    </w:p>
    <w:p w14:paraId="58241DF8" w14:textId="32D91664" w:rsidR="001A34B5" w:rsidRPr="007622D4" w:rsidRDefault="00FC3CA2"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 xml:space="preserve">Pojmom elektronické dôkazy v predmete zákona treba rozumieť tie dôkazy, ktoré vymedzuje čl. 3 bod 8 nariadenia. </w:t>
      </w:r>
      <w:r w:rsidR="008F1EC1">
        <w:rPr>
          <w:rFonts w:ascii="Times New Roman" w:hAnsi="Times New Roman" w:cs="Times New Roman"/>
          <w:sz w:val="24"/>
          <w:szCs w:val="24"/>
        </w:rPr>
        <w:t xml:space="preserve">Vzhľadom na to, že pojem „elektronické dôkazy“ je vymedzený </w:t>
      </w:r>
      <w:r w:rsidR="005717BB">
        <w:rPr>
          <w:rFonts w:ascii="Times New Roman" w:hAnsi="Times New Roman" w:cs="Times New Roman"/>
          <w:sz w:val="24"/>
          <w:szCs w:val="24"/>
        </w:rPr>
        <w:t xml:space="preserve">len </w:t>
      </w:r>
      <w:r w:rsidR="008F1EC1">
        <w:rPr>
          <w:rFonts w:ascii="Times New Roman" w:hAnsi="Times New Roman" w:cs="Times New Roman"/>
          <w:sz w:val="24"/>
          <w:szCs w:val="24"/>
        </w:rPr>
        <w:t>v</w:t>
      </w:r>
      <w:r w:rsidR="005717BB">
        <w:rPr>
          <w:rFonts w:ascii="Times New Roman" w:hAnsi="Times New Roman" w:cs="Times New Roman"/>
          <w:sz w:val="24"/>
          <w:szCs w:val="24"/>
        </w:rPr>
        <w:t xml:space="preserve">  </w:t>
      </w:r>
      <w:r w:rsidR="008F1EC1">
        <w:rPr>
          <w:rFonts w:ascii="Times New Roman" w:hAnsi="Times New Roman" w:cs="Times New Roman"/>
          <w:sz w:val="24"/>
          <w:szCs w:val="24"/>
        </w:rPr>
        <w:t xml:space="preserve">nariadení, pričom pojmový aparát smernice ho nevymedzuje, predkladateľ pracuje s týmto pojmom bez jeho vymedzenia, pretože to je dané priamo aplikovateľným právne záväzným aktom Európskej únie. </w:t>
      </w:r>
      <w:r w:rsidR="009F341C">
        <w:rPr>
          <w:rFonts w:ascii="Times New Roman" w:hAnsi="Times New Roman" w:cs="Times New Roman"/>
          <w:sz w:val="24"/>
          <w:szCs w:val="24"/>
        </w:rPr>
        <w:t>P</w:t>
      </w:r>
      <w:r w:rsidR="009F341C" w:rsidRPr="009F341C">
        <w:rPr>
          <w:rFonts w:ascii="Times New Roman" w:hAnsi="Times New Roman" w:cs="Times New Roman"/>
          <w:sz w:val="24"/>
          <w:szCs w:val="24"/>
        </w:rPr>
        <w:t>ojem „elektronické dôkazy“ definovaný v čl. 3 ods. 8 nariadenia je autonómny pojem, ktorý v kontexte so smernicou je možné interpretovať širšie, a to z dôvodu odlišného rozsahu uplatňovania týchto právne záväzných aktov Európskej únie. Na rozdiel od nariadenia nie je tento právny pojem v smernici obmedzený výlučne na uchovávané formy elektronických dôkazov, s čím súvisí aj možnosť využitia iných procesno-právnych inštitútov na ich získanie upravených, napríklad v zákone č. 236/2017 Z. z. o európskom vyšetrovacom príkaze v trestných veciach a o zmene a doplnení niektorých zákonov v znení zákona č. 150/2022 Z. z. alebo Dohovore o vzájomnej pomoci v trestných veciach medzi členskými štátmi Európskej únie, vypracovanom Radou v súlade s článkom 34 Zmluvy o Európskej únii.</w:t>
      </w:r>
    </w:p>
    <w:p w14:paraId="7C9E8A88" w14:textId="77777777" w:rsidR="001A34B5" w:rsidRPr="007622D4" w:rsidRDefault="001A34B5" w:rsidP="00A64364">
      <w:pPr>
        <w:spacing w:after="0" w:line="240" w:lineRule="auto"/>
        <w:ind w:firstLine="708"/>
        <w:jc w:val="both"/>
        <w:rPr>
          <w:rFonts w:ascii="Times New Roman" w:hAnsi="Times New Roman" w:cs="Times New Roman"/>
          <w:sz w:val="24"/>
          <w:szCs w:val="24"/>
        </w:rPr>
      </w:pPr>
    </w:p>
    <w:p w14:paraId="57899105" w14:textId="77777777" w:rsidR="00FC2A33" w:rsidRPr="007622D4" w:rsidRDefault="00FC3CA2"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Trestným konaním treba rozumieť tie typy konaní, ktoré pomenúva nariadenie v čl. 2 ods. 2</w:t>
      </w:r>
      <w:r w:rsidR="00C87AE3" w:rsidRPr="007622D4">
        <w:rPr>
          <w:rFonts w:ascii="Times New Roman" w:hAnsi="Times New Roman" w:cs="Times New Roman"/>
          <w:sz w:val="24"/>
          <w:szCs w:val="24"/>
        </w:rPr>
        <w:t xml:space="preserve"> nariadenia</w:t>
      </w:r>
      <w:r w:rsidRPr="007622D4">
        <w:rPr>
          <w:rFonts w:ascii="Times New Roman" w:hAnsi="Times New Roman" w:cs="Times New Roman"/>
          <w:sz w:val="24"/>
          <w:szCs w:val="24"/>
        </w:rPr>
        <w:t>.</w:t>
      </w:r>
      <w:r w:rsidR="00C87AE3" w:rsidRPr="007622D4">
        <w:rPr>
          <w:rFonts w:ascii="Times New Roman" w:hAnsi="Times New Roman" w:cs="Times New Roman"/>
          <w:sz w:val="24"/>
          <w:szCs w:val="24"/>
        </w:rPr>
        <w:t xml:space="preserve"> </w:t>
      </w:r>
      <w:r w:rsidR="00FC2A33" w:rsidRPr="007622D4">
        <w:rPr>
          <w:rFonts w:ascii="Times New Roman" w:hAnsi="Times New Roman" w:cs="Times New Roman"/>
          <w:sz w:val="24"/>
          <w:szCs w:val="24"/>
        </w:rPr>
        <w:t xml:space="preserve">K použitiu pojmu </w:t>
      </w:r>
      <w:r w:rsidR="00FC2A33" w:rsidRPr="007622D4">
        <w:rPr>
          <w:rFonts w:ascii="Times New Roman" w:hAnsi="Times New Roman" w:cs="Times New Roman"/>
          <w:b/>
          <w:sz w:val="24"/>
          <w:szCs w:val="24"/>
        </w:rPr>
        <w:t>„trestné konanie“</w:t>
      </w:r>
      <w:r w:rsidR="00FC2A33" w:rsidRPr="007622D4">
        <w:rPr>
          <w:rFonts w:ascii="Times New Roman" w:hAnsi="Times New Roman" w:cs="Times New Roman"/>
          <w:sz w:val="24"/>
          <w:szCs w:val="24"/>
        </w:rPr>
        <w:t xml:space="preserve"> v názve návrhu zákona a v predmete úprave je potrebné tiež uviesť, že sa javí ako najvhodnejším pojmom pre vyjadrenie vecnej pôsobnosti zákona. Nariadenie v čl. 2 ods. 2 z vecného hľadiska umožňuje svoju aplikáciu (i) na účely trestného konania a (ii) na účely výkonu trestu odňatia slobody alebo ochranného opatrenia spojeného s obmedzením osobnej slobody. Nariadenie formálno-právne rozlišuje </w:t>
      </w:r>
      <w:r w:rsidR="00FC2A33" w:rsidRPr="007622D4">
        <w:rPr>
          <w:rFonts w:ascii="Times New Roman" w:hAnsi="Times New Roman" w:cs="Times New Roman"/>
          <w:sz w:val="24"/>
          <w:szCs w:val="24"/>
        </w:rPr>
        <w:lastRenderedPageBreak/>
        <w:t xml:space="preserve">trestné konanie a vykonávacie konanie.  Z pohľadu vnútroštátneho práva však toto rozlišovanie nie je namieste. V rámci aplikačnej praxe a právnej vedy niet sporu o tom, čo je to trestné konanie, resp. aký obsah má tento pojem. Trestné konanie je možné rozčleniť do dvoch hlavných štádií: (i) </w:t>
      </w:r>
      <w:r w:rsidR="00FC2A33" w:rsidRPr="007622D4">
        <w:rPr>
          <w:rFonts w:ascii="Times New Roman" w:hAnsi="Times New Roman" w:cs="Times New Roman"/>
          <w:b/>
          <w:sz w:val="24"/>
          <w:szCs w:val="24"/>
        </w:rPr>
        <w:t>predsúdne konanie</w:t>
      </w:r>
      <w:r w:rsidR="00FC2A33" w:rsidRPr="007622D4">
        <w:rPr>
          <w:rFonts w:ascii="Times New Roman" w:hAnsi="Times New Roman" w:cs="Times New Roman"/>
          <w:sz w:val="24"/>
          <w:szCs w:val="24"/>
        </w:rPr>
        <w:t xml:space="preserve">, ktoré sa člení na postup pred začatím trestného stíhania a prípravné konanie, a (ii) </w:t>
      </w:r>
      <w:r w:rsidR="00FC2A33" w:rsidRPr="007622D4">
        <w:rPr>
          <w:rFonts w:ascii="Times New Roman" w:hAnsi="Times New Roman" w:cs="Times New Roman"/>
          <w:b/>
          <w:sz w:val="24"/>
          <w:szCs w:val="24"/>
        </w:rPr>
        <w:t>súdne konanie</w:t>
      </w:r>
      <w:r w:rsidR="00FC2A33" w:rsidRPr="007622D4">
        <w:rPr>
          <w:rFonts w:ascii="Times New Roman" w:hAnsi="Times New Roman" w:cs="Times New Roman"/>
          <w:sz w:val="24"/>
          <w:szCs w:val="24"/>
        </w:rPr>
        <w:t xml:space="preserve"> zahŕňajúce preskúmanie obžaloby súdom, hlavné pojednávanie, konanie o opravnom prostriedku </w:t>
      </w:r>
      <w:r w:rsidR="00FC2A33" w:rsidRPr="002D2122">
        <w:rPr>
          <w:rFonts w:ascii="Times New Roman" w:hAnsi="Times New Roman" w:cs="Times New Roman"/>
          <w:sz w:val="24"/>
          <w:szCs w:val="24"/>
          <w:u w:val="single"/>
        </w:rPr>
        <w:t>a vykonávacie konanie</w:t>
      </w:r>
      <w:r w:rsidR="00FC2A33" w:rsidRPr="007622D4">
        <w:rPr>
          <w:rFonts w:ascii="Times New Roman" w:hAnsi="Times New Roman" w:cs="Times New Roman"/>
          <w:sz w:val="24"/>
          <w:szCs w:val="24"/>
        </w:rPr>
        <w:t>. V tomto kontexte predkladateľ volí v návrhu zákona výlučne používanie pojmu „trestné konanie“, ktorý bez ďalších pochybností v sebe zahŕňa aj vykonávacie konanie, napríklad vo vzťahu k trestu odňatia slobody alebo ochranného opatrenia spojeného s obmedzením osobnej slobody.</w:t>
      </w:r>
    </w:p>
    <w:p w14:paraId="44E16B2D" w14:textId="77777777" w:rsidR="001A34B5" w:rsidRPr="007622D4" w:rsidRDefault="001A34B5" w:rsidP="00A64364">
      <w:pPr>
        <w:spacing w:after="0" w:line="240" w:lineRule="auto"/>
        <w:ind w:firstLine="708"/>
        <w:jc w:val="both"/>
        <w:rPr>
          <w:rFonts w:ascii="Times New Roman" w:hAnsi="Times New Roman" w:cs="Times New Roman"/>
          <w:sz w:val="24"/>
          <w:szCs w:val="24"/>
        </w:rPr>
      </w:pPr>
    </w:p>
    <w:p w14:paraId="16D96D86" w14:textId="4E441257" w:rsidR="004A4704" w:rsidRPr="007622D4" w:rsidRDefault="00C87AE3"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 xml:space="preserve">Pod pojmom „rozhodnutia a príkazy“ treba </w:t>
      </w:r>
      <w:r w:rsidR="001A34B5" w:rsidRPr="007622D4">
        <w:rPr>
          <w:rFonts w:ascii="Times New Roman" w:hAnsi="Times New Roman" w:cs="Times New Roman"/>
          <w:sz w:val="24"/>
          <w:szCs w:val="24"/>
        </w:rPr>
        <w:t xml:space="preserve">podľa čl. 2 ods. 2 smernice </w:t>
      </w:r>
      <w:r w:rsidR="00C64972" w:rsidRPr="007622D4">
        <w:rPr>
          <w:rFonts w:ascii="Times New Roman" w:hAnsi="Times New Roman" w:cs="Times New Roman"/>
          <w:sz w:val="24"/>
          <w:szCs w:val="24"/>
        </w:rPr>
        <w:t xml:space="preserve">rozumieť </w:t>
      </w:r>
      <w:r w:rsidR="00C64972" w:rsidRPr="007622D4">
        <w:rPr>
          <w:rFonts w:ascii="Times New Roman" w:hAnsi="Times New Roman" w:cs="Times New Roman"/>
          <w:i/>
          <w:sz w:val="24"/>
          <w:szCs w:val="24"/>
        </w:rPr>
        <w:t>„rozhodnutia a príkazy na účely zhromažďovania elektronických dôkazov na základe nariadenia (EÚ) 2023/1543, smernice 2014/41/EÚ a Dohovoru o vzájomnej pomoci v trestných veciach medzi členskými štátmi Európskej únie vypracovaného Radou v súlade s článkom 34 Zmluvy o Európskej únii.“</w:t>
      </w:r>
      <w:r w:rsidR="00C64972" w:rsidRPr="007622D4">
        <w:rPr>
          <w:rFonts w:ascii="Times New Roman" w:hAnsi="Times New Roman" w:cs="Times New Roman"/>
          <w:sz w:val="24"/>
          <w:szCs w:val="24"/>
        </w:rPr>
        <w:t xml:space="preserve"> Obdobne aj bod 6 recitálu smernice konštatuje, že </w:t>
      </w:r>
      <w:r w:rsidR="00EF2958" w:rsidRPr="007622D4">
        <w:rPr>
          <w:rFonts w:ascii="Times New Roman" w:hAnsi="Times New Roman" w:cs="Times New Roman"/>
          <w:i/>
          <w:sz w:val="24"/>
          <w:szCs w:val="24"/>
        </w:rPr>
        <w:t>„</w:t>
      </w:r>
      <w:r w:rsidR="004A4704" w:rsidRPr="007622D4">
        <w:rPr>
          <w:rFonts w:ascii="Times New Roman" w:hAnsi="Times New Roman" w:cs="Times New Roman"/>
          <w:i/>
          <w:sz w:val="24"/>
          <w:szCs w:val="24"/>
        </w:rPr>
        <w:t>Určené prevádzkarne a právni zástupcovia stanovené v tejto smernici by mali byť adresátmi rozhodnutí a príkazov na účely zhromažďovania elektronických dôkazov na základe nariadenia Európskeho parlamentu a Rady (EÚ) 2023/1543 (</w:t>
      </w:r>
      <w:r w:rsidR="004A4704" w:rsidRPr="007622D4">
        <w:rPr>
          <w:rFonts w:ascii="Times New Roman" w:hAnsi="Times New Roman" w:cs="Times New Roman"/>
          <w:i/>
          <w:sz w:val="24"/>
          <w:szCs w:val="24"/>
          <w:vertAlign w:val="superscript"/>
        </w:rPr>
        <w:t>5</w:t>
      </w:r>
      <w:r w:rsidR="004A4704" w:rsidRPr="007622D4">
        <w:rPr>
          <w:rFonts w:ascii="Times New Roman" w:hAnsi="Times New Roman" w:cs="Times New Roman"/>
          <w:i/>
          <w:sz w:val="24"/>
          <w:szCs w:val="24"/>
        </w:rPr>
        <w:t>), smernice Európskeho parlamentu a Rady 2014/41/EÚ (</w:t>
      </w:r>
      <w:r w:rsidR="004A4704" w:rsidRPr="007622D4">
        <w:rPr>
          <w:rFonts w:ascii="Times New Roman" w:hAnsi="Times New Roman" w:cs="Times New Roman"/>
          <w:i/>
          <w:sz w:val="24"/>
          <w:szCs w:val="24"/>
          <w:vertAlign w:val="superscript"/>
        </w:rPr>
        <w:t>6</w:t>
      </w:r>
      <w:r w:rsidR="004A4704" w:rsidRPr="007622D4">
        <w:rPr>
          <w:rFonts w:ascii="Times New Roman" w:hAnsi="Times New Roman" w:cs="Times New Roman"/>
          <w:i/>
          <w:sz w:val="24"/>
          <w:szCs w:val="24"/>
        </w:rPr>
        <w:t>) a Dohovoru o vzájomnej pomoci v trestných veciach medzi členskými štátmi Európskej únie vypracovaného Radou v súlade s článkom 34 Zmluvy o Európskej únii (</w:t>
      </w:r>
      <w:r w:rsidR="004A4704" w:rsidRPr="007622D4">
        <w:rPr>
          <w:rFonts w:ascii="Times New Roman" w:hAnsi="Times New Roman" w:cs="Times New Roman"/>
          <w:i/>
          <w:sz w:val="24"/>
          <w:szCs w:val="24"/>
          <w:vertAlign w:val="superscript"/>
        </w:rPr>
        <w:t>7</w:t>
      </w:r>
      <w:r w:rsidR="004A4704" w:rsidRPr="007622D4">
        <w:rPr>
          <w:rFonts w:ascii="Times New Roman" w:hAnsi="Times New Roman" w:cs="Times New Roman"/>
          <w:i/>
          <w:sz w:val="24"/>
          <w:szCs w:val="24"/>
        </w:rPr>
        <w:t>), a to aj vtedy, keď sa tieto rozhodnutia a príkazy zasielajú vo forme osvedčenia.</w:t>
      </w:r>
      <w:r w:rsidR="00EF2958" w:rsidRPr="007622D4">
        <w:rPr>
          <w:rFonts w:ascii="Times New Roman" w:hAnsi="Times New Roman" w:cs="Times New Roman"/>
          <w:i/>
          <w:sz w:val="24"/>
          <w:szCs w:val="24"/>
        </w:rPr>
        <w:t>“</w:t>
      </w:r>
      <w:r w:rsidR="002B091F" w:rsidRPr="007622D4">
        <w:rPr>
          <w:rFonts w:ascii="Times New Roman" w:hAnsi="Times New Roman" w:cs="Times New Roman"/>
          <w:sz w:val="24"/>
          <w:szCs w:val="24"/>
        </w:rPr>
        <w:t xml:space="preserve"> </w:t>
      </w:r>
      <w:r w:rsidR="003322B4" w:rsidRPr="007622D4">
        <w:rPr>
          <w:rFonts w:ascii="Times New Roman" w:hAnsi="Times New Roman" w:cs="Times New Roman"/>
          <w:sz w:val="24"/>
          <w:szCs w:val="24"/>
        </w:rPr>
        <w:t>Vzhľadom na uvedené je preto potrebné v § 1 ods. 1 túto skutočnosť zohľadniť. Preto sa v poznámke pod čiarou cituje okrem samotného nariadenia aj zákon č. 236/2017 Z. z. o európskom vyšetrovacom príkaze v trestných veciach a o zmene a doplnení niektorých zákonov v znení zákona č. 150/2022 Z. z.</w:t>
      </w:r>
      <w:r w:rsidR="00091341" w:rsidRPr="007622D4">
        <w:rPr>
          <w:rFonts w:ascii="Times New Roman" w:hAnsi="Times New Roman" w:cs="Times New Roman"/>
          <w:sz w:val="24"/>
          <w:szCs w:val="24"/>
        </w:rPr>
        <w:t xml:space="preserve">, ktorý je transpozičným zákonom vo vzťahu k smernici Európskeho parlamentu a Rady 2014/41/EÚ z 3. apríla 2014 o európskom vyšetrovacom príkaze v trestných veciach, na ktorú odkazuje preberaná smernica. Súčasne sa v poznámke pod čiarou cituje aj Dohovor o vzájomnej pomoci v trestných veciach medzi členskými štátmi Európskej únie, vypracovaný Radou v súlade s článkom 34 Zmluvy o Európskej únii, pretože aj tento dohovor predstavuje vecný rámec preberanej smernice. </w:t>
      </w:r>
      <w:r w:rsidR="00FE0EE1" w:rsidRPr="007622D4">
        <w:rPr>
          <w:rFonts w:ascii="Times New Roman" w:hAnsi="Times New Roman" w:cs="Times New Roman"/>
          <w:sz w:val="24"/>
          <w:szCs w:val="24"/>
        </w:rPr>
        <w:t>Okrem toho treba zdôrazniť, že aj nariadenie odkazuje pri vymedzení jeho vecnej pôsobnosti odkazuje na smernicu 2014/41/EÚ a Dohovor o vzájomnej pomoci v trestných veciach medzi členskými štátmi Európskej únie vypracovaného Radou v súlade s článkom 34 Zmluvy o Európskej únii</w:t>
      </w:r>
      <w:r w:rsidR="00F23E60" w:rsidRPr="007622D4">
        <w:rPr>
          <w:rFonts w:ascii="Times New Roman" w:hAnsi="Times New Roman" w:cs="Times New Roman"/>
          <w:sz w:val="24"/>
          <w:szCs w:val="24"/>
        </w:rPr>
        <w:t>.</w:t>
      </w:r>
      <w:r w:rsidR="007474D4">
        <w:rPr>
          <w:rFonts w:ascii="Times New Roman" w:hAnsi="Times New Roman" w:cs="Times New Roman"/>
          <w:sz w:val="24"/>
          <w:szCs w:val="24"/>
        </w:rPr>
        <w:t xml:space="preserve"> </w:t>
      </w:r>
    </w:p>
    <w:p w14:paraId="00A5A563" w14:textId="77777777" w:rsidR="00C214A3" w:rsidRPr="007622D4" w:rsidRDefault="00C214A3" w:rsidP="00A64364">
      <w:pPr>
        <w:spacing w:after="0" w:line="240" w:lineRule="auto"/>
        <w:jc w:val="both"/>
        <w:rPr>
          <w:rFonts w:ascii="Times New Roman" w:hAnsi="Times New Roman" w:cs="Times New Roman"/>
          <w:sz w:val="24"/>
          <w:szCs w:val="24"/>
        </w:rPr>
      </w:pPr>
      <w:r w:rsidRPr="007622D4">
        <w:rPr>
          <w:rFonts w:ascii="Times New Roman" w:hAnsi="Times New Roman" w:cs="Times New Roman"/>
          <w:sz w:val="24"/>
          <w:szCs w:val="24"/>
        </w:rPr>
        <w:tab/>
      </w:r>
    </w:p>
    <w:p w14:paraId="2536DCC5" w14:textId="01398966" w:rsidR="008F6F6F" w:rsidRPr="007622D4" w:rsidRDefault="00C214A3"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Vzťah smernice a nariadenia je komplementárny, pretože oba predpisy sa navzájom dopĺňajú. Nehovoriac o vykonávacích nariadenia</w:t>
      </w:r>
      <w:r w:rsidR="00773EBF">
        <w:rPr>
          <w:rFonts w:ascii="Times New Roman" w:hAnsi="Times New Roman" w:cs="Times New Roman"/>
          <w:sz w:val="24"/>
          <w:szCs w:val="24"/>
        </w:rPr>
        <w:t>ch</w:t>
      </w:r>
      <w:r w:rsidRPr="007622D4">
        <w:rPr>
          <w:rFonts w:ascii="Times New Roman" w:hAnsi="Times New Roman" w:cs="Times New Roman"/>
          <w:sz w:val="24"/>
          <w:szCs w:val="24"/>
        </w:rPr>
        <w:t>, ktorých vydanie predpokladá priamo nariadenie. Tento vzťah sa prejavu</w:t>
      </w:r>
      <w:r w:rsidR="00773EBF">
        <w:rPr>
          <w:rFonts w:ascii="Times New Roman" w:hAnsi="Times New Roman" w:cs="Times New Roman"/>
          <w:sz w:val="24"/>
          <w:szCs w:val="24"/>
        </w:rPr>
        <w:t>je</w:t>
      </w:r>
      <w:r w:rsidRPr="007622D4">
        <w:rPr>
          <w:rFonts w:ascii="Times New Roman" w:hAnsi="Times New Roman" w:cs="Times New Roman"/>
          <w:sz w:val="24"/>
          <w:szCs w:val="24"/>
        </w:rPr>
        <w:t xml:space="preserve"> čiastočne aj tým, že pojmový aparát smernice je v niektorých prípadoch abstraktnejší. To platí pre pojem smernice </w:t>
      </w:r>
      <w:r w:rsidRPr="007622D4">
        <w:rPr>
          <w:rFonts w:ascii="Times New Roman" w:hAnsi="Times New Roman" w:cs="Times New Roman"/>
          <w:b/>
          <w:sz w:val="24"/>
          <w:szCs w:val="24"/>
        </w:rPr>
        <w:t>„rozhodnutia a príkazy“</w:t>
      </w:r>
      <w:r w:rsidRPr="007622D4">
        <w:rPr>
          <w:rFonts w:ascii="Times New Roman" w:hAnsi="Times New Roman" w:cs="Times New Roman"/>
          <w:sz w:val="24"/>
          <w:szCs w:val="24"/>
        </w:rPr>
        <w:t xml:space="preserve">. Tento pojem je v nariadení reprezentovaný dvoma konkrétnymi inštitútmi, a to európsky príkaz na predloženie dôkazov a európsky príkaz na uchovanie dôkazov. Smernica nepracuje priamo s týmito pojmami, ale nahrádza ich všeobecnejším pojmom „rozhodnutia a príkazy“, pričom obsah týchto pojmov treba vykladať v intenciách nariadenia. Túto logiku predkladateľ zohľadňuje aj v návrhu zákona, ktorý pracuje s pojmom „rozhodnutia a príkazy“ s odkazom na nariadenie. </w:t>
      </w:r>
      <w:r w:rsidR="008F6F6F">
        <w:rPr>
          <w:rFonts w:ascii="Times New Roman" w:hAnsi="Times New Roman" w:cs="Times New Roman"/>
          <w:sz w:val="24"/>
          <w:szCs w:val="24"/>
        </w:rPr>
        <w:t xml:space="preserve">Predkladateľ nevzhliada za potrebná tento pojem atomizovať na pojmy </w:t>
      </w:r>
      <w:r w:rsidR="008F6F6F">
        <w:rPr>
          <w:rFonts w:ascii="Times New Roman" w:hAnsi="Times New Roman" w:cs="Times New Roman"/>
          <w:sz w:val="24"/>
        </w:rPr>
        <w:t>európsky</w:t>
      </w:r>
      <w:r w:rsidR="008F6F6F" w:rsidRPr="00011030">
        <w:rPr>
          <w:rFonts w:ascii="Times New Roman" w:hAnsi="Times New Roman" w:cs="Times New Roman"/>
          <w:sz w:val="24"/>
        </w:rPr>
        <w:t xml:space="preserve"> príkaz na predloženie e</w:t>
      </w:r>
      <w:r w:rsidR="008F6F6F">
        <w:rPr>
          <w:rFonts w:ascii="Times New Roman" w:hAnsi="Times New Roman" w:cs="Times New Roman"/>
          <w:sz w:val="24"/>
        </w:rPr>
        <w:t>lektronických dôkazov a európsky</w:t>
      </w:r>
      <w:r w:rsidR="008F6F6F" w:rsidRPr="00011030">
        <w:rPr>
          <w:rFonts w:ascii="Times New Roman" w:hAnsi="Times New Roman" w:cs="Times New Roman"/>
          <w:sz w:val="24"/>
        </w:rPr>
        <w:t xml:space="preserve"> príkaz na uchovanie elektronických dôkazov</w:t>
      </w:r>
      <w:r w:rsidR="008F6F6F">
        <w:rPr>
          <w:rFonts w:ascii="Times New Roman" w:hAnsi="Times New Roman" w:cs="Times New Roman"/>
          <w:sz w:val="24"/>
        </w:rPr>
        <w:t xml:space="preserve">. Pod pojmom rozhodnutie a príkaz treba rozumieť tie nástroje, ktoré upravuje priamo aplikovateľné nariadenie. Táto miera zovšeobecnenia má aj pragmatický rozmer, pretože do budúcna nemožno vylúčiť rozšírenie nástroj nariadenia aj o nové typy príkazov (k tomu pozri čl. 33 nariadenia), pričom v takom prípade nebude potrebné novelizovať zákon, ktorým sa transponuje smernica. </w:t>
      </w:r>
    </w:p>
    <w:p w14:paraId="6F4ED583" w14:textId="77777777" w:rsidR="00C214A3" w:rsidRPr="007622D4" w:rsidRDefault="00C214A3" w:rsidP="00A64364">
      <w:pPr>
        <w:spacing w:after="0" w:line="240" w:lineRule="auto"/>
        <w:jc w:val="both"/>
        <w:rPr>
          <w:rFonts w:ascii="Times New Roman" w:hAnsi="Times New Roman" w:cs="Times New Roman"/>
          <w:sz w:val="24"/>
          <w:szCs w:val="24"/>
        </w:rPr>
      </w:pPr>
    </w:p>
    <w:p w14:paraId="3E61E39F" w14:textId="6A631CC2" w:rsidR="00642B67" w:rsidRPr="007622D4" w:rsidRDefault="00433597"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V odseku 2 sa nachádza konštatácia, ktorá normatívne vyjadruje vzťah návrhu zákona a výlučne vnútroštátnych postupov spojených so zhromažďovaním elektronických dôkazov.</w:t>
      </w:r>
      <w:r w:rsidR="00FC3CA2" w:rsidRPr="007622D4">
        <w:rPr>
          <w:rFonts w:ascii="Times New Roman" w:hAnsi="Times New Roman" w:cs="Times New Roman"/>
          <w:sz w:val="24"/>
          <w:szCs w:val="24"/>
        </w:rPr>
        <w:t xml:space="preserve"> </w:t>
      </w:r>
      <w:r w:rsidRPr="007622D4">
        <w:rPr>
          <w:rFonts w:ascii="Times New Roman" w:hAnsi="Times New Roman" w:cs="Times New Roman"/>
          <w:sz w:val="24"/>
          <w:szCs w:val="24"/>
        </w:rPr>
        <w:t>Zohľadňuje sa pri tom čl. 1 ods. 1 druhá veta nariadenia a čl. 1 ods. 5 smernice. Vo výsledku to znamená, že zákon sa nepoužije v konaniach majúcich čisto vnútroštátny charakter</w:t>
      </w:r>
      <w:r w:rsidR="007208D5">
        <w:rPr>
          <w:rFonts w:ascii="Times New Roman" w:hAnsi="Times New Roman" w:cs="Times New Roman"/>
          <w:sz w:val="24"/>
          <w:szCs w:val="24"/>
        </w:rPr>
        <w:t xml:space="preserve">, pretože v takýchto konania budú postupovať slovenské orgány </w:t>
      </w:r>
      <w:r w:rsidR="00A55CBB">
        <w:rPr>
          <w:rFonts w:ascii="Times New Roman" w:hAnsi="Times New Roman" w:cs="Times New Roman"/>
          <w:sz w:val="24"/>
          <w:szCs w:val="24"/>
        </w:rPr>
        <w:t xml:space="preserve">tak ako doteraz </w:t>
      </w:r>
      <w:r w:rsidR="007208D5">
        <w:rPr>
          <w:rFonts w:ascii="Times New Roman" w:hAnsi="Times New Roman" w:cs="Times New Roman"/>
          <w:sz w:val="24"/>
          <w:szCs w:val="24"/>
        </w:rPr>
        <w:t>podľa Trestného poriadku</w:t>
      </w:r>
      <w:r w:rsidRPr="007622D4">
        <w:rPr>
          <w:rFonts w:ascii="Times New Roman" w:hAnsi="Times New Roman" w:cs="Times New Roman"/>
          <w:sz w:val="24"/>
          <w:szCs w:val="24"/>
        </w:rPr>
        <w:t xml:space="preserve">. </w:t>
      </w:r>
    </w:p>
    <w:p w14:paraId="4C662D4B" w14:textId="0B35CBBD" w:rsidR="00642B67" w:rsidRDefault="00642B67" w:rsidP="00A64364">
      <w:pPr>
        <w:spacing w:after="0" w:line="240" w:lineRule="auto"/>
        <w:jc w:val="both"/>
        <w:rPr>
          <w:rFonts w:ascii="Times New Roman" w:hAnsi="Times New Roman" w:cs="Times New Roman"/>
          <w:sz w:val="24"/>
          <w:szCs w:val="24"/>
        </w:rPr>
      </w:pPr>
    </w:p>
    <w:p w14:paraId="29D5C30A" w14:textId="77777777" w:rsidR="00D671AF" w:rsidRPr="007622D4" w:rsidRDefault="00D671AF" w:rsidP="00A64364">
      <w:pPr>
        <w:spacing w:after="0" w:line="240" w:lineRule="auto"/>
        <w:jc w:val="both"/>
        <w:rPr>
          <w:rFonts w:ascii="Times New Roman" w:hAnsi="Times New Roman" w:cs="Times New Roman"/>
          <w:sz w:val="24"/>
          <w:szCs w:val="24"/>
        </w:rPr>
      </w:pPr>
    </w:p>
    <w:p w14:paraId="06E46A9F" w14:textId="77777777" w:rsidR="00642B67" w:rsidRPr="007622D4" w:rsidRDefault="00642B67" w:rsidP="00A64364">
      <w:pPr>
        <w:spacing w:after="0" w:line="240" w:lineRule="auto"/>
        <w:jc w:val="both"/>
        <w:rPr>
          <w:rFonts w:ascii="Times New Roman" w:hAnsi="Times New Roman" w:cs="Times New Roman"/>
          <w:sz w:val="24"/>
          <w:szCs w:val="24"/>
          <w:u w:val="single"/>
        </w:rPr>
      </w:pPr>
      <w:r w:rsidRPr="007622D4">
        <w:rPr>
          <w:rFonts w:ascii="Times New Roman" w:hAnsi="Times New Roman" w:cs="Times New Roman"/>
          <w:sz w:val="24"/>
          <w:szCs w:val="24"/>
          <w:u w:val="single"/>
        </w:rPr>
        <w:t>K § 2</w:t>
      </w:r>
    </w:p>
    <w:p w14:paraId="03DAF71C" w14:textId="77777777" w:rsidR="00642B67" w:rsidRPr="007622D4" w:rsidRDefault="00642B67" w:rsidP="00A64364">
      <w:pPr>
        <w:spacing w:after="0" w:line="240" w:lineRule="auto"/>
        <w:jc w:val="both"/>
        <w:rPr>
          <w:rFonts w:ascii="Times New Roman" w:hAnsi="Times New Roman" w:cs="Times New Roman"/>
          <w:sz w:val="24"/>
          <w:szCs w:val="24"/>
        </w:rPr>
      </w:pPr>
    </w:p>
    <w:p w14:paraId="02469A22" w14:textId="77777777" w:rsidR="00642B67" w:rsidRPr="007622D4" w:rsidRDefault="005353FB"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 xml:space="preserve">V navrhovanom § 2 sa upravuje rozsah pôsobnosti zákona, a to v personálnej rovine tým, že sa v odseku 1 vymedzuje okruh poskytovateľov služieb, na ktorých sa zákon vzťahuje (pozitívne vymedzenie) a v odseku 2 sa upravuje okruh poskytovateľov služieb, na ktorých sa zákon nevzťahuje (negatívne vymedzenie).  </w:t>
      </w:r>
    </w:p>
    <w:p w14:paraId="6993BD3A" w14:textId="77777777" w:rsidR="005353FB" w:rsidRPr="007622D4" w:rsidRDefault="005353FB" w:rsidP="00A64364">
      <w:pPr>
        <w:spacing w:after="0" w:line="240" w:lineRule="auto"/>
        <w:ind w:firstLine="708"/>
        <w:jc w:val="both"/>
        <w:rPr>
          <w:rFonts w:ascii="Times New Roman" w:hAnsi="Times New Roman" w:cs="Times New Roman"/>
          <w:sz w:val="24"/>
          <w:szCs w:val="24"/>
        </w:rPr>
      </w:pPr>
    </w:p>
    <w:p w14:paraId="63CF40B9" w14:textId="690BEF39" w:rsidR="0040648D" w:rsidRPr="007622D4" w:rsidRDefault="00D40EA9"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 xml:space="preserve">Pozitívne vymedzenie rozsahu pôsobnosti </w:t>
      </w:r>
      <w:r w:rsidR="005353FB" w:rsidRPr="007622D4">
        <w:rPr>
          <w:rFonts w:ascii="Times New Roman" w:hAnsi="Times New Roman" w:cs="Times New Roman"/>
          <w:sz w:val="24"/>
          <w:szCs w:val="24"/>
        </w:rPr>
        <w:t>zákona v odseku 1 zohľadňuje čl. 1 ods. 1</w:t>
      </w:r>
      <w:r w:rsidR="00BD7245" w:rsidRPr="007622D4">
        <w:rPr>
          <w:rFonts w:ascii="Times New Roman" w:hAnsi="Times New Roman" w:cs="Times New Roman"/>
          <w:sz w:val="24"/>
          <w:szCs w:val="24"/>
        </w:rPr>
        <w:t xml:space="preserve"> a ods. 5 </w:t>
      </w:r>
      <w:r w:rsidR="000101DF">
        <w:rPr>
          <w:rFonts w:ascii="Times New Roman" w:hAnsi="Times New Roman" w:cs="Times New Roman"/>
          <w:sz w:val="24"/>
          <w:szCs w:val="24"/>
        </w:rPr>
        <w:t>prvá</w:t>
      </w:r>
      <w:r w:rsidR="000101DF" w:rsidRPr="007622D4">
        <w:rPr>
          <w:rFonts w:ascii="Times New Roman" w:hAnsi="Times New Roman" w:cs="Times New Roman"/>
          <w:sz w:val="24"/>
          <w:szCs w:val="24"/>
        </w:rPr>
        <w:t xml:space="preserve"> </w:t>
      </w:r>
      <w:r w:rsidR="00BD7245" w:rsidRPr="007622D4">
        <w:rPr>
          <w:rFonts w:ascii="Times New Roman" w:hAnsi="Times New Roman" w:cs="Times New Roman"/>
          <w:sz w:val="24"/>
          <w:szCs w:val="24"/>
        </w:rPr>
        <w:t>veta</w:t>
      </w:r>
      <w:r w:rsidR="005353FB" w:rsidRPr="007622D4">
        <w:rPr>
          <w:rFonts w:ascii="Times New Roman" w:hAnsi="Times New Roman" w:cs="Times New Roman"/>
          <w:sz w:val="24"/>
          <w:szCs w:val="24"/>
        </w:rPr>
        <w:t xml:space="preserve"> smernice v spojitosti s čl. </w:t>
      </w:r>
      <w:r w:rsidR="00BD7245" w:rsidRPr="007622D4">
        <w:rPr>
          <w:rFonts w:ascii="Times New Roman" w:hAnsi="Times New Roman" w:cs="Times New Roman"/>
          <w:sz w:val="24"/>
          <w:szCs w:val="24"/>
        </w:rPr>
        <w:t>3</w:t>
      </w:r>
      <w:r w:rsidR="000E78E4" w:rsidRPr="007622D4">
        <w:rPr>
          <w:rFonts w:ascii="Times New Roman" w:hAnsi="Times New Roman" w:cs="Times New Roman"/>
          <w:sz w:val="24"/>
          <w:szCs w:val="24"/>
        </w:rPr>
        <w:t xml:space="preserve"> smernice, a teda rozhodujúci je fakt, že poskytovateľ služieb </w:t>
      </w:r>
      <w:r w:rsidR="0084024B">
        <w:rPr>
          <w:rFonts w:ascii="Times New Roman" w:hAnsi="Times New Roman" w:cs="Times New Roman"/>
          <w:sz w:val="24"/>
          <w:szCs w:val="24"/>
        </w:rPr>
        <w:t xml:space="preserve">ponúka </w:t>
      </w:r>
      <w:r w:rsidR="000E78E4" w:rsidRPr="007622D4">
        <w:rPr>
          <w:rFonts w:ascii="Times New Roman" w:hAnsi="Times New Roman" w:cs="Times New Roman"/>
          <w:sz w:val="24"/>
          <w:szCs w:val="24"/>
        </w:rPr>
        <w:t>služby v Európskej únii</w:t>
      </w:r>
      <w:r w:rsidR="00465157">
        <w:rPr>
          <w:rFonts w:ascii="Times New Roman" w:hAnsi="Times New Roman" w:cs="Times New Roman"/>
          <w:sz w:val="24"/>
          <w:szCs w:val="24"/>
        </w:rPr>
        <w:t>, a to bez ohľadu na to, či je v Európskej únii usadený</w:t>
      </w:r>
      <w:r w:rsidR="000E78E4" w:rsidRPr="007622D4">
        <w:rPr>
          <w:rFonts w:ascii="Times New Roman" w:hAnsi="Times New Roman" w:cs="Times New Roman"/>
          <w:sz w:val="24"/>
          <w:szCs w:val="24"/>
        </w:rPr>
        <w:t>.</w:t>
      </w:r>
      <w:r w:rsidR="00465157">
        <w:rPr>
          <w:rFonts w:ascii="Times New Roman" w:hAnsi="Times New Roman" w:cs="Times New Roman"/>
          <w:sz w:val="24"/>
          <w:szCs w:val="24"/>
        </w:rPr>
        <w:t xml:space="preserve"> </w:t>
      </w:r>
      <w:r w:rsidR="00B63EDE" w:rsidRPr="00B63EDE">
        <w:rPr>
          <w:rFonts w:ascii="Times New Roman" w:hAnsi="Times New Roman" w:cs="Times New Roman"/>
          <w:sz w:val="24"/>
          <w:szCs w:val="24"/>
        </w:rPr>
        <w:t xml:space="preserve">Z praktického hľadiska môžu nastať v podstate </w:t>
      </w:r>
      <w:r w:rsidR="00B63EDE">
        <w:rPr>
          <w:rFonts w:ascii="Times New Roman" w:hAnsi="Times New Roman" w:cs="Times New Roman"/>
          <w:sz w:val="24"/>
          <w:szCs w:val="24"/>
        </w:rPr>
        <w:t>tri</w:t>
      </w:r>
      <w:r w:rsidR="00B63EDE" w:rsidRPr="00B63EDE">
        <w:rPr>
          <w:rFonts w:ascii="Times New Roman" w:hAnsi="Times New Roman" w:cs="Times New Roman"/>
          <w:sz w:val="24"/>
          <w:szCs w:val="24"/>
        </w:rPr>
        <w:t xml:space="preserve"> situácie – buď je poskytovateľ usadený na území Slovenskej republiky a ponúka služby v Európskej únii (t.j. aj mimo územia Slovenskej republiky), alebo poskytovateľ je usadený mimo územia Slovenskej republiky, ale je usadený v inom členskom štáte a súčasne ponúka služby na území Slovenskej republiky</w:t>
      </w:r>
      <w:r w:rsidR="00B63EDE">
        <w:rPr>
          <w:rFonts w:ascii="Times New Roman" w:hAnsi="Times New Roman" w:cs="Times New Roman"/>
          <w:sz w:val="24"/>
          <w:szCs w:val="24"/>
        </w:rPr>
        <w:t xml:space="preserve">, prípadne nie je vôbec usadený v Európskej únii, ale poskytuje služby </w:t>
      </w:r>
      <w:r w:rsidR="003B7C0D" w:rsidRPr="00B63EDE">
        <w:rPr>
          <w:rFonts w:ascii="Times New Roman" w:hAnsi="Times New Roman" w:cs="Times New Roman"/>
          <w:sz w:val="24"/>
          <w:szCs w:val="24"/>
        </w:rPr>
        <w:t>na území Slovenskej republiky</w:t>
      </w:r>
      <w:r w:rsidR="00B63EDE" w:rsidRPr="00B63EDE">
        <w:rPr>
          <w:rFonts w:ascii="Times New Roman" w:hAnsi="Times New Roman" w:cs="Times New Roman"/>
          <w:sz w:val="24"/>
          <w:szCs w:val="24"/>
        </w:rPr>
        <w:t xml:space="preserve">. </w:t>
      </w:r>
      <w:r w:rsidR="00B63EDE">
        <w:rPr>
          <w:rFonts w:ascii="Times New Roman" w:hAnsi="Times New Roman" w:cs="Times New Roman"/>
          <w:sz w:val="24"/>
          <w:szCs w:val="24"/>
        </w:rPr>
        <w:t>Všetky tieto tri situácie sa navrhuje výslovne upraviť pri pozitívnom vymedzení osobnej pôsobnosti zákona.</w:t>
      </w:r>
      <w:r w:rsidR="002151EE">
        <w:rPr>
          <w:rFonts w:ascii="Times New Roman" w:hAnsi="Times New Roman" w:cs="Times New Roman"/>
          <w:sz w:val="24"/>
          <w:szCs w:val="24"/>
        </w:rPr>
        <w:t xml:space="preserve"> Pre písmená a), b) a c) navrhované v odseku 1 je podľa logiky veci jednotiacim kritériom väzba na územie Slovenskej republiky. </w:t>
      </w:r>
      <w:r w:rsidR="00193EE1">
        <w:rPr>
          <w:rFonts w:ascii="Times New Roman" w:hAnsi="Times New Roman" w:cs="Times New Roman"/>
          <w:sz w:val="24"/>
          <w:szCs w:val="24"/>
        </w:rPr>
        <w:t>Ak by tento parameter právnej úprav</w:t>
      </w:r>
      <w:r w:rsidR="00C84A29">
        <w:rPr>
          <w:rFonts w:ascii="Times New Roman" w:hAnsi="Times New Roman" w:cs="Times New Roman"/>
          <w:sz w:val="24"/>
          <w:szCs w:val="24"/>
        </w:rPr>
        <w:t>y</w:t>
      </w:r>
      <w:r w:rsidR="00193EE1">
        <w:rPr>
          <w:rFonts w:ascii="Times New Roman" w:hAnsi="Times New Roman" w:cs="Times New Roman"/>
          <w:sz w:val="24"/>
          <w:szCs w:val="24"/>
        </w:rPr>
        <w:t xml:space="preserve"> absentoval, zákon by mal nežiaduce a súčasne neprípustné exteritoriálne účinky.</w:t>
      </w:r>
      <w:r w:rsidR="00B63EDE" w:rsidRPr="00B63EDE">
        <w:rPr>
          <w:rFonts w:ascii="Times New Roman" w:hAnsi="Times New Roman" w:cs="Times New Roman"/>
          <w:sz w:val="24"/>
          <w:szCs w:val="24"/>
        </w:rPr>
        <w:t xml:space="preserve">      </w:t>
      </w:r>
      <w:r w:rsidR="000C233B">
        <w:rPr>
          <w:rFonts w:ascii="Times New Roman" w:hAnsi="Times New Roman" w:cs="Times New Roman"/>
          <w:sz w:val="24"/>
          <w:szCs w:val="24"/>
        </w:rPr>
        <w:t xml:space="preserve"> </w:t>
      </w:r>
      <w:r w:rsidR="005353FB" w:rsidRPr="007622D4">
        <w:rPr>
          <w:rFonts w:ascii="Times New Roman" w:hAnsi="Times New Roman" w:cs="Times New Roman"/>
          <w:sz w:val="24"/>
          <w:szCs w:val="24"/>
        </w:rPr>
        <w:t xml:space="preserve"> </w:t>
      </w:r>
    </w:p>
    <w:p w14:paraId="20F2E435" w14:textId="77777777" w:rsidR="0040648D" w:rsidRPr="007622D4" w:rsidRDefault="0040648D" w:rsidP="00A64364">
      <w:pPr>
        <w:spacing w:after="0" w:line="240" w:lineRule="auto"/>
        <w:ind w:firstLine="708"/>
        <w:jc w:val="both"/>
        <w:rPr>
          <w:rFonts w:ascii="Times New Roman" w:hAnsi="Times New Roman" w:cs="Times New Roman"/>
          <w:sz w:val="24"/>
          <w:szCs w:val="24"/>
        </w:rPr>
      </w:pPr>
    </w:p>
    <w:p w14:paraId="2129876B" w14:textId="799C2251" w:rsidR="005353FB" w:rsidRPr="007622D4" w:rsidRDefault="005353FB"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Pri negatívnom vymedzení pôsobnosti zákona</w:t>
      </w:r>
      <w:r w:rsidR="00D40EA9" w:rsidRPr="007622D4">
        <w:rPr>
          <w:rFonts w:ascii="Times New Roman" w:hAnsi="Times New Roman" w:cs="Times New Roman"/>
          <w:sz w:val="24"/>
          <w:szCs w:val="24"/>
        </w:rPr>
        <w:t xml:space="preserve"> v odseku 2 </w:t>
      </w:r>
      <w:r w:rsidRPr="007622D4">
        <w:rPr>
          <w:rFonts w:ascii="Times New Roman" w:hAnsi="Times New Roman" w:cs="Times New Roman"/>
          <w:sz w:val="24"/>
          <w:szCs w:val="24"/>
        </w:rPr>
        <w:t>je určujúci čl. 1 ods. 5 druhá veta smernice</w:t>
      </w:r>
      <w:r w:rsidR="000E78E4" w:rsidRPr="007622D4">
        <w:rPr>
          <w:rFonts w:ascii="Times New Roman" w:hAnsi="Times New Roman" w:cs="Times New Roman"/>
          <w:sz w:val="24"/>
          <w:szCs w:val="24"/>
        </w:rPr>
        <w:t xml:space="preserve">, podľa ktorej </w:t>
      </w:r>
      <w:r w:rsidR="00145F27" w:rsidRPr="007622D4">
        <w:rPr>
          <w:rFonts w:ascii="Times New Roman" w:hAnsi="Times New Roman" w:cs="Times New Roman"/>
          <w:sz w:val="24"/>
          <w:szCs w:val="24"/>
        </w:rPr>
        <w:t>sa smernica n</w:t>
      </w:r>
      <w:r w:rsidR="000E78E4" w:rsidRPr="007622D4">
        <w:rPr>
          <w:rFonts w:ascii="Times New Roman" w:hAnsi="Times New Roman" w:cs="Times New Roman"/>
          <w:sz w:val="24"/>
          <w:szCs w:val="24"/>
        </w:rPr>
        <w:t>euplatňuje na poskytovateľov služieb, ktorí sú usadení na území jediného členského štátu a ponúkajú služby výlučne na území daného členského štátu</w:t>
      </w:r>
      <w:r w:rsidRPr="007622D4">
        <w:rPr>
          <w:rFonts w:ascii="Times New Roman" w:hAnsi="Times New Roman" w:cs="Times New Roman"/>
          <w:sz w:val="24"/>
          <w:szCs w:val="24"/>
        </w:rPr>
        <w:t>.</w:t>
      </w:r>
      <w:r w:rsidR="00682B42" w:rsidRPr="007622D4">
        <w:rPr>
          <w:rFonts w:ascii="Times New Roman" w:hAnsi="Times New Roman" w:cs="Times New Roman"/>
          <w:sz w:val="24"/>
          <w:szCs w:val="24"/>
        </w:rPr>
        <w:t xml:space="preserve"> Transpozície smernice v tomto prípade nemôže byť doslovná, resp. s použitím slovo „členský štát“, pretože v takom prípade by zákon zakladal exteritoriálne účinky. Preto predkladateľ namiesto toho adresuje právnu úpravu len poskytovateľom služieb </w:t>
      </w:r>
      <w:r w:rsidR="00701C89" w:rsidRPr="007622D4">
        <w:rPr>
          <w:rFonts w:ascii="Times New Roman" w:hAnsi="Times New Roman" w:cs="Times New Roman"/>
          <w:sz w:val="24"/>
          <w:szCs w:val="24"/>
        </w:rPr>
        <w:t>usadený</w:t>
      </w:r>
      <w:r w:rsidR="00701C89">
        <w:rPr>
          <w:rFonts w:ascii="Times New Roman" w:hAnsi="Times New Roman" w:cs="Times New Roman"/>
          <w:sz w:val="24"/>
          <w:szCs w:val="24"/>
        </w:rPr>
        <w:t>m</w:t>
      </w:r>
      <w:r w:rsidR="00701C89" w:rsidRPr="007622D4">
        <w:rPr>
          <w:rFonts w:ascii="Times New Roman" w:hAnsi="Times New Roman" w:cs="Times New Roman"/>
          <w:sz w:val="24"/>
          <w:szCs w:val="24"/>
        </w:rPr>
        <w:t xml:space="preserve"> </w:t>
      </w:r>
      <w:r w:rsidR="00682B42" w:rsidRPr="007622D4">
        <w:rPr>
          <w:rFonts w:ascii="Times New Roman" w:hAnsi="Times New Roman" w:cs="Times New Roman"/>
          <w:sz w:val="24"/>
          <w:szCs w:val="24"/>
        </w:rPr>
        <w:t>na území Slovensk</w:t>
      </w:r>
      <w:r w:rsidR="00FD004F" w:rsidRPr="007622D4">
        <w:rPr>
          <w:rFonts w:ascii="Times New Roman" w:hAnsi="Times New Roman" w:cs="Times New Roman"/>
          <w:sz w:val="24"/>
          <w:szCs w:val="24"/>
        </w:rPr>
        <w:t>ej republiky</w:t>
      </w:r>
      <w:r w:rsidR="00701C89">
        <w:rPr>
          <w:rFonts w:ascii="Times New Roman" w:hAnsi="Times New Roman" w:cs="Times New Roman"/>
          <w:sz w:val="24"/>
          <w:szCs w:val="24"/>
        </w:rPr>
        <w:t>,</w:t>
      </w:r>
      <w:r w:rsidR="008B18DF">
        <w:rPr>
          <w:rFonts w:ascii="Times New Roman" w:hAnsi="Times New Roman" w:cs="Times New Roman"/>
          <w:sz w:val="24"/>
          <w:szCs w:val="24"/>
        </w:rPr>
        <w:t xml:space="preserve"> </w:t>
      </w:r>
      <w:r w:rsidR="00701C89">
        <w:rPr>
          <w:rFonts w:ascii="Times New Roman" w:hAnsi="Times New Roman" w:cs="Times New Roman"/>
          <w:sz w:val="24"/>
          <w:szCs w:val="24"/>
        </w:rPr>
        <w:t xml:space="preserve">ktorí </w:t>
      </w:r>
      <w:r w:rsidR="008B18DF">
        <w:rPr>
          <w:rFonts w:ascii="Times New Roman" w:hAnsi="Times New Roman" w:cs="Times New Roman"/>
          <w:sz w:val="24"/>
          <w:szCs w:val="24"/>
        </w:rPr>
        <w:t xml:space="preserve">ponúkajú svoje služby výlučne na území Slovenskej </w:t>
      </w:r>
      <w:r w:rsidR="00DA0D0F">
        <w:rPr>
          <w:rFonts w:ascii="Times New Roman" w:hAnsi="Times New Roman" w:cs="Times New Roman"/>
          <w:sz w:val="24"/>
          <w:szCs w:val="24"/>
        </w:rPr>
        <w:t>r</w:t>
      </w:r>
      <w:r w:rsidR="008B18DF">
        <w:rPr>
          <w:rFonts w:ascii="Times New Roman" w:hAnsi="Times New Roman" w:cs="Times New Roman"/>
          <w:sz w:val="24"/>
          <w:szCs w:val="24"/>
        </w:rPr>
        <w:t>epubliky</w:t>
      </w:r>
      <w:r w:rsidR="00FD004F" w:rsidRPr="007622D4">
        <w:rPr>
          <w:rFonts w:ascii="Times New Roman" w:hAnsi="Times New Roman" w:cs="Times New Roman"/>
          <w:sz w:val="24"/>
          <w:szCs w:val="24"/>
        </w:rPr>
        <w:t xml:space="preserve">, čo vylučuje exteritoriálne účinky slovenskej právnej normy. </w:t>
      </w:r>
      <w:r w:rsidR="00682B42" w:rsidRPr="007622D4">
        <w:rPr>
          <w:rFonts w:ascii="Times New Roman" w:hAnsi="Times New Roman" w:cs="Times New Roman"/>
          <w:sz w:val="24"/>
          <w:szCs w:val="24"/>
        </w:rPr>
        <w:t xml:space="preserve"> </w:t>
      </w:r>
      <w:r w:rsidR="004256AC" w:rsidRPr="007622D4">
        <w:rPr>
          <w:rFonts w:ascii="Times New Roman" w:hAnsi="Times New Roman" w:cs="Times New Roman"/>
          <w:sz w:val="24"/>
          <w:szCs w:val="24"/>
        </w:rPr>
        <w:t xml:space="preserve"> </w:t>
      </w:r>
      <w:r w:rsidRPr="007622D4">
        <w:rPr>
          <w:rFonts w:ascii="Times New Roman" w:hAnsi="Times New Roman" w:cs="Times New Roman"/>
          <w:sz w:val="24"/>
          <w:szCs w:val="24"/>
        </w:rPr>
        <w:t xml:space="preserve"> </w:t>
      </w:r>
    </w:p>
    <w:p w14:paraId="513CD642" w14:textId="77777777" w:rsidR="00AE301C" w:rsidRPr="007622D4" w:rsidRDefault="00AE301C" w:rsidP="00A64364">
      <w:pPr>
        <w:spacing w:after="0" w:line="240" w:lineRule="auto"/>
        <w:ind w:firstLine="708"/>
        <w:jc w:val="both"/>
        <w:rPr>
          <w:rFonts w:ascii="Times New Roman" w:hAnsi="Times New Roman" w:cs="Times New Roman"/>
          <w:sz w:val="24"/>
          <w:szCs w:val="24"/>
        </w:rPr>
      </w:pPr>
    </w:p>
    <w:p w14:paraId="25F47945" w14:textId="4E69D1D8" w:rsidR="00AE301C" w:rsidRPr="007622D4" w:rsidRDefault="00AE301C"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Tu treba poznamenať, že nariadenie obsahuje obdobnú reguláciu ako smernica. A teda právna úprava by zrejme obstála aj bez normatívneho vyjadrenie rozsahu pôsobnosti v navrhovanom § 2. Ale vzhľadom na to, že smernica musí byť transponovaná, tak predkladateľ volí riešenie spočívajúce v normatívnom uchopení personálneho rozsahu pôsobnosti zákona</w:t>
      </w:r>
      <w:r w:rsidR="004F54D1">
        <w:rPr>
          <w:rFonts w:ascii="Times New Roman" w:hAnsi="Times New Roman" w:cs="Times New Roman"/>
          <w:sz w:val="24"/>
          <w:szCs w:val="24"/>
        </w:rPr>
        <w:t xml:space="preserve"> vo svojej podstate rovnakým spôsobom ako nariadenie</w:t>
      </w:r>
      <w:r w:rsidRPr="007622D4">
        <w:rPr>
          <w:rFonts w:ascii="Times New Roman" w:hAnsi="Times New Roman" w:cs="Times New Roman"/>
          <w:sz w:val="24"/>
          <w:szCs w:val="24"/>
        </w:rPr>
        <w:t xml:space="preserve">. </w:t>
      </w:r>
    </w:p>
    <w:p w14:paraId="2EDD16FF" w14:textId="0876ED74" w:rsidR="00642B67" w:rsidRDefault="00642B67" w:rsidP="00A64364">
      <w:pPr>
        <w:spacing w:after="0" w:line="240" w:lineRule="auto"/>
        <w:jc w:val="both"/>
        <w:rPr>
          <w:rFonts w:ascii="Times New Roman" w:hAnsi="Times New Roman" w:cs="Times New Roman"/>
          <w:sz w:val="24"/>
          <w:szCs w:val="24"/>
        </w:rPr>
      </w:pPr>
    </w:p>
    <w:p w14:paraId="55803C41" w14:textId="77777777" w:rsidR="00D671AF" w:rsidRPr="007622D4" w:rsidRDefault="00D671AF" w:rsidP="00A64364">
      <w:pPr>
        <w:spacing w:after="0" w:line="240" w:lineRule="auto"/>
        <w:jc w:val="both"/>
        <w:rPr>
          <w:rFonts w:ascii="Times New Roman" w:hAnsi="Times New Roman" w:cs="Times New Roman"/>
          <w:sz w:val="24"/>
          <w:szCs w:val="24"/>
        </w:rPr>
      </w:pPr>
    </w:p>
    <w:p w14:paraId="72C800B0" w14:textId="77777777" w:rsidR="00642B67" w:rsidRPr="007622D4" w:rsidRDefault="00642B67" w:rsidP="00A64364">
      <w:pPr>
        <w:spacing w:after="0" w:line="240" w:lineRule="auto"/>
        <w:jc w:val="both"/>
        <w:rPr>
          <w:rFonts w:ascii="Times New Roman" w:hAnsi="Times New Roman" w:cs="Times New Roman"/>
          <w:sz w:val="24"/>
          <w:szCs w:val="24"/>
          <w:u w:val="single"/>
        </w:rPr>
      </w:pPr>
      <w:r w:rsidRPr="007622D4">
        <w:rPr>
          <w:rFonts w:ascii="Times New Roman" w:hAnsi="Times New Roman" w:cs="Times New Roman"/>
          <w:sz w:val="24"/>
          <w:szCs w:val="24"/>
          <w:u w:val="single"/>
        </w:rPr>
        <w:t>K § 3</w:t>
      </w:r>
    </w:p>
    <w:p w14:paraId="7DCF47C9" w14:textId="77777777" w:rsidR="00642B67" w:rsidRPr="007622D4" w:rsidRDefault="00642B67" w:rsidP="00A64364">
      <w:pPr>
        <w:spacing w:after="0" w:line="240" w:lineRule="auto"/>
        <w:jc w:val="both"/>
        <w:rPr>
          <w:rFonts w:ascii="Times New Roman" w:hAnsi="Times New Roman" w:cs="Times New Roman"/>
          <w:sz w:val="24"/>
          <w:szCs w:val="24"/>
        </w:rPr>
      </w:pPr>
    </w:p>
    <w:p w14:paraId="1401E0EF" w14:textId="4BE98400" w:rsidR="00FC3CA2" w:rsidRPr="007622D4" w:rsidRDefault="005C5F04"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 xml:space="preserve">Navrhované vymedzenie </w:t>
      </w:r>
      <w:r w:rsidR="00BF01AA" w:rsidRPr="007622D4">
        <w:rPr>
          <w:rFonts w:ascii="Times New Roman" w:hAnsi="Times New Roman" w:cs="Times New Roman"/>
          <w:sz w:val="24"/>
          <w:szCs w:val="24"/>
        </w:rPr>
        <w:t>pojmo</w:t>
      </w:r>
      <w:r w:rsidR="00BF01AA">
        <w:rPr>
          <w:rFonts w:ascii="Times New Roman" w:hAnsi="Times New Roman" w:cs="Times New Roman"/>
          <w:sz w:val="24"/>
          <w:szCs w:val="24"/>
        </w:rPr>
        <w:t>v</w:t>
      </w:r>
      <w:r w:rsidR="00BF01AA" w:rsidRPr="007622D4">
        <w:rPr>
          <w:rFonts w:ascii="Times New Roman" w:hAnsi="Times New Roman" w:cs="Times New Roman"/>
          <w:sz w:val="24"/>
          <w:szCs w:val="24"/>
        </w:rPr>
        <w:t xml:space="preserve"> </w:t>
      </w:r>
      <w:r w:rsidRPr="007622D4">
        <w:rPr>
          <w:rFonts w:ascii="Times New Roman" w:hAnsi="Times New Roman" w:cs="Times New Roman"/>
          <w:sz w:val="24"/>
          <w:szCs w:val="24"/>
        </w:rPr>
        <w:t xml:space="preserve">preberá do právneho poriadku pojmový aparát čl. 2 smernice. </w:t>
      </w:r>
      <w:r w:rsidR="00433597" w:rsidRPr="007622D4">
        <w:rPr>
          <w:rFonts w:ascii="Times New Roman" w:hAnsi="Times New Roman" w:cs="Times New Roman"/>
          <w:sz w:val="24"/>
          <w:szCs w:val="24"/>
        </w:rPr>
        <w:t xml:space="preserve"> </w:t>
      </w:r>
    </w:p>
    <w:p w14:paraId="271EEE7E" w14:textId="77777777" w:rsidR="0005750F" w:rsidRPr="007622D4" w:rsidRDefault="0005750F" w:rsidP="00A64364">
      <w:pPr>
        <w:spacing w:after="0" w:line="240" w:lineRule="auto"/>
        <w:ind w:firstLine="708"/>
        <w:jc w:val="both"/>
        <w:rPr>
          <w:rFonts w:ascii="Times New Roman" w:hAnsi="Times New Roman" w:cs="Times New Roman"/>
          <w:sz w:val="24"/>
          <w:szCs w:val="24"/>
        </w:rPr>
      </w:pPr>
    </w:p>
    <w:p w14:paraId="68B01E0E" w14:textId="10B7793B" w:rsidR="0005750F" w:rsidRPr="007622D4" w:rsidRDefault="00BF01AA"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lastRenderedPageBreak/>
        <w:t>Ustanoveni</w:t>
      </w:r>
      <w:r>
        <w:rPr>
          <w:rFonts w:ascii="Times New Roman" w:hAnsi="Times New Roman" w:cs="Times New Roman"/>
          <w:sz w:val="24"/>
          <w:szCs w:val="24"/>
        </w:rPr>
        <w:t>a</w:t>
      </w:r>
      <w:r w:rsidRPr="007622D4">
        <w:rPr>
          <w:rFonts w:ascii="Times New Roman" w:hAnsi="Times New Roman" w:cs="Times New Roman"/>
          <w:sz w:val="24"/>
          <w:szCs w:val="24"/>
        </w:rPr>
        <w:t xml:space="preserve"> </w:t>
      </w:r>
      <w:r w:rsidR="0005750F" w:rsidRPr="007622D4">
        <w:rPr>
          <w:rFonts w:ascii="Times New Roman" w:hAnsi="Times New Roman" w:cs="Times New Roman"/>
          <w:sz w:val="24"/>
          <w:szCs w:val="24"/>
        </w:rPr>
        <w:t>čl. 2 smernice a čl. 3 nariadenia obsahujú vlastné vymedzenie pojmov na účely smernice, resp. nariadenia. Použitý pojmový aparát je miestami duplicitný, resp. nariadenie upravuje tie isté pojmy ako smernica, rovnakým spôsobom (pozn. pojmový aparát nariadenia je</w:t>
      </w:r>
      <w:r w:rsidR="00273368">
        <w:rPr>
          <w:rFonts w:ascii="Times New Roman" w:hAnsi="Times New Roman" w:cs="Times New Roman"/>
          <w:sz w:val="24"/>
          <w:szCs w:val="24"/>
        </w:rPr>
        <w:t xml:space="preserve"> však</w:t>
      </w:r>
      <w:r w:rsidR="0005750F" w:rsidRPr="007622D4">
        <w:rPr>
          <w:rFonts w:ascii="Times New Roman" w:hAnsi="Times New Roman" w:cs="Times New Roman"/>
          <w:sz w:val="24"/>
          <w:szCs w:val="24"/>
        </w:rPr>
        <w:t xml:space="preserve"> širší</w:t>
      </w:r>
      <w:r w:rsidR="00273368">
        <w:rPr>
          <w:rFonts w:ascii="Times New Roman" w:hAnsi="Times New Roman" w:cs="Times New Roman"/>
          <w:sz w:val="24"/>
          <w:szCs w:val="24"/>
        </w:rPr>
        <w:t xml:space="preserve">, pretože vymedzuje aj pojmy, ktoré smernica </w:t>
      </w:r>
      <w:r w:rsidR="00251515">
        <w:rPr>
          <w:rFonts w:ascii="Times New Roman" w:hAnsi="Times New Roman" w:cs="Times New Roman"/>
          <w:sz w:val="24"/>
          <w:szCs w:val="24"/>
        </w:rPr>
        <w:t>nevymedzuje</w:t>
      </w:r>
      <w:r w:rsidR="0005750F" w:rsidRPr="007622D4">
        <w:rPr>
          <w:rFonts w:ascii="Times New Roman" w:hAnsi="Times New Roman" w:cs="Times New Roman"/>
          <w:sz w:val="24"/>
          <w:szCs w:val="24"/>
        </w:rPr>
        <w:t>). Uvedené možno riešiť dvoma spôsobmi. V prvom prípade návrh zákona nebude obsahovať vymedzenie pojmov, pretože sa priamo aplikuje nariadenie. V druhom prípade sa v návrhu zákona výslovne vymedzia len tie pojmy, ktoré vymedzuje smernica. Predkladateľ volí druhý prístup, pretože cieľom je úplná transpozícia smernice, pričom doterajšia interakcia medzi Slovenskou republikou a Európskou komisiu pri posudzovaní úplnosti a správnosti transpozícií poukazuje na to, že preferovaný je viac formálny a doslovný prístup pri transpozíciách.</w:t>
      </w:r>
    </w:p>
    <w:p w14:paraId="477DE776" w14:textId="77777777" w:rsidR="008626FB" w:rsidRPr="007622D4" w:rsidRDefault="008626FB" w:rsidP="00A64364">
      <w:pPr>
        <w:spacing w:after="0" w:line="240" w:lineRule="auto"/>
        <w:ind w:firstLine="708"/>
        <w:jc w:val="both"/>
        <w:rPr>
          <w:rFonts w:ascii="Times New Roman" w:hAnsi="Times New Roman" w:cs="Times New Roman"/>
          <w:sz w:val="24"/>
          <w:szCs w:val="24"/>
        </w:rPr>
      </w:pPr>
    </w:p>
    <w:p w14:paraId="10209B97" w14:textId="7E3AA495" w:rsidR="00B0649C" w:rsidRDefault="008626FB"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 xml:space="preserve">V písmene a) sa vymedzuje pojem </w:t>
      </w:r>
      <w:r w:rsidR="00372095" w:rsidRPr="007622D4">
        <w:rPr>
          <w:rFonts w:ascii="Times New Roman" w:hAnsi="Times New Roman" w:cs="Times New Roman"/>
          <w:b/>
          <w:sz w:val="24"/>
          <w:szCs w:val="24"/>
        </w:rPr>
        <w:t>„</w:t>
      </w:r>
      <w:r w:rsidRPr="007622D4">
        <w:rPr>
          <w:rFonts w:ascii="Times New Roman" w:hAnsi="Times New Roman" w:cs="Times New Roman"/>
          <w:b/>
          <w:sz w:val="24"/>
          <w:szCs w:val="24"/>
        </w:rPr>
        <w:t>poskytovateľ služieb</w:t>
      </w:r>
      <w:r w:rsidR="00372095" w:rsidRPr="007622D4">
        <w:rPr>
          <w:rFonts w:ascii="Times New Roman" w:hAnsi="Times New Roman" w:cs="Times New Roman"/>
          <w:b/>
          <w:sz w:val="24"/>
          <w:szCs w:val="24"/>
        </w:rPr>
        <w:t>“</w:t>
      </w:r>
      <w:r w:rsidRPr="007622D4">
        <w:rPr>
          <w:rFonts w:ascii="Times New Roman" w:hAnsi="Times New Roman" w:cs="Times New Roman"/>
          <w:sz w:val="24"/>
          <w:szCs w:val="24"/>
        </w:rPr>
        <w:t>. Podľa smernice môže ísť o fyzickú osobu alebo právnickú osobu</w:t>
      </w:r>
      <w:r w:rsidR="00A7792B">
        <w:rPr>
          <w:rFonts w:ascii="Times New Roman" w:hAnsi="Times New Roman" w:cs="Times New Roman"/>
          <w:sz w:val="24"/>
          <w:szCs w:val="24"/>
        </w:rPr>
        <w:t>, ktorá poskytuje vymedzené služby</w:t>
      </w:r>
      <w:r w:rsidRPr="007622D4">
        <w:rPr>
          <w:rFonts w:ascii="Times New Roman" w:hAnsi="Times New Roman" w:cs="Times New Roman"/>
          <w:sz w:val="24"/>
          <w:szCs w:val="24"/>
        </w:rPr>
        <w:t xml:space="preserve">. </w:t>
      </w:r>
      <w:r w:rsidR="00E705C6">
        <w:rPr>
          <w:rFonts w:ascii="Times New Roman" w:hAnsi="Times New Roman" w:cs="Times New Roman"/>
          <w:sz w:val="24"/>
          <w:szCs w:val="24"/>
        </w:rPr>
        <w:t xml:space="preserve">Tieto </w:t>
      </w:r>
      <w:r w:rsidRPr="007622D4">
        <w:rPr>
          <w:rFonts w:ascii="Times New Roman" w:hAnsi="Times New Roman" w:cs="Times New Roman"/>
          <w:sz w:val="24"/>
          <w:szCs w:val="24"/>
        </w:rPr>
        <w:t xml:space="preserve">služby rámcuje smernica spôsobom, ktorý je vymedzený v prvom až treťom bode. </w:t>
      </w:r>
      <w:r w:rsidR="00204E69" w:rsidRPr="007622D4">
        <w:rPr>
          <w:rFonts w:ascii="Times New Roman" w:hAnsi="Times New Roman" w:cs="Times New Roman"/>
          <w:sz w:val="24"/>
          <w:szCs w:val="24"/>
        </w:rPr>
        <w:t>Sú nimi</w:t>
      </w:r>
      <w:r w:rsidR="00B0649C">
        <w:rPr>
          <w:rFonts w:ascii="Times New Roman" w:hAnsi="Times New Roman" w:cs="Times New Roman"/>
          <w:sz w:val="24"/>
          <w:szCs w:val="24"/>
        </w:rPr>
        <w:t xml:space="preserve"> tri skupiny služieb. </w:t>
      </w:r>
      <w:r w:rsidR="000D7FC7">
        <w:rPr>
          <w:rFonts w:ascii="Times New Roman" w:hAnsi="Times New Roman" w:cs="Times New Roman"/>
          <w:sz w:val="24"/>
          <w:szCs w:val="24"/>
        </w:rPr>
        <w:t>V tomto prípade ide o pozitívne vymedzenie služieb. Na strane druhej, smernica v čl. 2 ods. 1 obsahuje aj negatívne vymedzenie služieb, pretože sa neberú do úvahy finančné služby</w:t>
      </w:r>
      <w:r w:rsidR="00BF01AA" w:rsidRPr="00BF01AA">
        <w:t xml:space="preserve"> </w:t>
      </w:r>
      <w:r w:rsidR="00BF01AA" w:rsidRPr="00BF01AA">
        <w:rPr>
          <w:rFonts w:ascii="Times New Roman" w:hAnsi="Times New Roman" w:cs="Times New Roman"/>
          <w:sz w:val="24"/>
          <w:szCs w:val="24"/>
        </w:rPr>
        <w:t>uvedené v článku 2 bode 2 písm. b) smernice Európskeho parlamentu a Rady 2006/123/ES</w:t>
      </w:r>
      <w:r w:rsidR="000D7FC7">
        <w:rPr>
          <w:rFonts w:ascii="Times New Roman" w:hAnsi="Times New Roman" w:cs="Times New Roman"/>
          <w:sz w:val="24"/>
          <w:szCs w:val="24"/>
        </w:rPr>
        <w:t>.</w:t>
      </w:r>
      <w:r w:rsidR="004C5598">
        <w:rPr>
          <w:rFonts w:ascii="Times New Roman" w:hAnsi="Times New Roman" w:cs="Times New Roman"/>
          <w:sz w:val="24"/>
          <w:szCs w:val="24"/>
        </w:rPr>
        <w:t xml:space="preserve"> Tejto logike je podriadená aj úprava v § 2 písm. a). </w:t>
      </w:r>
      <w:r w:rsidR="000D7FC7">
        <w:rPr>
          <w:rFonts w:ascii="Times New Roman" w:hAnsi="Times New Roman" w:cs="Times New Roman"/>
          <w:sz w:val="24"/>
          <w:szCs w:val="24"/>
        </w:rPr>
        <w:t xml:space="preserve"> </w:t>
      </w:r>
    </w:p>
    <w:p w14:paraId="7E44B179" w14:textId="77777777" w:rsidR="00B0649C" w:rsidRDefault="00B0649C" w:rsidP="00A64364">
      <w:pPr>
        <w:spacing w:after="0" w:line="240" w:lineRule="auto"/>
        <w:ind w:firstLine="708"/>
        <w:jc w:val="both"/>
        <w:rPr>
          <w:rFonts w:ascii="Times New Roman" w:hAnsi="Times New Roman" w:cs="Times New Roman"/>
          <w:sz w:val="24"/>
          <w:szCs w:val="24"/>
        </w:rPr>
      </w:pPr>
    </w:p>
    <w:p w14:paraId="603A01EA" w14:textId="53A42465" w:rsidR="00581CB1" w:rsidRDefault="00B0649C" w:rsidP="00A6436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 prvom rade</w:t>
      </w:r>
      <w:r w:rsidR="00204E69" w:rsidRPr="007622D4">
        <w:rPr>
          <w:rFonts w:ascii="Times New Roman" w:hAnsi="Times New Roman" w:cs="Times New Roman"/>
          <w:sz w:val="24"/>
          <w:szCs w:val="24"/>
        </w:rPr>
        <w:t xml:space="preserve"> </w:t>
      </w:r>
      <w:r w:rsidR="00133871">
        <w:rPr>
          <w:rFonts w:ascii="Times New Roman" w:hAnsi="Times New Roman" w:cs="Times New Roman"/>
          <w:sz w:val="24"/>
          <w:szCs w:val="24"/>
        </w:rPr>
        <w:t xml:space="preserve">ide o </w:t>
      </w:r>
      <w:r w:rsidR="00204E69" w:rsidRPr="00363F02">
        <w:rPr>
          <w:rFonts w:ascii="Times New Roman" w:hAnsi="Times New Roman" w:cs="Times New Roman"/>
          <w:b/>
          <w:sz w:val="24"/>
          <w:szCs w:val="24"/>
        </w:rPr>
        <w:t>elektronické komunikačné služby</w:t>
      </w:r>
      <w:r w:rsidR="00204E69" w:rsidRPr="007622D4">
        <w:rPr>
          <w:rFonts w:ascii="Times New Roman" w:hAnsi="Times New Roman" w:cs="Times New Roman"/>
          <w:sz w:val="24"/>
          <w:szCs w:val="24"/>
        </w:rPr>
        <w:t xml:space="preserve">, pri ktorých predkladateľ odkazuje na § 2 ods. 19 zákona č. 452/2021 Z. z. o elektronických komunikáciách v znení zákona č. 287/2023 Z. z., </w:t>
      </w:r>
      <w:r w:rsidR="0045374E" w:rsidRPr="0045374E">
        <w:rPr>
          <w:rFonts w:ascii="Times New Roman" w:hAnsi="Times New Roman" w:cs="Times New Roman"/>
          <w:sz w:val="24"/>
          <w:szCs w:val="24"/>
        </w:rPr>
        <w:t>ktorým bol transponovaný článok 2 bod 4 smernice (EÚ) 2018/1972</w:t>
      </w:r>
      <w:r w:rsidR="0045374E">
        <w:rPr>
          <w:rFonts w:ascii="Times New Roman" w:hAnsi="Times New Roman" w:cs="Times New Roman"/>
          <w:sz w:val="24"/>
          <w:szCs w:val="24"/>
        </w:rPr>
        <w:t xml:space="preserve">, </w:t>
      </w:r>
      <w:r w:rsidR="00204E69" w:rsidRPr="007622D4">
        <w:rPr>
          <w:rFonts w:ascii="Times New Roman" w:hAnsi="Times New Roman" w:cs="Times New Roman"/>
          <w:sz w:val="24"/>
          <w:szCs w:val="24"/>
        </w:rPr>
        <w:t>podľa ktorého (elektronickou komunikačnou) službou</w:t>
      </w:r>
      <w:r w:rsidR="008626FB" w:rsidRPr="007622D4">
        <w:rPr>
          <w:rFonts w:ascii="Times New Roman" w:hAnsi="Times New Roman" w:cs="Times New Roman"/>
          <w:sz w:val="24"/>
          <w:szCs w:val="24"/>
        </w:rPr>
        <w:t xml:space="preserve"> </w:t>
      </w:r>
      <w:r w:rsidR="00204E69" w:rsidRPr="007622D4">
        <w:rPr>
          <w:rFonts w:ascii="Times New Roman" w:hAnsi="Times New Roman" w:cs="Times New Roman"/>
          <w:sz w:val="24"/>
          <w:szCs w:val="24"/>
        </w:rPr>
        <w:t xml:space="preserve">treba rozumieť </w:t>
      </w:r>
      <w:r w:rsidR="00114E11" w:rsidRPr="001A2781">
        <w:rPr>
          <w:rFonts w:ascii="Times New Roman" w:hAnsi="Times New Roman" w:cs="Times New Roman"/>
          <w:i/>
          <w:sz w:val="24"/>
          <w:szCs w:val="24"/>
        </w:rPr>
        <w:t>„</w:t>
      </w:r>
      <w:r w:rsidR="00204E69" w:rsidRPr="001A2781">
        <w:rPr>
          <w:rFonts w:ascii="Times New Roman" w:hAnsi="Times New Roman" w:cs="Times New Roman"/>
          <w:i/>
          <w:sz w:val="24"/>
          <w:szCs w:val="24"/>
        </w:rPr>
        <w:t xml:space="preserve">službu obvykle </w:t>
      </w:r>
      <w:r w:rsidR="0007446C" w:rsidRPr="001A2781">
        <w:rPr>
          <w:rFonts w:ascii="Times New Roman" w:hAnsi="Times New Roman" w:cs="Times New Roman"/>
          <w:i/>
          <w:sz w:val="24"/>
          <w:szCs w:val="24"/>
        </w:rPr>
        <w:t>poskytovan</w:t>
      </w:r>
      <w:r w:rsidR="0007446C">
        <w:rPr>
          <w:rFonts w:ascii="Times New Roman" w:hAnsi="Times New Roman" w:cs="Times New Roman"/>
          <w:i/>
          <w:sz w:val="24"/>
          <w:szCs w:val="24"/>
        </w:rPr>
        <w:t>ú</w:t>
      </w:r>
      <w:r w:rsidR="0007446C" w:rsidRPr="001A2781">
        <w:rPr>
          <w:rFonts w:ascii="Times New Roman" w:hAnsi="Times New Roman" w:cs="Times New Roman"/>
          <w:i/>
          <w:sz w:val="24"/>
          <w:szCs w:val="24"/>
        </w:rPr>
        <w:t xml:space="preserve"> </w:t>
      </w:r>
      <w:r w:rsidR="00204E69" w:rsidRPr="001A2781">
        <w:rPr>
          <w:rFonts w:ascii="Times New Roman" w:hAnsi="Times New Roman" w:cs="Times New Roman"/>
          <w:i/>
          <w:sz w:val="24"/>
          <w:szCs w:val="24"/>
        </w:rPr>
        <w:t xml:space="preserve">za odplatu prostredníctvom sietí, ktorá zahŕňa službu prístupu k internetu, interpersonálnu komunikačnú službu alebo služby pozostávajúce úplne alebo prevažne z prenosu signálov, napríklad prenosové služby používané na poskytovanie služieb komunikácie stroj-stroj (M2M) a na rozhlasové a televízne vysielanie. Službou nie je poskytovanie obsahu alebo vykonávanie redakčnej kontroly obsahu prenášaného pomocou sietí a služieb. </w:t>
      </w:r>
      <w:r w:rsidR="00677317" w:rsidRPr="001A2781">
        <w:rPr>
          <w:rFonts w:ascii="Times New Roman" w:hAnsi="Times New Roman" w:cs="Times New Roman"/>
          <w:i/>
          <w:sz w:val="24"/>
          <w:szCs w:val="24"/>
        </w:rPr>
        <w:t>Službou sú aj služby podľa druhého bodu.</w:t>
      </w:r>
      <w:r w:rsidR="00114E11" w:rsidRPr="001A2781">
        <w:rPr>
          <w:rFonts w:ascii="Times New Roman" w:hAnsi="Times New Roman" w:cs="Times New Roman"/>
          <w:i/>
          <w:sz w:val="24"/>
          <w:szCs w:val="24"/>
        </w:rPr>
        <w:t>“</w:t>
      </w:r>
      <w:r w:rsidR="00114E11">
        <w:rPr>
          <w:rFonts w:ascii="Times New Roman" w:hAnsi="Times New Roman" w:cs="Times New Roman"/>
          <w:sz w:val="24"/>
          <w:szCs w:val="24"/>
        </w:rPr>
        <w:t xml:space="preserve"> </w:t>
      </w:r>
      <w:r w:rsidR="00107A64">
        <w:rPr>
          <w:rFonts w:ascii="Times New Roman" w:hAnsi="Times New Roman" w:cs="Times New Roman"/>
          <w:sz w:val="24"/>
          <w:szCs w:val="24"/>
        </w:rPr>
        <w:t xml:space="preserve">Tento pojem sa teda z hľadiska ukotvenia nejaví ako problematický, pretože je predmetom ustálenej právnej regulácie. </w:t>
      </w:r>
    </w:p>
    <w:p w14:paraId="004E022F" w14:textId="77777777" w:rsidR="00581CB1" w:rsidRDefault="00581CB1" w:rsidP="00A64364">
      <w:pPr>
        <w:spacing w:after="0" w:line="240" w:lineRule="auto"/>
        <w:ind w:firstLine="708"/>
        <w:jc w:val="both"/>
        <w:rPr>
          <w:rFonts w:ascii="Times New Roman" w:hAnsi="Times New Roman" w:cs="Times New Roman"/>
          <w:sz w:val="24"/>
          <w:szCs w:val="24"/>
        </w:rPr>
      </w:pPr>
    </w:p>
    <w:p w14:paraId="3EEF9818" w14:textId="721BDB1C" w:rsidR="00363F02" w:rsidRDefault="00803FCF" w:rsidP="00A6436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Charakteristickým znakom elektronickej komunikačnej služby je jej odplatnosť. Odplatnosť treba vykladať ako akúkoľvek</w:t>
      </w:r>
      <w:r w:rsidRPr="00803FCF">
        <w:rPr>
          <w:rFonts w:ascii="Times New Roman" w:hAnsi="Times New Roman" w:cs="Times New Roman"/>
          <w:sz w:val="24"/>
          <w:szCs w:val="24"/>
        </w:rPr>
        <w:t xml:space="preserve"> </w:t>
      </w:r>
      <w:r w:rsidR="0079175C" w:rsidRPr="00803FCF">
        <w:rPr>
          <w:rFonts w:ascii="Times New Roman" w:hAnsi="Times New Roman" w:cs="Times New Roman"/>
          <w:sz w:val="24"/>
          <w:szCs w:val="24"/>
        </w:rPr>
        <w:t>hodnot</w:t>
      </w:r>
      <w:r w:rsidR="0079175C">
        <w:rPr>
          <w:rFonts w:ascii="Times New Roman" w:hAnsi="Times New Roman" w:cs="Times New Roman"/>
          <w:sz w:val="24"/>
          <w:szCs w:val="24"/>
        </w:rPr>
        <w:t xml:space="preserve">u </w:t>
      </w:r>
      <w:r>
        <w:rPr>
          <w:rFonts w:ascii="Times New Roman" w:hAnsi="Times New Roman" w:cs="Times New Roman"/>
          <w:sz w:val="24"/>
          <w:szCs w:val="24"/>
        </w:rPr>
        <w:t>vyjadrenú v peniazoch</w:t>
      </w:r>
      <w:r w:rsidRPr="00803FCF">
        <w:rPr>
          <w:rFonts w:ascii="Times New Roman" w:hAnsi="Times New Roman" w:cs="Times New Roman"/>
          <w:sz w:val="24"/>
          <w:szCs w:val="24"/>
        </w:rPr>
        <w:t>.</w:t>
      </w:r>
      <w:r>
        <w:rPr>
          <w:rFonts w:ascii="Times New Roman" w:hAnsi="Times New Roman" w:cs="Times New Roman"/>
          <w:sz w:val="24"/>
          <w:szCs w:val="24"/>
        </w:rPr>
        <w:t xml:space="preserve"> O odplatnosť ide aj vtedy, ak používateľ služby poskytuje svoje</w:t>
      </w:r>
      <w:r w:rsidRPr="00803FCF">
        <w:rPr>
          <w:rFonts w:ascii="Times New Roman" w:hAnsi="Times New Roman" w:cs="Times New Roman"/>
          <w:sz w:val="24"/>
          <w:szCs w:val="24"/>
        </w:rPr>
        <w:t xml:space="preserve"> osobné údaje</w:t>
      </w:r>
      <w:r w:rsidR="0079175C">
        <w:rPr>
          <w:rFonts w:ascii="Times New Roman" w:hAnsi="Times New Roman" w:cs="Times New Roman"/>
          <w:sz w:val="24"/>
          <w:szCs w:val="24"/>
        </w:rPr>
        <w:t xml:space="preserve"> a iné údaje</w:t>
      </w:r>
      <w:r w:rsidR="00581CB1">
        <w:rPr>
          <w:rFonts w:ascii="Times New Roman" w:hAnsi="Times New Roman" w:cs="Times New Roman"/>
          <w:sz w:val="24"/>
          <w:szCs w:val="24"/>
        </w:rPr>
        <w:t xml:space="preserve"> za používanie služby</w:t>
      </w:r>
      <w:r w:rsidRPr="00803FCF">
        <w:rPr>
          <w:rFonts w:ascii="Times New Roman" w:hAnsi="Times New Roman" w:cs="Times New Roman"/>
          <w:sz w:val="24"/>
          <w:szCs w:val="24"/>
        </w:rPr>
        <w:t xml:space="preserve">, </w:t>
      </w:r>
      <w:r>
        <w:rPr>
          <w:rFonts w:ascii="Times New Roman" w:hAnsi="Times New Roman" w:cs="Times New Roman"/>
          <w:sz w:val="24"/>
          <w:szCs w:val="24"/>
        </w:rPr>
        <w:t>ale aj v prípade platby treťou stranou, napríklad</w:t>
      </w:r>
      <w:r w:rsidRPr="00803FCF">
        <w:rPr>
          <w:rFonts w:ascii="Times New Roman" w:hAnsi="Times New Roman" w:cs="Times New Roman"/>
          <w:sz w:val="24"/>
          <w:szCs w:val="24"/>
        </w:rPr>
        <w:t xml:space="preserve"> vystavenie reklamám ako podmienka poskytovania služby</w:t>
      </w:r>
      <w:r>
        <w:rPr>
          <w:rFonts w:ascii="Times New Roman" w:hAnsi="Times New Roman" w:cs="Times New Roman"/>
          <w:sz w:val="24"/>
          <w:szCs w:val="24"/>
        </w:rPr>
        <w:t>.</w:t>
      </w:r>
    </w:p>
    <w:p w14:paraId="6971B0B3" w14:textId="0B352001" w:rsidR="00581CB1" w:rsidRDefault="00581CB1" w:rsidP="00A64364">
      <w:pPr>
        <w:spacing w:after="0" w:line="240" w:lineRule="auto"/>
        <w:ind w:firstLine="708"/>
        <w:jc w:val="both"/>
        <w:rPr>
          <w:rFonts w:ascii="Times New Roman" w:hAnsi="Times New Roman" w:cs="Times New Roman"/>
          <w:sz w:val="24"/>
          <w:szCs w:val="24"/>
        </w:rPr>
      </w:pPr>
    </w:p>
    <w:p w14:paraId="10198F0C" w14:textId="3C046C01" w:rsidR="00581CB1" w:rsidRDefault="00F26B78" w:rsidP="00A6436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Ďalším znakom elektronickej komunikačnej služby je, že je poskytovaná </w:t>
      </w:r>
      <w:r w:rsidRPr="00F26B78">
        <w:rPr>
          <w:rFonts w:ascii="Times New Roman" w:hAnsi="Times New Roman" w:cs="Times New Roman"/>
          <w:sz w:val="24"/>
          <w:szCs w:val="24"/>
        </w:rPr>
        <w:t>prostredníctvom elekt</w:t>
      </w:r>
      <w:r>
        <w:rPr>
          <w:rFonts w:ascii="Times New Roman" w:hAnsi="Times New Roman" w:cs="Times New Roman"/>
          <w:sz w:val="24"/>
          <w:szCs w:val="24"/>
        </w:rPr>
        <w:t>ronických komunikačných sietí, t.j. prostredníctvom prenosových</w:t>
      </w:r>
      <w:r w:rsidRPr="00F26B78">
        <w:rPr>
          <w:rFonts w:ascii="Times New Roman" w:hAnsi="Times New Roman" w:cs="Times New Roman"/>
          <w:sz w:val="24"/>
          <w:szCs w:val="24"/>
        </w:rPr>
        <w:t xml:space="preserve"> systém</w:t>
      </w:r>
      <w:r>
        <w:rPr>
          <w:rFonts w:ascii="Times New Roman" w:hAnsi="Times New Roman" w:cs="Times New Roman"/>
          <w:sz w:val="24"/>
          <w:szCs w:val="24"/>
        </w:rPr>
        <w:t>ov</w:t>
      </w:r>
      <w:r w:rsidRPr="00F26B78">
        <w:rPr>
          <w:rFonts w:ascii="Times New Roman" w:hAnsi="Times New Roman" w:cs="Times New Roman"/>
          <w:sz w:val="24"/>
          <w:szCs w:val="24"/>
        </w:rPr>
        <w:t>, ktoré môžu</w:t>
      </w:r>
      <w:r>
        <w:rPr>
          <w:rFonts w:ascii="Times New Roman" w:hAnsi="Times New Roman" w:cs="Times New Roman"/>
          <w:sz w:val="24"/>
          <w:szCs w:val="24"/>
        </w:rPr>
        <w:t>,</w:t>
      </w:r>
      <w:r w:rsidRPr="00F26B78">
        <w:rPr>
          <w:rFonts w:ascii="Times New Roman" w:hAnsi="Times New Roman" w:cs="Times New Roman"/>
          <w:sz w:val="24"/>
          <w:szCs w:val="24"/>
        </w:rPr>
        <w:t xml:space="preserve"> ale nemusia byť založené na trvalej infraštruktúre alebo centralizovanej administratívn</w:t>
      </w:r>
      <w:r>
        <w:rPr>
          <w:rFonts w:ascii="Times New Roman" w:hAnsi="Times New Roman" w:cs="Times New Roman"/>
          <w:sz w:val="24"/>
          <w:szCs w:val="24"/>
        </w:rPr>
        <w:t>ej kapacite, prípadne prepájacích alebo smerovacích zariadení a iných prostriedkov</w:t>
      </w:r>
      <w:r w:rsidRPr="00F26B78">
        <w:rPr>
          <w:rFonts w:ascii="Times New Roman" w:hAnsi="Times New Roman" w:cs="Times New Roman"/>
          <w:sz w:val="24"/>
          <w:szCs w:val="24"/>
        </w:rPr>
        <w:t xml:space="preserve"> vrátane neaktívnych prvkov siete, ktoré umožňujú prenos signálov po vedení, rádiovými, optickými alebo inými elektromagnetickými prostriedkami, vrátane družicových sietí, pevných (s prepájaním okruhov a paketov vrátane internetu) a mobilných sietí, elektrických káblových systémov v rozsahu, v ktorom sa používajú na prenos signálov, sietí používaných na rozhlasové a televízne vysielanie a sietí káblovej televízie bez ohľadu na typ prenášaných informácií</w:t>
      </w:r>
      <w:r>
        <w:rPr>
          <w:rFonts w:ascii="Times New Roman" w:hAnsi="Times New Roman" w:cs="Times New Roman"/>
          <w:sz w:val="24"/>
          <w:szCs w:val="24"/>
        </w:rPr>
        <w:t>.</w:t>
      </w:r>
      <w:r w:rsidR="00AA2C43">
        <w:rPr>
          <w:rFonts w:ascii="Times New Roman" w:hAnsi="Times New Roman" w:cs="Times New Roman"/>
          <w:sz w:val="24"/>
          <w:szCs w:val="24"/>
        </w:rPr>
        <w:t xml:space="preserve"> </w:t>
      </w:r>
    </w:p>
    <w:p w14:paraId="10B04798" w14:textId="6526791D" w:rsidR="00AA2C43" w:rsidRDefault="00AA2C43" w:rsidP="00A64364">
      <w:pPr>
        <w:spacing w:after="0" w:line="240" w:lineRule="auto"/>
        <w:ind w:firstLine="708"/>
        <w:jc w:val="both"/>
        <w:rPr>
          <w:rFonts w:ascii="Times New Roman" w:hAnsi="Times New Roman" w:cs="Times New Roman"/>
          <w:sz w:val="24"/>
          <w:szCs w:val="24"/>
        </w:rPr>
      </w:pPr>
    </w:p>
    <w:p w14:paraId="1001371D" w14:textId="2F920364" w:rsidR="00AA2C43" w:rsidRDefault="00AA2C43" w:rsidP="00A6436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Elektronická komunikačná služba má zahŕňať (i) službu prístup</w:t>
      </w:r>
      <w:r w:rsidR="00DB31AA">
        <w:rPr>
          <w:rFonts w:ascii="Times New Roman" w:hAnsi="Times New Roman" w:cs="Times New Roman"/>
          <w:sz w:val="24"/>
          <w:szCs w:val="24"/>
        </w:rPr>
        <w:t>u</w:t>
      </w:r>
      <w:r>
        <w:rPr>
          <w:rFonts w:ascii="Times New Roman" w:hAnsi="Times New Roman" w:cs="Times New Roman"/>
          <w:sz w:val="24"/>
          <w:szCs w:val="24"/>
        </w:rPr>
        <w:t xml:space="preserve"> k internetu, (ii) </w:t>
      </w:r>
      <w:r w:rsidRPr="00AA2C43">
        <w:rPr>
          <w:rFonts w:ascii="Times New Roman" w:hAnsi="Times New Roman" w:cs="Times New Roman"/>
          <w:sz w:val="24"/>
          <w:szCs w:val="24"/>
        </w:rPr>
        <w:t xml:space="preserve">interpersonálnu komunikačnú službu alebo </w:t>
      </w:r>
      <w:r>
        <w:rPr>
          <w:rFonts w:ascii="Times New Roman" w:hAnsi="Times New Roman" w:cs="Times New Roman"/>
          <w:sz w:val="24"/>
          <w:szCs w:val="24"/>
        </w:rPr>
        <w:t>(iii) službu pozostávajúcu</w:t>
      </w:r>
      <w:r w:rsidRPr="00AA2C43">
        <w:rPr>
          <w:rFonts w:ascii="Times New Roman" w:hAnsi="Times New Roman" w:cs="Times New Roman"/>
          <w:sz w:val="24"/>
          <w:szCs w:val="24"/>
        </w:rPr>
        <w:t xml:space="preserve"> úplne alebo prevažne z </w:t>
      </w:r>
      <w:r w:rsidRPr="00AA2C43">
        <w:rPr>
          <w:rFonts w:ascii="Times New Roman" w:hAnsi="Times New Roman" w:cs="Times New Roman"/>
          <w:sz w:val="24"/>
          <w:szCs w:val="24"/>
        </w:rPr>
        <w:lastRenderedPageBreak/>
        <w:t>prenosu signálov</w:t>
      </w:r>
      <w:r w:rsidR="00F35108">
        <w:rPr>
          <w:rFonts w:ascii="Times New Roman" w:hAnsi="Times New Roman" w:cs="Times New Roman"/>
          <w:sz w:val="24"/>
          <w:szCs w:val="24"/>
        </w:rPr>
        <w:t xml:space="preserve">. </w:t>
      </w:r>
      <w:r w:rsidR="00F35108" w:rsidRPr="004E7995">
        <w:rPr>
          <w:rFonts w:ascii="Times New Roman" w:hAnsi="Times New Roman" w:cs="Times New Roman"/>
          <w:b/>
          <w:sz w:val="24"/>
          <w:szCs w:val="24"/>
        </w:rPr>
        <w:t>Službou prístupu k internetu</w:t>
      </w:r>
      <w:r w:rsidR="00F35108" w:rsidRPr="00F35108">
        <w:rPr>
          <w:rFonts w:ascii="Times New Roman" w:hAnsi="Times New Roman" w:cs="Times New Roman"/>
          <w:sz w:val="24"/>
          <w:szCs w:val="24"/>
        </w:rPr>
        <w:t xml:space="preserve"> </w:t>
      </w:r>
      <w:r w:rsidR="00F35108">
        <w:rPr>
          <w:rFonts w:ascii="Times New Roman" w:hAnsi="Times New Roman" w:cs="Times New Roman"/>
          <w:sz w:val="24"/>
          <w:szCs w:val="24"/>
        </w:rPr>
        <w:t>treba rozumieť verejne dostupnú elektronickú komunikačnú</w:t>
      </w:r>
      <w:r w:rsidR="00F35108" w:rsidRPr="00F35108">
        <w:rPr>
          <w:rFonts w:ascii="Times New Roman" w:hAnsi="Times New Roman" w:cs="Times New Roman"/>
          <w:sz w:val="24"/>
          <w:szCs w:val="24"/>
        </w:rPr>
        <w:t xml:space="preserve"> </w:t>
      </w:r>
      <w:r w:rsidR="00DB31AA" w:rsidRPr="00F35108">
        <w:rPr>
          <w:rFonts w:ascii="Times New Roman" w:hAnsi="Times New Roman" w:cs="Times New Roman"/>
          <w:sz w:val="24"/>
          <w:szCs w:val="24"/>
        </w:rPr>
        <w:t>služb</w:t>
      </w:r>
      <w:r w:rsidR="00DB31AA">
        <w:rPr>
          <w:rFonts w:ascii="Times New Roman" w:hAnsi="Times New Roman" w:cs="Times New Roman"/>
          <w:sz w:val="24"/>
          <w:szCs w:val="24"/>
        </w:rPr>
        <w:t>u</w:t>
      </w:r>
      <w:r w:rsidR="00F35108" w:rsidRPr="00F35108">
        <w:rPr>
          <w:rFonts w:ascii="Times New Roman" w:hAnsi="Times New Roman" w:cs="Times New Roman"/>
          <w:sz w:val="24"/>
          <w:szCs w:val="24"/>
        </w:rPr>
        <w:t>, ktorou sa poskytuje prístup k internetu, a teda pripojiteľnosť prakticky so všetkými koncovými bodmi internetu bez ohľadu na použitú sieťovú technológiu a koncové zariadenie.</w:t>
      </w:r>
      <w:r w:rsidR="00F35108">
        <w:rPr>
          <w:rFonts w:ascii="Times New Roman" w:hAnsi="Times New Roman" w:cs="Times New Roman"/>
          <w:sz w:val="24"/>
          <w:szCs w:val="24"/>
        </w:rPr>
        <w:t xml:space="preserve"> </w:t>
      </w:r>
      <w:r w:rsidR="004E7995" w:rsidRPr="00294450">
        <w:rPr>
          <w:rFonts w:ascii="Times New Roman" w:hAnsi="Times New Roman" w:cs="Times New Roman"/>
          <w:b/>
          <w:sz w:val="24"/>
          <w:szCs w:val="24"/>
        </w:rPr>
        <w:t>Interpersonálnou komunikačnou službou</w:t>
      </w:r>
      <w:r w:rsidR="004E7995" w:rsidRPr="004E7995">
        <w:rPr>
          <w:rFonts w:ascii="Times New Roman" w:hAnsi="Times New Roman" w:cs="Times New Roman"/>
          <w:sz w:val="24"/>
          <w:szCs w:val="24"/>
        </w:rPr>
        <w:t xml:space="preserve"> </w:t>
      </w:r>
      <w:r w:rsidR="004E7995">
        <w:rPr>
          <w:rFonts w:ascii="Times New Roman" w:hAnsi="Times New Roman" w:cs="Times New Roman"/>
          <w:sz w:val="24"/>
          <w:szCs w:val="24"/>
        </w:rPr>
        <w:t>treba rozumieť službu</w:t>
      </w:r>
      <w:r w:rsidR="004E7995" w:rsidRPr="004E7995">
        <w:rPr>
          <w:rFonts w:ascii="Times New Roman" w:hAnsi="Times New Roman" w:cs="Times New Roman"/>
          <w:sz w:val="24"/>
          <w:szCs w:val="24"/>
        </w:rPr>
        <w:t>, ktorá umožňuje priamu interpersonálnu a interaktívnu výmenu informácií prostredníctvom elektronických komunikačných sietí medzi konečným počtom osôb, pričom osoby, ktoré komunikáciu začali alebo sa na nej zúčastňujú, určujú jej prijímateľov a nezahŕňa služby, ktoré umožňujú interpersonálnu a interaktívnu komunikáciu len ako vedľajšiu doplnkovú zložku neodd</w:t>
      </w:r>
      <w:r w:rsidR="00251B0F">
        <w:rPr>
          <w:rFonts w:ascii="Times New Roman" w:hAnsi="Times New Roman" w:cs="Times New Roman"/>
          <w:sz w:val="24"/>
          <w:szCs w:val="24"/>
        </w:rPr>
        <w:t>eliteľne spojenú s inou službou (napríklad klasické služby mobilných operátorov</w:t>
      </w:r>
      <w:r w:rsidR="00BB73EA">
        <w:rPr>
          <w:rFonts w:ascii="Times New Roman" w:hAnsi="Times New Roman" w:cs="Times New Roman"/>
          <w:sz w:val="24"/>
          <w:szCs w:val="24"/>
        </w:rPr>
        <w:t xml:space="preserve"> a</w:t>
      </w:r>
      <w:r w:rsidR="00251B0F">
        <w:rPr>
          <w:rFonts w:ascii="Times New Roman" w:hAnsi="Times New Roman" w:cs="Times New Roman"/>
          <w:sz w:val="24"/>
          <w:szCs w:val="24"/>
        </w:rPr>
        <w:t xml:space="preserve"> </w:t>
      </w:r>
      <w:r w:rsidR="00251B0F" w:rsidRPr="00251B0F">
        <w:rPr>
          <w:rFonts w:ascii="Times New Roman" w:hAnsi="Times New Roman" w:cs="Times New Roman"/>
          <w:sz w:val="24"/>
          <w:szCs w:val="24"/>
        </w:rPr>
        <w:t>over-</w:t>
      </w:r>
      <w:proofErr w:type="spellStart"/>
      <w:r w:rsidR="00251B0F" w:rsidRPr="00251B0F">
        <w:rPr>
          <w:rFonts w:ascii="Times New Roman" w:hAnsi="Times New Roman" w:cs="Times New Roman"/>
          <w:sz w:val="24"/>
          <w:szCs w:val="24"/>
        </w:rPr>
        <w:t>the</w:t>
      </w:r>
      <w:proofErr w:type="spellEnd"/>
      <w:r w:rsidR="00251B0F" w:rsidRPr="00251B0F">
        <w:rPr>
          <w:rFonts w:ascii="Times New Roman" w:hAnsi="Times New Roman" w:cs="Times New Roman"/>
          <w:sz w:val="24"/>
          <w:szCs w:val="24"/>
        </w:rPr>
        <w:t>-top komunikačné služby, vrátane e-mailov, správ, skupinových rozhovorov – Skype, Whatsapp, Telegram, Signal, Messenger, iMessage, Yahoo, Gmail, Orange, O2, atď.</w:t>
      </w:r>
      <w:r w:rsidR="00251B0F">
        <w:rPr>
          <w:rFonts w:ascii="Times New Roman" w:hAnsi="Times New Roman" w:cs="Times New Roman"/>
          <w:sz w:val="24"/>
          <w:szCs w:val="24"/>
        </w:rPr>
        <w:t>)</w:t>
      </w:r>
      <w:r w:rsidR="004A5210">
        <w:rPr>
          <w:rFonts w:ascii="Times New Roman" w:hAnsi="Times New Roman" w:cs="Times New Roman"/>
          <w:sz w:val="24"/>
          <w:szCs w:val="24"/>
        </w:rPr>
        <w:t>.</w:t>
      </w:r>
      <w:r w:rsidR="0079499F">
        <w:rPr>
          <w:rFonts w:ascii="Times New Roman" w:hAnsi="Times New Roman" w:cs="Times New Roman"/>
          <w:sz w:val="24"/>
          <w:szCs w:val="24"/>
        </w:rPr>
        <w:t xml:space="preserve"> Tento typ služby však n</w:t>
      </w:r>
      <w:r w:rsidR="0079499F" w:rsidRPr="0079499F">
        <w:rPr>
          <w:rFonts w:ascii="Times New Roman" w:hAnsi="Times New Roman" w:cs="Times New Roman"/>
          <w:sz w:val="24"/>
          <w:szCs w:val="24"/>
        </w:rPr>
        <w:t>ezahŕňa</w:t>
      </w:r>
      <w:r w:rsidR="0079499F">
        <w:rPr>
          <w:rFonts w:ascii="Times New Roman" w:hAnsi="Times New Roman" w:cs="Times New Roman"/>
          <w:sz w:val="24"/>
          <w:szCs w:val="24"/>
        </w:rPr>
        <w:t xml:space="preserve"> audiovizuálnu mediálnu službu</w:t>
      </w:r>
      <w:r w:rsidR="0079499F" w:rsidRPr="0079499F">
        <w:rPr>
          <w:rFonts w:ascii="Times New Roman" w:hAnsi="Times New Roman" w:cs="Times New Roman"/>
          <w:sz w:val="24"/>
          <w:szCs w:val="24"/>
        </w:rPr>
        <w:t xml:space="preserve"> na požiadanie, lineárne vysielanie, webové stránky, sociálne siete, blogy, </w:t>
      </w:r>
      <w:r w:rsidR="00886CF9">
        <w:rPr>
          <w:rFonts w:ascii="Times New Roman" w:hAnsi="Times New Roman" w:cs="Times New Roman"/>
          <w:sz w:val="24"/>
          <w:szCs w:val="24"/>
        </w:rPr>
        <w:t xml:space="preserve">či </w:t>
      </w:r>
      <w:r w:rsidR="00886CF9" w:rsidRPr="0079499F">
        <w:rPr>
          <w:rFonts w:ascii="Times New Roman" w:hAnsi="Times New Roman" w:cs="Times New Roman"/>
          <w:sz w:val="24"/>
          <w:szCs w:val="24"/>
        </w:rPr>
        <w:t>komunikáci</w:t>
      </w:r>
      <w:r w:rsidR="00886CF9">
        <w:rPr>
          <w:rFonts w:ascii="Times New Roman" w:hAnsi="Times New Roman" w:cs="Times New Roman"/>
          <w:sz w:val="24"/>
          <w:szCs w:val="24"/>
        </w:rPr>
        <w:t>u</w:t>
      </w:r>
      <w:r w:rsidR="00886CF9" w:rsidRPr="0079499F">
        <w:rPr>
          <w:rFonts w:ascii="Times New Roman" w:hAnsi="Times New Roman" w:cs="Times New Roman"/>
          <w:sz w:val="24"/>
          <w:szCs w:val="24"/>
        </w:rPr>
        <w:t xml:space="preserve"> </w:t>
      </w:r>
      <w:r w:rsidR="0079499F" w:rsidRPr="0079499F">
        <w:rPr>
          <w:rFonts w:ascii="Times New Roman" w:hAnsi="Times New Roman" w:cs="Times New Roman"/>
          <w:sz w:val="24"/>
          <w:szCs w:val="24"/>
        </w:rPr>
        <w:t>medzi strojmi</w:t>
      </w:r>
      <w:r w:rsidR="0079499F">
        <w:rPr>
          <w:rFonts w:ascii="Times New Roman" w:hAnsi="Times New Roman" w:cs="Times New Roman"/>
          <w:sz w:val="24"/>
          <w:szCs w:val="24"/>
        </w:rPr>
        <w:t>.</w:t>
      </w:r>
      <w:r w:rsidR="00D0016A" w:rsidRPr="00D0016A">
        <w:t xml:space="preserve"> </w:t>
      </w:r>
      <w:r w:rsidR="00D0016A" w:rsidRPr="004920DD">
        <w:rPr>
          <w:rFonts w:ascii="Times New Roman" w:hAnsi="Times New Roman" w:cs="Times New Roman"/>
          <w:b/>
          <w:sz w:val="24"/>
          <w:szCs w:val="24"/>
        </w:rPr>
        <w:t>Služby pozostávajúce úplne alebo prevažne z prenosu signálov</w:t>
      </w:r>
      <w:r w:rsidR="00D0016A">
        <w:rPr>
          <w:rFonts w:ascii="Times New Roman" w:hAnsi="Times New Roman" w:cs="Times New Roman"/>
          <w:sz w:val="24"/>
          <w:szCs w:val="24"/>
        </w:rPr>
        <w:t xml:space="preserve"> zahŕňajú </w:t>
      </w:r>
      <w:r w:rsidR="00D0016A" w:rsidRPr="00D0016A">
        <w:rPr>
          <w:rFonts w:ascii="Times New Roman" w:hAnsi="Times New Roman" w:cs="Times New Roman"/>
          <w:sz w:val="24"/>
          <w:szCs w:val="24"/>
        </w:rPr>
        <w:t xml:space="preserve">služby, ktoré vykonávajú skutočnú kontrolu </w:t>
      </w:r>
      <w:r w:rsidR="00D0016A">
        <w:rPr>
          <w:rFonts w:ascii="Times New Roman" w:hAnsi="Times New Roman" w:cs="Times New Roman"/>
          <w:sz w:val="24"/>
          <w:szCs w:val="24"/>
        </w:rPr>
        <w:t xml:space="preserve">nad prenosom signálov cez siete (napríklad </w:t>
      </w:r>
      <w:r w:rsidR="00D0016A" w:rsidRPr="00D0016A">
        <w:rPr>
          <w:rFonts w:ascii="Times New Roman" w:hAnsi="Times New Roman" w:cs="Times New Roman"/>
          <w:sz w:val="24"/>
          <w:szCs w:val="24"/>
        </w:rPr>
        <w:t>satelity, prenosové služby používané na poskytovanie služieb komunikácie M2M a na vysielanie</w:t>
      </w:r>
      <w:r w:rsidR="00D0016A">
        <w:rPr>
          <w:rFonts w:ascii="Times New Roman" w:hAnsi="Times New Roman" w:cs="Times New Roman"/>
          <w:sz w:val="24"/>
          <w:szCs w:val="24"/>
        </w:rPr>
        <w:t>).</w:t>
      </w:r>
    </w:p>
    <w:p w14:paraId="7CA87B72" w14:textId="77777777" w:rsidR="00363F02" w:rsidRDefault="00363F02" w:rsidP="00A64364">
      <w:pPr>
        <w:spacing w:after="0" w:line="240" w:lineRule="auto"/>
        <w:ind w:firstLine="708"/>
        <w:jc w:val="both"/>
        <w:rPr>
          <w:rFonts w:ascii="Times New Roman" w:hAnsi="Times New Roman" w:cs="Times New Roman"/>
          <w:sz w:val="24"/>
          <w:szCs w:val="24"/>
        </w:rPr>
      </w:pPr>
    </w:p>
    <w:p w14:paraId="1C262CB1" w14:textId="47460E38" w:rsidR="009F3DEC" w:rsidRDefault="00617A3F" w:rsidP="00A6436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Druhý typom služieb sú </w:t>
      </w:r>
      <w:r w:rsidRPr="009403E6">
        <w:rPr>
          <w:rFonts w:ascii="Times New Roman" w:hAnsi="Times New Roman" w:cs="Times New Roman"/>
          <w:b/>
          <w:sz w:val="24"/>
          <w:szCs w:val="24"/>
        </w:rPr>
        <w:t>služby týkajúce sa názvu internetovej domény a číslovania adries internetového protokolu</w:t>
      </w:r>
      <w:r w:rsidRPr="00617A3F">
        <w:rPr>
          <w:rFonts w:ascii="Times New Roman" w:hAnsi="Times New Roman" w:cs="Times New Roman"/>
          <w:sz w:val="24"/>
          <w:szCs w:val="24"/>
        </w:rPr>
        <w:t xml:space="preserve"> najmä prideľovanie IP adresy, správcu a registrátora doménových mien a služby súvisiace s ochranou súkromia a služby proxy</w:t>
      </w:r>
      <w:r>
        <w:rPr>
          <w:rFonts w:ascii="Times New Roman" w:hAnsi="Times New Roman" w:cs="Times New Roman"/>
          <w:sz w:val="24"/>
          <w:szCs w:val="24"/>
        </w:rPr>
        <w:t xml:space="preserve">. </w:t>
      </w:r>
      <w:r w:rsidR="00677317" w:rsidRPr="007622D4">
        <w:rPr>
          <w:rFonts w:ascii="Times New Roman" w:hAnsi="Times New Roman" w:cs="Times New Roman"/>
          <w:sz w:val="24"/>
          <w:szCs w:val="24"/>
        </w:rPr>
        <w:t>Ide o špecifické služby, ktoré na</w:t>
      </w:r>
      <w:r w:rsidR="00E62D44" w:rsidRPr="007622D4">
        <w:rPr>
          <w:rFonts w:ascii="Times New Roman" w:hAnsi="Times New Roman" w:cs="Times New Roman"/>
          <w:sz w:val="24"/>
          <w:szCs w:val="24"/>
        </w:rPr>
        <w:t xml:space="preserve"> </w:t>
      </w:r>
      <w:r w:rsidR="00677317" w:rsidRPr="007622D4">
        <w:rPr>
          <w:rFonts w:ascii="Times New Roman" w:hAnsi="Times New Roman" w:cs="Times New Roman"/>
          <w:sz w:val="24"/>
          <w:szCs w:val="24"/>
        </w:rPr>
        <w:t>rozdiel od elektronických komunikačných služieb, nemajú v právnom poriadku Slovenskej republiky všeobecnú právnu úpr</w:t>
      </w:r>
      <w:r w:rsidR="00EC0EFC" w:rsidRPr="007622D4">
        <w:rPr>
          <w:rFonts w:ascii="Times New Roman" w:hAnsi="Times New Roman" w:cs="Times New Roman"/>
          <w:sz w:val="24"/>
          <w:szCs w:val="24"/>
        </w:rPr>
        <w:t>a</w:t>
      </w:r>
      <w:r w:rsidR="00677317" w:rsidRPr="007622D4">
        <w:rPr>
          <w:rFonts w:ascii="Times New Roman" w:hAnsi="Times New Roman" w:cs="Times New Roman"/>
          <w:sz w:val="24"/>
          <w:szCs w:val="24"/>
        </w:rPr>
        <w:t xml:space="preserve">vu, preto predkladateľ tieto služby vymedzuje v súlade so smernicou bez použitia poznámkového aparátu, pretože niet predpisu, na ktorý by bolo možné v tomto prípade odkázať. </w:t>
      </w:r>
      <w:r w:rsidR="005D11DA">
        <w:rPr>
          <w:rFonts w:ascii="Times New Roman" w:hAnsi="Times New Roman" w:cs="Times New Roman"/>
          <w:sz w:val="24"/>
          <w:szCs w:val="24"/>
        </w:rPr>
        <w:t>Z vyššie uvedeného výpočtu služieb sa toto ustanovenie bude vzťahovať na poskytovateľov IP adries, správcov doménových mien, registrátorov doménových mien a poskytovateľov služieb ochrany súkromia a proxy služieb.</w:t>
      </w:r>
      <w:r w:rsidR="00681B5E">
        <w:rPr>
          <w:rFonts w:ascii="Times New Roman" w:hAnsi="Times New Roman" w:cs="Times New Roman"/>
          <w:sz w:val="24"/>
          <w:szCs w:val="24"/>
        </w:rPr>
        <w:t xml:space="preserve"> Pri použití dikcie „osobitné skutkové kritériá“ treba vychádzať z časti ustanovenia za bodkočiarkou, čo korešponduje ako s dikciou smernice, tak aj recitálu v bode 11 smernice.</w:t>
      </w:r>
    </w:p>
    <w:p w14:paraId="46D4F845" w14:textId="77777777" w:rsidR="009F3DEC" w:rsidRDefault="009F3DEC" w:rsidP="00A64364">
      <w:pPr>
        <w:spacing w:after="0" w:line="240" w:lineRule="auto"/>
        <w:ind w:firstLine="708"/>
        <w:jc w:val="both"/>
        <w:rPr>
          <w:rFonts w:ascii="Times New Roman" w:hAnsi="Times New Roman" w:cs="Times New Roman"/>
          <w:sz w:val="24"/>
          <w:szCs w:val="24"/>
        </w:rPr>
      </w:pPr>
    </w:p>
    <w:p w14:paraId="442574AE" w14:textId="6BA58EE0" w:rsidR="00A2519B" w:rsidRDefault="002A7EDC"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 xml:space="preserve">Poslednú kategóriu služieb predstavujú tzv. </w:t>
      </w:r>
      <w:r w:rsidRPr="00363F02">
        <w:rPr>
          <w:rFonts w:ascii="Times New Roman" w:hAnsi="Times New Roman" w:cs="Times New Roman"/>
          <w:b/>
          <w:sz w:val="24"/>
          <w:szCs w:val="24"/>
        </w:rPr>
        <w:t>iné služby informačnej</w:t>
      </w:r>
      <w:r w:rsidR="009B5780">
        <w:rPr>
          <w:rFonts w:ascii="Times New Roman" w:hAnsi="Times New Roman" w:cs="Times New Roman"/>
          <w:b/>
          <w:sz w:val="24"/>
          <w:szCs w:val="24"/>
        </w:rPr>
        <w:t xml:space="preserve"> spoločnosti</w:t>
      </w:r>
      <w:r w:rsidRPr="007622D4">
        <w:rPr>
          <w:rFonts w:ascii="Times New Roman" w:hAnsi="Times New Roman" w:cs="Times New Roman"/>
          <w:sz w:val="24"/>
          <w:szCs w:val="24"/>
        </w:rPr>
        <w:t>. V prípade pojmu „služby informačnej spoločnosti“ transponovaná smernica odkazuje na smernicu Európskeho parlamentu a Rady (EÚ) 2015/1535 z 9. septembra 2015, ktorou sa stanovuje postup pri poskytovaní informácií v oblasti technických predpisov a pravidiel vzťahujúcich sa na služby informačnej spoločnosti (kodifikované znenie). Smernica 2015/1535 bola do právneho poriadku Slovenskej republiky prebratá zákonom č. 55/2018 Z. z. o poskytovaní informácií o technickom predpise a o prekážkach voľného pohybu tovaru. Preto návrh zákona odkazuje na príslušné transpozičné ustanovenie, ktorým je § 2 písm. b) cit. zákona</w:t>
      </w:r>
      <w:r w:rsidR="007F09FE" w:rsidRPr="007622D4">
        <w:rPr>
          <w:rFonts w:ascii="Times New Roman" w:hAnsi="Times New Roman" w:cs="Times New Roman"/>
          <w:sz w:val="24"/>
          <w:szCs w:val="24"/>
        </w:rPr>
        <w:t xml:space="preserve">, podľa ktorého službou informačnej spoločnosti je </w:t>
      </w:r>
      <w:r w:rsidR="00E515EE" w:rsidRPr="00DD4B5D">
        <w:rPr>
          <w:rFonts w:ascii="Times New Roman" w:hAnsi="Times New Roman" w:cs="Times New Roman"/>
          <w:i/>
          <w:sz w:val="24"/>
          <w:szCs w:val="24"/>
        </w:rPr>
        <w:t>„</w:t>
      </w:r>
      <w:r w:rsidR="007F09FE" w:rsidRPr="00DD4B5D">
        <w:rPr>
          <w:rFonts w:ascii="Times New Roman" w:hAnsi="Times New Roman" w:cs="Times New Roman"/>
          <w:i/>
          <w:sz w:val="24"/>
          <w:szCs w:val="24"/>
        </w:rPr>
        <w:t>služba poskytovaná za úhradu, na diaľku, elektronickým spôsobom a na základe individuálnej žiadosti prijímateľa služby</w:t>
      </w:r>
      <w:r w:rsidR="00E515EE" w:rsidRPr="00DD4B5D">
        <w:rPr>
          <w:rFonts w:ascii="Times New Roman" w:hAnsi="Times New Roman" w:cs="Times New Roman"/>
          <w:i/>
          <w:sz w:val="24"/>
          <w:szCs w:val="24"/>
        </w:rPr>
        <w:t>“</w:t>
      </w:r>
      <w:r w:rsidR="007F09FE" w:rsidRPr="007622D4">
        <w:rPr>
          <w:rFonts w:ascii="Times New Roman" w:hAnsi="Times New Roman" w:cs="Times New Roman"/>
          <w:sz w:val="24"/>
          <w:szCs w:val="24"/>
        </w:rPr>
        <w:t>.</w:t>
      </w:r>
      <w:r w:rsidR="00DC1AD1">
        <w:rPr>
          <w:rFonts w:ascii="Times New Roman" w:hAnsi="Times New Roman" w:cs="Times New Roman"/>
          <w:sz w:val="24"/>
          <w:szCs w:val="24"/>
        </w:rPr>
        <w:t xml:space="preserve"> </w:t>
      </w:r>
      <w:r w:rsidR="002F08C9">
        <w:rPr>
          <w:rFonts w:ascii="Times New Roman" w:hAnsi="Times New Roman" w:cs="Times New Roman"/>
          <w:sz w:val="24"/>
          <w:szCs w:val="24"/>
        </w:rPr>
        <w:t>Služba informačnej spoločnosti je tak charakterizovaná štyrmi parametrami: (i) za úhradu, (ii) na diaľku, (iii) elektronickým spôsobom a (iv) na základe žiadosti</w:t>
      </w:r>
      <w:r w:rsidR="00446761" w:rsidRPr="00446761">
        <w:t xml:space="preserve"> </w:t>
      </w:r>
      <w:r w:rsidR="00446761" w:rsidRPr="00446761">
        <w:rPr>
          <w:rFonts w:ascii="Times New Roman" w:hAnsi="Times New Roman" w:cs="Times New Roman"/>
          <w:sz w:val="24"/>
          <w:szCs w:val="24"/>
        </w:rPr>
        <w:t>prijímateľa služby</w:t>
      </w:r>
      <w:r w:rsidR="002F08C9">
        <w:rPr>
          <w:rFonts w:ascii="Times New Roman" w:hAnsi="Times New Roman" w:cs="Times New Roman"/>
          <w:sz w:val="24"/>
          <w:szCs w:val="24"/>
        </w:rPr>
        <w:t xml:space="preserve">. </w:t>
      </w:r>
      <w:r w:rsidR="007F09FE" w:rsidRPr="007622D4">
        <w:rPr>
          <w:rFonts w:ascii="Times New Roman" w:hAnsi="Times New Roman" w:cs="Times New Roman"/>
          <w:sz w:val="24"/>
          <w:szCs w:val="24"/>
        </w:rPr>
        <w:t xml:space="preserve">V intenciách preberanej smernice 2023/1544 však nejde o akúkoľvek službu informačnej spoločnosti, ale len takú, ktorá </w:t>
      </w:r>
      <w:r w:rsidR="00BD55BC">
        <w:rPr>
          <w:rFonts w:ascii="Times New Roman" w:hAnsi="Times New Roman" w:cs="Times New Roman"/>
          <w:sz w:val="24"/>
          <w:szCs w:val="24"/>
        </w:rPr>
        <w:t xml:space="preserve">súčasne </w:t>
      </w:r>
      <w:r w:rsidR="00AF4053" w:rsidRPr="007622D4">
        <w:rPr>
          <w:rFonts w:ascii="Times New Roman" w:hAnsi="Times New Roman" w:cs="Times New Roman"/>
          <w:i/>
          <w:sz w:val="24"/>
          <w:szCs w:val="24"/>
        </w:rPr>
        <w:t>„</w:t>
      </w:r>
      <w:r w:rsidR="007F09FE" w:rsidRPr="007622D4">
        <w:rPr>
          <w:rFonts w:ascii="Times New Roman" w:hAnsi="Times New Roman" w:cs="Times New Roman"/>
          <w:i/>
          <w:sz w:val="24"/>
          <w:szCs w:val="24"/>
        </w:rPr>
        <w:t>umožňuje</w:t>
      </w:r>
      <w:r w:rsidRPr="007622D4">
        <w:rPr>
          <w:rFonts w:ascii="Times New Roman" w:hAnsi="Times New Roman" w:cs="Times New Roman"/>
          <w:i/>
          <w:sz w:val="24"/>
          <w:szCs w:val="24"/>
        </w:rPr>
        <w:t xml:space="preserve"> </w:t>
      </w:r>
      <w:r w:rsidR="007F09FE" w:rsidRPr="007622D4">
        <w:rPr>
          <w:rFonts w:ascii="Times New Roman" w:hAnsi="Times New Roman" w:cs="Times New Roman"/>
          <w:i/>
          <w:sz w:val="24"/>
          <w:szCs w:val="24"/>
        </w:rPr>
        <w:t xml:space="preserve">jej </w:t>
      </w:r>
      <w:r w:rsidRPr="007622D4">
        <w:rPr>
          <w:rFonts w:ascii="Times New Roman" w:hAnsi="Times New Roman" w:cs="Times New Roman"/>
          <w:i/>
          <w:sz w:val="24"/>
          <w:szCs w:val="24"/>
        </w:rPr>
        <w:t>používateľom vzájomnú komunikáciu alebo uchovávanie alebo iné spracúvanie údajov v mene používateľov, ktorým sa služba poskytuje, ak uchovávanie údajov je kľúčovým prvkom služby poskytovanej používateľov</w:t>
      </w:r>
      <w:r w:rsidR="00AF4053" w:rsidRPr="007622D4">
        <w:rPr>
          <w:rFonts w:ascii="Times New Roman" w:hAnsi="Times New Roman" w:cs="Times New Roman"/>
          <w:i/>
          <w:sz w:val="24"/>
          <w:szCs w:val="24"/>
        </w:rPr>
        <w:t>“</w:t>
      </w:r>
      <w:r w:rsidR="007F09FE" w:rsidRPr="007622D4">
        <w:rPr>
          <w:rFonts w:ascii="Times New Roman" w:hAnsi="Times New Roman" w:cs="Times New Roman"/>
          <w:sz w:val="24"/>
          <w:szCs w:val="24"/>
        </w:rPr>
        <w:t>.</w:t>
      </w:r>
      <w:r w:rsidRPr="007622D4">
        <w:rPr>
          <w:rFonts w:ascii="Times New Roman" w:hAnsi="Times New Roman" w:cs="Times New Roman"/>
          <w:sz w:val="24"/>
          <w:szCs w:val="24"/>
        </w:rPr>
        <w:t xml:space="preserve"> </w:t>
      </w:r>
      <w:r w:rsidR="00D607D1" w:rsidRPr="007622D4">
        <w:rPr>
          <w:rFonts w:ascii="Times New Roman" w:hAnsi="Times New Roman" w:cs="Times New Roman"/>
          <w:sz w:val="24"/>
          <w:szCs w:val="24"/>
        </w:rPr>
        <w:t>A teda pojem podľa § 2 písm. b) zákona č. 55/2018 Z. z. treba vykladať zužujúco</w:t>
      </w:r>
      <w:r w:rsidR="00725BDB">
        <w:rPr>
          <w:rFonts w:ascii="Times New Roman" w:hAnsi="Times New Roman" w:cs="Times New Roman"/>
          <w:sz w:val="24"/>
          <w:szCs w:val="24"/>
        </w:rPr>
        <w:t xml:space="preserve"> v </w:t>
      </w:r>
      <w:r w:rsidR="00DE7866">
        <w:rPr>
          <w:rFonts w:ascii="Times New Roman" w:hAnsi="Times New Roman" w:cs="Times New Roman"/>
          <w:sz w:val="24"/>
          <w:szCs w:val="24"/>
        </w:rPr>
        <w:t>intenciách</w:t>
      </w:r>
      <w:r w:rsidR="00725BDB">
        <w:rPr>
          <w:rFonts w:ascii="Times New Roman" w:hAnsi="Times New Roman" w:cs="Times New Roman"/>
          <w:sz w:val="24"/>
          <w:szCs w:val="24"/>
        </w:rPr>
        <w:t xml:space="preserve"> ďalších </w:t>
      </w:r>
      <w:r w:rsidR="00DE7866">
        <w:rPr>
          <w:rFonts w:ascii="Times New Roman" w:hAnsi="Times New Roman" w:cs="Times New Roman"/>
          <w:sz w:val="24"/>
          <w:szCs w:val="24"/>
        </w:rPr>
        <w:t>parametrov</w:t>
      </w:r>
      <w:r w:rsidR="00725BDB">
        <w:rPr>
          <w:rFonts w:ascii="Times New Roman" w:hAnsi="Times New Roman" w:cs="Times New Roman"/>
          <w:sz w:val="24"/>
          <w:szCs w:val="24"/>
        </w:rPr>
        <w:t xml:space="preserve"> upravených smernicou</w:t>
      </w:r>
      <w:r w:rsidR="00D607D1" w:rsidRPr="007622D4">
        <w:rPr>
          <w:rFonts w:ascii="Times New Roman" w:hAnsi="Times New Roman" w:cs="Times New Roman"/>
          <w:sz w:val="24"/>
          <w:szCs w:val="24"/>
        </w:rPr>
        <w:t xml:space="preserve">. </w:t>
      </w:r>
      <w:r w:rsidR="00332B86">
        <w:rPr>
          <w:rFonts w:ascii="Times New Roman" w:hAnsi="Times New Roman" w:cs="Times New Roman"/>
          <w:sz w:val="24"/>
          <w:szCs w:val="24"/>
        </w:rPr>
        <w:t>Typickým príkladom tohto typu služieb sú najmä s</w:t>
      </w:r>
      <w:r w:rsidR="00332B86" w:rsidRPr="00332B86">
        <w:rPr>
          <w:rFonts w:ascii="Times New Roman" w:hAnsi="Times New Roman" w:cs="Times New Roman"/>
          <w:sz w:val="24"/>
          <w:szCs w:val="24"/>
        </w:rPr>
        <w:t xml:space="preserve">ociálne siete </w:t>
      </w:r>
      <w:r w:rsidR="00332B86">
        <w:rPr>
          <w:rFonts w:ascii="Times New Roman" w:hAnsi="Times New Roman" w:cs="Times New Roman"/>
          <w:sz w:val="24"/>
          <w:szCs w:val="24"/>
        </w:rPr>
        <w:t>(</w:t>
      </w:r>
      <w:r w:rsidR="00332B86" w:rsidRPr="00332B86">
        <w:rPr>
          <w:rFonts w:ascii="Times New Roman" w:hAnsi="Times New Roman" w:cs="Times New Roman"/>
          <w:sz w:val="24"/>
          <w:szCs w:val="24"/>
        </w:rPr>
        <w:t>Facebook, X, LinkedIn</w:t>
      </w:r>
      <w:r w:rsidR="00332B86">
        <w:rPr>
          <w:rFonts w:ascii="Times New Roman" w:hAnsi="Times New Roman" w:cs="Times New Roman"/>
          <w:sz w:val="24"/>
          <w:szCs w:val="24"/>
        </w:rPr>
        <w:t xml:space="preserve"> a pod.), online trhy</w:t>
      </w:r>
      <w:r w:rsidR="001970D5" w:rsidRPr="001970D5">
        <w:rPr>
          <w:rFonts w:ascii="Times New Roman" w:hAnsi="Times New Roman" w:cs="Times New Roman"/>
          <w:sz w:val="24"/>
          <w:szCs w:val="24"/>
        </w:rPr>
        <w:t>, ktoré poskytujú spotrebiteľom a podnikom možnosť navzájom komunikovať</w:t>
      </w:r>
      <w:r w:rsidR="00332B86">
        <w:rPr>
          <w:rFonts w:ascii="Times New Roman" w:hAnsi="Times New Roman" w:cs="Times New Roman"/>
          <w:sz w:val="24"/>
          <w:szCs w:val="24"/>
        </w:rPr>
        <w:t xml:space="preserve"> (</w:t>
      </w:r>
      <w:r w:rsidR="00332B86" w:rsidRPr="00332B86">
        <w:rPr>
          <w:rFonts w:ascii="Times New Roman" w:hAnsi="Times New Roman" w:cs="Times New Roman"/>
          <w:sz w:val="24"/>
          <w:szCs w:val="24"/>
        </w:rPr>
        <w:t>Amazon, eBay</w:t>
      </w:r>
      <w:r w:rsidR="00332B86">
        <w:rPr>
          <w:rFonts w:ascii="Times New Roman" w:hAnsi="Times New Roman" w:cs="Times New Roman"/>
          <w:sz w:val="24"/>
          <w:szCs w:val="24"/>
        </w:rPr>
        <w:t xml:space="preserve"> a pod.), p</w:t>
      </w:r>
      <w:r w:rsidR="00332B86" w:rsidRPr="00332B86">
        <w:rPr>
          <w:rFonts w:ascii="Times New Roman" w:hAnsi="Times New Roman" w:cs="Times New Roman"/>
          <w:sz w:val="24"/>
          <w:szCs w:val="24"/>
        </w:rPr>
        <w:t>oskytovatelia hos</w:t>
      </w:r>
      <w:r w:rsidR="00332B86">
        <w:rPr>
          <w:rFonts w:ascii="Times New Roman" w:hAnsi="Times New Roman" w:cs="Times New Roman"/>
          <w:sz w:val="24"/>
          <w:szCs w:val="24"/>
        </w:rPr>
        <w:t>tingových a cloudových služieb (</w:t>
      </w:r>
      <w:r w:rsidR="00332B86" w:rsidRPr="00332B86">
        <w:rPr>
          <w:rFonts w:ascii="Times New Roman" w:hAnsi="Times New Roman" w:cs="Times New Roman"/>
          <w:sz w:val="24"/>
          <w:szCs w:val="24"/>
        </w:rPr>
        <w:t>Amazon Web Services, OVH</w:t>
      </w:r>
      <w:r w:rsidR="00332B86">
        <w:rPr>
          <w:rFonts w:ascii="Times New Roman" w:hAnsi="Times New Roman" w:cs="Times New Roman"/>
          <w:sz w:val="24"/>
          <w:szCs w:val="24"/>
        </w:rPr>
        <w:t xml:space="preserve"> a pod.), i</w:t>
      </w:r>
      <w:r w:rsidR="00332B86" w:rsidRPr="00332B86">
        <w:rPr>
          <w:rFonts w:ascii="Times New Roman" w:hAnsi="Times New Roman" w:cs="Times New Roman"/>
          <w:sz w:val="24"/>
          <w:szCs w:val="24"/>
        </w:rPr>
        <w:t>né služby</w:t>
      </w:r>
      <w:r w:rsidR="00332B86">
        <w:rPr>
          <w:rFonts w:ascii="Times New Roman" w:hAnsi="Times New Roman" w:cs="Times New Roman"/>
          <w:sz w:val="24"/>
          <w:szCs w:val="24"/>
        </w:rPr>
        <w:t xml:space="preserve"> ako </w:t>
      </w:r>
      <w:r w:rsidR="00332B86">
        <w:rPr>
          <w:rFonts w:ascii="Times New Roman" w:hAnsi="Times New Roman" w:cs="Times New Roman"/>
          <w:sz w:val="24"/>
          <w:szCs w:val="24"/>
        </w:rPr>
        <w:lastRenderedPageBreak/>
        <w:t>napríklad</w:t>
      </w:r>
      <w:r w:rsidR="00332B86" w:rsidRPr="00332B86">
        <w:rPr>
          <w:rFonts w:ascii="Times New Roman" w:hAnsi="Times New Roman" w:cs="Times New Roman"/>
          <w:sz w:val="24"/>
          <w:szCs w:val="24"/>
        </w:rPr>
        <w:t xml:space="preserve"> </w:t>
      </w:r>
      <w:r w:rsidR="006567C4" w:rsidRPr="00332B86">
        <w:rPr>
          <w:rFonts w:ascii="Times New Roman" w:hAnsi="Times New Roman" w:cs="Times New Roman"/>
          <w:sz w:val="24"/>
          <w:szCs w:val="24"/>
        </w:rPr>
        <w:t>YouTube</w:t>
      </w:r>
      <w:r w:rsidR="00332B86" w:rsidRPr="00332B86">
        <w:rPr>
          <w:rFonts w:ascii="Times New Roman" w:hAnsi="Times New Roman" w:cs="Times New Roman"/>
          <w:sz w:val="24"/>
          <w:szCs w:val="24"/>
        </w:rPr>
        <w:t>, Microsoft Azure, webové stránky s online hazardnými hrami a herné</w:t>
      </w:r>
      <w:r w:rsidR="006567C4">
        <w:rPr>
          <w:rFonts w:ascii="Times New Roman" w:hAnsi="Times New Roman" w:cs="Times New Roman"/>
          <w:sz w:val="24"/>
          <w:szCs w:val="24"/>
        </w:rPr>
        <w:t xml:space="preserve"> platformy s funkciami chatu, iT</w:t>
      </w:r>
      <w:r w:rsidR="006567C4" w:rsidRPr="00332B86">
        <w:rPr>
          <w:rFonts w:ascii="Times New Roman" w:hAnsi="Times New Roman" w:cs="Times New Roman"/>
          <w:sz w:val="24"/>
          <w:szCs w:val="24"/>
        </w:rPr>
        <w:t>unes</w:t>
      </w:r>
      <w:r w:rsidR="00332B86">
        <w:rPr>
          <w:rFonts w:ascii="Times New Roman" w:hAnsi="Times New Roman" w:cs="Times New Roman"/>
          <w:sz w:val="24"/>
          <w:szCs w:val="24"/>
        </w:rPr>
        <w:t>, o</w:t>
      </w:r>
      <w:r w:rsidR="00332B86" w:rsidRPr="00332B86">
        <w:rPr>
          <w:rFonts w:ascii="Times New Roman" w:hAnsi="Times New Roman" w:cs="Times New Roman"/>
          <w:sz w:val="24"/>
          <w:szCs w:val="24"/>
        </w:rPr>
        <w:t xml:space="preserve">nline </w:t>
      </w:r>
      <w:r w:rsidR="00CE4612">
        <w:rPr>
          <w:rFonts w:ascii="Times New Roman" w:hAnsi="Times New Roman" w:cs="Times New Roman"/>
          <w:sz w:val="24"/>
          <w:szCs w:val="24"/>
        </w:rPr>
        <w:t xml:space="preserve">a iné </w:t>
      </w:r>
      <w:r w:rsidR="00CE4612" w:rsidRPr="00332B86">
        <w:rPr>
          <w:rFonts w:ascii="Times New Roman" w:hAnsi="Times New Roman" w:cs="Times New Roman"/>
          <w:sz w:val="24"/>
          <w:szCs w:val="24"/>
        </w:rPr>
        <w:t>sprostredkovateľsk</w:t>
      </w:r>
      <w:r w:rsidR="00CE4612">
        <w:rPr>
          <w:rFonts w:ascii="Times New Roman" w:hAnsi="Times New Roman" w:cs="Times New Roman"/>
          <w:sz w:val="24"/>
          <w:szCs w:val="24"/>
        </w:rPr>
        <w:t>é</w:t>
      </w:r>
      <w:r w:rsidR="00CE4612" w:rsidRPr="00332B86">
        <w:rPr>
          <w:rFonts w:ascii="Times New Roman" w:hAnsi="Times New Roman" w:cs="Times New Roman"/>
          <w:sz w:val="24"/>
          <w:szCs w:val="24"/>
        </w:rPr>
        <w:t xml:space="preserve"> </w:t>
      </w:r>
      <w:r w:rsidR="00ED7751" w:rsidRPr="00332B86">
        <w:rPr>
          <w:rFonts w:ascii="Times New Roman" w:hAnsi="Times New Roman" w:cs="Times New Roman"/>
          <w:sz w:val="24"/>
          <w:szCs w:val="24"/>
        </w:rPr>
        <w:t>služb</w:t>
      </w:r>
      <w:r w:rsidR="00ED7751">
        <w:rPr>
          <w:rFonts w:ascii="Times New Roman" w:hAnsi="Times New Roman" w:cs="Times New Roman"/>
          <w:sz w:val="24"/>
          <w:szCs w:val="24"/>
        </w:rPr>
        <w:t>y</w:t>
      </w:r>
      <w:r w:rsidR="00ED7751" w:rsidRPr="00332B86">
        <w:rPr>
          <w:rFonts w:ascii="Times New Roman" w:hAnsi="Times New Roman" w:cs="Times New Roman"/>
          <w:sz w:val="24"/>
          <w:szCs w:val="24"/>
        </w:rPr>
        <w:t xml:space="preserve"> určen</w:t>
      </w:r>
      <w:r w:rsidR="00ED7751">
        <w:rPr>
          <w:rFonts w:ascii="Times New Roman" w:hAnsi="Times New Roman" w:cs="Times New Roman"/>
          <w:sz w:val="24"/>
          <w:szCs w:val="24"/>
        </w:rPr>
        <w:t>é</w:t>
      </w:r>
      <w:r w:rsidR="00ED7751" w:rsidRPr="00332B86">
        <w:rPr>
          <w:rFonts w:ascii="Times New Roman" w:hAnsi="Times New Roman" w:cs="Times New Roman"/>
          <w:sz w:val="24"/>
          <w:szCs w:val="24"/>
        </w:rPr>
        <w:t xml:space="preserve"> </w:t>
      </w:r>
      <w:r w:rsidR="00332B86" w:rsidRPr="00332B86">
        <w:rPr>
          <w:rFonts w:ascii="Times New Roman" w:hAnsi="Times New Roman" w:cs="Times New Roman"/>
          <w:sz w:val="24"/>
          <w:szCs w:val="24"/>
        </w:rPr>
        <w:t>na spojenie</w:t>
      </w:r>
      <w:r w:rsidR="00097BF8" w:rsidRPr="00097BF8">
        <w:t xml:space="preserve"> </w:t>
      </w:r>
      <w:r w:rsidR="00097BF8" w:rsidRPr="00097BF8">
        <w:rPr>
          <w:rFonts w:ascii="Times New Roman" w:hAnsi="Times New Roman" w:cs="Times New Roman"/>
          <w:sz w:val="24"/>
          <w:szCs w:val="24"/>
        </w:rPr>
        <w:t>používateľa a poskytovateľa služby, ako napríklad služby poskytovania krátkodobého ubytovania</w:t>
      </w:r>
      <w:r w:rsidR="00CA6D35">
        <w:rPr>
          <w:rFonts w:ascii="Times New Roman" w:hAnsi="Times New Roman" w:cs="Times New Roman"/>
          <w:sz w:val="24"/>
          <w:szCs w:val="24"/>
        </w:rPr>
        <w:t xml:space="preserve"> (</w:t>
      </w:r>
      <w:proofErr w:type="spellStart"/>
      <w:r w:rsidR="00CA6D35">
        <w:rPr>
          <w:rFonts w:ascii="Times New Roman" w:hAnsi="Times New Roman" w:cs="Times New Roman"/>
          <w:sz w:val="24"/>
          <w:szCs w:val="24"/>
        </w:rPr>
        <w:t>Booking</w:t>
      </w:r>
      <w:proofErr w:type="spellEnd"/>
      <w:r w:rsidR="00CA6D35">
        <w:rPr>
          <w:rFonts w:ascii="Times New Roman" w:hAnsi="Times New Roman" w:cs="Times New Roman"/>
          <w:sz w:val="24"/>
          <w:szCs w:val="24"/>
        </w:rPr>
        <w:t xml:space="preserve">, </w:t>
      </w:r>
      <w:proofErr w:type="spellStart"/>
      <w:r w:rsidR="00CA6D35">
        <w:rPr>
          <w:rFonts w:ascii="Times New Roman" w:hAnsi="Times New Roman" w:cs="Times New Roman"/>
          <w:sz w:val="24"/>
          <w:szCs w:val="24"/>
        </w:rPr>
        <w:t>Airb</w:t>
      </w:r>
      <w:proofErr w:type="spellEnd"/>
      <w:r w:rsidR="00CA6D35">
        <w:rPr>
          <w:rFonts w:ascii="Times New Roman" w:hAnsi="Times New Roman" w:cs="Times New Roman"/>
          <w:sz w:val="24"/>
          <w:szCs w:val="24"/>
          <w:lang w:val="en-US"/>
        </w:rPr>
        <w:t>&amp;b</w:t>
      </w:r>
      <w:r w:rsidR="00CA6D35">
        <w:rPr>
          <w:rFonts w:ascii="Times New Roman" w:hAnsi="Times New Roman" w:cs="Times New Roman"/>
          <w:sz w:val="24"/>
          <w:szCs w:val="24"/>
        </w:rPr>
        <w:t>).</w:t>
      </w:r>
    </w:p>
    <w:p w14:paraId="724FD11E" w14:textId="5AC643CD" w:rsidR="00F10DF9" w:rsidRDefault="00F10DF9" w:rsidP="00A64364">
      <w:pPr>
        <w:spacing w:after="0" w:line="240" w:lineRule="auto"/>
        <w:ind w:firstLine="708"/>
        <w:jc w:val="both"/>
        <w:rPr>
          <w:rFonts w:ascii="Times New Roman" w:hAnsi="Times New Roman" w:cs="Times New Roman"/>
          <w:sz w:val="24"/>
          <w:szCs w:val="24"/>
        </w:rPr>
      </w:pPr>
    </w:p>
    <w:p w14:paraId="0323F90D" w14:textId="416FCAE8" w:rsidR="00F10DF9" w:rsidRPr="007622D4" w:rsidRDefault="00F10DF9" w:rsidP="00A6436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Ako vyplýva z úvodnej vety čl. 2 ods. 1 smernice, predmetom záujmu nie sú </w:t>
      </w:r>
      <w:r w:rsidR="00C00C01">
        <w:rPr>
          <w:rFonts w:ascii="Times New Roman" w:hAnsi="Times New Roman" w:cs="Times New Roman"/>
          <w:sz w:val="24"/>
          <w:szCs w:val="24"/>
        </w:rPr>
        <w:t xml:space="preserve">finančné </w:t>
      </w:r>
      <w:r>
        <w:rPr>
          <w:rFonts w:ascii="Times New Roman" w:hAnsi="Times New Roman" w:cs="Times New Roman"/>
          <w:sz w:val="24"/>
          <w:szCs w:val="24"/>
        </w:rPr>
        <w:t xml:space="preserve">služby hoci by spĺňali alebo môžu spĺňať charakteristiku elektronickej komunikačnej služby, prípadne inej služby informačnej spoločnosti. </w:t>
      </w:r>
      <w:r w:rsidR="001E4C30">
        <w:rPr>
          <w:rFonts w:ascii="Times New Roman" w:hAnsi="Times New Roman" w:cs="Times New Roman"/>
          <w:sz w:val="24"/>
          <w:szCs w:val="24"/>
        </w:rPr>
        <w:t xml:space="preserve">Smernica v čl. 2 ods. 1 odkazuje na vymedzenie finančných služieb podľa čl. 2 bod 2 písm. b) smernice </w:t>
      </w:r>
      <w:r w:rsidR="00125C19" w:rsidRPr="00125C19">
        <w:rPr>
          <w:rFonts w:ascii="Times New Roman" w:hAnsi="Times New Roman" w:cs="Times New Roman"/>
          <w:sz w:val="24"/>
          <w:szCs w:val="24"/>
        </w:rPr>
        <w:t>Európskeho parlamentu a Rady 2006/123/ES z 12. decembra 2006 o službách na vnútornom trhu</w:t>
      </w:r>
      <w:r w:rsidR="00125C19">
        <w:rPr>
          <w:rFonts w:ascii="Times New Roman" w:hAnsi="Times New Roman" w:cs="Times New Roman"/>
          <w:sz w:val="24"/>
          <w:szCs w:val="24"/>
        </w:rPr>
        <w:t>. Pre uchopenie pojmu „finančné služby“ predkladateľ volí to isté riešenie aké je použité v § 1 ods. 2 písm. b) zákon</w:t>
      </w:r>
      <w:r w:rsidR="004660C6">
        <w:rPr>
          <w:rFonts w:ascii="Times New Roman" w:hAnsi="Times New Roman" w:cs="Times New Roman"/>
          <w:sz w:val="24"/>
          <w:szCs w:val="24"/>
        </w:rPr>
        <w:t>a</w:t>
      </w:r>
      <w:r w:rsidR="00125C19">
        <w:rPr>
          <w:rFonts w:ascii="Times New Roman" w:hAnsi="Times New Roman" w:cs="Times New Roman"/>
          <w:sz w:val="24"/>
          <w:szCs w:val="24"/>
        </w:rPr>
        <w:t xml:space="preserve"> č. 136/2010 Z. z. </w:t>
      </w:r>
      <w:r w:rsidR="00125C19" w:rsidRPr="00125C19">
        <w:rPr>
          <w:rFonts w:ascii="Times New Roman" w:hAnsi="Times New Roman" w:cs="Times New Roman"/>
          <w:sz w:val="24"/>
          <w:szCs w:val="24"/>
        </w:rPr>
        <w:t>o službách na vnútornom trhu a o zmene a doplnení niektorých zákonov</w:t>
      </w:r>
      <w:r w:rsidR="004660C6">
        <w:rPr>
          <w:rFonts w:ascii="Times New Roman" w:hAnsi="Times New Roman" w:cs="Times New Roman"/>
          <w:sz w:val="24"/>
          <w:szCs w:val="24"/>
        </w:rPr>
        <w:t xml:space="preserve">, a teda odkazuje sa na demonštratívny výpočet zákonov regulujúcich finančné služby. </w:t>
      </w:r>
      <w:r w:rsidR="00233AE0">
        <w:rPr>
          <w:rFonts w:ascii="Times New Roman" w:hAnsi="Times New Roman" w:cs="Times New Roman"/>
          <w:sz w:val="24"/>
          <w:szCs w:val="24"/>
        </w:rPr>
        <w:t>Ide teda o služby bankovníctva</w:t>
      </w:r>
      <w:r w:rsidR="00233AE0" w:rsidRPr="00233AE0">
        <w:rPr>
          <w:rFonts w:ascii="Times New Roman" w:hAnsi="Times New Roman" w:cs="Times New Roman"/>
          <w:sz w:val="24"/>
          <w:szCs w:val="24"/>
        </w:rPr>
        <w:t>, služby súvisiace s úvermi, poistením a zaistením, pracovnými alebo osobnými dôchodkami, cennými papiermi, investičnými fondmi, platbami a investičným poradenstvom, vrátane služieb uvedených v prílohe I k smernici 2006/48/ES</w:t>
      </w:r>
      <w:r w:rsidR="00233AE0">
        <w:rPr>
          <w:rFonts w:ascii="Times New Roman" w:hAnsi="Times New Roman" w:cs="Times New Roman"/>
          <w:sz w:val="24"/>
          <w:szCs w:val="24"/>
        </w:rPr>
        <w:t xml:space="preserve"> </w:t>
      </w:r>
      <w:r w:rsidR="00233AE0" w:rsidRPr="00233AE0">
        <w:rPr>
          <w:rFonts w:ascii="Times New Roman" w:hAnsi="Times New Roman" w:cs="Times New Roman"/>
          <w:sz w:val="24"/>
          <w:szCs w:val="24"/>
        </w:rPr>
        <w:t>parlamentu a Rady 2006/48/ES zo 14. júna 2006 o začatí a vykonávaní činností úverových inštitúcií (prepracované znenie)</w:t>
      </w:r>
      <w:r w:rsidR="00233AE0">
        <w:rPr>
          <w:rFonts w:ascii="Times New Roman" w:hAnsi="Times New Roman" w:cs="Times New Roman"/>
          <w:sz w:val="24"/>
          <w:szCs w:val="24"/>
        </w:rPr>
        <w:t xml:space="preserve">. </w:t>
      </w:r>
      <w:r w:rsidR="00E03048" w:rsidRPr="00E03048">
        <w:rPr>
          <w:rFonts w:ascii="Times New Roman" w:hAnsi="Times New Roman" w:cs="Times New Roman"/>
          <w:sz w:val="24"/>
          <w:szCs w:val="24"/>
        </w:rPr>
        <w:t>Citovaná smernica 2006/48/ES bola neskôr nahradená smernicou 2013/36/EÚ</w:t>
      </w:r>
      <w:r w:rsidR="00E03048">
        <w:rPr>
          <w:rFonts w:ascii="Times New Roman" w:hAnsi="Times New Roman" w:cs="Times New Roman"/>
          <w:sz w:val="24"/>
          <w:szCs w:val="24"/>
        </w:rPr>
        <w:t>, pričom podstata výnimky sa však nemení</w:t>
      </w:r>
      <w:r w:rsidR="00E03048" w:rsidRPr="00E03048">
        <w:rPr>
          <w:rFonts w:ascii="Times New Roman" w:hAnsi="Times New Roman" w:cs="Times New Roman"/>
          <w:sz w:val="24"/>
          <w:szCs w:val="24"/>
        </w:rPr>
        <w:t>.</w:t>
      </w:r>
    </w:p>
    <w:p w14:paraId="6BFA16BE" w14:textId="77777777" w:rsidR="00A2519B" w:rsidRPr="007622D4" w:rsidRDefault="00A2519B" w:rsidP="00A64364">
      <w:pPr>
        <w:spacing w:after="0" w:line="240" w:lineRule="auto"/>
        <w:jc w:val="both"/>
        <w:rPr>
          <w:rFonts w:ascii="Times New Roman" w:hAnsi="Times New Roman" w:cs="Times New Roman"/>
          <w:sz w:val="24"/>
          <w:szCs w:val="24"/>
        </w:rPr>
      </w:pPr>
    </w:p>
    <w:p w14:paraId="74476790" w14:textId="6B26931F" w:rsidR="00034968" w:rsidRPr="007622D4" w:rsidRDefault="00034968"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 xml:space="preserve">V písmenách b) a c) sa vymedzujú pojmy </w:t>
      </w:r>
      <w:r w:rsidR="007B6AA9" w:rsidRPr="007622D4">
        <w:rPr>
          <w:rFonts w:ascii="Times New Roman" w:hAnsi="Times New Roman" w:cs="Times New Roman"/>
          <w:b/>
          <w:sz w:val="24"/>
          <w:szCs w:val="24"/>
        </w:rPr>
        <w:t>„</w:t>
      </w:r>
      <w:r w:rsidRPr="007622D4">
        <w:rPr>
          <w:rFonts w:ascii="Times New Roman" w:hAnsi="Times New Roman" w:cs="Times New Roman"/>
          <w:b/>
          <w:sz w:val="24"/>
          <w:szCs w:val="24"/>
        </w:rPr>
        <w:t>ponúkanie služieb na území členského štátu</w:t>
      </w:r>
      <w:r w:rsidR="007B6AA9" w:rsidRPr="007622D4">
        <w:rPr>
          <w:rFonts w:ascii="Times New Roman" w:hAnsi="Times New Roman" w:cs="Times New Roman"/>
          <w:b/>
          <w:sz w:val="24"/>
          <w:szCs w:val="24"/>
        </w:rPr>
        <w:t>“</w:t>
      </w:r>
      <w:r w:rsidRPr="007622D4">
        <w:rPr>
          <w:rFonts w:ascii="Times New Roman" w:hAnsi="Times New Roman" w:cs="Times New Roman"/>
          <w:sz w:val="24"/>
          <w:szCs w:val="24"/>
        </w:rPr>
        <w:t xml:space="preserve"> a </w:t>
      </w:r>
      <w:r w:rsidR="007B6AA9" w:rsidRPr="007622D4">
        <w:rPr>
          <w:rFonts w:ascii="Times New Roman" w:hAnsi="Times New Roman" w:cs="Times New Roman"/>
          <w:b/>
          <w:sz w:val="24"/>
          <w:szCs w:val="24"/>
        </w:rPr>
        <w:t>„</w:t>
      </w:r>
      <w:r w:rsidRPr="007622D4">
        <w:rPr>
          <w:rFonts w:ascii="Times New Roman" w:hAnsi="Times New Roman" w:cs="Times New Roman"/>
          <w:b/>
          <w:sz w:val="24"/>
          <w:szCs w:val="24"/>
        </w:rPr>
        <w:t>ponúkanie</w:t>
      </w:r>
      <w:r w:rsidR="00FE1D16">
        <w:rPr>
          <w:rFonts w:ascii="Times New Roman" w:hAnsi="Times New Roman" w:cs="Times New Roman"/>
          <w:b/>
          <w:sz w:val="24"/>
          <w:szCs w:val="24"/>
        </w:rPr>
        <w:t xml:space="preserve"> služieb</w:t>
      </w:r>
      <w:r w:rsidRPr="007622D4">
        <w:rPr>
          <w:rFonts w:ascii="Times New Roman" w:hAnsi="Times New Roman" w:cs="Times New Roman"/>
          <w:b/>
          <w:sz w:val="24"/>
          <w:szCs w:val="24"/>
        </w:rPr>
        <w:t xml:space="preserve"> v Európskej únii</w:t>
      </w:r>
      <w:r w:rsidR="007B6AA9" w:rsidRPr="007622D4">
        <w:rPr>
          <w:rFonts w:ascii="Times New Roman" w:hAnsi="Times New Roman" w:cs="Times New Roman"/>
          <w:b/>
          <w:sz w:val="24"/>
          <w:szCs w:val="24"/>
        </w:rPr>
        <w:t>“</w:t>
      </w:r>
      <w:r w:rsidRPr="007622D4">
        <w:rPr>
          <w:rFonts w:ascii="Times New Roman" w:hAnsi="Times New Roman" w:cs="Times New Roman"/>
          <w:sz w:val="24"/>
          <w:szCs w:val="24"/>
        </w:rPr>
        <w:t xml:space="preserve">. Faktom je, že samotná smernica pri vymedzení týchto pojmov nie je úplne jednoznačná, čo vedie k tomu, že tieto pojmy sa v istom rozsahu prekrývajú. Z pohľadu smernice, resp. návrhu zákona však nejde o neprekonateľný problém, pretože si treba uvedomiť, že pojem „ponúkanie služieb na území členského štátu“ smernica používa len v jedinom prípade, a to v čl. 1 ods. 5 druhá veta. Toto ustanovenie smernice normuje výnimku z uplatňovania smernice, pričom je prebraté do § 2 ods. 2. V tomto kontexte preto predkladateľ volí prebratie smernice aj s logickým nedostatkom plynúcim z textu smernice. </w:t>
      </w:r>
      <w:r w:rsidR="00B72253">
        <w:rPr>
          <w:rFonts w:ascii="Times New Roman" w:hAnsi="Times New Roman" w:cs="Times New Roman"/>
          <w:sz w:val="24"/>
          <w:szCs w:val="24"/>
        </w:rPr>
        <w:t xml:space="preserve">Pri výklade pojmu „podstatná väzba“ je potrebné poukázať na recitál 11 smernice, podľa ktorého </w:t>
      </w:r>
      <w:r w:rsidR="00B72253" w:rsidRPr="00074AF5">
        <w:rPr>
          <w:rFonts w:ascii="Times New Roman" w:hAnsi="Times New Roman" w:cs="Times New Roman"/>
          <w:i/>
          <w:sz w:val="24"/>
          <w:szCs w:val="24"/>
        </w:rPr>
        <w:t>„Podstatná väzba by sa mala považovať za existujúcu, ak má poskytovateľ prevádzkareň v Únii. V prípade, ak takáto prevádzkareň neexistuje, kritérium podstatnej väzby by sa malo zakladať na osobitných skutkových kritériách, ako je napríklad existencia významného počtu používateľov v jednom členskom štáte alebo vo viacerých členských štátoch alebo zameranie činností na jeden členský štát alebo viacero členských štátov. Zameranie činností na jeden členský štát alebo viacero členských štátov by sa malo určiť na základe všetkých relevantných okolností vrátane faktorov ako používanie jazyka alebo meny všeobecne používaných v danom členskom štáte alebo možnosti objednania tovaru alebo služieb. Zameranie činností na určitý členský štát by sa mohlo odvodiť aj z dostupnosti aplikácie v príslušnom vnútroštátnom obchode s aplikáciami, z poskytovania miestnej reklamy alebo propagácie v jazyku všeobecne používanom v danom členskom štáte alebo zo spôsobu riadenia vzťahov so zákazníkmi, ako je napríklad poskytovanie služieb zákazníkom v jazyku všeobecne používanom v danom členskom štáte. Podstatná väzba by sa mala považovať za existujúcu aj vtedy, ak poskytovateľ služieb smeruje svoje činnosti do jedného alebo viacerých členských štátov, ako je stanovené v nariadení Európskeho parlamentu a Rady (EÚ) č. 1215/2012 (8). Na druhej strane by sa poskytovanie služby výlučne na účely dodržiavania zákazu diskriminácie stanoveného v nariadení Európskeho parlamentu a Rady (EÚ) 2018/302 (9) nemalo bez ďalších dôvodov považovať za smerovanie činností do daného územia v rámci Únie alebo ich zameranie na toto územie. Rovnaké úvahy by sa mali uplatňovať pri určovaní toho, či poskytovateľ služieb ponúka služby na území členského štátu.“</w:t>
      </w:r>
      <w:r w:rsidR="00B72253">
        <w:rPr>
          <w:rFonts w:ascii="Times New Roman" w:hAnsi="Times New Roman" w:cs="Times New Roman"/>
          <w:sz w:val="24"/>
          <w:szCs w:val="24"/>
        </w:rPr>
        <w:t xml:space="preserve"> V prípade pojmu „významný počet používateľov“ </w:t>
      </w:r>
      <w:r w:rsidR="00B72253" w:rsidRPr="00B72253">
        <w:rPr>
          <w:rFonts w:ascii="Times New Roman" w:hAnsi="Times New Roman" w:cs="Times New Roman"/>
          <w:sz w:val="24"/>
          <w:szCs w:val="24"/>
        </w:rPr>
        <w:t xml:space="preserve">smernica ani nariadenie nedefinujú, ani neposkytujú usmernenie v úvodných ustanoveniach. </w:t>
      </w:r>
      <w:r w:rsidR="00B72253" w:rsidRPr="00B72253">
        <w:rPr>
          <w:rFonts w:ascii="Times New Roman" w:hAnsi="Times New Roman" w:cs="Times New Roman"/>
          <w:sz w:val="24"/>
          <w:szCs w:val="24"/>
        </w:rPr>
        <w:lastRenderedPageBreak/>
        <w:t xml:space="preserve">Podľa Európskej komisie ide o autonómny koncept, ktorý nevychádza z iných aktuálne prijatých právnych aktov </w:t>
      </w:r>
      <w:r w:rsidR="00B72253">
        <w:rPr>
          <w:rFonts w:ascii="Times New Roman" w:hAnsi="Times New Roman" w:cs="Times New Roman"/>
          <w:sz w:val="24"/>
          <w:szCs w:val="24"/>
        </w:rPr>
        <w:t>Európskej únie</w:t>
      </w:r>
      <w:r w:rsidR="00B72253" w:rsidRPr="00B72253">
        <w:rPr>
          <w:rFonts w:ascii="Times New Roman" w:hAnsi="Times New Roman" w:cs="Times New Roman"/>
          <w:sz w:val="24"/>
          <w:szCs w:val="24"/>
        </w:rPr>
        <w:t>. V praxi pôjde o ad hoc posúdenie na základe viacerých kritérií, akými sú napríklad počet používateľov v inom členskom štáte v pomere k celkovému počtu používateľov služby, počet používateľov v pomere k celkovému počtu obyvateľov členského štátu, či celkový význam a dosah služby na obyvateľov člens</w:t>
      </w:r>
      <w:r w:rsidR="00B72253">
        <w:rPr>
          <w:rFonts w:ascii="Times New Roman" w:hAnsi="Times New Roman" w:cs="Times New Roman"/>
          <w:sz w:val="24"/>
          <w:szCs w:val="24"/>
        </w:rPr>
        <w:t>kého štát</w:t>
      </w:r>
      <w:r w:rsidR="009C0FB7">
        <w:rPr>
          <w:rFonts w:ascii="Times New Roman" w:hAnsi="Times New Roman" w:cs="Times New Roman"/>
          <w:sz w:val="24"/>
          <w:szCs w:val="24"/>
        </w:rPr>
        <w:t>u</w:t>
      </w:r>
      <w:r w:rsidR="00B72253">
        <w:rPr>
          <w:rFonts w:ascii="Times New Roman" w:hAnsi="Times New Roman" w:cs="Times New Roman"/>
          <w:sz w:val="24"/>
          <w:szCs w:val="24"/>
        </w:rPr>
        <w:t xml:space="preserve">. </w:t>
      </w:r>
      <w:r w:rsidR="00B72253" w:rsidRPr="00B72253">
        <w:rPr>
          <w:rFonts w:ascii="Times New Roman" w:hAnsi="Times New Roman" w:cs="Times New Roman"/>
          <w:sz w:val="24"/>
          <w:szCs w:val="24"/>
        </w:rPr>
        <w:t>V prípade pochybností, či poskytovateľ služieb podlieha registračnej povinnos</w:t>
      </w:r>
      <w:r w:rsidR="00B72253">
        <w:rPr>
          <w:rFonts w:ascii="Times New Roman" w:hAnsi="Times New Roman" w:cs="Times New Roman"/>
          <w:sz w:val="24"/>
          <w:szCs w:val="24"/>
        </w:rPr>
        <w:t xml:space="preserve">ti podľa transpozičného zákona, príslušný orgán </w:t>
      </w:r>
      <w:r w:rsidR="00B72253" w:rsidRPr="00B72253">
        <w:rPr>
          <w:rFonts w:ascii="Times New Roman" w:hAnsi="Times New Roman" w:cs="Times New Roman"/>
          <w:sz w:val="24"/>
          <w:szCs w:val="24"/>
        </w:rPr>
        <w:t>pri posudzovaní kritéria „významný počet používateľov“ zohľadní súčasne najmä počet používateľov v inom členskom štáte v pomere k celkovému počtu používateľov služby, počet používateľov v pomere k celkovému počtu obyvateľov členského štátu a celkový význam a dosah služby na obyvateľov členského štát</w:t>
      </w:r>
      <w:r w:rsidR="009C0FB7">
        <w:rPr>
          <w:rFonts w:ascii="Times New Roman" w:hAnsi="Times New Roman" w:cs="Times New Roman"/>
          <w:sz w:val="24"/>
          <w:szCs w:val="24"/>
        </w:rPr>
        <w:t>u</w:t>
      </w:r>
      <w:r w:rsidR="00B72253" w:rsidRPr="00B72253">
        <w:rPr>
          <w:rFonts w:ascii="Times New Roman" w:hAnsi="Times New Roman" w:cs="Times New Roman"/>
          <w:sz w:val="24"/>
          <w:szCs w:val="24"/>
        </w:rPr>
        <w:t>.“</w:t>
      </w:r>
    </w:p>
    <w:p w14:paraId="725CF8EB" w14:textId="77777777" w:rsidR="007B6AA9" w:rsidRPr="007622D4" w:rsidRDefault="007B6AA9" w:rsidP="00A64364">
      <w:pPr>
        <w:spacing w:after="0" w:line="240" w:lineRule="auto"/>
        <w:ind w:firstLine="708"/>
        <w:jc w:val="both"/>
        <w:rPr>
          <w:rFonts w:ascii="Times New Roman" w:hAnsi="Times New Roman" w:cs="Times New Roman"/>
          <w:sz w:val="24"/>
          <w:szCs w:val="24"/>
        </w:rPr>
      </w:pPr>
    </w:p>
    <w:p w14:paraId="73C64814" w14:textId="0EF18DDA" w:rsidR="00B66939" w:rsidRPr="007622D4" w:rsidRDefault="007B6AA9"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 xml:space="preserve">V písmene d) sa vymedzuje pojem </w:t>
      </w:r>
      <w:r w:rsidRPr="007622D4">
        <w:rPr>
          <w:rFonts w:ascii="Times New Roman" w:hAnsi="Times New Roman" w:cs="Times New Roman"/>
          <w:b/>
          <w:sz w:val="24"/>
          <w:szCs w:val="24"/>
        </w:rPr>
        <w:t>„prevádzkareň“</w:t>
      </w:r>
      <w:r w:rsidRPr="007622D4">
        <w:rPr>
          <w:rFonts w:ascii="Times New Roman" w:hAnsi="Times New Roman" w:cs="Times New Roman"/>
          <w:sz w:val="24"/>
          <w:szCs w:val="24"/>
        </w:rPr>
        <w:t xml:space="preserve">. Tento pojem sa podobne ako pojem v písmene b) používa v smernice (a teda aj v návrhu zákona) v podstate </w:t>
      </w:r>
      <w:r w:rsidR="00B7492D" w:rsidRPr="007622D4">
        <w:rPr>
          <w:rFonts w:ascii="Times New Roman" w:hAnsi="Times New Roman" w:cs="Times New Roman"/>
          <w:sz w:val="24"/>
          <w:szCs w:val="24"/>
        </w:rPr>
        <w:t xml:space="preserve">jednorazovo, a to v rámci definícií v písmenách b) a c). </w:t>
      </w:r>
      <w:r w:rsidR="001D0750">
        <w:rPr>
          <w:rFonts w:ascii="Times New Roman" w:hAnsi="Times New Roman" w:cs="Times New Roman"/>
          <w:sz w:val="24"/>
          <w:szCs w:val="24"/>
        </w:rPr>
        <w:t>Formálno-právne však je potrebné na účely riadnej transpozície smernice tento pojem zahrnúť do návrhu zákona.</w:t>
      </w:r>
      <w:r w:rsidR="00DC22C4">
        <w:rPr>
          <w:rFonts w:ascii="Times New Roman" w:hAnsi="Times New Roman" w:cs="Times New Roman"/>
          <w:sz w:val="24"/>
          <w:szCs w:val="24"/>
        </w:rPr>
        <w:t xml:space="preserve"> V súvislosti s vymedzením pojmu „prevádzkareň“ na účely predkladaného návrhu zákona treba uviesť, že ide o autonómnu definíciu platnú len „do vnútra“</w:t>
      </w:r>
      <w:r w:rsidR="001D0750">
        <w:rPr>
          <w:rFonts w:ascii="Times New Roman" w:hAnsi="Times New Roman" w:cs="Times New Roman"/>
          <w:sz w:val="24"/>
          <w:szCs w:val="24"/>
        </w:rPr>
        <w:t xml:space="preserve"> </w:t>
      </w:r>
      <w:r w:rsidR="00DC22C4">
        <w:rPr>
          <w:rFonts w:ascii="Times New Roman" w:hAnsi="Times New Roman" w:cs="Times New Roman"/>
          <w:sz w:val="24"/>
          <w:szCs w:val="24"/>
        </w:rPr>
        <w:t xml:space="preserve">zákona („Na účely tohto zákona sa rozumie...“). Obsahovo tak ide o odlišné vymedzenie pojmu „prevádzkareň“ ako ho používa napríklad Obchodný zákonník alebo zákon č. </w:t>
      </w:r>
      <w:r w:rsidR="00DC22C4" w:rsidRPr="00DC22C4">
        <w:rPr>
          <w:rFonts w:ascii="Times New Roman" w:hAnsi="Times New Roman" w:cs="Times New Roman"/>
          <w:sz w:val="24"/>
          <w:szCs w:val="24"/>
        </w:rPr>
        <w:t>455/1991 Zb. o živnostenskom podnikaní (živnostenský zákon) v znení neskorších predpisov</w:t>
      </w:r>
      <w:r w:rsidR="00DC22C4">
        <w:rPr>
          <w:rFonts w:ascii="Times New Roman" w:hAnsi="Times New Roman" w:cs="Times New Roman"/>
          <w:sz w:val="24"/>
          <w:szCs w:val="24"/>
        </w:rPr>
        <w:t xml:space="preserve">. </w:t>
      </w:r>
    </w:p>
    <w:p w14:paraId="18C81916" w14:textId="77777777" w:rsidR="00B66939" w:rsidRPr="007622D4" w:rsidRDefault="00B66939" w:rsidP="00A64364">
      <w:pPr>
        <w:spacing w:after="0" w:line="240" w:lineRule="auto"/>
        <w:ind w:firstLine="708"/>
        <w:jc w:val="both"/>
        <w:rPr>
          <w:rFonts w:ascii="Times New Roman" w:hAnsi="Times New Roman" w:cs="Times New Roman"/>
          <w:sz w:val="24"/>
          <w:szCs w:val="24"/>
        </w:rPr>
      </w:pPr>
    </w:p>
    <w:p w14:paraId="4F77112C" w14:textId="583DF6D6" w:rsidR="007B6AA9" w:rsidRPr="007622D4" w:rsidRDefault="007B6AA9"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 xml:space="preserve"> </w:t>
      </w:r>
      <w:r w:rsidR="000A3820" w:rsidRPr="007622D4">
        <w:rPr>
          <w:rFonts w:ascii="Times New Roman" w:hAnsi="Times New Roman" w:cs="Times New Roman"/>
          <w:sz w:val="24"/>
          <w:szCs w:val="24"/>
        </w:rPr>
        <w:t xml:space="preserve">V písmenách e) a f) sa vymedzujú pojmy </w:t>
      </w:r>
      <w:r w:rsidR="000A3820" w:rsidRPr="007622D4">
        <w:rPr>
          <w:rFonts w:ascii="Times New Roman" w:hAnsi="Times New Roman" w:cs="Times New Roman"/>
          <w:b/>
          <w:sz w:val="24"/>
          <w:szCs w:val="24"/>
        </w:rPr>
        <w:t>„určená</w:t>
      </w:r>
      <w:r w:rsidR="000A3820" w:rsidRPr="007622D4">
        <w:rPr>
          <w:rFonts w:ascii="Times New Roman" w:hAnsi="Times New Roman" w:cs="Times New Roman"/>
          <w:sz w:val="24"/>
          <w:szCs w:val="24"/>
        </w:rPr>
        <w:t xml:space="preserve"> </w:t>
      </w:r>
      <w:r w:rsidR="000A3820" w:rsidRPr="007622D4">
        <w:rPr>
          <w:rFonts w:ascii="Times New Roman" w:hAnsi="Times New Roman" w:cs="Times New Roman"/>
          <w:b/>
          <w:sz w:val="24"/>
          <w:szCs w:val="24"/>
        </w:rPr>
        <w:t>prevádzkareň“</w:t>
      </w:r>
      <w:r w:rsidR="000A3820" w:rsidRPr="007622D4">
        <w:rPr>
          <w:rFonts w:ascii="Times New Roman" w:hAnsi="Times New Roman" w:cs="Times New Roman"/>
          <w:sz w:val="24"/>
          <w:szCs w:val="24"/>
        </w:rPr>
        <w:t xml:space="preserve"> a </w:t>
      </w:r>
      <w:r w:rsidR="000A3820" w:rsidRPr="007622D4">
        <w:rPr>
          <w:rFonts w:ascii="Times New Roman" w:hAnsi="Times New Roman" w:cs="Times New Roman"/>
          <w:b/>
          <w:sz w:val="24"/>
          <w:szCs w:val="24"/>
        </w:rPr>
        <w:t>„právny zástupca“</w:t>
      </w:r>
      <w:r w:rsidR="000A3820" w:rsidRPr="007622D4">
        <w:rPr>
          <w:rFonts w:ascii="Times New Roman" w:hAnsi="Times New Roman" w:cs="Times New Roman"/>
          <w:sz w:val="24"/>
          <w:szCs w:val="24"/>
        </w:rPr>
        <w:t xml:space="preserve">. Vo svojej podstate v jednom aj v druhom prípade ide o kontaktné body, ktoré určuje poskytovateľ služieb na účely zabezpečenia prijímania, plnenia a vykonávania rozhodnutí a príkazov. To, či </w:t>
      </w:r>
      <w:r w:rsidR="0094257C">
        <w:rPr>
          <w:rFonts w:ascii="Times New Roman" w:hAnsi="Times New Roman" w:cs="Times New Roman"/>
          <w:sz w:val="24"/>
          <w:szCs w:val="24"/>
        </w:rPr>
        <w:t xml:space="preserve">v </w:t>
      </w:r>
      <w:r w:rsidR="000A3820" w:rsidRPr="007622D4">
        <w:rPr>
          <w:rFonts w:ascii="Times New Roman" w:hAnsi="Times New Roman" w:cs="Times New Roman"/>
          <w:sz w:val="24"/>
          <w:szCs w:val="24"/>
        </w:rPr>
        <w:t xml:space="preserve">konkrétnom prípade má poskytovateľ služieb určiť určenú prevádzkareň alebo právneho zástupcu vyplýva z § 4 ods. 1 až 3. </w:t>
      </w:r>
      <w:r w:rsidR="00A351AE" w:rsidRPr="007622D4">
        <w:rPr>
          <w:rFonts w:ascii="Times New Roman" w:hAnsi="Times New Roman" w:cs="Times New Roman"/>
          <w:sz w:val="24"/>
          <w:szCs w:val="24"/>
        </w:rPr>
        <w:t xml:space="preserve">Na rozdiel od smernice predkladateľ matériu týkajúcu sa podmienok pre určenie určenej prevádzkarne alebo právneho zástupcu nepojíma do pojmového vymedzenia, ale ponecháva ju na samostatné ustanovenie zákona (§ 4). </w:t>
      </w:r>
      <w:r w:rsidR="001D27A3" w:rsidRPr="007622D4">
        <w:rPr>
          <w:rFonts w:ascii="Times New Roman" w:hAnsi="Times New Roman" w:cs="Times New Roman"/>
          <w:sz w:val="24"/>
          <w:szCs w:val="24"/>
        </w:rPr>
        <w:t>Smernica pracuje s touto matériou na dvoch miestach, a teda fakticky duplicitne. Tomuto efektu sa predkladateľ v súlade so zaužívanou legislatívnou praxou chce vyhnúť. Preto do písmena e) bol zavedený odkaz na § 4 ods. 1 a 2 a do písmená f) bol zavedený odkaz na § 4 ods. 3.</w:t>
      </w:r>
      <w:r w:rsidR="00C0526A">
        <w:rPr>
          <w:rFonts w:ascii="Times New Roman" w:hAnsi="Times New Roman" w:cs="Times New Roman"/>
          <w:sz w:val="24"/>
          <w:szCs w:val="24"/>
        </w:rPr>
        <w:t xml:space="preserve"> Okrem toho je potrebné poukázať na to, že pojmovo nie je vylúčené, aby poskytovateľ služieb označil </w:t>
      </w:r>
      <w:r w:rsidR="000B6C7B">
        <w:rPr>
          <w:rFonts w:ascii="Times New Roman" w:hAnsi="Times New Roman" w:cs="Times New Roman"/>
          <w:sz w:val="24"/>
          <w:szCs w:val="24"/>
        </w:rPr>
        <w:t xml:space="preserve">za </w:t>
      </w:r>
      <w:r w:rsidR="00C0526A">
        <w:rPr>
          <w:rFonts w:ascii="Times New Roman" w:hAnsi="Times New Roman" w:cs="Times New Roman"/>
          <w:sz w:val="24"/>
          <w:szCs w:val="24"/>
        </w:rPr>
        <w:t xml:space="preserve">určenú prevádzkareň samého seba. Nie je nevyhnutné, aby poskytovateľ služieb </w:t>
      </w:r>
      <w:r w:rsidR="000B6C7B" w:rsidRPr="000B6C7B">
        <w:rPr>
          <w:rFonts w:ascii="Times New Roman" w:hAnsi="Times New Roman" w:cs="Times New Roman"/>
          <w:sz w:val="24"/>
          <w:szCs w:val="24"/>
        </w:rPr>
        <w:t xml:space="preserve">usadený v Európskej únii  </w:t>
      </w:r>
      <w:r w:rsidR="00C0526A">
        <w:rPr>
          <w:rFonts w:ascii="Times New Roman" w:hAnsi="Times New Roman" w:cs="Times New Roman"/>
          <w:sz w:val="24"/>
          <w:szCs w:val="24"/>
        </w:rPr>
        <w:t xml:space="preserve">na účely plnenia a vykonávania rozhodnutí a príkazov kreoval nový právny subjekt. To nie je účelom smernice. Účel smernice bude dosiahnutý aj vtedy, ak poskytovateľ služieb a určená prevádzkareň budú jeden a ten istý subjekt práva. </w:t>
      </w:r>
      <w:r w:rsidR="00751DBA" w:rsidRPr="00751DBA">
        <w:rPr>
          <w:rFonts w:ascii="Times New Roman" w:hAnsi="Times New Roman" w:cs="Times New Roman"/>
          <w:sz w:val="24"/>
          <w:szCs w:val="24"/>
        </w:rPr>
        <w:t xml:space="preserve">Skutočnosť, že poskytovateľ služieb </w:t>
      </w:r>
      <w:r w:rsidR="00751DBA">
        <w:rPr>
          <w:rFonts w:ascii="Times New Roman" w:hAnsi="Times New Roman" w:cs="Times New Roman"/>
          <w:sz w:val="24"/>
          <w:szCs w:val="24"/>
        </w:rPr>
        <w:t xml:space="preserve">môže </w:t>
      </w:r>
      <w:r w:rsidR="00751DBA" w:rsidRPr="00751DBA">
        <w:rPr>
          <w:rFonts w:ascii="Times New Roman" w:hAnsi="Times New Roman" w:cs="Times New Roman"/>
          <w:sz w:val="24"/>
          <w:szCs w:val="24"/>
        </w:rPr>
        <w:t>zvoliť pre vybavovanie rozhodnutí a príkazov napríklad jeho organizačný útvar</w:t>
      </w:r>
      <w:r w:rsidR="00751DBA">
        <w:rPr>
          <w:rFonts w:ascii="Times New Roman" w:hAnsi="Times New Roman" w:cs="Times New Roman"/>
          <w:sz w:val="24"/>
          <w:szCs w:val="24"/>
        </w:rPr>
        <w:t xml:space="preserve"> alebo </w:t>
      </w:r>
      <w:r w:rsidR="00751DBA" w:rsidRPr="00751DBA">
        <w:rPr>
          <w:rFonts w:ascii="Times New Roman" w:hAnsi="Times New Roman" w:cs="Times New Roman"/>
          <w:sz w:val="24"/>
          <w:szCs w:val="24"/>
        </w:rPr>
        <w:t xml:space="preserve">subjekt bez právnej subjektivity je jeho interným rozhodnutím a z praktického hľadiska určením prístupových práv do decentralizovaného informačného systému a smernica tomu nebráni. Z hľadiska smernice je však dôležité, aby navonok reprezentoval poskytovateľa služieb subjekt s právnou subjektivitou.  </w:t>
      </w:r>
    </w:p>
    <w:p w14:paraId="25DA96F5" w14:textId="14704599" w:rsidR="00827DD8" w:rsidRDefault="00827DD8" w:rsidP="00A64364">
      <w:pPr>
        <w:spacing w:after="0" w:line="240" w:lineRule="auto"/>
        <w:ind w:firstLine="708"/>
        <w:jc w:val="both"/>
        <w:rPr>
          <w:rFonts w:ascii="Times New Roman" w:hAnsi="Times New Roman" w:cs="Times New Roman"/>
          <w:sz w:val="24"/>
          <w:szCs w:val="24"/>
        </w:rPr>
      </w:pPr>
    </w:p>
    <w:p w14:paraId="322AC491" w14:textId="77777777" w:rsidR="00D671AF" w:rsidRPr="007622D4" w:rsidRDefault="00D671AF" w:rsidP="00A64364">
      <w:pPr>
        <w:spacing w:after="0" w:line="240" w:lineRule="auto"/>
        <w:ind w:firstLine="708"/>
        <w:jc w:val="both"/>
        <w:rPr>
          <w:rFonts w:ascii="Times New Roman" w:hAnsi="Times New Roman" w:cs="Times New Roman"/>
          <w:sz w:val="24"/>
          <w:szCs w:val="24"/>
        </w:rPr>
      </w:pPr>
    </w:p>
    <w:p w14:paraId="5123486E" w14:textId="77777777" w:rsidR="00A2519B" w:rsidRPr="007622D4" w:rsidRDefault="00A2519B" w:rsidP="00A64364">
      <w:pPr>
        <w:spacing w:after="0" w:line="240" w:lineRule="auto"/>
        <w:jc w:val="both"/>
        <w:rPr>
          <w:rFonts w:ascii="Times New Roman" w:hAnsi="Times New Roman" w:cs="Times New Roman"/>
          <w:sz w:val="24"/>
          <w:szCs w:val="24"/>
          <w:u w:val="single"/>
        </w:rPr>
      </w:pPr>
      <w:r w:rsidRPr="007622D4">
        <w:rPr>
          <w:rFonts w:ascii="Times New Roman" w:hAnsi="Times New Roman" w:cs="Times New Roman"/>
          <w:sz w:val="24"/>
          <w:szCs w:val="24"/>
          <w:u w:val="single"/>
        </w:rPr>
        <w:t>K § 4</w:t>
      </w:r>
    </w:p>
    <w:p w14:paraId="519E8837" w14:textId="77777777" w:rsidR="00A2519B" w:rsidRPr="007622D4" w:rsidRDefault="00A2519B" w:rsidP="00A64364">
      <w:pPr>
        <w:spacing w:after="0" w:line="240" w:lineRule="auto"/>
        <w:jc w:val="both"/>
        <w:rPr>
          <w:rFonts w:ascii="Times New Roman" w:hAnsi="Times New Roman" w:cs="Times New Roman"/>
          <w:sz w:val="24"/>
          <w:szCs w:val="24"/>
        </w:rPr>
      </w:pPr>
    </w:p>
    <w:p w14:paraId="49DC812B" w14:textId="38F9D8E8" w:rsidR="00705501" w:rsidRPr="007622D4" w:rsidRDefault="00BA6DB1"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 xml:space="preserve">Ustanovenie § 4 je transpozičným ustanovením pre čl. 3 smernice, ktorý ukladá poskytovateľom služieb povinnosť určiť buď určenú prevádzkareň alebo právneho zástupcu na účely prijímania, plnenie a vykonávania príkazov vydaných podľa nariadenia. </w:t>
      </w:r>
      <w:r w:rsidR="004F4D02" w:rsidRPr="007622D4">
        <w:rPr>
          <w:rFonts w:ascii="Times New Roman" w:hAnsi="Times New Roman" w:cs="Times New Roman"/>
          <w:sz w:val="24"/>
          <w:szCs w:val="24"/>
        </w:rPr>
        <w:t>Ako vyplýva z predchádzajúceho textu, tak čl. 3 smernice je potrebn</w:t>
      </w:r>
      <w:r w:rsidR="00CF5170">
        <w:rPr>
          <w:rFonts w:ascii="Times New Roman" w:hAnsi="Times New Roman" w:cs="Times New Roman"/>
          <w:sz w:val="24"/>
          <w:szCs w:val="24"/>
        </w:rPr>
        <w:t>é vykladať v kontexte čl. 2 bodov</w:t>
      </w:r>
      <w:r w:rsidR="004F4D02" w:rsidRPr="007622D4">
        <w:rPr>
          <w:rFonts w:ascii="Times New Roman" w:hAnsi="Times New Roman" w:cs="Times New Roman"/>
          <w:sz w:val="24"/>
          <w:szCs w:val="24"/>
        </w:rPr>
        <w:t xml:space="preserve"> 5 a 6 smernice. </w:t>
      </w:r>
      <w:r w:rsidR="00B204D6" w:rsidRPr="007622D4">
        <w:rPr>
          <w:rFonts w:ascii="Times New Roman" w:hAnsi="Times New Roman" w:cs="Times New Roman"/>
          <w:sz w:val="24"/>
          <w:szCs w:val="24"/>
        </w:rPr>
        <w:t>Z čl. 2 bod</w:t>
      </w:r>
      <w:r w:rsidR="00557D55">
        <w:rPr>
          <w:rFonts w:ascii="Times New Roman" w:hAnsi="Times New Roman" w:cs="Times New Roman"/>
          <w:sz w:val="24"/>
          <w:szCs w:val="24"/>
        </w:rPr>
        <w:t>ov</w:t>
      </w:r>
      <w:r w:rsidR="00B204D6" w:rsidRPr="007622D4">
        <w:rPr>
          <w:rFonts w:ascii="Times New Roman" w:hAnsi="Times New Roman" w:cs="Times New Roman"/>
          <w:sz w:val="24"/>
          <w:szCs w:val="24"/>
        </w:rPr>
        <w:t xml:space="preserve"> 5 a 6 vyplýva, že prevádzkovateľ služieb určuje určenú prevádzkareň </w:t>
      </w:r>
      <w:r w:rsidR="00B204D6" w:rsidRPr="007622D4">
        <w:rPr>
          <w:rFonts w:ascii="Times New Roman" w:hAnsi="Times New Roman" w:cs="Times New Roman"/>
          <w:sz w:val="24"/>
          <w:szCs w:val="24"/>
        </w:rPr>
        <w:lastRenderedPageBreak/>
        <w:t xml:space="preserve">vtedy, ak je usadený v Európskej únii. Ak poskytovateľ služieb nie je usadený v Európskej únii, tak má vymenovať právneho zástupcu. </w:t>
      </w:r>
      <w:r w:rsidR="003A2C20" w:rsidRPr="007622D4">
        <w:rPr>
          <w:rFonts w:ascii="Times New Roman" w:hAnsi="Times New Roman" w:cs="Times New Roman"/>
          <w:sz w:val="24"/>
          <w:szCs w:val="24"/>
        </w:rPr>
        <w:t xml:space="preserve">Táto logika sa premieta aj do navrhovaného § 4. </w:t>
      </w:r>
    </w:p>
    <w:p w14:paraId="2B542AA2" w14:textId="77777777" w:rsidR="00131651" w:rsidRPr="007622D4" w:rsidRDefault="00131651" w:rsidP="00A64364">
      <w:pPr>
        <w:spacing w:after="0" w:line="240" w:lineRule="auto"/>
        <w:ind w:firstLine="708"/>
        <w:jc w:val="both"/>
        <w:rPr>
          <w:rFonts w:ascii="Times New Roman" w:hAnsi="Times New Roman" w:cs="Times New Roman"/>
          <w:sz w:val="24"/>
          <w:szCs w:val="24"/>
        </w:rPr>
      </w:pPr>
    </w:p>
    <w:p w14:paraId="56F464CA" w14:textId="3ED3C943" w:rsidR="000F665C" w:rsidRPr="007622D4" w:rsidRDefault="00FB65FD"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V </w:t>
      </w:r>
      <w:r w:rsidR="00556F57" w:rsidRPr="007622D4">
        <w:rPr>
          <w:rFonts w:ascii="Times New Roman" w:hAnsi="Times New Roman" w:cs="Times New Roman"/>
          <w:sz w:val="24"/>
          <w:szCs w:val="24"/>
        </w:rPr>
        <w:t>navrhovan</w:t>
      </w:r>
      <w:r w:rsidR="00556F57">
        <w:rPr>
          <w:rFonts w:ascii="Times New Roman" w:hAnsi="Times New Roman" w:cs="Times New Roman"/>
          <w:sz w:val="24"/>
          <w:szCs w:val="24"/>
        </w:rPr>
        <w:t>om</w:t>
      </w:r>
      <w:r w:rsidR="00556F57" w:rsidRPr="007622D4">
        <w:rPr>
          <w:rFonts w:ascii="Times New Roman" w:hAnsi="Times New Roman" w:cs="Times New Roman"/>
          <w:sz w:val="24"/>
          <w:szCs w:val="24"/>
        </w:rPr>
        <w:t xml:space="preserve"> </w:t>
      </w:r>
      <w:r w:rsidR="00556F57">
        <w:rPr>
          <w:rFonts w:ascii="Times New Roman" w:hAnsi="Times New Roman" w:cs="Times New Roman"/>
          <w:sz w:val="24"/>
          <w:szCs w:val="24"/>
        </w:rPr>
        <w:t xml:space="preserve">odseku 1 </w:t>
      </w:r>
      <w:r w:rsidR="00131651" w:rsidRPr="007622D4">
        <w:rPr>
          <w:rFonts w:ascii="Times New Roman" w:hAnsi="Times New Roman" w:cs="Times New Roman"/>
          <w:sz w:val="24"/>
          <w:szCs w:val="24"/>
        </w:rPr>
        <w:t xml:space="preserve">sa upravuje </w:t>
      </w:r>
      <w:r w:rsidR="00131651" w:rsidRPr="00CA3805">
        <w:rPr>
          <w:rFonts w:ascii="Times New Roman" w:hAnsi="Times New Roman" w:cs="Times New Roman"/>
          <w:b/>
          <w:sz w:val="24"/>
          <w:szCs w:val="24"/>
        </w:rPr>
        <w:t>určenie určenej prevádzkarne</w:t>
      </w:r>
      <w:r w:rsidR="00131651" w:rsidRPr="007622D4">
        <w:rPr>
          <w:rFonts w:ascii="Times New Roman" w:hAnsi="Times New Roman" w:cs="Times New Roman"/>
          <w:sz w:val="24"/>
          <w:szCs w:val="24"/>
        </w:rPr>
        <w:t xml:space="preserve">. </w:t>
      </w:r>
      <w:r w:rsidR="001F0800" w:rsidRPr="007622D4">
        <w:rPr>
          <w:rFonts w:ascii="Times New Roman" w:hAnsi="Times New Roman" w:cs="Times New Roman"/>
          <w:sz w:val="24"/>
          <w:szCs w:val="24"/>
        </w:rPr>
        <w:t>U</w:t>
      </w:r>
      <w:r w:rsidR="00131651" w:rsidRPr="007622D4">
        <w:rPr>
          <w:rFonts w:ascii="Times New Roman" w:hAnsi="Times New Roman" w:cs="Times New Roman"/>
          <w:sz w:val="24"/>
          <w:szCs w:val="24"/>
        </w:rPr>
        <w:t xml:space="preserve">rčenú  prevádzkareň musí </w:t>
      </w:r>
      <w:r w:rsidR="001F0800" w:rsidRPr="007622D4">
        <w:rPr>
          <w:rFonts w:ascii="Times New Roman" w:hAnsi="Times New Roman" w:cs="Times New Roman"/>
          <w:sz w:val="24"/>
          <w:szCs w:val="24"/>
        </w:rPr>
        <w:t xml:space="preserve">určiť </w:t>
      </w:r>
      <w:r w:rsidR="00131651" w:rsidRPr="007622D4">
        <w:rPr>
          <w:rFonts w:ascii="Times New Roman" w:hAnsi="Times New Roman" w:cs="Times New Roman"/>
          <w:sz w:val="24"/>
          <w:szCs w:val="24"/>
        </w:rPr>
        <w:t>ten poskytovateľ služieb, ktorý je usadený v Európskej únii</w:t>
      </w:r>
      <w:r w:rsidR="005979FA" w:rsidRPr="007622D4">
        <w:rPr>
          <w:rFonts w:ascii="Times New Roman" w:hAnsi="Times New Roman" w:cs="Times New Roman"/>
          <w:sz w:val="24"/>
          <w:szCs w:val="24"/>
        </w:rPr>
        <w:t xml:space="preserve">. </w:t>
      </w:r>
      <w:r w:rsidR="0003130B" w:rsidRPr="007622D4">
        <w:rPr>
          <w:rFonts w:ascii="Times New Roman" w:hAnsi="Times New Roman" w:cs="Times New Roman"/>
          <w:sz w:val="24"/>
          <w:szCs w:val="24"/>
        </w:rPr>
        <w:t xml:space="preserve">Z praktického hľadiska môžu nastať v podstate dve situácie – buď je </w:t>
      </w:r>
      <w:r w:rsidR="00734DCC" w:rsidRPr="007622D4">
        <w:rPr>
          <w:rFonts w:ascii="Times New Roman" w:hAnsi="Times New Roman" w:cs="Times New Roman"/>
          <w:sz w:val="24"/>
          <w:szCs w:val="24"/>
        </w:rPr>
        <w:t>poskytovateľ</w:t>
      </w:r>
      <w:r w:rsidR="0003130B" w:rsidRPr="007622D4">
        <w:rPr>
          <w:rFonts w:ascii="Times New Roman" w:hAnsi="Times New Roman" w:cs="Times New Roman"/>
          <w:sz w:val="24"/>
          <w:szCs w:val="24"/>
        </w:rPr>
        <w:t xml:space="preserve"> usadený na území Slovenskej republiky a ponúka služby v Európskej únii (t.j. aj mimo územia Slovenskej republiky)</w:t>
      </w:r>
      <w:r w:rsidR="00734DCC" w:rsidRPr="007622D4">
        <w:rPr>
          <w:rFonts w:ascii="Times New Roman" w:hAnsi="Times New Roman" w:cs="Times New Roman"/>
          <w:sz w:val="24"/>
          <w:szCs w:val="24"/>
        </w:rPr>
        <w:t>, alebo poskytovateľ je usadený mimo územia Slovenskej republiky, ale je usadený v inom členskom štáte a súčasne ponúka služby na území Slovenskej republiky.</w:t>
      </w:r>
      <w:r w:rsidR="000D4E25" w:rsidRPr="007622D4">
        <w:rPr>
          <w:rFonts w:ascii="Times New Roman" w:hAnsi="Times New Roman" w:cs="Times New Roman"/>
          <w:sz w:val="24"/>
          <w:szCs w:val="24"/>
        </w:rPr>
        <w:t xml:space="preserve"> </w:t>
      </w:r>
      <w:r w:rsidR="00756271" w:rsidRPr="007622D4">
        <w:rPr>
          <w:rFonts w:ascii="Times New Roman" w:hAnsi="Times New Roman" w:cs="Times New Roman"/>
          <w:sz w:val="24"/>
          <w:szCs w:val="24"/>
        </w:rPr>
        <w:t>Obe tieto situácie pre</w:t>
      </w:r>
      <w:r w:rsidR="00D30877" w:rsidRPr="007622D4">
        <w:rPr>
          <w:rFonts w:ascii="Times New Roman" w:hAnsi="Times New Roman" w:cs="Times New Roman"/>
          <w:sz w:val="24"/>
          <w:szCs w:val="24"/>
        </w:rPr>
        <w:t>to návrh zákona výslovne rieši v </w:t>
      </w:r>
      <w:r w:rsidR="003261BF">
        <w:rPr>
          <w:rFonts w:ascii="Times New Roman" w:hAnsi="Times New Roman" w:cs="Times New Roman"/>
          <w:sz w:val="24"/>
          <w:szCs w:val="24"/>
        </w:rPr>
        <w:t> odseku 1</w:t>
      </w:r>
      <w:r w:rsidR="00DF481F" w:rsidRPr="007622D4">
        <w:rPr>
          <w:rFonts w:ascii="Times New Roman" w:hAnsi="Times New Roman" w:cs="Times New Roman"/>
          <w:sz w:val="24"/>
          <w:szCs w:val="24"/>
        </w:rPr>
        <w:t>, a teda v týchto prípadoch zákon vyžaduje určenie určenej prevádzkarne</w:t>
      </w:r>
      <w:r w:rsidR="0045248D" w:rsidRPr="007622D4">
        <w:rPr>
          <w:rFonts w:ascii="Times New Roman" w:hAnsi="Times New Roman" w:cs="Times New Roman"/>
          <w:sz w:val="24"/>
          <w:szCs w:val="24"/>
        </w:rPr>
        <w:t xml:space="preserve"> so sídlom na území Slovenskej republiky</w:t>
      </w:r>
      <w:r w:rsidR="00DF481F" w:rsidRPr="007622D4">
        <w:rPr>
          <w:rFonts w:ascii="Times New Roman" w:hAnsi="Times New Roman" w:cs="Times New Roman"/>
          <w:sz w:val="24"/>
          <w:szCs w:val="24"/>
        </w:rPr>
        <w:t>.</w:t>
      </w:r>
      <w:r w:rsidR="00005925" w:rsidRPr="007622D4">
        <w:rPr>
          <w:rFonts w:ascii="Times New Roman" w:hAnsi="Times New Roman" w:cs="Times New Roman"/>
          <w:sz w:val="24"/>
          <w:szCs w:val="24"/>
        </w:rPr>
        <w:t xml:space="preserve"> </w:t>
      </w:r>
      <w:r w:rsidR="0045248D" w:rsidRPr="007622D4">
        <w:rPr>
          <w:rFonts w:ascii="Times New Roman" w:hAnsi="Times New Roman" w:cs="Times New Roman"/>
          <w:sz w:val="24"/>
          <w:szCs w:val="24"/>
        </w:rPr>
        <w:t xml:space="preserve">Berúc do úvahy bod 13 recitálu smernice, podľa ktorého </w:t>
      </w:r>
      <w:r w:rsidR="0045248D" w:rsidRPr="007622D4">
        <w:rPr>
          <w:rFonts w:ascii="Times New Roman" w:hAnsi="Times New Roman" w:cs="Times New Roman"/>
          <w:i/>
          <w:sz w:val="24"/>
          <w:szCs w:val="24"/>
        </w:rPr>
        <w:t>„Poskytovatelia služieb by sa mali slobodne rozhodnúť, v ktorom štáte určia svoju určenú prevádzkareň alebo v príslušných prípadoch vymenujú svojho právneho zástupcu, a členské štáty by nemali mať možnosť obmedzovať tento slobodný výber napríklad tým, že zavedú povinnosť určiť určenú prevádzkareň alebo vymenovať právneho zástupcu na ich území.“</w:t>
      </w:r>
      <w:r w:rsidR="0045248D" w:rsidRPr="007622D4">
        <w:rPr>
          <w:rFonts w:ascii="Times New Roman" w:hAnsi="Times New Roman" w:cs="Times New Roman"/>
          <w:sz w:val="24"/>
          <w:szCs w:val="24"/>
        </w:rPr>
        <w:t xml:space="preserve">, </w:t>
      </w:r>
      <w:r w:rsidR="00CE14FC" w:rsidRPr="007622D4">
        <w:rPr>
          <w:rFonts w:ascii="Times New Roman" w:hAnsi="Times New Roman" w:cs="Times New Roman"/>
          <w:sz w:val="24"/>
          <w:szCs w:val="24"/>
        </w:rPr>
        <w:t xml:space="preserve">tak </w:t>
      </w:r>
      <w:r w:rsidR="0045248D" w:rsidRPr="007622D4">
        <w:rPr>
          <w:rFonts w:ascii="Times New Roman" w:hAnsi="Times New Roman" w:cs="Times New Roman"/>
          <w:sz w:val="24"/>
          <w:szCs w:val="24"/>
        </w:rPr>
        <w:t>ako odsek 1, tak aj odsek 2, negujú ukladanú povinnosť určiť určenú prevádzkareň, ak už k jej určeniu došlo v inom členskom štáte, v ktorom dotknutý poskytovateľ ponúka služby.</w:t>
      </w:r>
      <w:r w:rsidR="00CE14FC" w:rsidRPr="007622D4">
        <w:rPr>
          <w:rFonts w:ascii="Times New Roman" w:hAnsi="Times New Roman" w:cs="Times New Roman"/>
          <w:sz w:val="24"/>
          <w:szCs w:val="24"/>
        </w:rPr>
        <w:t xml:space="preserve"> Zo smernice je zrejmé, že </w:t>
      </w:r>
      <w:r w:rsidR="00060D22" w:rsidRPr="007622D4">
        <w:rPr>
          <w:rFonts w:ascii="Times New Roman" w:hAnsi="Times New Roman" w:cs="Times New Roman"/>
          <w:sz w:val="24"/>
          <w:szCs w:val="24"/>
        </w:rPr>
        <w:t xml:space="preserve">pre potreby riadneho uplatňovania nariadenia </w:t>
      </w:r>
      <w:r w:rsidR="00CE14FC" w:rsidRPr="007622D4">
        <w:rPr>
          <w:rFonts w:ascii="Times New Roman" w:hAnsi="Times New Roman" w:cs="Times New Roman"/>
          <w:sz w:val="24"/>
          <w:szCs w:val="24"/>
        </w:rPr>
        <w:t>postačuje určiť aspoň jednu určenú prevádzkareň</w:t>
      </w:r>
      <w:r w:rsidR="00E15A02">
        <w:rPr>
          <w:rFonts w:ascii="Times New Roman" w:hAnsi="Times New Roman" w:cs="Times New Roman"/>
          <w:sz w:val="24"/>
          <w:szCs w:val="24"/>
        </w:rPr>
        <w:t xml:space="preserve"> v rámci Európskej únie (voľný pohyb)</w:t>
      </w:r>
      <w:r w:rsidR="00CE5CAA" w:rsidRPr="007622D4">
        <w:rPr>
          <w:rFonts w:ascii="Times New Roman" w:hAnsi="Times New Roman" w:cs="Times New Roman"/>
          <w:sz w:val="24"/>
          <w:szCs w:val="24"/>
        </w:rPr>
        <w:t>. Tejto logike je preto podriadené aj normatívne vymedzenie odsekov 1 a 2.</w:t>
      </w:r>
      <w:r w:rsidR="00CE14FC" w:rsidRPr="007622D4">
        <w:rPr>
          <w:rFonts w:ascii="Times New Roman" w:hAnsi="Times New Roman" w:cs="Times New Roman"/>
          <w:sz w:val="24"/>
          <w:szCs w:val="24"/>
        </w:rPr>
        <w:t xml:space="preserve">  </w:t>
      </w:r>
      <w:r w:rsidR="0045248D" w:rsidRPr="007622D4">
        <w:rPr>
          <w:rFonts w:ascii="Times New Roman" w:hAnsi="Times New Roman" w:cs="Times New Roman"/>
          <w:sz w:val="24"/>
          <w:szCs w:val="24"/>
        </w:rPr>
        <w:t xml:space="preserve">  </w:t>
      </w:r>
      <w:r w:rsidR="00DF481F" w:rsidRPr="007622D4">
        <w:rPr>
          <w:rFonts w:ascii="Times New Roman" w:hAnsi="Times New Roman" w:cs="Times New Roman"/>
          <w:sz w:val="24"/>
          <w:szCs w:val="24"/>
        </w:rPr>
        <w:t xml:space="preserve"> </w:t>
      </w:r>
      <w:r w:rsidR="00734DCC" w:rsidRPr="007622D4">
        <w:rPr>
          <w:rFonts w:ascii="Times New Roman" w:hAnsi="Times New Roman" w:cs="Times New Roman"/>
          <w:sz w:val="24"/>
          <w:szCs w:val="24"/>
        </w:rPr>
        <w:t xml:space="preserve"> </w:t>
      </w:r>
    </w:p>
    <w:p w14:paraId="78CB6E59" w14:textId="77777777" w:rsidR="000F665C" w:rsidRPr="007622D4" w:rsidRDefault="000F665C" w:rsidP="00A64364">
      <w:pPr>
        <w:spacing w:after="0" w:line="240" w:lineRule="auto"/>
        <w:ind w:firstLine="708"/>
        <w:jc w:val="both"/>
        <w:rPr>
          <w:rFonts w:ascii="Times New Roman" w:hAnsi="Times New Roman" w:cs="Times New Roman"/>
          <w:sz w:val="24"/>
          <w:szCs w:val="24"/>
        </w:rPr>
      </w:pPr>
    </w:p>
    <w:p w14:paraId="2F554BC9" w14:textId="1EC0AE3D" w:rsidR="007237D5" w:rsidRDefault="007237D5"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 xml:space="preserve">V navrhovanom odseku </w:t>
      </w:r>
      <w:r w:rsidR="009F48DA">
        <w:rPr>
          <w:rFonts w:ascii="Times New Roman" w:hAnsi="Times New Roman" w:cs="Times New Roman"/>
          <w:sz w:val="24"/>
          <w:szCs w:val="24"/>
        </w:rPr>
        <w:t>2</w:t>
      </w:r>
      <w:r w:rsidR="009F48DA" w:rsidRPr="007622D4">
        <w:rPr>
          <w:rFonts w:ascii="Times New Roman" w:hAnsi="Times New Roman" w:cs="Times New Roman"/>
          <w:sz w:val="24"/>
          <w:szCs w:val="24"/>
        </w:rPr>
        <w:t xml:space="preserve"> </w:t>
      </w:r>
      <w:r w:rsidRPr="007622D4">
        <w:rPr>
          <w:rFonts w:ascii="Times New Roman" w:hAnsi="Times New Roman" w:cs="Times New Roman"/>
          <w:sz w:val="24"/>
          <w:szCs w:val="24"/>
        </w:rPr>
        <w:t xml:space="preserve">sa upravuje </w:t>
      </w:r>
      <w:r w:rsidRPr="00CA3805">
        <w:rPr>
          <w:rFonts w:ascii="Times New Roman" w:hAnsi="Times New Roman" w:cs="Times New Roman"/>
          <w:b/>
          <w:sz w:val="24"/>
          <w:szCs w:val="24"/>
        </w:rPr>
        <w:t>vymenovanie právneho zástupcu</w:t>
      </w:r>
      <w:r w:rsidRPr="007622D4">
        <w:rPr>
          <w:rFonts w:ascii="Times New Roman" w:hAnsi="Times New Roman" w:cs="Times New Roman"/>
          <w:sz w:val="24"/>
          <w:szCs w:val="24"/>
        </w:rPr>
        <w:t xml:space="preserve">. Vymenovať právneho zástupcu musí ten poskytovateľ služieb, ktorý je nie je usadený v Európskej únii, avšak ktorý ponúka služby na území Slovenskej republiky. </w:t>
      </w:r>
      <w:r w:rsidR="00DA707C" w:rsidRPr="00DA707C">
        <w:rPr>
          <w:rFonts w:ascii="Times New Roman" w:hAnsi="Times New Roman" w:cs="Times New Roman"/>
          <w:sz w:val="24"/>
          <w:szCs w:val="24"/>
        </w:rPr>
        <w:t xml:space="preserve">Rovnako ako je tomu pri určenej prevádzkarni je postačujúce určiť aspoň jedného právneho zástupu v rámci Európskej únie. </w:t>
      </w:r>
      <w:r w:rsidRPr="007622D4">
        <w:rPr>
          <w:rFonts w:ascii="Times New Roman" w:hAnsi="Times New Roman" w:cs="Times New Roman"/>
          <w:sz w:val="24"/>
          <w:szCs w:val="24"/>
        </w:rPr>
        <w:t xml:space="preserve">Odsek </w:t>
      </w:r>
      <w:r w:rsidR="006C4C7B">
        <w:rPr>
          <w:rFonts w:ascii="Times New Roman" w:hAnsi="Times New Roman" w:cs="Times New Roman"/>
          <w:sz w:val="24"/>
          <w:szCs w:val="24"/>
        </w:rPr>
        <w:t>2</w:t>
      </w:r>
      <w:r w:rsidR="006C4C7B" w:rsidRPr="007622D4">
        <w:rPr>
          <w:rFonts w:ascii="Times New Roman" w:hAnsi="Times New Roman" w:cs="Times New Roman"/>
          <w:sz w:val="24"/>
          <w:szCs w:val="24"/>
        </w:rPr>
        <w:t xml:space="preserve"> </w:t>
      </w:r>
      <w:r w:rsidRPr="007622D4">
        <w:rPr>
          <w:rFonts w:ascii="Times New Roman" w:hAnsi="Times New Roman" w:cs="Times New Roman"/>
          <w:sz w:val="24"/>
          <w:szCs w:val="24"/>
        </w:rPr>
        <w:t xml:space="preserve">je transpozičným ustanovením pre </w:t>
      </w:r>
      <w:r w:rsidR="00BD026B" w:rsidRPr="007622D4">
        <w:rPr>
          <w:rFonts w:ascii="Times New Roman" w:hAnsi="Times New Roman" w:cs="Times New Roman"/>
          <w:sz w:val="24"/>
          <w:szCs w:val="24"/>
        </w:rPr>
        <w:t>čl. 3 ods. 1 písm. b) a c) smernice</w:t>
      </w:r>
      <w:r w:rsidRPr="007622D4">
        <w:rPr>
          <w:rFonts w:ascii="Times New Roman" w:hAnsi="Times New Roman" w:cs="Times New Roman"/>
          <w:sz w:val="24"/>
          <w:szCs w:val="24"/>
        </w:rPr>
        <w:t xml:space="preserve">. </w:t>
      </w:r>
    </w:p>
    <w:p w14:paraId="2F63F0AA" w14:textId="77777777" w:rsidR="00E91F7A" w:rsidRDefault="00E91F7A" w:rsidP="00A64364">
      <w:pPr>
        <w:spacing w:after="0" w:line="240" w:lineRule="auto"/>
        <w:ind w:firstLine="708"/>
        <w:jc w:val="both"/>
        <w:rPr>
          <w:rFonts w:ascii="Times New Roman" w:hAnsi="Times New Roman" w:cs="Times New Roman"/>
          <w:sz w:val="24"/>
          <w:szCs w:val="24"/>
        </w:rPr>
      </w:pPr>
    </w:p>
    <w:p w14:paraId="71C88667" w14:textId="00DC71D0" w:rsidR="004F5DD5" w:rsidRPr="007622D4" w:rsidRDefault="004F5DD5"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 xml:space="preserve">Predkladateľ do § 4 ods. 1 </w:t>
      </w:r>
      <w:r w:rsidR="000857A1">
        <w:rPr>
          <w:rFonts w:ascii="Times New Roman" w:hAnsi="Times New Roman" w:cs="Times New Roman"/>
          <w:sz w:val="24"/>
          <w:szCs w:val="24"/>
        </w:rPr>
        <w:t>a 2</w:t>
      </w:r>
      <w:r w:rsidRPr="007622D4">
        <w:rPr>
          <w:rFonts w:ascii="Times New Roman" w:hAnsi="Times New Roman" w:cs="Times New Roman"/>
          <w:sz w:val="24"/>
          <w:szCs w:val="24"/>
        </w:rPr>
        <w:t xml:space="preserve"> premietol aj úpravu čl. 3 ods. 6 druhá veta smernice tým, že sa navrhuje úprava lehoty, do uplynutia ktorej je prevádzkovateľ povinný – podľa povahy veci – určiť určenú prevádzkareň alebo vymenovať právneho zástupcu. Smernica v čl. 3 ods. 6 upravuje dve lehoty</w:t>
      </w:r>
      <w:r w:rsidR="007B46A9" w:rsidRPr="007622D4">
        <w:rPr>
          <w:rFonts w:ascii="Times New Roman" w:hAnsi="Times New Roman" w:cs="Times New Roman"/>
          <w:sz w:val="24"/>
          <w:szCs w:val="24"/>
        </w:rPr>
        <w:t>, a to v prvej</w:t>
      </w:r>
      <w:r w:rsidRPr="007622D4">
        <w:rPr>
          <w:rFonts w:ascii="Times New Roman" w:hAnsi="Times New Roman" w:cs="Times New Roman"/>
          <w:sz w:val="24"/>
          <w:szCs w:val="24"/>
        </w:rPr>
        <w:t xml:space="preserve"> </w:t>
      </w:r>
      <w:r w:rsidR="007B46A9" w:rsidRPr="007622D4">
        <w:rPr>
          <w:rFonts w:ascii="Times New Roman" w:hAnsi="Times New Roman" w:cs="Times New Roman"/>
          <w:sz w:val="24"/>
          <w:szCs w:val="24"/>
        </w:rPr>
        <w:t xml:space="preserve">vetu lehotu pre určenie určenej prevádzkarne alebo vymenovanie právneho zástupcu v prípade už existujúcich poskytovateľov služieb v Európskej únii ku dňu účinnosti zákona a v druhej vete lehotu pre vykonanie požadovaných úkonov v prípade poskytovateľov služieb, ktorý začnú ponúkať služby v budúcnosti, t.j. po účinnosti zákona. Ustanovenie čl. 3 ods. 6 prvá veta je premietnuté do prechodného ustanovenia, pretože ide o klasické prechodné ustanovenie. Ustanovenie čl. 3 ods. 6 druhá veta sa ukotvuje priamo v transpozičných ustanoveniach, ktorými sú § 4 ods. 1 </w:t>
      </w:r>
      <w:r w:rsidR="00407E40">
        <w:rPr>
          <w:rFonts w:ascii="Times New Roman" w:hAnsi="Times New Roman" w:cs="Times New Roman"/>
          <w:sz w:val="24"/>
          <w:szCs w:val="24"/>
        </w:rPr>
        <w:t>a 2</w:t>
      </w:r>
      <w:r w:rsidR="007B46A9" w:rsidRPr="007622D4">
        <w:rPr>
          <w:rFonts w:ascii="Times New Roman" w:hAnsi="Times New Roman" w:cs="Times New Roman"/>
          <w:sz w:val="24"/>
          <w:szCs w:val="24"/>
        </w:rPr>
        <w:t>.</w:t>
      </w:r>
    </w:p>
    <w:p w14:paraId="34D90A24" w14:textId="77777777" w:rsidR="004E7C06" w:rsidRPr="007622D4" w:rsidRDefault="004E7C06" w:rsidP="00A64364">
      <w:pPr>
        <w:spacing w:after="0" w:line="240" w:lineRule="auto"/>
        <w:ind w:firstLine="708"/>
        <w:jc w:val="both"/>
        <w:rPr>
          <w:rFonts w:ascii="Times New Roman" w:hAnsi="Times New Roman" w:cs="Times New Roman"/>
          <w:sz w:val="24"/>
          <w:szCs w:val="24"/>
        </w:rPr>
      </w:pPr>
    </w:p>
    <w:p w14:paraId="0566D023" w14:textId="1D8332D7" w:rsidR="007237D5" w:rsidRPr="007622D4" w:rsidRDefault="004E7C06"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 xml:space="preserve">V navrhovanom odseku </w:t>
      </w:r>
      <w:r w:rsidR="00DC4012">
        <w:rPr>
          <w:rFonts w:ascii="Times New Roman" w:hAnsi="Times New Roman" w:cs="Times New Roman"/>
          <w:sz w:val="24"/>
          <w:szCs w:val="24"/>
        </w:rPr>
        <w:t>3</w:t>
      </w:r>
      <w:r w:rsidR="00DC4012" w:rsidRPr="007622D4">
        <w:rPr>
          <w:rFonts w:ascii="Times New Roman" w:hAnsi="Times New Roman" w:cs="Times New Roman"/>
          <w:sz w:val="24"/>
          <w:szCs w:val="24"/>
        </w:rPr>
        <w:t xml:space="preserve"> </w:t>
      </w:r>
      <w:r w:rsidRPr="007622D4">
        <w:rPr>
          <w:rFonts w:ascii="Times New Roman" w:hAnsi="Times New Roman" w:cs="Times New Roman"/>
          <w:sz w:val="24"/>
          <w:szCs w:val="24"/>
        </w:rPr>
        <w:t xml:space="preserve">sa preberá čl. 3 ods. 4 prvá veta smernica, a to normovaním povinnosti poskytovateľa služieb </w:t>
      </w:r>
      <w:r w:rsidR="00D44E7B">
        <w:rPr>
          <w:rFonts w:ascii="Times New Roman" w:hAnsi="Times New Roman" w:cs="Times New Roman"/>
          <w:sz w:val="24"/>
          <w:szCs w:val="24"/>
        </w:rPr>
        <w:t>zabezpečiť</w:t>
      </w:r>
      <w:r w:rsidR="00D44E7B" w:rsidRPr="007622D4">
        <w:rPr>
          <w:rFonts w:ascii="Times New Roman" w:hAnsi="Times New Roman" w:cs="Times New Roman"/>
          <w:sz w:val="24"/>
          <w:szCs w:val="24"/>
        </w:rPr>
        <w:t xml:space="preserve"> </w:t>
      </w:r>
      <w:r w:rsidRPr="007622D4">
        <w:rPr>
          <w:rFonts w:ascii="Times New Roman" w:hAnsi="Times New Roman" w:cs="Times New Roman"/>
          <w:sz w:val="24"/>
          <w:szCs w:val="24"/>
        </w:rPr>
        <w:t xml:space="preserve">určenej prevádzkarni alebo právnemu zástupcovi </w:t>
      </w:r>
      <w:r w:rsidR="00D44E7B" w:rsidRPr="00D44E7B">
        <w:rPr>
          <w:rFonts w:ascii="Times New Roman" w:hAnsi="Times New Roman" w:cs="Times New Roman"/>
          <w:sz w:val="24"/>
          <w:szCs w:val="24"/>
        </w:rPr>
        <w:t xml:space="preserve">právomoci a zdroje </w:t>
      </w:r>
      <w:r w:rsidRPr="007622D4">
        <w:rPr>
          <w:rFonts w:ascii="Times New Roman" w:hAnsi="Times New Roman" w:cs="Times New Roman"/>
          <w:sz w:val="24"/>
          <w:szCs w:val="24"/>
        </w:rPr>
        <w:t xml:space="preserve">pre riadne plnenie </w:t>
      </w:r>
      <w:r w:rsidR="00D91EAE">
        <w:rPr>
          <w:rFonts w:ascii="Times New Roman" w:hAnsi="Times New Roman" w:cs="Times New Roman"/>
          <w:sz w:val="24"/>
          <w:szCs w:val="24"/>
        </w:rPr>
        <w:t> príkazov a rozhodnutí</w:t>
      </w:r>
      <w:r w:rsidRPr="007622D4">
        <w:rPr>
          <w:rFonts w:ascii="Times New Roman" w:hAnsi="Times New Roman" w:cs="Times New Roman"/>
          <w:sz w:val="24"/>
          <w:szCs w:val="24"/>
        </w:rPr>
        <w:t xml:space="preserve">. </w:t>
      </w:r>
      <w:r w:rsidR="001D72FA" w:rsidRPr="007622D4">
        <w:rPr>
          <w:rFonts w:ascii="Times New Roman" w:hAnsi="Times New Roman" w:cs="Times New Roman"/>
          <w:sz w:val="24"/>
          <w:szCs w:val="24"/>
        </w:rPr>
        <w:t xml:space="preserve">V prípade druhej vety čl. 3 ods. 4 sa navrhuje vykonať transpozíciu takým spôsobom, že poskytovateľovi služieb sa uloží povinnosť oznámiť spôsob realizácie povinnosti v § 4 ods. 3 [...], pričom [...] overuje splnenie </w:t>
      </w:r>
      <w:r w:rsidR="00FC36AD" w:rsidRPr="007622D4">
        <w:rPr>
          <w:rFonts w:ascii="Times New Roman" w:hAnsi="Times New Roman" w:cs="Times New Roman"/>
          <w:sz w:val="24"/>
          <w:szCs w:val="24"/>
        </w:rPr>
        <w:t xml:space="preserve">povinnosti v rámci konania o sankcii. </w:t>
      </w:r>
      <w:r w:rsidR="0038321D" w:rsidRPr="007622D4">
        <w:rPr>
          <w:rFonts w:ascii="Times New Roman" w:hAnsi="Times New Roman" w:cs="Times New Roman"/>
          <w:sz w:val="24"/>
          <w:szCs w:val="24"/>
        </w:rPr>
        <w:t xml:space="preserve">Inak povedané, nesplnenie povinnosti podľa § 4 ods. </w:t>
      </w:r>
      <w:r w:rsidR="00D9015D">
        <w:rPr>
          <w:rFonts w:ascii="Times New Roman" w:hAnsi="Times New Roman" w:cs="Times New Roman"/>
          <w:sz w:val="24"/>
          <w:szCs w:val="24"/>
        </w:rPr>
        <w:t>3</w:t>
      </w:r>
      <w:r w:rsidR="00D9015D" w:rsidRPr="007622D4">
        <w:rPr>
          <w:rFonts w:ascii="Times New Roman" w:hAnsi="Times New Roman" w:cs="Times New Roman"/>
          <w:sz w:val="24"/>
          <w:szCs w:val="24"/>
        </w:rPr>
        <w:t xml:space="preserve"> </w:t>
      </w:r>
      <w:r w:rsidR="0038321D" w:rsidRPr="007622D4">
        <w:rPr>
          <w:rFonts w:ascii="Times New Roman" w:hAnsi="Times New Roman" w:cs="Times New Roman"/>
          <w:sz w:val="24"/>
          <w:szCs w:val="24"/>
        </w:rPr>
        <w:t xml:space="preserve">zakladá vznik deliktuálnej zodpovednosti. </w:t>
      </w:r>
    </w:p>
    <w:p w14:paraId="5177F22F" w14:textId="68644BBD" w:rsidR="00C82781" w:rsidRDefault="00C82781" w:rsidP="00A64364">
      <w:pPr>
        <w:spacing w:after="0" w:line="240" w:lineRule="auto"/>
        <w:jc w:val="both"/>
        <w:rPr>
          <w:rFonts w:ascii="Times New Roman" w:hAnsi="Times New Roman" w:cs="Times New Roman"/>
          <w:sz w:val="24"/>
          <w:szCs w:val="24"/>
        </w:rPr>
      </w:pPr>
    </w:p>
    <w:p w14:paraId="6ABA75FD" w14:textId="3BD0117B" w:rsidR="00D671AF" w:rsidRDefault="00D671AF" w:rsidP="00A64364">
      <w:pPr>
        <w:spacing w:after="0" w:line="240" w:lineRule="auto"/>
        <w:jc w:val="both"/>
        <w:rPr>
          <w:rFonts w:ascii="Times New Roman" w:hAnsi="Times New Roman" w:cs="Times New Roman"/>
          <w:sz w:val="24"/>
          <w:szCs w:val="24"/>
        </w:rPr>
      </w:pPr>
    </w:p>
    <w:p w14:paraId="383B7D3E" w14:textId="1EEF156D" w:rsidR="00D671AF" w:rsidRDefault="00D671AF" w:rsidP="00A64364">
      <w:pPr>
        <w:spacing w:after="0" w:line="240" w:lineRule="auto"/>
        <w:jc w:val="both"/>
        <w:rPr>
          <w:rFonts w:ascii="Times New Roman" w:hAnsi="Times New Roman" w:cs="Times New Roman"/>
          <w:sz w:val="24"/>
          <w:szCs w:val="24"/>
        </w:rPr>
      </w:pPr>
    </w:p>
    <w:p w14:paraId="5515B23D" w14:textId="71C8052E" w:rsidR="00D671AF" w:rsidRDefault="00D671AF" w:rsidP="00A64364">
      <w:pPr>
        <w:spacing w:after="0" w:line="240" w:lineRule="auto"/>
        <w:jc w:val="both"/>
        <w:rPr>
          <w:rFonts w:ascii="Times New Roman" w:hAnsi="Times New Roman" w:cs="Times New Roman"/>
          <w:sz w:val="24"/>
          <w:szCs w:val="24"/>
        </w:rPr>
      </w:pPr>
    </w:p>
    <w:p w14:paraId="217B9D0A" w14:textId="77777777" w:rsidR="00D671AF" w:rsidRPr="007622D4" w:rsidRDefault="00D671AF" w:rsidP="00A64364">
      <w:pPr>
        <w:spacing w:after="0" w:line="240" w:lineRule="auto"/>
        <w:jc w:val="both"/>
        <w:rPr>
          <w:rFonts w:ascii="Times New Roman" w:hAnsi="Times New Roman" w:cs="Times New Roman"/>
          <w:sz w:val="24"/>
          <w:szCs w:val="24"/>
        </w:rPr>
      </w:pPr>
    </w:p>
    <w:p w14:paraId="7060FCE0" w14:textId="77777777" w:rsidR="00CF1971" w:rsidRPr="007622D4" w:rsidRDefault="00CF1971" w:rsidP="00A64364">
      <w:pPr>
        <w:spacing w:after="0" w:line="240" w:lineRule="auto"/>
        <w:jc w:val="both"/>
        <w:rPr>
          <w:rFonts w:ascii="Times New Roman" w:hAnsi="Times New Roman" w:cs="Times New Roman"/>
          <w:sz w:val="24"/>
          <w:szCs w:val="24"/>
          <w:u w:val="single"/>
        </w:rPr>
      </w:pPr>
      <w:r w:rsidRPr="007622D4">
        <w:rPr>
          <w:rFonts w:ascii="Times New Roman" w:hAnsi="Times New Roman" w:cs="Times New Roman"/>
          <w:sz w:val="24"/>
          <w:szCs w:val="24"/>
          <w:u w:val="single"/>
        </w:rPr>
        <w:lastRenderedPageBreak/>
        <w:t>K § 5</w:t>
      </w:r>
    </w:p>
    <w:p w14:paraId="53D20AC5" w14:textId="77777777" w:rsidR="00CF1971" w:rsidRPr="007622D4" w:rsidRDefault="00CF1971" w:rsidP="00A64364">
      <w:pPr>
        <w:spacing w:after="0" w:line="240" w:lineRule="auto"/>
        <w:jc w:val="both"/>
        <w:rPr>
          <w:rFonts w:ascii="Times New Roman" w:hAnsi="Times New Roman" w:cs="Times New Roman"/>
          <w:sz w:val="24"/>
          <w:szCs w:val="24"/>
        </w:rPr>
      </w:pPr>
    </w:p>
    <w:p w14:paraId="3BF408E6" w14:textId="05E4B10A" w:rsidR="00CF1971" w:rsidRPr="007622D4" w:rsidRDefault="003C1046"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V § 5 sa vykonáva transpozícia čl. 4 smernice</w:t>
      </w:r>
      <w:r w:rsidR="00080C86" w:rsidRPr="007622D4">
        <w:rPr>
          <w:rFonts w:ascii="Times New Roman" w:hAnsi="Times New Roman" w:cs="Times New Roman"/>
          <w:sz w:val="24"/>
          <w:szCs w:val="24"/>
        </w:rPr>
        <w:t>, ktorý upravuje oznamovaciu povinnosť poskytovateľ</w:t>
      </w:r>
      <w:r w:rsidR="00CF4DB5">
        <w:rPr>
          <w:rFonts w:ascii="Times New Roman" w:hAnsi="Times New Roman" w:cs="Times New Roman"/>
          <w:sz w:val="24"/>
          <w:szCs w:val="24"/>
        </w:rPr>
        <w:t>a</w:t>
      </w:r>
      <w:r w:rsidR="00080C86" w:rsidRPr="007622D4">
        <w:rPr>
          <w:rFonts w:ascii="Times New Roman" w:hAnsi="Times New Roman" w:cs="Times New Roman"/>
          <w:sz w:val="24"/>
          <w:szCs w:val="24"/>
        </w:rPr>
        <w:t xml:space="preserve"> služieb</w:t>
      </w:r>
      <w:r w:rsidRPr="007622D4">
        <w:rPr>
          <w:rFonts w:ascii="Times New Roman" w:hAnsi="Times New Roman" w:cs="Times New Roman"/>
          <w:sz w:val="24"/>
          <w:szCs w:val="24"/>
        </w:rPr>
        <w:t xml:space="preserve">. </w:t>
      </w:r>
      <w:r w:rsidR="007A6A03" w:rsidRPr="007622D4">
        <w:rPr>
          <w:rFonts w:ascii="Times New Roman" w:hAnsi="Times New Roman" w:cs="Times New Roman"/>
          <w:sz w:val="24"/>
          <w:szCs w:val="24"/>
        </w:rPr>
        <w:t>Z</w:t>
      </w:r>
      <w:r w:rsidR="000B2871" w:rsidRPr="007622D4">
        <w:rPr>
          <w:rFonts w:ascii="Times New Roman" w:hAnsi="Times New Roman" w:cs="Times New Roman"/>
          <w:sz w:val="24"/>
          <w:szCs w:val="24"/>
        </w:rPr>
        <w:t> ustanove</w:t>
      </w:r>
      <w:r w:rsidR="00757773" w:rsidRPr="007622D4">
        <w:rPr>
          <w:rFonts w:ascii="Times New Roman" w:hAnsi="Times New Roman" w:cs="Times New Roman"/>
          <w:sz w:val="24"/>
          <w:szCs w:val="24"/>
        </w:rPr>
        <w:t>n</w:t>
      </w:r>
      <w:r w:rsidR="000B2871" w:rsidRPr="007622D4">
        <w:rPr>
          <w:rFonts w:ascii="Times New Roman" w:hAnsi="Times New Roman" w:cs="Times New Roman"/>
          <w:sz w:val="24"/>
          <w:szCs w:val="24"/>
        </w:rPr>
        <w:t xml:space="preserve">ia </w:t>
      </w:r>
      <w:r w:rsidR="007A6A03" w:rsidRPr="007622D4">
        <w:rPr>
          <w:rFonts w:ascii="Times New Roman" w:hAnsi="Times New Roman" w:cs="Times New Roman"/>
          <w:sz w:val="24"/>
          <w:szCs w:val="24"/>
        </w:rPr>
        <w:t xml:space="preserve">čl. 4 smernice možno identifikovať nasledovné </w:t>
      </w:r>
      <w:r w:rsidR="00D03BE5">
        <w:rPr>
          <w:rFonts w:ascii="Times New Roman" w:hAnsi="Times New Roman" w:cs="Times New Roman"/>
          <w:sz w:val="24"/>
          <w:szCs w:val="24"/>
        </w:rPr>
        <w:t xml:space="preserve">oznamovacie </w:t>
      </w:r>
      <w:r w:rsidR="007A6A03" w:rsidRPr="007622D4">
        <w:rPr>
          <w:rFonts w:ascii="Times New Roman" w:hAnsi="Times New Roman" w:cs="Times New Roman"/>
          <w:sz w:val="24"/>
          <w:szCs w:val="24"/>
        </w:rPr>
        <w:t>povinnosti poskytovateľa služieb:</w:t>
      </w:r>
    </w:p>
    <w:p w14:paraId="1C063786" w14:textId="77777777" w:rsidR="007A6A03" w:rsidRPr="007622D4" w:rsidRDefault="007A6A03" w:rsidP="00A64364">
      <w:pPr>
        <w:pStyle w:val="Odsekzoznamu"/>
        <w:numPr>
          <w:ilvl w:val="0"/>
          <w:numId w:val="2"/>
        </w:numPr>
        <w:spacing w:after="0" w:line="240" w:lineRule="auto"/>
        <w:jc w:val="both"/>
        <w:rPr>
          <w:rFonts w:ascii="Times New Roman" w:hAnsi="Times New Roman" w:cs="Times New Roman"/>
          <w:sz w:val="24"/>
          <w:szCs w:val="24"/>
        </w:rPr>
      </w:pPr>
      <w:r w:rsidRPr="007622D4">
        <w:rPr>
          <w:rFonts w:ascii="Times New Roman" w:hAnsi="Times New Roman" w:cs="Times New Roman"/>
          <w:sz w:val="24"/>
          <w:szCs w:val="24"/>
        </w:rPr>
        <w:t>oznámiť určenie určenej prevádzkarne alebo právneho zástupcu,</w:t>
      </w:r>
    </w:p>
    <w:p w14:paraId="358CCC99" w14:textId="0117F7C0" w:rsidR="007A6A03" w:rsidRPr="007622D4" w:rsidRDefault="007A6A03" w:rsidP="00A64364">
      <w:pPr>
        <w:pStyle w:val="Odsekzoznamu"/>
        <w:numPr>
          <w:ilvl w:val="0"/>
          <w:numId w:val="2"/>
        </w:numPr>
        <w:spacing w:after="0" w:line="240" w:lineRule="auto"/>
        <w:jc w:val="both"/>
        <w:rPr>
          <w:rFonts w:ascii="Times New Roman" w:hAnsi="Times New Roman" w:cs="Times New Roman"/>
          <w:sz w:val="24"/>
          <w:szCs w:val="24"/>
        </w:rPr>
      </w:pPr>
      <w:r w:rsidRPr="007622D4">
        <w:rPr>
          <w:rFonts w:ascii="Times New Roman" w:hAnsi="Times New Roman" w:cs="Times New Roman"/>
          <w:sz w:val="24"/>
          <w:szCs w:val="24"/>
        </w:rPr>
        <w:t>oznámiť</w:t>
      </w:r>
      <w:r w:rsidR="00CF4DB5">
        <w:rPr>
          <w:rFonts w:ascii="Times New Roman" w:hAnsi="Times New Roman" w:cs="Times New Roman"/>
          <w:sz w:val="24"/>
          <w:szCs w:val="24"/>
        </w:rPr>
        <w:t xml:space="preserve"> identifikačné a</w:t>
      </w:r>
      <w:r w:rsidRPr="007622D4">
        <w:rPr>
          <w:rFonts w:ascii="Times New Roman" w:hAnsi="Times New Roman" w:cs="Times New Roman"/>
          <w:sz w:val="24"/>
          <w:szCs w:val="24"/>
        </w:rPr>
        <w:t xml:space="preserve"> kontaktné údaje určenej prevádzkarne alebo právneho zástupcu,</w:t>
      </w:r>
    </w:p>
    <w:p w14:paraId="7591D6E8" w14:textId="77777777" w:rsidR="007A6A03" w:rsidRPr="007622D4" w:rsidRDefault="007A6A03" w:rsidP="00A64364">
      <w:pPr>
        <w:pStyle w:val="Odsekzoznamu"/>
        <w:numPr>
          <w:ilvl w:val="0"/>
          <w:numId w:val="2"/>
        </w:numPr>
        <w:spacing w:after="0" w:line="240" w:lineRule="auto"/>
        <w:jc w:val="both"/>
        <w:rPr>
          <w:rFonts w:ascii="Times New Roman" w:hAnsi="Times New Roman" w:cs="Times New Roman"/>
          <w:sz w:val="24"/>
          <w:szCs w:val="24"/>
        </w:rPr>
      </w:pPr>
      <w:r w:rsidRPr="007622D4">
        <w:rPr>
          <w:rFonts w:ascii="Times New Roman" w:hAnsi="Times New Roman" w:cs="Times New Roman"/>
          <w:sz w:val="24"/>
          <w:szCs w:val="24"/>
        </w:rPr>
        <w:t xml:space="preserve">oznámiť akékoľvek zmeny týchto údajov, </w:t>
      </w:r>
    </w:p>
    <w:p w14:paraId="76EE6D80" w14:textId="77777777" w:rsidR="00D37EA6" w:rsidRPr="007622D4" w:rsidRDefault="00D37EA6" w:rsidP="00A64364">
      <w:pPr>
        <w:pStyle w:val="Odsekzoznamu"/>
        <w:numPr>
          <w:ilvl w:val="0"/>
          <w:numId w:val="2"/>
        </w:numPr>
        <w:spacing w:after="0" w:line="240" w:lineRule="auto"/>
        <w:jc w:val="both"/>
        <w:rPr>
          <w:rFonts w:ascii="Times New Roman" w:hAnsi="Times New Roman" w:cs="Times New Roman"/>
          <w:sz w:val="24"/>
          <w:szCs w:val="24"/>
        </w:rPr>
      </w:pPr>
      <w:r w:rsidRPr="007622D4">
        <w:rPr>
          <w:rFonts w:ascii="Times New Roman" w:hAnsi="Times New Roman" w:cs="Times New Roman"/>
          <w:sz w:val="24"/>
          <w:szCs w:val="24"/>
        </w:rPr>
        <w:t>oznámiť úradný jazyk alebo úradné jazyky, v ktorých možno komunikovať s určenou prevádzkarňou alebo vymenovaným zástupcom,</w:t>
      </w:r>
    </w:p>
    <w:p w14:paraId="33EBC502" w14:textId="716F13D7" w:rsidR="00D37EA6" w:rsidRPr="007622D4" w:rsidRDefault="00E54379" w:rsidP="00A64364">
      <w:pPr>
        <w:pStyle w:val="Odsekzoznamu"/>
        <w:numPr>
          <w:ilvl w:val="0"/>
          <w:numId w:val="2"/>
        </w:numPr>
        <w:spacing w:after="0" w:line="240" w:lineRule="auto"/>
        <w:jc w:val="both"/>
        <w:rPr>
          <w:rFonts w:ascii="Times New Roman" w:hAnsi="Times New Roman" w:cs="Times New Roman"/>
          <w:sz w:val="24"/>
          <w:szCs w:val="24"/>
        </w:rPr>
      </w:pPr>
      <w:r w:rsidRPr="007622D4">
        <w:rPr>
          <w:rFonts w:ascii="Times New Roman" w:hAnsi="Times New Roman" w:cs="Times New Roman"/>
          <w:sz w:val="24"/>
          <w:szCs w:val="24"/>
        </w:rPr>
        <w:t xml:space="preserve">oznámiť </w:t>
      </w:r>
      <w:r w:rsidR="008603B3" w:rsidRPr="007622D4">
        <w:rPr>
          <w:rFonts w:ascii="Times New Roman" w:hAnsi="Times New Roman" w:cs="Times New Roman"/>
          <w:sz w:val="24"/>
          <w:szCs w:val="24"/>
        </w:rPr>
        <w:t>územn</w:t>
      </w:r>
      <w:r w:rsidR="008603B3">
        <w:rPr>
          <w:rFonts w:ascii="Times New Roman" w:hAnsi="Times New Roman" w:cs="Times New Roman"/>
          <w:sz w:val="24"/>
          <w:szCs w:val="24"/>
        </w:rPr>
        <w:t>ý</w:t>
      </w:r>
      <w:r w:rsidR="008603B3" w:rsidRPr="007622D4">
        <w:rPr>
          <w:rFonts w:ascii="Times New Roman" w:hAnsi="Times New Roman" w:cs="Times New Roman"/>
          <w:sz w:val="24"/>
          <w:szCs w:val="24"/>
        </w:rPr>
        <w:t xml:space="preserve"> </w:t>
      </w:r>
      <w:r w:rsidRPr="007622D4">
        <w:rPr>
          <w:rFonts w:ascii="Times New Roman" w:hAnsi="Times New Roman" w:cs="Times New Roman"/>
          <w:sz w:val="24"/>
          <w:szCs w:val="24"/>
        </w:rPr>
        <w:t xml:space="preserve">rozsah pôsobnosti, ak boli určené viaceré prevádzkarne alebo viacerí právni zástupcovia. </w:t>
      </w:r>
    </w:p>
    <w:p w14:paraId="76F19ACA" w14:textId="77777777" w:rsidR="00E54379" w:rsidRPr="007622D4" w:rsidRDefault="00E54379" w:rsidP="00A64364">
      <w:pPr>
        <w:spacing w:after="0" w:line="240" w:lineRule="auto"/>
        <w:jc w:val="both"/>
        <w:rPr>
          <w:rFonts w:ascii="Times New Roman" w:hAnsi="Times New Roman" w:cs="Times New Roman"/>
          <w:sz w:val="24"/>
          <w:szCs w:val="24"/>
        </w:rPr>
      </w:pPr>
    </w:p>
    <w:p w14:paraId="46829675" w14:textId="408C4F5E" w:rsidR="00ED0A38" w:rsidRPr="007622D4" w:rsidRDefault="00AC2955"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Predkladateľ na tento účel preto v odseku 1 normuje povinnosť</w:t>
      </w:r>
      <w:r w:rsidR="00520D50">
        <w:rPr>
          <w:rFonts w:ascii="Times New Roman" w:hAnsi="Times New Roman" w:cs="Times New Roman"/>
          <w:sz w:val="24"/>
          <w:szCs w:val="24"/>
        </w:rPr>
        <w:t>, ktorej adresátom je poskytovateľ služieb,</w:t>
      </w:r>
      <w:r w:rsidRPr="007622D4">
        <w:rPr>
          <w:rFonts w:ascii="Times New Roman" w:hAnsi="Times New Roman" w:cs="Times New Roman"/>
          <w:sz w:val="24"/>
          <w:szCs w:val="24"/>
        </w:rPr>
        <w:t xml:space="preserve"> oznámiť určenie určenej prevádzkarne alebo právneho zástupcu. Adresátom tohto oznámenia je </w:t>
      </w:r>
      <w:r w:rsidR="00080C86" w:rsidRPr="007622D4">
        <w:rPr>
          <w:rFonts w:ascii="Times New Roman" w:hAnsi="Times New Roman" w:cs="Times New Roman"/>
          <w:sz w:val="24"/>
          <w:szCs w:val="24"/>
        </w:rPr>
        <w:t>príslušný orgán</w:t>
      </w:r>
      <w:r w:rsidR="00520D50">
        <w:rPr>
          <w:rFonts w:ascii="Times New Roman" w:hAnsi="Times New Roman" w:cs="Times New Roman"/>
          <w:sz w:val="24"/>
          <w:szCs w:val="24"/>
        </w:rPr>
        <w:t>, t.j. Rada pre mediálne služby</w:t>
      </w:r>
      <w:r w:rsidRPr="007622D4">
        <w:rPr>
          <w:rFonts w:ascii="Times New Roman" w:hAnsi="Times New Roman" w:cs="Times New Roman"/>
          <w:sz w:val="24"/>
          <w:szCs w:val="24"/>
        </w:rPr>
        <w:t>. Súčasne sa v odseku 1 upravuje lehota na zaslanie tohto oznámenia</w:t>
      </w:r>
      <w:r w:rsidR="00DC4740" w:rsidRPr="007622D4">
        <w:rPr>
          <w:rFonts w:ascii="Times New Roman" w:hAnsi="Times New Roman" w:cs="Times New Roman"/>
          <w:sz w:val="24"/>
          <w:szCs w:val="24"/>
        </w:rPr>
        <w:t>, ktorá je 15 dní a plynie odo dňa určenia alebo vymenovania</w:t>
      </w:r>
      <w:r w:rsidR="00BB0B52">
        <w:rPr>
          <w:rFonts w:ascii="Times New Roman" w:hAnsi="Times New Roman" w:cs="Times New Roman"/>
          <w:sz w:val="24"/>
          <w:szCs w:val="24"/>
        </w:rPr>
        <w:t xml:space="preserve"> určenej prevádzkarne alebo právneho zástupcu</w:t>
      </w:r>
      <w:r w:rsidRPr="007622D4">
        <w:rPr>
          <w:rFonts w:ascii="Times New Roman" w:hAnsi="Times New Roman" w:cs="Times New Roman"/>
          <w:sz w:val="24"/>
          <w:szCs w:val="24"/>
        </w:rPr>
        <w:t>. Smernica síce neupravuje žiadnu lehotu, ale ak má byť naplnený cieľ smernice, ako aj nariadenia, tak neobstojí právna úprava</w:t>
      </w:r>
      <w:r w:rsidR="00976EF9" w:rsidRPr="007622D4">
        <w:rPr>
          <w:rFonts w:ascii="Times New Roman" w:hAnsi="Times New Roman" w:cs="Times New Roman"/>
          <w:sz w:val="24"/>
          <w:szCs w:val="24"/>
        </w:rPr>
        <w:t>, ktorá túto lehotu neustanoví, a to aj s ohľadom na prípadne vyvodzovanie zodpovednosti za porušenie povinnosti určiť určenú prevádzkareň alebo vymenovať zástupcu.</w:t>
      </w:r>
      <w:r w:rsidR="003454DC">
        <w:rPr>
          <w:rFonts w:ascii="Times New Roman" w:hAnsi="Times New Roman" w:cs="Times New Roman"/>
          <w:sz w:val="24"/>
          <w:szCs w:val="24"/>
        </w:rPr>
        <w:t xml:space="preserve"> </w:t>
      </w:r>
    </w:p>
    <w:p w14:paraId="4A509777" w14:textId="77777777" w:rsidR="00ED0A38" w:rsidRPr="007622D4" w:rsidRDefault="00ED0A38" w:rsidP="00A64364">
      <w:pPr>
        <w:spacing w:after="0" w:line="240" w:lineRule="auto"/>
        <w:ind w:firstLine="708"/>
        <w:jc w:val="both"/>
        <w:rPr>
          <w:rFonts w:ascii="Times New Roman" w:hAnsi="Times New Roman" w:cs="Times New Roman"/>
          <w:sz w:val="24"/>
          <w:szCs w:val="24"/>
        </w:rPr>
      </w:pPr>
    </w:p>
    <w:p w14:paraId="2DCC3903" w14:textId="4A7B82A9" w:rsidR="00F12D12" w:rsidRPr="007622D4" w:rsidRDefault="00ED0A38" w:rsidP="00A64364">
      <w:pPr>
        <w:spacing w:after="0" w:line="240" w:lineRule="auto"/>
        <w:ind w:firstLine="708"/>
        <w:jc w:val="both"/>
        <w:rPr>
          <w:rFonts w:ascii="Times New Roman" w:hAnsi="Times New Roman" w:cs="Times New Roman"/>
          <w:sz w:val="24"/>
          <w:szCs w:val="24"/>
        </w:rPr>
      </w:pPr>
      <w:r w:rsidRPr="003454DC">
        <w:rPr>
          <w:rFonts w:ascii="Times New Roman" w:hAnsi="Times New Roman" w:cs="Times New Roman"/>
          <w:sz w:val="24"/>
          <w:szCs w:val="24"/>
        </w:rPr>
        <w:t>Z dôvodu uľahčenia spôsobu splnenia oznamovacej povinnosti</w:t>
      </w:r>
      <w:r w:rsidR="00B853C0" w:rsidRPr="003454DC">
        <w:rPr>
          <w:rFonts w:ascii="Times New Roman" w:hAnsi="Times New Roman" w:cs="Times New Roman"/>
          <w:sz w:val="24"/>
          <w:szCs w:val="24"/>
        </w:rPr>
        <w:t xml:space="preserve"> a harmonizácie postupu všetkých dotknutých poskytovateľov služieb</w:t>
      </w:r>
      <w:r w:rsidRPr="003454DC">
        <w:rPr>
          <w:rFonts w:ascii="Times New Roman" w:hAnsi="Times New Roman" w:cs="Times New Roman"/>
          <w:sz w:val="24"/>
          <w:szCs w:val="24"/>
        </w:rPr>
        <w:t xml:space="preserve"> </w:t>
      </w:r>
      <w:r w:rsidR="003454DC" w:rsidRPr="003454DC">
        <w:rPr>
          <w:rFonts w:ascii="Times New Roman" w:hAnsi="Times New Roman" w:cs="Times New Roman"/>
          <w:sz w:val="24"/>
          <w:szCs w:val="24"/>
        </w:rPr>
        <w:t>Európska komisia pripravuje elektronickú službu, ktorá bude určená pre splnenie notifikačnej povinnosti.</w:t>
      </w:r>
      <w:r w:rsidR="00EB3900">
        <w:rPr>
          <w:rFonts w:ascii="Times New Roman" w:hAnsi="Times New Roman" w:cs="Times New Roman"/>
          <w:sz w:val="24"/>
          <w:szCs w:val="24"/>
        </w:rPr>
        <w:t xml:space="preserve"> Toto riešenie však nemusí byť nevyhnutne dostupné ku dňu účinnosti zákona. Je však dôležité, aby zákonná úprava umožňovala využitie takejto elektronickej služby a súčasne, aby bol dostatočne flexibilná aj pre iné dočasné riešenia elektronickej komunikácie. Z uvedené dôvodu preto predkladateľ volí právnu konštrukciu, podľa ktorej zákon bude vyžadovať elektronickú podobu komunikácie pri plnení oznamovacej povinnosti, pričom podmienky za akých sa bude elektronická komunikácia realizovať určí príslušný orgán tak, že tieto podmienky zverejní na svojom webovom sídle. Príslušný orgán na svojom webovom sídle buď odkáže na elektronickú službu Európskej komisie, a prípadne, ak táto služba nebude k dispozícii, tak určí inú formu komunikácie (napr. určí elektronický formulár, ktorý sa bude doručovať do elektronickej schránky Rady pre mediálne služby, prípadne zvolí menej formalizovaný spôsobom elektronickej komunikácie v podobe emailovej komunikácie).</w:t>
      </w:r>
      <w:r w:rsidR="00AC2955" w:rsidRPr="007622D4">
        <w:rPr>
          <w:rFonts w:ascii="Times New Roman" w:hAnsi="Times New Roman" w:cs="Times New Roman"/>
          <w:sz w:val="24"/>
          <w:szCs w:val="24"/>
        </w:rPr>
        <w:t xml:space="preserve"> </w:t>
      </w:r>
    </w:p>
    <w:p w14:paraId="0EB3E4DC" w14:textId="77777777" w:rsidR="00AC2955" w:rsidRPr="007622D4" w:rsidRDefault="00AC2955" w:rsidP="00A64364">
      <w:pPr>
        <w:spacing w:after="0" w:line="240" w:lineRule="auto"/>
        <w:jc w:val="both"/>
        <w:rPr>
          <w:rFonts w:ascii="Times New Roman" w:hAnsi="Times New Roman" w:cs="Times New Roman"/>
          <w:sz w:val="24"/>
          <w:szCs w:val="24"/>
        </w:rPr>
      </w:pPr>
    </w:p>
    <w:p w14:paraId="3C9F1E15" w14:textId="54CBE421" w:rsidR="0020002F" w:rsidRDefault="00B26B78"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V odseku 2 sa vymedzujú obsahové náležitosti oznámenia podľa odseku 1,</w:t>
      </w:r>
      <w:r w:rsidR="002966E5" w:rsidRPr="007622D4">
        <w:rPr>
          <w:rFonts w:ascii="Times New Roman" w:hAnsi="Times New Roman" w:cs="Times New Roman"/>
          <w:sz w:val="24"/>
          <w:szCs w:val="24"/>
        </w:rPr>
        <w:t xml:space="preserve"> </w:t>
      </w:r>
      <w:r w:rsidRPr="007622D4">
        <w:rPr>
          <w:rFonts w:ascii="Times New Roman" w:hAnsi="Times New Roman" w:cs="Times New Roman"/>
          <w:sz w:val="24"/>
          <w:szCs w:val="24"/>
        </w:rPr>
        <w:t>ktoré nie sú ničím iným ako sumarizáciou požiadaviek upravených v čl. 4 smernice.</w:t>
      </w:r>
      <w:r w:rsidR="0093730E" w:rsidRPr="007622D4">
        <w:rPr>
          <w:rFonts w:ascii="Times New Roman" w:hAnsi="Times New Roman" w:cs="Times New Roman"/>
          <w:sz w:val="24"/>
          <w:szCs w:val="24"/>
        </w:rPr>
        <w:t xml:space="preserve"> </w:t>
      </w:r>
      <w:r w:rsidR="0020002F">
        <w:rPr>
          <w:rFonts w:ascii="Times New Roman" w:hAnsi="Times New Roman" w:cs="Times New Roman"/>
          <w:sz w:val="24"/>
          <w:szCs w:val="24"/>
        </w:rPr>
        <w:t xml:space="preserve">V prípade identifikačných a kontaktných údajov sa normuje pravidlo, ktoré odkazuje pri určení ich rozsahu na elektronickú službu podľa odseku 1. Nie je ambíciou predkladateľa návrhu zákona upravovať rozsah týchto údajov v zákone, ale ponechať túto otázku na technické riešenie, resp. povinné a nepovinné polia príslušného formulára. </w:t>
      </w:r>
    </w:p>
    <w:p w14:paraId="38857F97" w14:textId="77777777" w:rsidR="00B3625A" w:rsidRDefault="00B3625A" w:rsidP="00A64364">
      <w:pPr>
        <w:spacing w:after="0" w:line="240" w:lineRule="auto"/>
        <w:ind w:firstLine="708"/>
        <w:jc w:val="both"/>
        <w:rPr>
          <w:rFonts w:ascii="Times New Roman" w:hAnsi="Times New Roman" w:cs="Times New Roman"/>
          <w:sz w:val="24"/>
          <w:szCs w:val="24"/>
        </w:rPr>
      </w:pPr>
    </w:p>
    <w:p w14:paraId="265F8B50" w14:textId="4670ADAD" w:rsidR="0093730E" w:rsidRPr="007622D4" w:rsidRDefault="0026736E"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 xml:space="preserve">Osobitne sa v písmene d) normuje požiadavka podať čestné vyhlásenie o splnení povinnosti podľa § 4 ods. </w:t>
      </w:r>
      <w:r w:rsidR="007E7950">
        <w:rPr>
          <w:rFonts w:ascii="Times New Roman" w:hAnsi="Times New Roman" w:cs="Times New Roman"/>
          <w:sz w:val="24"/>
          <w:szCs w:val="24"/>
        </w:rPr>
        <w:t>3</w:t>
      </w:r>
      <w:r w:rsidR="007E7950" w:rsidRPr="007622D4">
        <w:rPr>
          <w:rFonts w:ascii="Times New Roman" w:hAnsi="Times New Roman" w:cs="Times New Roman"/>
          <w:sz w:val="24"/>
          <w:szCs w:val="24"/>
        </w:rPr>
        <w:t xml:space="preserve"> </w:t>
      </w:r>
      <w:r w:rsidRPr="007622D4">
        <w:rPr>
          <w:rFonts w:ascii="Times New Roman" w:hAnsi="Times New Roman" w:cs="Times New Roman"/>
          <w:sz w:val="24"/>
          <w:szCs w:val="24"/>
        </w:rPr>
        <w:t xml:space="preserve">návrhu zákona (k tomu pozri tiež čl. 4 ods. 4 druhú vetu smernice). Návrh zákona v § 4 ods. </w:t>
      </w:r>
      <w:r w:rsidR="007E7950">
        <w:rPr>
          <w:rFonts w:ascii="Times New Roman" w:hAnsi="Times New Roman" w:cs="Times New Roman"/>
          <w:sz w:val="24"/>
          <w:szCs w:val="24"/>
        </w:rPr>
        <w:t>3</w:t>
      </w:r>
      <w:r w:rsidR="007E7950" w:rsidRPr="007622D4">
        <w:rPr>
          <w:rFonts w:ascii="Times New Roman" w:hAnsi="Times New Roman" w:cs="Times New Roman"/>
          <w:sz w:val="24"/>
          <w:szCs w:val="24"/>
        </w:rPr>
        <w:t xml:space="preserve"> </w:t>
      </w:r>
      <w:r w:rsidRPr="007622D4">
        <w:rPr>
          <w:rFonts w:ascii="Times New Roman" w:hAnsi="Times New Roman" w:cs="Times New Roman"/>
          <w:sz w:val="24"/>
          <w:szCs w:val="24"/>
        </w:rPr>
        <w:t>ukladá poskytovateľovi služieb povinnosť zabezpečiť určeným prevádzkarňam a vymenovaným právnym zástupcom potrebné právomoci a zdroje na to, aby mohli prijímať, plniť a vykonávať rozhodnutia a</w:t>
      </w:r>
      <w:r w:rsidR="002B1E61" w:rsidRPr="007622D4">
        <w:rPr>
          <w:rFonts w:ascii="Times New Roman" w:hAnsi="Times New Roman" w:cs="Times New Roman"/>
          <w:sz w:val="24"/>
          <w:szCs w:val="24"/>
        </w:rPr>
        <w:t> </w:t>
      </w:r>
      <w:r w:rsidRPr="007622D4">
        <w:rPr>
          <w:rFonts w:ascii="Times New Roman" w:hAnsi="Times New Roman" w:cs="Times New Roman"/>
          <w:sz w:val="24"/>
          <w:szCs w:val="24"/>
        </w:rPr>
        <w:t>príkazy</w:t>
      </w:r>
      <w:r w:rsidR="002B1E61" w:rsidRPr="007622D4">
        <w:rPr>
          <w:rFonts w:ascii="Times New Roman" w:hAnsi="Times New Roman" w:cs="Times New Roman"/>
          <w:sz w:val="24"/>
          <w:szCs w:val="24"/>
        </w:rPr>
        <w:t xml:space="preserve">. Smernica v tomto prípade neurčuje </w:t>
      </w:r>
      <w:r w:rsidR="002B1E61" w:rsidRPr="007622D4">
        <w:rPr>
          <w:rFonts w:ascii="Times New Roman" w:hAnsi="Times New Roman" w:cs="Times New Roman"/>
          <w:sz w:val="24"/>
          <w:szCs w:val="24"/>
        </w:rPr>
        <w:lastRenderedPageBreak/>
        <w:t xml:space="preserve">detailnejšie, čo presne treba rozumieť právomocami a zdrojmi. Predkladateľ stojí pred možnosťou </w:t>
      </w:r>
      <w:r w:rsidR="00D60F92" w:rsidRPr="007622D4">
        <w:rPr>
          <w:rFonts w:ascii="Times New Roman" w:hAnsi="Times New Roman" w:cs="Times New Roman"/>
          <w:sz w:val="24"/>
          <w:szCs w:val="24"/>
        </w:rPr>
        <w:t xml:space="preserve">buď </w:t>
      </w:r>
      <w:r w:rsidR="002B1E61" w:rsidRPr="007622D4">
        <w:rPr>
          <w:rFonts w:ascii="Times New Roman" w:hAnsi="Times New Roman" w:cs="Times New Roman"/>
          <w:sz w:val="24"/>
          <w:szCs w:val="24"/>
        </w:rPr>
        <w:t>nad rámec smernice tieto otázky riešiť podrobnejšie, čo vo výsledku povedie jednak k riziku, že navrhnutá regulácia nebude úplne v súlade so smernicou a súčasne sa tak zvýši administratívne náročnosť procesov, alebo uchopiť túto tému inak, napríklad spôsobom, že bude od poskytovateľ vyžadovať čestné vyhlásenie, že splnil zákonnú povinnosť</w:t>
      </w:r>
      <w:r w:rsidR="00035959" w:rsidRPr="007622D4">
        <w:rPr>
          <w:rFonts w:ascii="Times New Roman" w:hAnsi="Times New Roman" w:cs="Times New Roman"/>
          <w:sz w:val="24"/>
          <w:szCs w:val="24"/>
        </w:rPr>
        <w:t xml:space="preserve"> podľa § 4 ods. </w:t>
      </w:r>
      <w:r w:rsidR="003454DC">
        <w:rPr>
          <w:rFonts w:ascii="Times New Roman" w:hAnsi="Times New Roman" w:cs="Times New Roman"/>
          <w:sz w:val="24"/>
          <w:szCs w:val="24"/>
        </w:rPr>
        <w:t>3</w:t>
      </w:r>
      <w:r w:rsidR="002B1E61" w:rsidRPr="007622D4">
        <w:rPr>
          <w:rFonts w:ascii="Times New Roman" w:hAnsi="Times New Roman" w:cs="Times New Roman"/>
          <w:sz w:val="24"/>
          <w:szCs w:val="24"/>
        </w:rPr>
        <w:t>.</w:t>
      </w:r>
      <w:r w:rsidR="00A101C2" w:rsidRPr="007622D4">
        <w:rPr>
          <w:rFonts w:ascii="Times New Roman" w:hAnsi="Times New Roman" w:cs="Times New Roman"/>
          <w:sz w:val="24"/>
          <w:szCs w:val="24"/>
        </w:rPr>
        <w:t xml:space="preserve"> Z pohľadu </w:t>
      </w:r>
      <w:r w:rsidR="00B762AC" w:rsidRPr="007622D4">
        <w:rPr>
          <w:rFonts w:ascii="Times New Roman" w:hAnsi="Times New Roman" w:cs="Times New Roman"/>
          <w:sz w:val="24"/>
          <w:szCs w:val="24"/>
        </w:rPr>
        <w:t xml:space="preserve">účelu zákona, ako </w:t>
      </w:r>
      <w:r w:rsidR="00A101C2" w:rsidRPr="007622D4">
        <w:rPr>
          <w:rFonts w:ascii="Times New Roman" w:hAnsi="Times New Roman" w:cs="Times New Roman"/>
          <w:sz w:val="24"/>
          <w:szCs w:val="24"/>
        </w:rPr>
        <w:t>aj snahy minimalizovať</w:t>
      </w:r>
      <w:r w:rsidR="00B762AC" w:rsidRPr="007622D4">
        <w:rPr>
          <w:rFonts w:ascii="Times New Roman" w:hAnsi="Times New Roman" w:cs="Times New Roman"/>
          <w:sz w:val="24"/>
          <w:szCs w:val="24"/>
        </w:rPr>
        <w:t xml:space="preserve"> administratívnu náročnosť procesov predkladateľ volí riešenie založené na deklarovaní splnenia zákonnej povinnosti formu čestného vyhlásenia. Ak by sa ukázalo, že čestné vyhlásenie nezodpovedá skutočnosti, a teda poskytovateľ služby nesplnil povinnosť podľa § 4 ods. </w:t>
      </w:r>
      <w:r w:rsidR="003454DC">
        <w:rPr>
          <w:rFonts w:ascii="Times New Roman" w:hAnsi="Times New Roman" w:cs="Times New Roman"/>
          <w:sz w:val="24"/>
          <w:szCs w:val="24"/>
        </w:rPr>
        <w:t>3</w:t>
      </w:r>
      <w:r w:rsidR="00B762AC" w:rsidRPr="007622D4">
        <w:rPr>
          <w:rFonts w:ascii="Times New Roman" w:hAnsi="Times New Roman" w:cs="Times New Roman"/>
          <w:sz w:val="24"/>
          <w:szCs w:val="24"/>
        </w:rPr>
        <w:t xml:space="preserve">, prípadne túto povinnosť prestal spĺňať, ide podľa navrhovaného § 6 ods. 1 o správny delikt. </w:t>
      </w:r>
    </w:p>
    <w:p w14:paraId="3A70492A" w14:textId="77777777" w:rsidR="00F12D12" w:rsidRPr="007622D4" w:rsidRDefault="00F12D12" w:rsidP="00A64364">
      <w:pPr>
        <w:spacing w:after="0" w:line="240" w:lineRule="auto"/>
        <w:ind w:firstLine="708"/>
        <w:jc w:val="both"/>
        <w:rPr>
          <w:rFonts w:ascii="Times New Roman" w:hAnsi="Times New Roman" w:cs="Times New Roman"/>
          <w:sz w:val="24"/>
          <w:szCs w:val="24"/>
        </w:rPr>
      </w:pPr>
    </w:p>
    <w:p w14:paraId="306CB387" w14:textId="07269DC6" w:rsidR="00881168" w:rsidRPr="007622D4" w:rsidRDefault="0093730E"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V odseku 3 sa tr</w:t>
      </w:r>
      <w:r w:rsidR="00691581" w:rsidRPr="007622D4">
        <w:rPr>
          <w:rFonts w:ascii="Times New Roman" w:hAnsi="Times New Roman" w:cs="Times New Roman"/>
          <w:sz w:val="24"/>
          <w:szCs w:val="24"/>
        </w:rPr>
        <w:t xml:space="preserve">ansponuje čl. 4 ods. 3 smernice a reaguje sa tak na prípady, kedy poskytovateľ služby určil dve alebo viaceré určené prevádzkarne, resp. vymenoval dvoch alebo viacerých právnych zástupcov. </w:t>
      </w:r>
      <w:r w:rsidR="00864FC3" w:rsidRPr="007622D4">
        <w:rPr>
          <w:rFonts w:ascii="Times New Roman" w:hAnsi="Times New Roman" w:cs="Times New Roman"/>
          <w:sz w:val="24"/>
          <w:szCs w:val="24"/>
        </w:rPr>
        <w:t xml:space="preserve">Požiadavka zákona smeruje k tomu, aby sa </w:t>
      </w:r>
      <w:r w:rsidR="00D747C1">
        <w:rPr>
          <w:rFonts w:ascii="Times New Roman" w:hAnsi="Times New Roman" w:cs="Times New Roman"/>
          <w:sz w:val="24"/>
          <w:szCs w:val="24"/>
        </w:rPr>
        <w:t xml:space="preserve">v oznámení osobitne uviedol územný obvod </w:t>
      </w:r>
      <w:r w:rsidR="00864FC3" w:rsidRPr="007622D4">
        <w:rPr>
          <w:rFonts w:ascii="Times New Roman" w:hAnsi="Times New Roman" w:cs="Times New Roman"/>
          <w:sz w:val="24"/>
          <w:szCs w:val="24"/>
        </w:rPr>
        <w:t xml:space="preserve">pre každú z viacerých určených prevádzkarní alebo právnych zástupcov. </w:t>
      </w:r>
      <w:r w:rsidR="00436C15" w:rsidRPr="00436C15">
        <w:rPr>
          <w:rFonts w:ascii="Times New Roman" w:hAnsi="Times New Roman" w:cs="Times New Roman"/>
          <w:sz w:val="24"/>
          <w:szCs w:val="24"/>
        </w:rPr>
        <w:t xml:space="preserve">V praxi pri určení viacerých prevádzkarní alebo právnych zástupcov v rôznych členských štátoch bude pre každú takúto prevádzkareň alebo právneho zástupcu oznámenie vykonané zvlášť v jednotlivých členských štátoch, kde boli tieto určené alebo vymenované t.j. pre určenú prevádzkareň na území Slovenskej republiky bude oznámenie, spolu so špecifikáciou územného obvodu, zaslané Rade pre mediálne služby a zároveň pre prevádzkareň určenú v inom členskom štáte bude osobitné oznámenie spolu so špecifikáciou územného obvodu tejto prevádzkarne zaslané príslušnému orgánu v tomto členskom štáte. </w:t>
      </w:r>
      <w:r w:rsidR="00881168" w:rsidRPr="00E91F7A">
        <w:rPr>
          <w:rFonts w:ascii="Times New Roman" w:hAnsi="Times New Roman" w:cs="Times New Roman"/>
          <w:sz w:val="24"/>
          <w:szCs w:val="24"/>
        </w:rPr>
        <w:t>Účelom je, aby justičný orgán pri zasielaní príkazov a rozhodnutí vedel presne identifikovať, ktorej určenej prevádzkarni alebo právnemu zástupcovi je možné takýto príkaz alebo rozhodnutie zaslať.</w:t>
      </w:r>
    </w:p>
    <w:p w14:paraId="070A38D6" w14:textId="77777777" w:rsidR="0093730E" w:rsidRPr="007622D4" w:rsidRDefault="0093730E" w:rsidP="00A64364">
      <w:pPr>
        <w:spacing w:after="0" w:line="240" w:lineRule="auto"/>
        <w:ind w:firstLine="708"/>
        <w:jc w:val="both"/>
        <w:rPr>
          <w:rFonts w:ascii="Times New Roman" w:hAnsi="Times New Roman" w:cs="Times New Roman"/>
          <w:sz w:val="24"/>
          <w:szCs w:val="24"/>
        </w:rPr>
      </w:pPr>
    </w:p>
    <w:p w14:paraId="2E331EA5" w14:textId="77777777" w:rsidR="00647705" w:rsidRPr="007622D4" w:rsidRDefault="0093730E"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V odseku 4 sa transponuje čl. 4 ods. 2 druhá veta smernice</w:t>
      </w:r>
      <w:r w:rsidR="00A67A2E" w:rsidRPr="007622D4">
        <w:rPr>
          <w:rFonts w:ascii="Times New Roman" w:hAnsi="Times New Roman" w:cs="Times New Roman"/>
          <w:sz w:val="24"/>
          <w:szCs w:val="24"/>
        </w:rPr>
        <w:t xml:space="preserve">, podľa ktorej </w:t>
      </w:r>
      <w:r w:rsidR="001E0B2B" w:rsidRPr="007622D4">
        <w:rPr>
          <w:rFonts w:ascii="Times New Roman" w:hAnsi="Times New Roman" w:cs="Times New Roman"/>
          <w:i/>
          <w:sz w:val="24"/>
          <w:szCs w:val="24"/>
        </w:rPr>
        <w:t>„</w:t>
      </w:r>
      <w:r w:rsidR="00A67A2E" w:rsidRPr="007622D4">
        <w:rPr>
          <w:rFonts w:ascii="Times New Roman" w:hAnsi="Times New Roman" w:cs="Times New Roman"/>
          <w:i/>
          <w:sz w:val="24"/>
          <w:szCs w:val="24"/>
        </w:rPr>
        <w:t>Tieto jazyky zahŕňajú jeden úradný jazyk alebo viaceré úradné jazyky stanovené vo vnútroštátnom práve členského štátu, v ktorom je určená prevádzkareň usadená alebo v ktorom má právny zástupca pobyt.</w:t>
      </w:r>
      <w:r w:rsidR="001E0B2B" w:rsidRPr="007622D4">
        <w:rPr>
          <w:rFonts w:ascii="Times New Roman" w:hAnsi="Times New Roman" w:cs="Times New Roman"/>
          <w:i/>
          <w:sz w:val="24"/>
          <w:szCs w:val="24"/>
        </w:rPr>
        <w:t>“</w:t>
      </w:r>
      <w:r w:rsidR="0033605F" w:rsidRPr="007622D4">
        <w:rPr>
          <w:rFonts w:ascii="Times New Roman" w:hAnsi="Times New Roman" w:cs="Times New Roman"/>
          <w:sz w:val="24"/>
          <w:szCs w:val="24"/>
        </w:rPr>
        <w:t>.</w:t>
      </w:r>
      <w:r w:rsidRPr="007622D4">
        <w:rPr>
          <w:rFonts w:ascii="Times New Roman" w:hAnsi="Times New Roman" w:cs="Times New Roman"/>
          <w:sz w:val="24"/>
          <w:szCs w:val="24"/>
        </w:rPr>
        <w:t xml:space="preserve"> </w:t>
      </w:r>
    </w:p>
    <w:p w14:paraId="7A2B680F" w14:textId="77777777" w:rsidR="00647705" w:rsidRPr="007622D4" w:rsidRDefault="00647705" w:rsidP="00A64364">
      <w:pPr>
        <w:spacing w:after="0" w:line="240" w:lineRule="auto"/>
        <w:ind w:firstLine="708"/>
        <w:jc w:val="both"/>
        <w:rPr>
          <w:rFonts w:ascii="Times New Roman" w:hAnsi="Times New Roman" w:cs="Times New Roman"/>
          <w:sz w:val="24"/>
          <w:szCs w:val="24"/>
        </w:rPr>
      </w:pPr>
    </w:p>
    <w:p w14:paraId="6E43EDE9" w14:textId="62FB1ECA" w:rsidR="00B26B78" w:rsidRPr="007622D4" w:rsidRDefault="00647705"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 xml:space="preserve">V odseku </w:t>
      </w:r>
      <w:r w:rsidR="005F7275">
        <w:rPr>
          <w:rFonts w:ascii="Times New Roman" w:hAnsi="Times New Roman" w:cs="Times New Roman"/>
          <w:sz w:val="24"/>
          <w:szCs w:val="24"/>
        </w:rPr>
        <w:t>6</w:t>
      </w:r>
      <w:r w:rsidRPr="007622D4">
        <w:rPr>
          <w:rFonts w:ascii="Times New Roman" w:hAnsi="Times New Roman" w:cs="Times New Roman"/>
          <w:sz w:val="24"/>
          <w:szCs w:val="24"/>
        </w:rPr>
        <w:t xml:space="preserve"> sa normuje </w:t>
      </w:r>
      <w:r w:rsidR="009029B6" w:rsidRPr="007622D4">
        <w:rPr>
          <w:rFonts w:ascii="Times New Roman" w:hAnsi="Times New Roman" w:cs="Times New Roman"/>
          <w:sz w:val="24"/>
          <w:szCs w:val="24"/>
        </w:rPr>
        <w:t>povinnos</w:t>
      </w:r>
      <w:r w:rsidR="009029B6">
        <w:rPr>
          <w:rFonts w:ascii="Times New Roman" w:hAnsi="Times New Roman" w:cs="Times New Roman"/>
          <w:sz w:val="24"/>
          <w:szCs w:val="24"/>
        </w:rPr>
        <w:t>ť</w:t>
      </w:r>
      <w:r w:rsidR="009029B6" w:rsidRPr="007622D4">
        <w:rPr>
          <w:rFonts w:ascii="Times New Roman" w:hAnsi="Times New Roman" w:cs="Times New Roman"/>
          <w:sz w:val="24"/>
          <w:szCs w:val="24"/>
        </w:rPr>
        <w:t xml:space="preserve"> </w:t>
      </w:r>
      <w:r w:rsidRPr="007622D4">
        <w:rPr>
          <w:rFonts w:ascii="Times New Roman" w:hAnsi="Times New Roman" w:cs="Times New Roman"/>
          <w:sz w:val="24"/>
          <w:szCs w:val="24"/>
        </w:rPr>
        <w:t>poskytovateľa oznamovať aj zmeny údajov podľa odsekov 2 a </w:t>
      </w:r>
      <w:r w:rsidR="003120A5">
        <w:rPr>
          <w:rFonts w:ascii="Times New Roman" w:hAnsi="Times New Roman" w:cs="Times New Roman"/>
          <w:sz w:val="24"/>
          <w:szCs w:val="24"/>
        </w:rPr>
        <w:t>3</w:t>
      </w:r>
      <w:r w:rsidRPr="007622D4">
        <w:rPr>
          <w:rFonts w:ascii="Times New Roman" w:hAnsi="Times New Roman" w:cs="Times New Roman"/>
          <w:sz w:val="24"/>
          <w:szCs w:val="24"/>
        </w:rPr>
        <w:t xml:space="preserve">, čím sa </w:t>
      </w:r>
      <w:r w:rsidR="00C27C9E">
        <w:rPr>
          <w:rFonts w:ascii="Times New Roman" w:hAnsi="Times New Roman" w:cs="Times New Roman"/>
          <w:sz w:val="24"/>
          <w:szCs w:val="24"/>
        </w:rPr>
        <w:t xml:space="preserve">transponuje </w:t>
      </w:r>
      <w:r w:rsidRPr="007622D4">
        <w:rPr>
          <w:rFonts w:ascii="Times New Roman" w:hAnsi="Times New Roman" w:cs="Times New Roman"/>
          <w:sz w:val="24"/>
          <w:szCs w:val="24"/>
        </w:rPr>
        <w:t xml:space="preserve">čl. 4 ods. 1 smernice v časti </w:t>
      </w:r>
      <w:r w:rsidRPr="007622D4">
        <w:rPr>
          <w:rFonts w:ascii="Times New Roman" w:hAnsi="Times New Roman" w:cs="Times New Roman"/>
          <w:i/>
          <w:sz w:val="24"/>
          <w:szCs w:val="24"/>
        </w:rPr>
        <w:t>„...a akékoľvek ich zmeny“</w:t>
      </w:r>
      <w:r w:rsidRPr="007622D4">
        <w:rPr>
          <w:rFonts w:ascii="Times New Roman" w:hAnsi="Times New Roman" w:cs="Times New Roman"/>
          <w:sz w:val="24"/>
          <w:szCs w:val="24"/>
        </w:rPr>
        <w:t xml:space="preserve">. </w:t>
      </w:r>
      <w:r w:rsidR="00136963">
        <w:rPr>
          <w:rFonts w:ascii="Times New Roman" w:hAnsi="Times New Roman" w:cs="Times New Roman"/>
          <w:sz w:val="24"/>
          <w:szCs w:val="24"/>
        </w:rPr>
        <w:t xml:space="preserve">Zmenou v tomto prípade treba rozumieť aj skutočnosť, že dotknutá osoba prestala spĺňať status poskytovateľ služieb v intenciách § 3 písm. a), napríklad, že už neposkytuje služby, ktoré zakladajú postavenie poskytovateľ služieb. Je v záujme poskytovateľ služieb nefigurovať v zozname určených prevádzkarní, resp. právnych zástupcov. </w:t>
      </w:r>
      <w:r w:rsidR="00B26B78" w:rsidRPr="007622D4">
        <w:rPr>
          <w:rFonts w:ascii="Times New Roman" w:hAnsi="Times New Roman" w:cs="Times New Roman"/>
          <w:sz w:val="24"/>
          <w:szCs w:val="24"/>
        </w:rPr>
        <w:t xml:space="preserve"> </w:t>
      </w:r>
    </w:p>
    <w:p w14:paraId="3F0AFFCD" w14:textId="77777777" w:rsidR="00536476" w:rsidRPr="007622D4" w:rsidRDefault="00536476" w:rsidP="00A64364">
      <w:pPr>
        <w:spacing w:after="0" w:line="240" w:lineRule="auto"/>
        <w:ind w:firstLine="708"/>
        <w:jc w:val="both"/>
        <w:rPr>
          <w:rFonts w:ascii="Times New Roman" w:hAnsi="Times New Roman" w:cs="Times New Roman"/>
          <w:sz w:val="24"/>
          <w:szCs w:val="24"/>
        </w:rPr>
      </w:pPr>
    </w:p>
    <w:p w14:paraId="24043490" w14:textId="1AFB1D62" w:rsidR="00536476" w:rsidRPr="007622D4" w:rsidRDefault="00536476"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 xml:space="preserve">Navrhovaný odsek </w:t>
      </w:r>
      <w:r w:rsidR="0013506B">
        <w:rPr>
          <w:rFonts w:ascii="Times New Roman" w:hAnsi="Times New Roman" w:cs="Times New Roman"/>
          <w:sz w:val="24"/>
          <w:szCs w:val="24"/>
        </w:rPr>
        <w:t>7</w:t>
      </w:r>
      <w:r w:rsidR="0013506B" w:rsidRPr="007622D4">
        <w:rPr>
          <w:rFonts w:ascii="Times New Roman" w:hAnsi="Times New Roman" w:cs="Times New Roman"/>
          <w:sz w:val="24"/>
          <w:szCs w:val="24"/>
        </w:rPr>
        <w:t xml:space="preserve"> </w:t>
      </w:r>
      <w:r w:rsidRPr="007622D4">
        <w:rPr>
          <w:rFonts w:ascii="Times New Roman" w:hAnsi="Times New Roman" w:cs="Times New Roman"/>
          <w:sz w:val="24"/>
          <w:szCs w:val="24"/>
        </w:rPr>
        <w:t>je reflexiou čl. 4 ods. 4 smernice</w:t>
      </w:r>
      <w:r w:rsidR="004C309A" w:rsidRPr="007622D4">
        <w:rPr>
          <w:rFonts w:ascii="Times New Roman" w:hAnsi="Times New Roman" w:cs="Times New Roman"/>
          <w:sz w:val="24"/>
          <w:szCs w:val="24"/>
        </w:rPr>
        <w:t>, ktorý vyžaduje, aby členské štáty zabezpečili, aby informácie, ktoré im boli oznámené, boli verejne dostupné na určenej webovej stránke Európskej justičnej siete pre trestné veci.</w:t>
      </w:r>
    </w:p>
    <w:p w14:paraId="50615107" w14:textId="6F1585FE" w:rsidR="00CF1971" w:rsidRDefault="00CF1971" w:rsidP="00A64364">
      <w:pPr>
        <w:spacing w:after="0" w:line="240" w:lineRule="auto"/>
        <w:jc w:val="both"/>
        <w:rPr>
          <w:rFonts w:ascii="Times New Roman" w:hAnsi="Times New Roman" w:cs="Times New Roman"/>
          <w:sz w:val="24"/>
          <w:szCs w:val="24"/>
        </w:rPr>
      </w:pPr>
    </w:p>
    <w:p w14:paraId="27C25A22" w14:textId="77777777" w:rsidR="00D671AF" w:rsidRDefault="00D671AF" w:rsidP="00A64364">
      <w:pPr>
        <w:spacing w:after="0" w:line="240" w:lineRule="auto"/>
        <w:jc w:val="both"/>
        <w:rPr>
          <w:rFonts w:ascii="Times New Roman" w:hAnsi="Times New Roman" w:cs="Times New Roman"/>
          <w:sz w:val="24"/>
          <w:szCs w:val="24"/>
        </w:rPr>
      </w:pPr>
    </w:p>
    <w:p w14:paraId="686AA50F" w14:textId="4590A707" w:rsidR="008F46BA" w:rsidRPr="00904E98" w:rsidRDefault="008F46BA" w:rsidP="00A64364">
      <w:pPr>
        <w:spacing w:after="0" w:line="240" w:lineRule="auto"/>
        <w:jc w:val="both"/>
        <w:rPr>
          <w:rFonts w:ascii="Times New Roman" w:hAnsi="Times New Roman" w:cs="Times New Roman"/>
          <w:sz w:val="24"/>
          <w:szCs w:val="24"/>
          <w:u w:val="single"/>
        </w:rPr>
      </w:pPr>
      <w:r w:rsidRPr="00904E98">
        <w:rPr>
          <w:rFonts w:ascii="Times New Roman" w:hAnsi="Times New Roman" w:cs="Times New Roman"/>
          <w:sz w:val="24"/>
          <w:szCs w:val="24"/>
          <w:u w:val="single"/>
        </w:rPr>
        <w:t>K § 6</w:t>
      </w:r>
    </w:p>
    <w:p w14:paraId="5964A084" w14:textId="6BD8D24B" w:rsidR="008F46BA" w:rsidRDefault="008F46BA" w:rsidP="00A64364">
      <w:pPr>
        <w:spacing w:after="0" w:line="240" w:lineRule="auto"/>
        <w:jc w:val="both"/>
        <w:rPr>
          <w:rFonts w:ascii="Times New Roman" w:hAnsi="Times New Roman" w:cs="Times New Roman"/>
          <w:sz w:val="24"/>
          <w:szCs w:val="24"/>
        </w:rPr>
      </w:pPr>
    </w:p>
    <w:p w14:paraId="48EE9B52" w14:textId="0ACF422A" w:rsidR="00CF6059" w:rsidRPr="007622D4" w:rsidRDefault="003F32C1"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 xml:space="preserve">Ustanovenie § </w:t>
      </w:r>
      <w:r w:rsidR="00611566" w:rsidRPr="007622D4">
        <w:rPr>
          <w:rFonts w:ascii="Times New Roman" w:hAnsi="Times New Roman" w:cs="Times New Roman"/>
          <w:sz w:val="24"/>
          <w:szCs w:val="24"/>
        </w:rPr>
        <w:t>6</w:t>
      </w:r>
      <w:r w:rsidRPr="007622D4">
        <w:rPr>
          <w:rFonts w:ascii="Times New Roman" w:hAnsi="Times New Roman" w:cs="Times New Roman"/>
          <w:sz w:val="24"/>
          <w:szCs w:val="24"/>
        </w:rPr>
        <w:t xml:space="preserve"> je transpozičným ustanovením pre čl. 5 smernice. </w:t>
      </w:r>
      <w:r w:rsidR="0014763C" w:rsidRPr="007622D4">
        <w:rPr>
          <w:rFonts w:ascii="Times New Roman" w:hAnsi="Times New Roman" w:cs="Times New Roman"/>
          <w:sz w:val="24"/>
          <w:szCs w:val="24"/>
        </w:rPr>
        <w:t>S</w:t>
      </w:r>
      <w:r w:rsidRPr="007622D4">
        <w:rPr>
          <w:rFonts w:ascii="Times New Roman" w:hAnsi="Times New Roman" w:cs="Times New Roman"/>
          <w:sz w:val="24"/>
          <w:szCs w:val="24"/>
        </w:rPr>
        <w:t>mernica</w:t>
      </w:r>
      <w:r w:rsidR="0014763C" w:rsidRPr="007622D4">
        <w:rPr>
          <w:rFonts w:ascii="Times New Roman" w:hAnsi="Times New Roman" w:cs="Times New Roman"/>
          <w:sz w:val="24"/>
          <w:szCs w:val="24"/>
        </w:rPr>
        <w:t xml:space="preserve"> vymedzuje</w:t>
      </w:r>
      <w:r w:rsidRPr="007622D4">
        <w:rPr>
          <w:rFonts w:ascii="Times New Roman" w:hAnsi="Times New Roman" w:cs="Times New Roman"/>
          <w:sz w:val="24"/>
          <w:szCs w:val="24"/>
        </w:rPr>
        <w:t xml:space="preserve"> skutkové podstaty deliktov, pričom </w:t>
      </w:r>
      <w:r w:rsidR="00695F7F" w:rsidRPr="007622D4">
        <w:rPr>
          <w:rFonts w:ascii="Times New Roman" w:hAnsi="Times New Roman" w:cs="Times New Roman"/>
          <w:sz w:val="24"/>
          <w:szCs w:val="24"/>
        </w:rPr>
        <w:t>vyžaduj</w:t>
      </w:r>
      <w:r w:rsidR="00695F7F">
        <w:rPr>
          <w:rFonts w:ascii="Times New Roman" w:hAnsi="Times New Roman" w:cs="Times New Roman"/>
          <w:sz w:val="24"/>
          <w:szCs w:val="24"/>
        </w:rPr>
        <w:t>e</w:t>
      </w:r>
      <w:r w:rsidRPr="007622D4">
        <w:rPr>
          <w:rFonts w:ascii="Times New Roman" w:hAnsi="Times New Roman" w:cs="Times New Roman"/>
          <w:sz w:val="24"/>
          <w:szCs w:val="24"/>
        </w:rPr>
        <w:t xml:space="preserve">, aby </w:t>
      </w:r>
      <w:r w:rsidR="00461020" w:rsidRPr="007622D4">
        <w:rPr>
          <w:rFonts w:ascii="Times New Roman" w:hAnsi="Times New Roman" w:cs="Times New Roman"/>
          <w:sz w:val="24"/>
          <w:szCs w:val="24"/>
        </w:rPr>
        <w:t xml:space="preserve">členské štáty </w:t>
      </w:r>
      <w:r w:rsidRPr="007622D4">
        <w:rPr>
          <w:rFonts w:ascii="Times New Roman" w:hAnsi="Times New Roman" w:cs="Times New Roman"/>
          <w:sz w:val="24"/>
          <w:szCs w:val="24"/>
        </w:rPr>
        <w:t>zabezpečili na vnútroštátnej úrovni mechanizmus ukladania sankcií</w:t>
      </w:r>
      <w:r w:rsidR="005A3BF5">
        <w:rPr>
          <w:rFonts w:ascii="Times New Roman" w:hAnsi="Times New Roman" w:cs="Times New Roman"/>
          <w:sz w:val="24"/>
          <w:szCs w:val="24"/>
        </w:rPr>
        <w:t>.</w:t>
      </w:r>
      <w:r w:rsidRPr="007622D4">
        <w:rPr>
          <w:rFonts w:ascii="Times New Roman" w:hAnsi="Times New Roman" w:cs="Times New Roman"/>
          <w:sz w:val="24"/>
          <w:szCs w:val="24"/>
        </w:rPr>
        <w:t xml:space="preserve"> </w:t>
      </w:r>
      <w:r w:rsidR="005A3BF5">
        <w:rPr>
          <w:rFonts w:ascii="Times New Roman" w:hAnsi="Times New Roman" w:cs="Times New Roman"/>
          <w:sz w:val="24"/>
          <w:szCs w:val="24"/>
        </w:rPr>
        <w:t xml:space="preserve">Tieto sankcie </w:t>
      </w:r>
      <w:r w:rsidRPr="007622D4">
        <w:rPr>
          <w:rFonts w:ascii="Times New Roman" w:hAnsi="Times New Roman" w:cs="Times New Roman"/>
          <w:sz w:val="24"/>
          <w:szCs w:val="24"/>
        </w:rPr>
        <w:t xml:space="preserve">majú byť primerané, účinné a odstrašujúce. Nariadenie </w:t>
      </w:r>
      <w:r w:rsidR="00620E62" w:rsidRPr="007622D4">
        <w:rPr>
          <w:rFonts w:ascii="Times New Roman" w:hAnsi="Times New Roman" w:cs="Times New Roman"/>
          <w:sz w:val="24"/>
          <w:szCs w:val="24"/>
        </w:rPr>
        <w:t xml:space="preserve">taktiež vymedzuje skutkové podstaty deliktov a </w:t>
      </w:r>
      <w:r w:rsidRPr="007622D4">
        <w:rPr>
          <w:rFonts w:ascii="Times New Roman" w:hAnsi="Times New Roman" w:cs="Times New Roman"/>
          <w:sz w:val="24"/>
          <w:szCs w:val="24"/>
        </w:rPr>
        <w:t xml:space="preserve">pomenúva </w:t>
      </w:r>
      <w:r w:rsidR="00620E62" w:rsidRPr="007622D4">
        <w:rPr>
          <w:rFonts w:ascii="Times New Roman" w:hAnsi="Times New Roman" w:cs="Times New Roman"/>
          <w:sz w:val="24"/>
          <w:szCs w:val="24"/>
        </w:rPr>
        <w:t xml:space="preserve">s tým spojené </w:t>
      </w:r>
      <w:r w:rsidRPr="007622D4">
        <w:rPr>
          <w:rFonts w:ascii="Times New Roman" w:hAnsi="Times New Roman" w:cs="Times New Roman"/>
          <w:sz w:val="24"/>
          <w:szCs w:val="24"/>
        </w:rPr>
        <w:t>sankcie ako „peňažné sankcie“, pričom smernica prívlastok „peňažné“</w:t>
      </w:r>
      <w:r w:rsidR="00CE0B86" w:rsidRPr="007622D4">
        <w:rPr>
          <w:rFonts w:ascii="Times New Roman" w:hAnsi="Times New Roman" w:cs="Times New Roman"/>
          <w:sz w:val="24"/>
          <w:szCs w:val="24"/>
        </w:rPr>
        <w:t xml:space="preserve"> nepoužíva, pretože je na zvážení členského štátu ustanoviť systém primeraných, účinných a odstrašujúcich </w:t>
      </w:r>
      <w:r w:rsidR="00CE0B86" w:rsidRPr="007622D4">
        <w:rPr>
          <w:rFonts w:ascii="Times New Roman" w:hAnsi="Times New Roman" w:cs="Times New Roman"/>
          <w:sz w:val="24"/>
          <w:szCs w:val="24"/>
        </w:rPr>
        <w:lastRenderedPageBreak/>
        <w:t>sankcií.</w:t>
      </w:r>
      <w:r w:rsidR="006E68DE" w:rsidRPr="007622D4">
        <w:rPr>
          <w:rFonts w:ascii="Times New Roman" w:hAnsi="Times New Roman" w:cs="Times New Roman"/>
          <w:sz w:val="24"/>
          <w:szCs w:val="24"/>
        </w:rPr>
        <w:t xml:space="preserve"> V tomto kontexte </w:t>
      </w:r>
      <w:r w:rsidR="003269C3" w:rsidRPr="007622D4">
        <w:rPr>
          <w:rFonts w:ascii="Times New Roman" w:hAnsi="Times New Roman" w:cs="Times New Roman"/>
          <w:sz w:val="24"/>
          <w:szCs w:val="24"/>
        </w:rPr>
        <w:t xml:space="preserve">predkladateľ </w:t>
      </w:r>
      <w:r w:rsidR="006E68DE" w:rsidRPr="007622D4">
        <w:rPr>
          <w:rFonts w:ascii="Times New Roman" w:hAnsi="Times New Roman" w:cs="Times New Roman"/>
          <w:sz w:val="24"/>
          <w:szCs w:val="24"/>
        </w:rPr>
        <w:t>volí riešenie spočívajúce v ukladaní výlučne pokút a o iných typoch sankcií nateraz neuvažuje.</w:t>
      </w:r>
      <w:r w:rsidR="00CF6059" w:rsidRPr="007622D4">
        <w:rPr>
          <w:rFonts w:ascii="Times New Roman" w:hAnsi="Times New Roman" w:cs="Times New Roman"/>
          <w:sz w:val="24"/>
          <w:szCs w:val="24"/>
        </w:rPr>
        <w:t xml:space="preserve"> </w:t>
      </w:r>
    </w:p>
    <w:p w14:paraId="04C97302" w14:textId="77777777" w:rsidR="00CF6059" w:rsidRPr="007622D4" w:rsidRDefault="00CF6059" w:rsidP="00A64364">
      <w:pPr>
        <w:spacing w:after="0" w:line="240" w:lineRule="auto"/>
        <w:ind w:firstLine="708"/>
        <w:jc w:val="both"/>
        <w:rPr>
          <w:rFonts w:ascii="Times New Roman" w:hAnsi="Times New Roman" w:cs="Times New Roman"/>
          <w:sz w:val="24"/>
          <w:szCs w:val="24"/>
        </w:rPr>
      </w:pPr>
    </w:p>
    <w:p w14:paraId="3F4DBB84" w14:textId="77777777" w:rsidR="00F82BC3" w:rsidRPr="007622D4" w:rsidRDefault="00CF6059"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Z pohľadu navrhovanej regulácie je potrebné uviesť, že ako logika smernice, tak aj nariadenia je postavená na vymedzení povinností, ktorých nesplnenie, či porušenie má podliehať sankčnému mechanizmu.</w:t>
      </w:r>
      <w:r w:rsidR="0061721E" w:rsidRPr="007622D4">
        <w:rPr>
          <w:rFonts w:ascii="Times New Roman" w:hAnsi="Times New Roman" w:cs="Times New Roman"/>
          <w:sz w:val="24"/>
          <w:szCs w:val="24"/>
        </w:rPr>
        <w:t xml:space="preserve"> Preto návrh zákona v prípade smernice obsahuje vymedzenie povinností (§ 4 a 5) a následne sankčný mechanizmus vrátane skutkových podstát deliktov. </w:t>
      </w:r>
    </w:p>
    <w:p w14:paraId="241F7BBD" w14:textId="77777777" w:rsidR="00CE4A60" w:rsidRPr="007622D4" w:rsidRDefault="00CE4A60" w:rsidP="00A64364">
      <w:pPr>
        <w:spacing w:after="0" w:line="240" w:lineRule="auto"/>
        <w:ind w:firstLine="708"/>
        <w:jc w:val="both"/>
        <w:rPr>
          <w:rFonts w:ascii="Times New Roman" w:hAnsi="Times New Roman" w:cs="Times New Roman"/>
          <w:sz w:val="24"/>
          <w:szCs w:val="24"/>
        </w:rPr>
      </w:pPr>
    </w:p>
    <w:p w14:paraId="66DAD1C2" w14:textId="2F509898" w:rsidR="007A2BD0" w:rsidRPr="007622D4" w:rsidRDefault="00CE4A60"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S</w:t>
      </w:r>
      <w:r w:rsidR="00DE24AB" w:rsidRPr="007622D4">
        <w:rPr>
          <w:rFonts w:ascii="Times New Roman" w:hAnsi="Times New Roman" w:cs="Times New Roman"/>
          <w:sz w:val="24"/>
          <w:szCs w:val="24"/>
        </w:rPr>
        <w:t>mernica vyžaduje sankcionovanie porušenia povinností ňou ustanovených.</w:t>
      </w:r>
      <w:r w:rsidR="0098134E" w:rsidRPr="007622D4">
        <w:rPr>
          <w:rFonts w:ascii="Times New Roman" w:hAnsi="Times New Roman" w:cs="Times New Roman"/>
          <w:sz w:val="24"/>
          <w:szCs w:val="24"/>
        </w:rPr>
        <w:t xml:space="preserve"> V tomto prípade predkladateľ volí riešenie, podľa ktorého dôjde prioritne k ukotveniu povinností poskytovateľ</w:t>
      </w:r>
      <w:r w:rsidR="00D7338E">
        <w:rPr>
          <w:rFonts w:ascii="Times New Roman" w:hAnsi="Times New Roman" w:cs="Times New Roman"/>
          <w:sz w:val="24"/>
          <w:szCs w:val="24"/>
        </w:rPr>
        <w:t>a</w:t>
      </w:r>
      <w:r w:rsidR="0098134E" w:rsidRPr="007622D4">
        <w:rPr>
          <w:rFonts w:ascii="Times New Roman" w:hAnsi="Times New Roman" w:cs="Times New Roman"/>
          <w:sz w:val="24"/>
          <w:szCs w:val="24"/>
        </w:rPr>
        <w:t xml:space="preserve"> služieb</w:t>
      </w:r>
      <w:r w:rsidR="00E50243" w:rsidRPr="007622D4">
        <w:rPr>
          <w:rFonts w:ascii="Times New Roman" w:hAnsi="Times New Roman" w:cs="Times New Roman"/>
          <w:sz w:val="24"/>
          <w:szCs w:val="24"/>
        </w:rPr>
        <w:t xml:space="preserve"> v súlade so smernicou</w:t>
      </w:r>
      <w:r w:rsidR="0098134E" w:rsidRPr="007622D4">
        <w:rPr>
          <w:rFonts w:ascii="Times New Roman" w:hAnsi="Times New Roman" w:cs="Times New Roman"/>
          <w:sz w:val="24"/>
          <w:szCs w:val="24"/>
        </w:rPr>
        <w:t xml:space="preserve">, pričom skutková podstata deliktu je postavená na </w:t>
      </w:r>
      <w:r w:rsidR="0098134E" w:rsidRPr="00670D16">
        <w:rPr>
          <w:rFonts w:ascii="Times New Roman" w:hAnsi="Times New Roman" w:cs="Times New Roman"/>
          <w:sz w:val="24"/>
          <w:szCs w:val="24"/>
        </w:rPr>
        <w:t>odkaze na porušenie takto upravených povinností. Smernica v čl. 6 odkazuje na povinnosti poskytovateľa služieb podľa čl. 3 a 4. Tieto povinnosti sú v rámci transpozície sústredené d</w:t>
      </w:r>
      <w:r w:rsidR="003B34DA" w:rsidRPr="00670D16">
        <w:rPr>
          <w:rFonts w:ascii="Times New Roman" w:hAnsi="Times New Roman" w:cs="Times New Roman"/>
          <w:sz w:val="24"/>
          <w:szCs w:val="24"/>
        </w:rPr>
        <w:t xml:space="preserve">o § 4, § 5 a § </w:t>
      </w:r>
      <w:r w:rsidR="00F27CD6" w:rsidRPr="00670D16">
        <w:rPr>
          <w:rFonts w:ascii="Times New Roman" w:hAnsi="Times New Roman" w:cs="Times New Roman"/>
          <w:sz w:val="24"/>
          <w:szCs w:val="24"/>
        </w:rPr>
        <w:t>8</w:t>
      </w:r>
      <w:r w:rsidR="003B34DA" w:rsidRPr="00670D16">
        <w:rPr>
          <w:rFonts w:ascii="Times New Roman" w:hAnsi="Times New Roman" w:cs="Times New Roman"/>
          <w:sz w:val="24"/>
          <w:szCs w:val="24"/>
        </w:rPr>
        <w:t>. Preto v odseku</w:t>
      </w:r>
      <w:r w:rsidR="0098134E" w:rsidRPr="00670D16">
        <w:rPr>
          <w:rFonts w:ascii="Times New Roman" w:hAnsi="Times New Roman" w:cs="Times New Roman"/>
          <w:sz w:val="24"/>
          <w:szCs w:val="24"/>
        </w:rPr>
        <w:t xml:space="preserve"> </w:t>
      </w:r>
      <w:r w:rsidR="003B34DA" w:rsidRPr="00670D16">
        <w:rPr>
          <w:rFonts w:ascii="Times New Roman" w:hAnsi="Times New Roman" w:cs="Times New Roman"/>
          <w:sz w:val="24"/>
          <w:szCs w:val="24"/>
        </w:rPr>
        <w:t>1</w:t>
      </w:r>
      <w:r w:rsidR="0098134E" w:rsidRPr="00670D16">
        <w:rPr>
          <w:rFonts w:ascii="Times New Roman" w:hAnsi="Times New Roman" w:cs="Times New Roman"/>
          <w:sz w:val="24"/>
          <w:szCs w:val="24"/>
        </w:rPr>
        <w:t xml:space="preserve"> odkazuje na porušenie povinností podľa § 4, § 5 a § </w:t>
      </w:r>
      <w:r w:rsidR="005F1606" w:rsidRPr="00670D16">
        <w:rPr>
          <w:rFonts w:ascii="Times New Roman" w:hAnsi="Times New Roman" w:cs="Times New Roman"/>
          <w:sz w:val="24"/>
          <w:szCs w:val="24"/>
        </w:rPr>
        <w:t>8</w:t>
      </w:r>
      <w:r w:rsidR="0098134E" w:rsidRPr="00670D16">
        <w:rPr>
          <w:rFonts w:ascii="Times New Roman" w:hAnsi="Times New Roman" w:cs="Times New Roman"/>
          <w:sz w:val="24"/>
          <w:szCs w:val="24"/>
        </w:rPr>
        <w:t>.</w:t>
      </w:r>
      <w:r w:rsidR="00C54C8F" w:rsidRPr="00670D16">
        <w:rPr>
          <w:rFonts w:ascii="Times New Roman" w:hAnsi="Times New Roman" w:cs="Times New Roman"/>
          <w:sz w:val="24"/>
          <w:szCs w:val="24"/>
        </w:rPr>
        <w:t xml:space="preserve"> S ohľadom na to, že smernica na rozdiel od nariadenia neupravuje sadzby sankcii, resp. ich druhy,</w:t>
      </w:r>
      <w:r w:rsidR="00C54C8F" w:rsidRPr="007622D4">
        <w:rPr>
          <w:rFonts w:ascii="Times New Roman" w:hAnsi="Times New Roman" w:cs="Times New Roman"/>
          <w:sz w:val="24"/>
          <w:szCs w:val="24"/>
        </w:rPr>
        <w:t xml:space="preserve"> predkladateľ navrhuje aj v tomto prípade uplatňovať systém peňažných sankcií (pokút). Logika veci poukazuje na to, že ak peňažné sankcie postačujú</w:t>
      </w:r>
      <w:r w:rsidR="00D46181">
        <w:rPr>
          <w:rFonts w:ascii="Times New Roman" w:hAnsi="Times New Roman" w:cs="Times New Roman"/>
          <w:sz w:val="24"/>
          <w:szCs w:val="24"/>
        </w:rPr>
        <w:t xml:space="preserve"> ako normatívne minimum</w:t>
      </w:r>
      <w:r w:rsidR="00C54C8F" w:rsidRPr="007622D4">
        <w:rPr>
          <w:rFonts w:ascii="Times New Roman" w:hAnsi="Times New Roman" w:cs="Times New Roman"/>
          <w:sz w:val="24"/>
          <w:szCs w:val="24"/>
        </w:rPr>
        <w:t xml:space="preserve"> pre potreby nariadenia, niet dôvodu, aby nepostačovali aj na účely smernice. </w:t>
      </w:r>
      <w:r w:rsidR="00B809B6" w:rsidRPr="007622D4">
        <w:rPr>
          <w:rFonts w:ascii="Times New Roman" w:hAnsi="Times New Roman" w:cs="Times New Roman"/>
          <w:sz w:val="24"/>
          <w:szCs w:val="24"/>
        </w:rPr>
        <w:t>Na rozdiel od právnej úpravy v</w:t>
      </w:r>
      <w:r w:rsidR="000F6AE0" w:rsidRPr="007622D4">
        <w:rPr>
          <w:rFonts w:ascii="Times New Roman" w:hAnsi="Times New Roman" w:cs="Times New Roman"/>
          <w:sz w:val="24"/>
          <w:szCs w:val="24"/>
        </w:rPr>
        <w:t xml:space="preserve"> nariadení sa </w:t>
      </w:r>
      <w:r w:rsidR="00B809B6" w:rsidRPr="007622D4">
        <w:rPr>
          <w:rFonts w:ascii="Times New Roman" w:hAnsi="Times New Roman" w:cs="Times New Roman"/>
          <w:sz w:val="24"/>
          <w:szCs w:val="24"/>
        </w:rPr>
        <w:t>upravuje dolná a horná sadzba</w:t>
      </w:r>
      <w:r w:rsidR="00E24111" w:rsidRPr="007622D4">
        <w:rPr>
          <w:rFonts w:ascii="Times New Roman" w:hAnsi="Times New Roman" w:cs="Times New Roman"/>
          <w:sz w:val="24"/>
          <w:szCs w:val="24"/>
        </w:rPr>
        <w:t xml:space="preserve"> pokuty pevnou sumou, a to na úrovni obdobných sankcií ako je tomu v prípade zákona č. </w:t>
      </w:r>
      <w:r w:rsidR="00CB189F" w:rsidRPr="007622D4">
        <w:rPr>
          <w:rFonts w:ascii="Times New Roman" w:hAnsi="Times New Roman" w:cs="Times New Roman"/>
          <w:sz w:val="24"/>
          <w:szCs w:val="24"/>
        </w:rPr>
        <w:t>300/2024 Z. z. o niektorých opatreniach súvisiacich s riadením kótovanej spoločnosti</w:t>
      </w:r>
      <w:r w:rsidR="00B817F6" w:rsidRPr="007622D4">
        <w:rPr>
          <w:rFonts w:ascii="Times New Roman" w:hAnsi="Times New Roman" w:cs="Times New Roman"/>
          <w:sz w:val="24"/>
          <w:szCs w:val="24"/>
        </w:rPr>
        <w:t>, ktorý je inšpiračným zdrojom predkladateľa</w:t>
      </w:r>
      <w:r w:rsidR="00B809B6" w:rsidRPr="007622D4">
        <w:rPr>
          <w:rFonts w:ascii="Times New Roman" w:hAnsi="Times New Roman" w:cs="Times New Roman"/>
          <w:sz w:val="24"/>
          <w:szCs w:val="24"/>
        </w:rPr>
        <w:t>.</w:t>
      </w:r>
      <w:r w:rsidR="00C54C8F" w:rsidRPr="007622D4">
        <w:rPr>
          <w:rFonts w:ascii="Times New Roman" w:hAnsi="Times New Roman" w:cs="Times New Roman"/>
          <w:sz w:val="24"/>
          <w:szCs w:val="24"/>
        </w:rPr>
        <w:t xml:space="preserve"> </w:t>
      </w:r>
    </w:p>
    <w:p w14:paraId="73ADDFFB" w14:textId="77777777" w:rsidR="007A2BD0" w:rsidRPr="007622D4" w:rsidRDefault="007A2BD0" w:rsidP="00A64364">
      <w:pPr>
        <w:spacing w:after="0" w:line="240" w:lineRule="auto"/>
        <w:ind w:firstLine="708"/>
        <w:jc w:val="both"/>
        <w:rPr>
          <w:rFonts w:ascii="Times New Roman" w:hAnsi="Times New Roman" w:cs="Times New Roman"/>
          <w:sz w:val="24"/>
          <w:szCs w:val="24"/>
        </w:rPr>
      </w:pPr>
    </w:p>
    <w:p w14:paraId="70769E96" w14:textId="12221B67" w:rsidR="00A8033E" w:rsidRPr="007622D4" w:rsidRDefault="007A2BD0"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Z hľadiska ukotvenia pokuty je dôležité uviesť, že táto je koncipovaná nie len ako sankčný mechanizmus, ale aj ako spôsob pre vynútenie splnenia zákonom uložených povinností, ktorých adres</w:t>
      </w:r>
      <w:r w:rsidR="00360F15" w:rsidRPr="007622D4">
        <w:rPr>
          <w:rFonts w:ascii="Times New Roman" w:hAnsi="Times New Roman" w:cs="Times New Roman"/>
          <w:sz w:val="24"/>
          <w:szCs w:val="24"/>
        </w:rPr>
        <w:t xml:space="preserve">átom sú poskytovatelia služieb. </w:t>
      </w:r>
      <w:r w:rsidR="00D54658" w:rsidRPr="007622D4">
        <w:rPr>
          <w:rFonts w:ascii="Times New Roman" w:hAnsi="Times New Roman" w:cs="Times New Roman"/>
          <w:sz w:val="24"/>
          <w:szCs w:val="24"/>
        </w:rPr>
        <w:t xml:space="preserve">Koncepcia, podľa ktorej by v prípade nesplnenia povinnosti určiť určenú prevádzkareň alebo vymenovať právneho zástupcu, došlo k uloženiu pokuty bez toho, aby bol odstránený protiprávny stav, neumožní naplniť cieľ nariadenia, pretože nebude vytvorený rámec pre poskytovanie elektronických dôkazov. Z tohto dôvodu sa preto navrhuje možnosť opakovaného ukladania pokuty, a to až do momentu, pokým nedôjde k riadnemu </w:t>
      </w:r>
      <w:r w:rsidR="004D7216">
        <w:rPr>
          <w:rFonts w:ascii="Times New Roman" w:hAnsi="Times New Roman" w:cs="Times New Roman"/>
          <w:sz w:val="24"/>
          <w:szCs w:val="24"/>
        </w:rPr>
        <w:t>splneniu porušenej povinnosti</w:t>
      </w:r>
      <w:r w:rsidR="00D54658" w:rsidRPr="007622D4">
        <w:rPr>
          <w:rFonts w:ascii="Times New Roman" w:hAnsi="Times New Roman" w:cs="Times New Roman"/>
          <w:sz w:val="24"/>
          <w:szCs w:val="24"/>
        </w:rPr>
        <w:t>.</w:t>
      </w:r>
      <w:r w:rsidR="00E03A16" w:rsidRPr="007622D4">
        <w:rPr>
          <w:rFonts w:ascii="Times New Roman" w:hAnsi="Times New Roman" w:cs="Times New Roman"/>
          <w:sz w:val="24"/>
          <w:szCs w:val="24"/>
        </w:rPr>
        <w:t xml:space="preserve"> V právnom poriadku nejde o ojedinelé riešenie. </w:t>
      </w:r>
      <w:r w:rsidR="002B0BA3" w:rsidRPr="007622D4">
        <w:rPr>
          <w:rFonts w:ascii="Times New Roman" w:hAnsi="Times New Roman" w:cs="Times New Roman"/>
          <w:sz w:val="24"/>
          <w:szCs w:val="24"/>
        </w:rPr>
        <w:t>Obdobnú</w:t>
      </w:r>
      <w:r w:rsidR="00E03A16" w:rsidRPr="007622D4">
        <w:rPr>
          <w:rFonts w:ascii="Times New Roman" w:hAnsi="Times New Roman" w:cs="Times New Roman"/>
          <w:sz w:val="24"/>
          <w:szCs w:val="24"/>
        </w:rPr>
        <w:t xml:space="preserve"> právnu úpravu možno nájsť aj v iných zákonoch, napríklad v § 83 ods. 3 </w:t>
      </w:r>
      <w:r w:rsidR="00397AC2" w:rsidRPr="007622D4">
        <w:rPr>
          <w:rFonts w:ascii="Times New Roman" w:hAnsi="Times New Roman" w:cs="Times New Roman"/>
          <w:sz w:val="24"/>
          <w:szCs w:val="24"/>
        </w:rPr>
        <w:t>zákona č. 578/2004 Z. z. o poskytovateľoch zdravotnej starostlivosti, zdravotníckych pracovníkoch, stavovských organizáciách v zdravotníctve a o zmene a doplnení niektorých zákonov, § 91 ods. 7 zákona č. 543/2002 Z. z. o ochrane prírody a krajiny, § 28 ods. 10 zákona č. 357/2015 Z. z. o finančnej kontrole a audite a o zmene a doplnení niektorých zákonov, § 37 ods. 4 zákon č. 108/2024 Z. z. o ochrane spotrebiteľa a o zmene a doplnení niektorých zákonov alebo v § 57 ods. 2 zákon č. 201/2022 Z. z. o výstavbe.</w:t>
      </w:r>
    </w:p>
    <w:p w14:paraId="11AECAD2" w14:textId="77777777" w:rsidR="00E03A16" w:rsidRPr="007622D4" w:rsidRDefault="00E03A16" w:rsidP="00A64364">
      <w:pPr>
        <w:spacing w:after="0" w:line="240" w:lineRule="auto"/>
        <w:ind w:firstLine="708"/>
        <w:jc w:val="both"/>
        <w:rPr>
          <w:rFonts w:ascii="Times New Roman" w:hAnsi="Times New Roman" w:cs="Times New Roman"/>
          <w:sz w:val="24"/>
          <w:szCs w:val="24"/>
        </w:rPr>
      </w:pPr>
    </w:p>
    <w:p w14:paraId="79A7842C" w14:textId="77777777" w:rsidR="00A8033E" w:rsidRPr="007622D4" w:rsidRDefault="00A8033E"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 xml:space="preserve">V odseku </w:t>
      </w:r>
      <w:r w:rsidR="00DC1B0D" w:rsidRPr="007622D4">
        <w:rPr>
          <w:rFonts w:ascii="Times New Roman" w:hAnsi="Times New Roman" w:cs="Times New Roman"/>
          <w:sz w:val="24"/>
          <w:szCs w:val="24"/>
        </w:rPr>
        <w:t>2</w:t>
      </w:r>
      <w:r w:rsidRPr="007622D4">
        <w:rPr>
          <w:rFonts w:ascii="Times New Roman" w:hAnsi="Times New Roman" w:cs="Times New Roman"/>
          <w:sz w:val="24"/>
          <w:szCs w:val="24"/>
        </w:rPr>
        <w:t xml:space="preserve"> sa upravuje štandardná hmotnoprávna právna norma upravujúca zásady ukladania pokuty, resp. sumarizáciu okolností, ktoré má príslušný orgán brať do úvahy pri ukladaní pokuty. Tu treba uviesť, že ani smernica a ani nariadenie vo svojej normatívnej časti neupravujú tento typ požiadaviek. Tieto aspekty ukladania pokút upravujú oba právne akty len vo svojich recitáloch. Je však neprípustné, aby zákonná úprava tento minimálny štandard neupravovala. V opačnom prípade možno rozhodovanie o pokutách považovať za arbitrárne, čoho logickým a nevyhnutným následkom môže byť zrušenie rozhodnutia správneho orgánu v rámci súdneho prieskumu, prípadne v horšom prípade protiústavnosť právnej normy. </w:t>
      </w:r>
    </w:p>
    <w:p w14:paraId="2A867A6E" w14:textId="77777777" w:rsidR="00DE24AB" w:rsidRPr="007622D4" w:rsidRDefault="00DE24AB" w:rsidP="00A64364">
      <w:pPr>
        <w:spacing w:after="0" w:line="240" w:lineRule="auto"/>
        <w:jc w:val="both"/>
        <w:rPr>
          <w:rFonts w:ascii="Times New Roman" w:hAnsi="Times New Roman" w:cs="Times New Roman"/>
          <w:sz w:val="24"/>
          <w:szCs w:val="24"/>
        </w:rPr>
      </w:pPr>
    </w:p>
    <w:p w14:paraId="04139DEA" w14:textId="77777777" w:rsidR="005654B2" w:rsidRPr="007622D4" w:rsidRDefault="004A7B39"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 xml:space="preserve">S cieľom zabezpečiť prioritne splnenie administratívnych povinností vyžadovaných predkladaným zákonom sa navrhuje v odseku 3 upraviť možnosť upustiť od uloženia pokuty. </w:t>
      </w:r>
      <w:r w:rsidRPr="007622D4">
        <w:rPr>
          <w:rFonts w:ascii="Times New Roman" w:hAnsi="Times New Roman" w:cs="Times New Roman"/>
          <w:sz w:val="24"/>
          <w:szCs w:val="24"/>
        </w:rPr>
        <w:lastRenderedPageBreak/>
        <w:t xml:space="preserve">Predkladateľ má za to, že upustenie od uloženia pokuty sa neprieči zmyslu smernice, ktorým je vytvorenie takého prostredia, ktoré umožní riadnu aplikáciu nariadenia. </w:t>
      </w:r>
      <w:r w:rsidR="00EC1371" w:rsidRPr="007622D4">
        <w:rPr>
          <w:rFonts w:ascii="Times New Roman" w:hAnsi="Times New Roman" w:cs="Times New Roman"/>
          <w:sz w:val="24"/>
          <w:szCs w:val="24"/>
        </w:rPr>
        <w:t xml:space="preserve">Preto sa navrhuje, aby od momentu doručenia upovedomenia o začatí konania o uložení pokuty začala plynúť 30 dňová lehota, v ktorej môže poskytovateľ služieb dodatočne splniť povinnosť, ktorej nesplnenie viedlo k začatiu konania o uložení pokuty. </w:t>
      </w:r>
      <w:r w:rsidR="00AF76DC" w:rsidRPr="007622D4">
        <w:rPr>
          <w:rFonts w:ascii="Times New Roman" w:hAnsi="Times New Roman" w:cs="Times New Roman"/>
          <w:sz w:val="24"/>
          <w:szCs w:val="24"/>
        </w:rPr>
        <w:t xml:space="preserve">V právom poriadku sa možno stretnúť v rámci správneho práva s dvoma prístupmi, resp. dôvodmi, ktoré vedú k upusteniu od uloženia hroziacej sankcie. Prvým </w:t>
      </w:r>
      <w:r w:rsidR="00F15859" w:rsidRPr="007622D4">
        <w:rPr>
          <w:rFonts w:ascii="Times New Roman" w:hAnsi="Times New Roman" w:cs="Times New Roman"/>
          <w:sz w:val="24"/>
          <w:szCs w:val="24"/>
        </w:rPr>
        <w:t xml:space="preserve">prístupom </w:t>
      </w:r>
      <w:r w:rsidR="00AF76DC" w:rsidRPr="007622D4">
        <w:rPr>
          <w:rFonts w:ascii="Times New Roman" w:hAnsi="Times New Roman" w:cs="Times New Roman"/>
          <w:sz w:val="24"/>
          <w:szCs w:val="24"/>
        </w:rPr>
        <w:t>je skutočnosť, že samotné prejednanie administratívneho deliktu je postačujúce pre nápravu.</w:t>
      </w:r>
      <w:r w:rsidR="00F15859" w:rsidRPr="007622D4">
        <w:rPr>
          <w:rFonts w:ascii="Times New Roman" w:hAnsi="Times New Roman" w:cs="Times New Roman"/>
          <w:sz w:val="24"/>
          <w:szCs w:val="24"/>
        </w:rPr>
        <w:t xml:space="preserve"> Druhým prístupom je upustenie od uloženia sankcie za predpokladu, že dodatočne dôjde k splneniu povinnosti, ktorá bola porušená. Vzhľadom na ciele smernice sa nejaví ako vhodné a dostatočné premietnuť do návrhu zákona prvý popísaný prístup, pretože to by neviedlo k naplneniu cieľa smernice. Preto navrhovateľ volí druhý prístup, ktorý zvyšuje šancu na dobrovoľné plnenie uložených povinností. </w:t>
      </w:r>
      <w:r w:rsidR="00C82369" w:rsidRPr="007622D4">
        <w:rPr>
          <w:rFonts w:ascii="Times New Roman" w:hAnsi="Times New Roman" w:cs="Times New Roman"/>
          <w:sz w:val="24"/>
          <w:szCs w:val="24"/>
        </w:rPr>
        <w:t>Z hľadiska praktického uplatňovania odseku 3 je potrebné uviesť, že sa vyžaduje, aby príslušný orgán pojal do upovedomenia o začatí konania o uložení pokuty aj poučenie o možnos</w:t>
      </w:r>
      <w:r w:rsidR="00661724" w:rsidRPr="007622D4">
        <w:rPr>
          <w:rFonts w:ascii="Times New Roman" w:hAnsi="Times New Roman" w:cs="Times New Roman"/>
          <w:sz w:val="24"/>
          <w:szCs w:val="24"/>
        </w:rPr>
        <w:t>ti</w:t>
      </w:r>
      <w:r w:rsidR="00C82369" w:rsidRPr="007622D4">
        <w:rPr>
          <w:rFonts w:ascii="Times New Roman" w:hAnsi="Times New Roman" w:cs="Times New Roman"/>
          <w:sz w:val="24"/>
          <w:szCs w:val="24"/>
        </w:rPr>
        <w:t xml:space="preserve"> upustiť od uloženia pokuty.</w:t>
      </w:r>
      <w:r w:rsidR="00413157" w:rsidRPr="007622D4">
        <w:rPr>
          <w:rFonts w:ascii="Times New Roman" w:hAnsi="Times New Roman" w:cs="Times New Roman"/>
          <w:sz w:val="24"/>
          <w:szCs w:val="24"/>
        </w:rPr>
        <w:t xml:space="preserve"> Zavedenie poučenia tohto typu napomáha dosiahnutiu cieľa, ktorý sa možnosťou uloženia od uloženia pokuty sleduje. </w:t>
      </w:r>
      <w:r w:rsidR="00C82369" w:rsidRPr="007622D4">
        <w:rPr>
          <w:rFonts w:ascii="Times New Roman" w:hAnsi="Times New Roman" w:cs="Times New Roman"/>
          <w:sz w:val="24"/>
          <w:szCs w:val="24"/>
        </w:rPr>
        <w:t xml:space="preserve"> </w:t>
      </w:r>
    </w:p>
    <w:p w14:paraId="7F9DC636" w14:textId="77777777" w:rsidR="005654B2" w:rsidRPr="007622D4" w:rsidRDefault="005654B2" w:rsidP="00A64364">
      <w:pPr>
        <w:spacing w:after="0" w:line="240" w:lineRule="auto"/>
        <w:jc w:val="both"/>
        <w:rPr>
          <w:rFonts w:ascii="Times New Roman" w:hAnsi="Times New Roman" w:cs="Times New Roman"/>
          <w:sz w:val="24"/>
          <w:szCs w:val="24"/>
        </w:rPr>
      </w:pPr>
    </w:p>
    <w:p w14:paraId="62CA0C43" w14:textId="3A1F34AE" w:rsidR="005654B2" w:rsidRPr="007622D4" w:rsidRDefault="005654B2"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Z pohľadu právnej istoty adresátov právnej normy je namieste úprava objektívnej lehoty a subjektívnej lehoty</w:t>
      </w:r>
      <w:r w:rsidR="00405653">
        <w:rPr>
          <w:rFonts w:ascii="Times New Roman" w:hAnsi="Times New Roman" w:cs="Times New Roman"/>
          <w:sz w:val="24"/>
          <w:szCs w:val="24"/>
        </w:rPr>
        <w:t xml:space="preserve"> pre</w:t>
      </w:r>
      <w:r w:rsidRPr="007622D4">
        <w:rPr>
          <w:rFonts w:ascii="Times New Roman" w:hAnsi="Times New Roman" w:cs="Times New Roman"/>
          <w:sz w:val="24"/>
          <w:szCs w:val="24"/>
        </w:rPr>
        <w:t xml:space="preserve"> začatie konania o vyvodzovaní deliktuálnej zodpovednosti. Na tento účel sa preto v odseku 4 upravuj</w:t>
      </w:r>
      <w:r w:rsidR="00F3115F" w:rsidRPr="007622D4">
        <w:rPr>
          <w:rFonts w:ascii="Times New Roman" w:hAnsi="Times New Roman" w:cs="Times New Roman"/>
          <w:sz w:val="24"/>
          <w:szCs w:val="24"/>
        </w:rPr>
        <w:t xml:space="preserve">e subjektívna lehota v trvaní jedného roka, ktorá plynie od momentu, kedy sa správny orgán dozvie o porušení povinnosti a objektívna lehota v trvaní </w:t>
      </w:r>
      <w:r w:rsidR="001C7B04" w:rsidRPr="007622D4">
        <w:rPr>
          <w:rFonts w:ascii="Times New Roman" w:hAnsi="Times New Roman" w:cs="Times New Roman"/>
          <w:sz w:val="24"/>
          <w:szCs w:val="24"/>
        </w:rPr>
        <w:t>troch</w:t>
      </w:r>
      <w:r w:rsidR="00F3115F" w:rsidRPr="007622D4">
        <w:rPr>
          <w:rFonts w:ascii="Times New Roman" w:hAnsi="Times New Roman" w:cs="Times New Roman"/>
          <w:sz w:val="24"/>
          <w:szCs w:val="24"/>
        </w:rPr>
        <w:t xml:space="preserve"> rokov, ktorá plynie od samotného porušenia povinnosti.</w:t>
      </w:r>
      <w:r w:rsidR="001C7B04" w:rsidRPr="007622D4">
        <w:rPr>
          <w:rFonts w:ascii="Times New Roman" w:hAnsi="Times New Roman" w:cs="Times New Roman"/>
          <w:sz w:val="24"/>
          <w:szCs w:val="24"/>
        </w:rPr>
        <w:t xml:space="preserve"> Z koncepčného hľadiska nejde o novú úpravu, pretože obdobnú úpravu možno nájsť aj v iných spravidla sektorových predpisov. Napríklad § 91 ods. 6 zákona č. 251/2012 Z. z. o energetike a o zmene a doplnení niektorých zákonov, </w:t>
      </w:r>
      <w:r w:rsidR="006063E5" w:rsidRPr="007622D4">
        <w:rPr>
          <w:rFonts w:ascii="Times New Roman" w:hAnsi="Times New Roman" w:cs="Times New Roman"/>
          <w:sz w:val="24"/>
          <w:szCs w:val="24"/>
        </w:rPr>
        <w:t xml:space="preserve">§ 39 ods. 5 zákona č. o verejných vodovodoch a verejných kanalizáciách a o zmene a doplnení zákona č. 276/2001 Z. z. o regulácii v sieťových odvetviach, § 51 ods. 5 zákona č. 39/2007 Z. z. </w:t>
      </w:r>
      <w:r w:rsidR="00540C0D" w:rsidRPr="007622D4">
        <w:rPr>
          <w:rFonts w:ascii="Times New Roman" w:hAnsi="Times New Roman" w:cs="Times New Roman"/>
          <w:sz w:val="24"/>
          <w:szCs w:val="24"/>
        </w:rPr>
        <w:t xml:space="preserve">o veterinárnej starostlivosti a pod. </w:t>
      </w:r>
    </w:p>
    <w:p w14:paraId="7C454FE9" w14:textId="77777777" w:rsidR="005654B2" w:rsidRPr="007622D4" w:rsidRDefault="005654B2" w:rsidP="00A64364">
      <w:pPr>
        <w:spacing w:after="0" w:line="240" w:lineRule="auto"/>
        <w:jc w:val="both"/>
        <w:rPr>
          <w:rFonts w:ascii="Times New Roman" w:hAnsi="Times New Roman" w:cs="Times New Roman"/>
          <w:sz w:val="24"/>
          <w:szCs w:val="24"/>
        </w:rPr>
      </w:pPr>
    </w:p>
    <w:p w14:paraId="0A179B3A" w14:textId="77777777" w:rsidR="00E8513F" w:rsidRPr="007622D4" w:rsidRDefault="00E8513F" w:rsidP="00A64364">
      <w:pPr>
        <w:spacing w:after="0" w:line="240" w:lineRule="auto"/>
        <w:jc w:val="both"/>
        <w:rPr>
          <w:rFonts w:ascii="Times New Roman" w:hAnsi="Times New Roman" w:cs="Times New Roman"/>
          <w:sz w:val="24"/>
          <w:szCs w:val="24"/>
        </w:rPr>
      </w:pPr>
      <w:r w:rsidRPr="007622D4">
        <w:rPr>
          <w:rFonts w:ascii="Times New Roman" w:hAnsi="Times New Roman" w:cs="Times New Roman"/>
          <w:sz w:val="24"/>
          <w:szCs w:val="24"/>
        </w:rPr>
        <w:tab/>
        <w:t>V odseku 5 sa upravuje skutočnosť, že pokuty sú príjmom štátneho rozpočtu. Ide o štandardnú právnu úpravu nakladania s výnosmi z pokút.</w:t>
      </w:r>
    </w:p>
    <w:p w14:paraId="46AAC408" w14:textId="77777777" w:rsidR="00E41416" w:rsidRPr="007622D4" w:rsidRDefault="00E41416" w:rsidP="00A64364">
      <w:pPr>
        <w:spacing w:after="0" w:line="240" w:lineRule="auto"/>
        <w:jc w:val="both"/>
        <w:rPr>
          <w:rFonts w:ascii="Times New Roman" w:hAnsi="Times New Roman" w:cs="Times New Roman"/>
          <w:sz w:val="24"/>
          <w:szCs w:val="24"/>
        </w:rPr>
      </w:pPr>
    </w:p>
    <w:p w14:paraId="202F3715" w14:textId="4814265E" w:rsidR="00E41416" w:rsidRPr="007622D4" w:rsidRDefault="00E41416"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 xml:space="preserve">V odseku 6 sa zohľadňuje čl. 5 </w:t>
      </w:r>
      <w:r w:rsidR="00E46224" w:rsidRPr="007622D4">
        <w:rPr>
          <w:rFonts w:ascii="Times New Roman" w:hAnsi="Times New Roman" w:cs="Times New Roman"/>
          <w:sz w:val="24"/>
          <w:szCs w:val="24"/>
        </w:rPr>
        <w:t>štvrt</w:t>
      </w:r>
      <w:r w:rsidR="00E46224">
        <w:rPr>
          <w:rFonts w:ascii="Times New Roman" w:hAnsi="Times New Roman" w:cs="Times New Roman"/>
          <w:sz w:val="24"/>
          <w:szCs w:val="24"/>
        </w:rPr>
        <w:t>á</w:t>
      </w:r>
      <w:r w:rsidR="00E46224" w:rsidRPr="007622D4">
        <w:rPr>
          <w:rFonts w:ascii="Times New Roman" w:hAnsi="Times New Roman" w:cs="Times New Roman"/>
          <w:sz w:val="24"/>
          <w:szCs w:val="24"/>
        </w:rPr>
        <w:t xml:space="preserve"> vet</w:t>
      </w:r>
      <w:r w:rsidR="00E46224">
        <w:rPr>
          <w:rFonts w:ascii="Times New Roman" w:hAnsi="Times New Roman" w:cs="Times New Roman"/>
          <w:sz w:val="24"/>
          <w:szCs w:val="24"/>
        </w:rPr>
        <w:t>a</w:t>
      </w:r>
      <w:r w:rsidR="00E46224" w:rsidRPr="007622D4">
        <w:rPr>
          <w:rFonts w:ascii="Times New Roman" w:hAnsi="Times New Roman" w:cs="Times New Roman"/>
          <w:sz w:val="24"/>
          <w:szCs w:val="24"/>
        </w:rPr>
        <w:t xml:space="preserve"> </w:t>
      </w:r>
      <w:r w:rsidRPr="007622D4">
        <w:rPr>
          <w:rFonts w:ascii="Times New Roman" w:hAnsi="Times New Roman" w:cs="Times New Roman"/>
          <w:sz w:val="24"/>
          <w:szCs w:val="24"/>
        </w:rPr>
        <w:t xml:space="preserve">smernice, podľa ktorej </w:t>
      </w:r>
      <w:r w:rsidRPr="007622D4">
        <w:rPr>
          <w:rFonts w:ascii="Times New Roman" w:hAnsi="Times New Roman" w:cs="Times New Roman"/>
          <w:i/>
          <w:sz w:val="24"/>
          <w:szCs w:val="24"/>
        </w:rPr>
        <w:t>„Členské štáty takisto každoročne informujú Komisiu o poskytovateľoch služieb, ktorí nedodržiavajú pravidlá, o príslušných opatreniach na výkon práva prijatých proti nim a o uložených sankciách.“</w:t>
      </w:r>
      <w:r w:rsidR="00C80A50" w:rsidRPr="007622D4">
        <w:rPr>
          <w:rFonts w:ascii="Times New Roman" w:hAnsi="Times New Roman" w:cs="Times New Roman"/>
          <w:sz w:val="24"/>
          <w:szCs w:val="24"/>
        </w:rPr>
        <w:t xml:space="preserve"> Na tento účel sa preto upravuje povinnosť orgánu, ktorý ukladá pokuty, každoročne do 31. januára informovať Európsku komisiu o uložených pokutách. Rozsah informácie sa obmedzuje na označenie subjektu, ktorému bola pokuta uložená, dôvod uloženia pokuty, ktorým je pomenovanie konkrétnej skutkovej podstaty a výška uloženej pokuty. </w:t>
      </w:r>
    </w:p>
    <w:p w14:paraId="4E60E1BE" w14:textId="77777777" w:rsidR="00E8513F" w:rsidRPr="007622D4" w:rsidRDefault="00E8513F" w:rsidP="00A64364">
      <w:pPr>
        <w:spacing w:after="0" w:line="240" w:lineRule="auto"/>
        <w:jc w:val="both"/>
        <w:rPr>
          <w:rFonts w:ascii="Times New Roman" w:hAnsi="Times New Roman" w:cs="Times New Roman"/>
          <w:sz w:val="24"/>
          <w:szCs w:val="24"/>
        </w:rPr>
      </w:pPr>
    </w:p>
    <w:p w14:paraId="75C109F1" w14:textId="7E360194" w:rsidR="00680968" w:rsidRPr="007622D4" w:rsidRDefault="00680968"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Súčasne tr</w:t>
      </w:r>
      <w:r w:rsidR="00B32770" w:rsidRPr="007622D4">
        <w:rPr>
          <w:rFonts w:ascii="Times New Roman" w:hAnsi="Times New Roman" w:cs="Times New Roman"/>
          <w:sz w:val="24"/>
          <w:szCs w:val="24"/>
        </w:rPr>
        <w:t xml:space="preserve">eba poznamenať, že rozhodnutie o pokute je rozhodnutím, ktoré spadá do rámca čl. 46 ods. 2 Ústavy Slovenskej republiky, a teda je zabezpečený aj súdny prieskum rozhodnutia o pokute v správnom </w:t>
      </w:r>
      <w:r w:rsidR="00263A2F" w:rsidRPr="007622D4">
        <w:rPr>
          <w:rFonts w:ascii="Times New Roman" w:hAnsi="Times New Roman" w:cs="Times New Roman"/>
          <w:sz w:val="24"/>
          <w:szCs w:val="24"/>
        </w:rPr>
        <w:t>súdnictve</w:t>
      </w:r>
      <w:r w:rsidR="00913898" w:rsidRPr="007622D4">
        <w:rPr>
          <w:rFonts w:ascii="Times New Roman" w:hAnsi="Times New Roman" w:cs="Times New Roman"/>
          <w:sz w:val="24"/>
          <w:szCs w:val="24"/>
        </w:rPr>
        <w:t>, a teda aj právo na súdnu ochranu</w:t>
      </w:r>
      <w:r w:rsidR="00263A2F" w:rsidRPr="007622D4">
        <w:rPr>
          <w:rFonts w:ascii="Times New Roman" w:hAnsi="Times New Roman" w:cs="Times New Roman"/>
          <w:sz w:val="24"/>
          <w:szCs w:val="24"/>
        </w:rPr>
        <w:t xml:space="preserve">. </w:t>
      </w:r>
      <w:r w:rsidR="00965E2F" w:rsidRPr="007622D4">
        <w:rPr>
          <w:rFonts w:ascii="Times New Roman" w:hAnsi="Times New Roman" w:cs="Times New Roman"/>
          <w:sz w:val="24"/>
          <w:szCs w:val="24"/>
        </w:rPr>
        <w:t>Súdny prieskum možno zákon</w:t>
      </w:r>
      <w:r w:rsidR="006D20C1" w:rsidRPr="007622D4">
        <w:rPr>
          <w:rFonts w:ascii="Times New Roman" w:hAnsi="Times New Roman" w:cs="Times New Roman"/>
          <w:sz w:val="24"/>
          <w:szCs w:val="24"/>
        </w:rPr>
        <w:t>om</w:t>
      </w:r>
      <w:r w:rsidR="00965E2F" w:rsidRPr="007622D4">
        <w:rPr>
          <w:rFonts w:ascii="Times New Roman" w:hAnsi="Times New Roman" w:cs="Times New Roman"/>
          <w:sz w:val="24"/>
          <w:szCs w:val="24"/>
        </w:rPr>
        <w:t xml:space="preserve"> vylúčiť</w:t>
      </w:r>
      <w:r w:rsidR="001E6778">
        <w:rPr>
          <w:rFonts w:ascii="Times New Roman" w:hAnsi="Times New Roman" w:cs="Times New Roman"/>
          <w:sz w:val="24"/>
          <w:szCs w:val="24"/>
        </w:rPr>
        <w:t xml:space="preserve"> len</w:t>
      </w:r>
      <w:r w:rsidR="00965E2F" w:rsidRPr="007622D4">
        <w:rPr>
          <w:rFonts w:ascii="Times New Roman" w:hAnsi="Times New Roman" w:cs="Times New Roman"/>
          <w:sz w:val="24"/>
          <w:szCs w:val="24"/>
        </w:rPr>
        <w:t>, ak sú splnené ústavné predpoklady jeho vylúčenia</w:t>
      </w:r>
      <w:r w:rsidR="006D20C1" w:rsidRPr="007622D4">
        <w:rPr>
          <w:rFonts w:ascii="Times New Roman" w:hAnsi="Times New Roman" w:cs="Times New Roman"/>
          <w:sz w:val="24"/>
          <w:szCs w:val="24"/>
        </w:rPr>
        <w:t>, čo nie je prípad tohto typu rozhodnutia, pretože z právomoci súdu nesmie byť vylúčené preskúmanie rozhodnutí týkajúcich sa základných práv a</w:t>
      </w:r>
      <w:r w:rsidR="00B253CD" w:rsidRPr="007622D4">
        <w:rPr>
          <w:rFonts w:ascii="Times New Roman" w:hAnsi="Times New Roman" w:cs="Times New Roman"/>
          <w:sz w:val="24"/>
          <w:szCs w:val="24"/>
        </w:rPr>
        <w:t> </w:t>
      </w:r>
      <w:r w:rsidR="006D20C1" w:rsidRPr="007622D4">
        <w:rPr>
          <w:rFonts w:ascii="Times New Roman" w:hAnsi="Times New Roman" w:cs="Times New Roman"/>
          <w:sz w:val="24"/>
          <w:szCs w:val="24"/>
        </w:rPr>
        <w:t>slobôd</w:t>
      </w:r>
      <w:r w:rsidR="00B253CD" w:rsidRPr="007622D4">
        <w:rPr>
          <w:rFonts w:ascii="Times New Roman" w:hAnsi="Times New Roman" w:cs="Times New Roman"/>
          <w:sz w:val="24"/>
          <w:szCs w:val="24"/>
        </w:rPr>
        <w:t xml:space="preserve">. </w:t>
      </w:r>
      <w:r w:rsidR="006D20C1" w:rsidRPr="007622D4">
        <w:rPr>
          <w:rFonts w:ascii="Times New Roman" w:hAnsi="Times New Roman" w:cs="Times New Roman"/>
          <w:sz w:val="24"/>
          <w:szCs w:val="24"/>
        </w:rPr>
        <w:t>Právna norma konštatujúca možnosť súdneho prieskumu nie je potrebná</w:t>
      </w:r>
      <w:r w:rsidR="00B253CD" w:rsidRPr="007622D4">
        <w:rPr>
          <w:rFonts w:ascii="Times New Roman" w:hAnsi="Times New Roman" w:cs="Times New Roman"/>
          <w:sz w:val="24"/>
          <w:szCs w:val="24"/>
        </w:rPr>
        <w:t>, pretože platí axióma podľa predchádzajúcej vety</w:t>
      </w:r>
      <w:r w:rsidR="006D20C1" w:rsidRPr="007622D4">
        <w:rPr>
          <w:rFonts w:ascii="Times New Roman" w:hAnsi="Times New Roman" w:cs="Times New Roman"/>
          <w:sz w:val="24"/>
          <w:szCs w:val="24"/>
        </w:rPr>
        <w:t xml:space="preserve">. </w:t>
      </w:r>
    </w:p>
    <w:p w14:paraId="09A74D2D" w14:textId="65FC1BFA" w:rsidR="00C6793A" w:rsidRPr="007622D4" w:rsidRDefault="00C6793A" w:rsidP="00A64364">
      <w:pPr>
        <w:spacing w:after="0" w:line="240" w:lineRule="auto"/>
        <w:jc w:val="both"/>
        <w:rPr>
          <w:rFonts w:ascii="Times New Roman" w:hAnsi="Times New Roman" w:cs="Times New Roman"/>
          <w:sz w:val="24"/>
          <w:szCs w:val="24"/>
        </w:rPr>
      </w:pPr>
    </w:p>
    <w:p w14:paraId="456B22EC" w14:textId="09C44C3A" w:rsidR="00E07ACA" w:rsidRDefault="00C625C8"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V súvislosti s právnou úpravou sankcií je potrebné poukázať aj na to, že smernica vyžaduje zavedenie tzv. spoločnej zodpovednosti poskytovateľa služieb a ním určenej prevádzkarne alebo vymenovaného zástupcu.</w:t>
      </w:r>
      <w:r w:rsidR="003113B5">
        <w:rPr>
          <w:rFonts w:ascii="Times New Roman" w:hAnsi="Times New Roman" w:cs="Times New Roman"/>
          <w:sz w:val="24"/>
          <w:szCs w:val="24"/>
        </w:rPr>
        <w:t xml:space="preserve"> Okrem toho rieši otázku nemožnosti vyvinenia </w:t>
      </w:r>
      <w:r w:rsidR="003113B5">
        <w:rPr>
          <w:rFonts w:ascii="Times New Roman" w:hAnsi="Times New Roman" w:cs="Times New Roman"/>
          <w:sz w:val="24"/>
          <w:szCs w:val="24"/>
        </w:rPr>
        <w:lastRenderedPageBreak/>
        <w:t>v prípade nesplnenia povinnosti podľa čl. 3 ods. 4 druhá veta, ako problematiku kolízie s trestnou zodpovednosťou.</w:t>
      </w:r>
      <w:r w:rsidRPr="007622D4">
        <w:rPr>
          <w:rFonts w:ascii="Times New Roman" w:hAnsi="Times New Roman" w:cs="Times New Roman"/>
          <w:sz w:val="24"/>
          <w:szCs w:val="24"/>
        </w:rPr>
        <w:t xml:space="preserve"> Podľa r</w:t>
      </w:r>
      <w:r w:rsidR="0078117C" w:rsidRPr="007622D4">
        <w:rPr>
          <w:rFonts w:ascii="Times New Roman" w:hAnsi="Times New Roman" w:cs="Times New Roman"/>
          <w:sz w:val="24"/>
          <w:szCs w:val="24"/>
        </w:rPr>
        <w:t>ecitál</w:t>
      </w:r>
      <w:r w:rsidRPr="007622D4">
        <w:rPr>
          <w:rFonts w:ascii="Times New Roman" w:hAnsi="Times New Roman" w:cs="Times New Roman"/>
          <w:sz w:val="24"/>
          <w:szCs w:val="24"/>
        </w:rPr>
        <w:t>u</w:t>
      </w:r>
      <w:r w:rsidR="0078117C" w:rsidRPr="007622D4">
        <w:rPr>
          <w:rFonts w:ascii="Times New Roman" w:hAnsi="Times New Roman" w:cs="Times New Roman"/>
          <w:sz w:val="24"/>
          <w:szCs w:val="24"/>
        </w:rPr>
        <w:t xml:space="preserve"> 16 </w:t>
      </w:r>
      <w:r w:rsidRPr="007622D4">
        <w:rPr>
          <w:rFonts w:ascii="Times New Roman" w:hAnsi="Times New Roman" w:cs="Times New Roman"/>
          <w:sz w:val="24"/>
          <w:szCs w:val="24"/>
        </w:rPr>
        <w:t xml:space="preserve">smernice </w:t>
      </w:r>
      <w:r w:rsidR="0078117C" w:rsidRPr="00D84CEE">
        <w:rPr>
          <w:rFonts w:ascii="Times New Roman" w:hAnsi="Times New Roman" w:cs="Times New Roman"/>
          <w:i/>
          <w:sz w:val="24"/>
          <w:szCs w:val="24"/>
        </w:rPr>
        <w:t>„</w:t>
      </w:r>
      <w:r w:rsidR="00E07ACA" w:rsidRPr="00D84CEE">
        <w:rPr>
          <w:rFonts w:ascii="Times New Roman" w:hAnsi="Times New Roman" w:cs="Times New Roman"/>
          <w:i/>
          <w:sz w:val="24"/>
          <w:szCs w:val="24"/>
        </w:rPr>
        <w:t xml:space="preserve">Členské štáty by mali na tento účel zabezpečiť, aby určená prevádzkareň alebo právny zástupca a tiež poskytovateľ služieb mohli byť </w:t>
      </w:r>
      <w:r w:rsidR="00E07ACA" w:rsidRPr="00931079">
        <w:rPr>
          <w:rFonts w:ascii="Times New Roman" w:hAnsi="Times New Roman" w:cs="Times New Roman"/>
          <w:i/>
          <w:sz w:val="24"/>
          <w:szCs w:val="24"/>
          <w:u w:val="single"/>
        </w:rPr>
        <w:t>spoločne a nerozdielne zodpovední za neplnenie povinností vyplývajúcich z príslušného právneho rámca po prijatí rozhodnutí a príkazov</w:t>
      </w:r>
      <w:r w:rsidR="00E07ACA" w:rsidRPr="00D84CEE">
        <w:rPr>
          <w:rFonts w:ascii="Times New Roman" w:hAnsi="Times New Roman" w:cs="Times New Roman"/>
          <w:i/>
          <w:sz w:val="24"/>
          <w:szCs w:val="24"/>
        </w:rPr>
        <w:t xml:space="preserve"> spadajúcich do rozsahu pôsobnosti tejto smernice tak, aby každému z nich bolo možné uložiť sankcie za neplnenie povinností ktorýmkoľvek z nich. Predovšetkým by nemalo byť možné, aby poskytovateľ služieb alebo určená prevádzkareň, alebo v príslušných prípadoch právny zástupca, odôvodnili neplnenie týchto povinností nedostatkom vhodných vnútorných postupov medzi poskytovateľom služieb a určenou prevádzkarňou alebo právnym zástupcom. Spoločná a nerozdielna zodpovednosť by sa nemala uplatňovať na konanie alebo opomenutie poskytovateľa služieb alebo určenej prevádzkarne, alebo v príslušných prípadoch právneho zástupcu, ktoré predstavuje trestný čin v členskom štáte, ktorý ukladá sankcie.</w:t>
      </w:r>
      <w:r w:rsidR="00A75F40" w:rsidRPr="00D84CEE">
        <w:rPr>
          <w:rFonts w:ascii="Times New Roman" w:hAnsi="Times New Roman" w:cs="Times New Roman"/>
          <w:i/>
          <w:sz w:val="24"/>
          <w:szCs w:val="24"/>
        </w:rPr>
        <w:t>“</w:t>
      </w:r>
      <w:r w:rsidRPr="007622D4">
        <w:rPr>
          <w:rFonts w:ascii="Times New Roman" w:hAnsi="Times New Roman" w:cs="Times New Roman"/>
          <w:sz w:val="24"/>
          <w:szCs w:val="24"/>
        </w:rPr>
        <w:t xml:space="preserve"> Na tento recitál nadväzuje </w:t>
      </w:r>
      <w:r w:rsidR="00A75F40" w:rsidRPr="007622D4">
        <w:rPr>
          <w:rFonts w:ascii="Times New Roman" w:hAnsi="Times New Roman" w:cs="Times New Roman"/>
          <w:sz w:val="24"/>
          <w:szCs w:val="24"/>
        </w:rPr>
        <w:t xml:space="preserve">čl. </w:t>
      </w:r>
      <w:r w:rsidR="00C760B8">
        <w:rPr>
          <w:rFonts w:ascii="Times New Roman" w:hAnsi="Times New Roman" w:cs="Times New Roman"/>
          <w:sz w:val="24"/>
          <w:szCs w:val="24"/>
        </w:rPr>
        <w:t>3</w:t>
      </w:r>
      <w:r w:rsidR="00A75F40" w:rsidRPr="007622D4">
        <w:rPr>
          <w:rFonts w:ascii="Times New Roman" w:hAnsi="Times New Roman" w:cs="Times New Roman"/>
          <w:sz w:val="24"/>
          <w:szCs w:val="24"/>
        </w:rPr>
        <w:t xml:space="preserve"> ods. 5 smernice</w:t>
      </w:r>
      <w:r w:rsidRPr="007622D4">
        <w:rPr>
          <w:rFonts w:ascii="Times New Roman" w:hAnsi="Times New Roman" w:cs="Times New Roman"/>
          <w:sz w:val="24"/>
          <w:szCs w:val="24"/>
        </w:rPr>
        <w:t>, podľa ktorého</w:t>
      </w:r>
      <w:r w:rsidR="00E07ACA" w:rsidRPr="007622D4">
        <w:rPr>
          <w:rFonts w:ascii="Times New Roman" w:hAnsi="Times New Roman" w:cs="Times New Roman"/>
          <w:sz w:val="24"/>
          <w:szCs w:val="24"/>
        </w:rPr>
        <w:t xml:space="preserve"> </w:t>
      </w:r>
      <w:r w:rsidR="00A75F40" w:rsidRPr="00A20FE6">
        <w:rPr>
          <w:rFonts w:ascii="Times New Roman" w:hAnsi="Times New Roman" w:cs="Times New Roman"/>
          <w:i/>
          <w:sz w:val="24"/>
          <w:szCs w:val="24"/>
        </w:rPr>
        <w:t>„</w:t>
      </w:r>
      <w:r w:rsidR="00E07ACA" w:rsidRPr="00A20FE6">
        <w:rPr>
          <w:rFonts w:ascii="Times New Roman" w:hAnsi="Times New Roman" w:cs="Times New Roman"/>
          <w:i/>
          <w:sz w:val="24"/>
          <w:szCs w:val="24"/>
        </w:rPr>
        <w:t xml:space="preserve">Členské štáty zabezpečia, aby určená prevádzkareň alebo určený právny zástupca aj poskytovateľ služieb mohli byť </w:t>
      </w:r>
      <w:r w:rsidR="00E07ACA" w:rsidRPr="00931079">
        <w:rPr>
          <w:rFonts w:ascii="Times New Roman" w:hAnsi="Times New Roman" w:cs="Times New Roman"/>
          <w:i/>
          <w:sz w:val="24"/>
          <w:szCs w:val="24"/>
          <w:u w:val="single"/>
        </w:rPr>
        <w:t>spoločne a nerozdielne zodpovední za neplnenie povinností vyplývajúcich z príslušného právneho rámca po prijatí rozhodnutí a príkazov</w:t>
      </w:r>
      <w:r w:rsidR="00E07ACA" w:rsidRPr="00A20FE6">
        <w:rPr>
          <w:rFonts w:ascii="Times New Roman" w:hAnsi="Times New Roman" w:cs="Times New Roman"/>
          <w:i/>
          <w:sz w:val="24"/>
          <w:szCs w:val="24"/>
        </w:rPr>
        <w:t xml:space="preserve"> spadajúcich do rozsahu pôsobnosti stanovenej v článku 1 ods. 2, a to tak, aby každému z nich bolo možné uložiť sankcie za neplnenie povinností ktorýmkoľvek z nich. Členské štáty predovšetkým zabezpečia, že nebude možné, aby poskytovateľ služieb alebo určená prevádzkareň, alebo v príslušných prípadoch právny zástupca</w:t>
      </w:r>
      <w:r w:rsidR="00E07ACA" w:rsidRPr="00A20FE6">
        <w:rPr>
          <w:i/>
        </w:rPr>
        <w:t xml:space="preserve"> </w:t>
      </w:r>
      <w:r w:rsidR="00E07ACA" w:rsidRPr="00A20FE6">
        <w:rPr>
          <w:rFonts w:ascii="Times New Roman" w:hAnsi="Times New Roman" w:cs="Times New Roman"/>
          <w:i/>
          <w:sz w:val="24"/>
          <w:szCs w:val="24"/>
        </w:rPr>
        <w:t>odôvodnili neplnenie týchto povinností nedostatkom vhodných vnútorných postupov medzi poskytovateľom služieb a určenou prevádzkarňou alebo právnym zástupcom. Spoločná a nerozdielna zodpovednosť sa neuplatňuje na konanie alebo opomenutie poskytovateľa služieb alebo určenej prevádzkarne, alebo v príslušných prípadoch právneho zástupcu, ktoré predstavuje trestný čin v členskom štáte, ktorý ukladá sankcie.</w:t>
      </w:r>
      <w:r w:rsidR="00A75F40" w:rsidRPr="00A20FE6">
        <w:rPr>
          <w:rFonts w:ascii="Times New Roman" w:hAnsi="Times New Roman" w:cs="Times New Roman"/>
          <w:i/>
          <w:sz w:val="24"/>
          <w:szCs w:val="24"/>
        </w:rPr>
        <w:t>“</w:t>
      </w:r>
      <w:r w:rsidRPr="007622D4">
        <w:rPr>
          <w:rFonts w:ascii="Times New Roman" w:hAnsi="Times New Roman" w:cs="Times New Roman"/>
          <w:sz w:val="24"/>
          <w:szCs w:val="24"/>
        </w:rPr>
        <w:t xml:space="preserve"> </w:t>
      </w:r>
    </w:p>
    <w:p w14:paraId="7922E751" w14:textId="32347CED" w:rsidR="0044507F" w:rsidRDefault="0044507F" w:rsidP="00A64364">
      <w:pPr>
        <w:spacing w:after="0" w:line="240" w:lineRule="auto"/>
        <w:ind w:firstLine="708"/>
        <w:jc w:val="both"/>
        <w:rPr>
          <w:rFonts w:ascii="Times New Roman" w:hAnsi="Times New Roman" w:cs="Times New Roman"/>
          <w:sz w:val="24"/>
          <w:szCs w:val="24"/>
        </w:rPr>
      </w:pPr>
    </w:p>
    <w:p w14:paraId="22A96EE2" w14:textId="0C818689" w:rsidR="0044507F" w:rsidRDefault="00314AB2" w:rsidP="00A6436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tejto súvislosti je potrebné ozrejmiť vzťah nariadenia a smernice, čo sa týka sankčných mechanizmov. Podľa čl. </w:t>
      </w:r>
      <w:r w:rsidR="00537D6E">
        <w:rPr>
          <w:rFonts w:ascii="Times New Roman" w:hAnsi="Times New Roman" w:cs="Times New Roman"/>
          <w:sz w:val="24"/>
          <w:szCs w:val="24"/>
        </w:rPr>
        <w:t>15 nariadenia sa má sankcionovať porušenie tzv. substantívnych povinností poskytovateľov služieb, t.j. neplnenie povinnosti prijímať a vykonávať rozhodnutia a príkazy. Podľa čl. 5 smernice sú sankcie zamerané ako na neplnenie povinností podľa smernice (t.j. povinnosť určiť určenú prevádzkareň alebo právneho zástupcu a oznamovacia povinnosť), tak aj čiastočne na porušenie substantívnych povinností</w:t>
      </w:r>
      <w:r w:rsidR="00B65DB6">
        <w:rPr>
          <w:rFonts w:ascii="Times New Roman" w:hAnsi="Times New Roman" w:cs="Times New Roman"/>
          <w:sz w:val="24"/>
          <w:szCs w:val="24"/>
        </w:rPr>
        <w:t xml:space="preserve">, pretože sa vyžaduje spoločná zodpovednosť </w:t>
      </w:r>
      <w:r w:rsidR="00B65DB6" w:rsidRPr="00A52E55">
        <w:rPr>
          <w:rFonts w:ascii="Times New Roman" w:hAnsi="Times New Roman" w:cs="Times New Roman"/>
          <w:i/>
          <w:sz w:val="24"/>
          <w:szCs w:val="24"/>
        </w:rPr>
        <w:t>„za neplnenie povinností vyplývajúcich z príslušného právneho rámca po prijatí rozhodnutí a príkazov“</w:t>
      </w:r>
      <w:r w:rsidR="00537D6E">
        <w:rPr>
          <w:rFonts w:ascii="Times New Roman" w:hAnsi="Times New Roman" w:cs="Times New Roman"/>
          <w:sz w:val="24"/>
          <w:szCs w:val="24"/>
        </w:rPr>
        <w:t>.</w:t>
      </w:r>
      <w:r w:rsidR="00B65DB6">
        <w:rPr>
          <w:rFonts w:ascii="Times New Roman" w:hAnsi="Times New Roman" w:cs="Times New Roman"/>
          <w:sz w:val="24"/>
          <w:szCs w:val="24"/>
        </w:rPr>
        <w:t xml:space="preserve"> Príslušným právnym rámcom po prijatí rozhodnutí a príkazov je regulácia obsiahnutá primárne v čl. 10 a 11 nariadenia, ktoré upravujú substantívne povinnosti. </w:t>
      </w:r>
      <w:r w:rsidR="00537D6E">
        <w:rPr>
          <w:rFonts w:ascii="Times New Roman" w:hAnsi="Times New Roman" w:cs="Times New Roman"/>
          <w:sz w:val="24"/>
          <w:szCs w:val="24"/>
        </w:rPr>
        <w:t>V tomto kontexte je čl. 3 ods. 5 smernice doplnkom k čl. 15 nariadenia.</w:t>
      </w:r>
      <w:r w:rsidR="009E7981">
        <w:rPr>
          <w:rFonts w:ascii="Times New Roman" w:hAnsi="Times New Roman" w:cs="Times New Roman"/>
          <w:sz w:val="24"/>
          <w:szCs w:val="24"/>
        </w:rPr>
        <w:t xml:space="preserve"> Vzhľadom na zameranie smernice, ako aj transpozičného zákona má predkladateľ za to, že niet dôvodu, aby transpozičný zákon (t.j. predkladaný návrh zákona) riešil problematiku spoločnej zodpovednosti. Implementačným opatrením k nariadeniu bude v prípade čl. 15 návrh zákona o justičnej spolupráci v trestných veciach</w:t>
      </w:r>
      <w:r w:rsidR="007A030E">
        <w:rPr>
          <w:rFonts w:ascii="Times New Roman" w:hAnsi="Times New Roman" w:cs="Times New Roman"/>
          <w:sz w:val="24"/>
          <w:szCs w:val="24"/>
        </w:rPr>
        <w:t>, ktorý upraví postup vnútroštátnych orgánov pri ukladaní pokút za nesplnenie substantívnych povinností</w:t>
      </w:r>
      <w:r w:rsidR="009E7981">
        <w:rPr>
          <w:rFonts w:ascii="Times New Roman" w:hAnsi="Times New Roman" w:cs="Times New Roman"/>
          <w:sz w:val="24"/>
          <w:szCs w:val="24"/>
        </w:rPr>
        <w:t>.</w:t>
      </w:r>
      <w:r w:rsidR="00256D63">
        <w:rPr>
          <w:rFonts w:ascii="Times New Roman" w:hAnsi="Times New Roman" w:cs="Times New Roman"/>
          <w:sz w:val="24"/>
          <w:szCs w:val="24"/>
        </w:rPr>
        <w:t xml:space="preserve"> Tu opätovne treba zdôrazniť, že predkladaný návrh zákona upravuje niektoré </w:t>
      </w:r>
      <w:r w:rsidR="00256D63" w:rsidRPr="00256D63">
        <w:rPr>
          <w:rFonts w:ascii="Times New Roman" w:hAnsi="Times New Roman" w:cs="Times New Roman"/>
          <w:b/>
          <w:sz w:val="24"/>
          <w:szCs w:val="24"/>
        </w:rPr>
        <w:t>administratívne</w:t>
      </w:r>
      <w:r w:rsidR="00256D63">
        <w:rPr>
          <w:rFonts w:ascii="Times New Roman" w:hAnsi="Times New Roman" w:cs="Times New Roman"/>
          <w:sz w:val="24"/>
          <w:szCs w:val="24"/>
        </w:rPr>
        <w:t xml:space="preserve"> opatrenia súvisiace so zhromažďovaním elektronických dôkazov, a to tie, ktoré plynú zo smernice. Zodpovednosť – a je </w:t>
      </w:r>
      <w:r w:rsidR="005E718D">
        <w:rPr>
          <w:rFonts w:ascii="Times New Roman" w:hAnsi="Times New Roman" w:cs="Times New Roman"/>
          <w:sz w:val="24"/>
          <w:szCs w:val="24"/>
        </w:rPr>
        <w:t>irelevantné</w:t>
      </w:r>
      <w:r w:rsidR="00256D63">
        <w:rPr>
          <w:rFonts w:ascii="Times New Roman" w:hAnsi="Times New Roman" w:cs="Times New Roman"/>
          <w:sz w:val="24"/>
          <w:szCs w:val="24"/>
        </w:rPr>
        <w:t xml:space="preserve">, či individuálna alebo spoločná – za nesplnenie povinností plynúcich z nariadenia preto nepatrí </w:t>
      </w:r>
      <w:r w:rsidR="005D0282">
        <w:rPr>
          <w:rFonts w:ascii="Times New Roman" w:hAnsi="Times New Roman" w:cs="Times New Roman"/>
          <w:sz w:val="24"/>
          <w:szCs w:val="24"/>
        </w:rPr>
        <w:t xml:space="preserve">do predkladaného návrhu zákona. Uvedené platí o to viac, že uplatňovanie spoločnej zodpovednosti za porušenie povinností podľa smernice nie úplne dáva zmysle, najmä ak bude porušená (resp. nesplnená) povinnosť určiť určenú prevádzkareň alebo vymenovať právneho zástupcu. Ak niet určenej prevádzkarne alebo právneho zástupcu, niet druhého subjektu, ktorý by bolo možné zahrnúť do režimu spoločnej zodpovednosti. </w:t>
      </w:r>
      <w:r w:rsidR="00151098">
        <w:rPr>
          <w:rFonts w:ascii="Times New Roman" w:hAnsi="Times New Roman" w:cs="Times New Roman"/>
          <w:sz w:val="24"/>
          <w:szCs w:val="24"/>
        </w:rPr>
        <w:t xml:space="preserve">Z uvedených dôvodov sa preto problematika spoločnej zodpovednosti </w:t>
      </w:r>
      <w:r w:rsidR="00151098">
        <w:rPr>
          <w:rFonts w:ascii="Times New Roman" w:hAnsi="Times New Roman" w:cs="Times New Roman"/>
          <w:sz w:val="24"/>
          <w:szCs w:val="24"/>
        </w:rPr>
        <w:lastRenderedPageBreak/>
        <w:t xml:space="preserve">nepreberá do predkladaného návrhu zákona, ale bude riešená v návrhu zákona o justičnej spolupráci v trestných veciach. </w:t>
      </w:r>
      <w:r w:rsidR="005D0282">
        <w:rPr>
          <w:rFonts w:ascii="Times New Roman" w:hAnsi="Times New Roman" w:cs="Times New Roman"/>
          <w:sz w:val="24"/>
          <w:szCs w:val="24"/>
        </w:rPr>
        <w:t xml:space="preserve"> </w:t>
      </w:r>
      <w:r w:rsidR="00537D6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0FB9A67" w14:textId="19AD3C8F" w:rsidR="0044507F" w:rsidRDefault="0044507F" w:rsidP="00A64364">
      <w:pPr>
        <w:spacing w:after="0" w:line="240" w:lineRule="auto"/>
        <w:ind w:firstLine="708"/>
        <w:jc w:val="both"/>
        <w:rPr>
          <w:rFonts w:ascii="Times New Roman" w:hAnsi="Times New Roman" w:cs="Times New Roman"/>
          <w:sz w:val="24"/>
          <w:szCs w:val="24"/>
        </w:rPr>
      </w:pPr>
    </w:p>
    <w:p w14:paraId="3AAE0745" w14:textId="0B67702A" w:rsidR="00A75F40" w:rsidRPr="007622D4" w:rsidRDefault="00C760B8" w:rsidP="00A6436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Berúc do úvahy kontext čl. 3 ods. 5</w:t>
      </w:r>
      <w:r w:rsidR="00F26B14">
        <w:rPr>
          <w:rFonts w:ascii="Times New Roman" w:hAnsi="Times New Roman" w:cs="Times New Roman"/>
          <w:sz w:val="24"/>
          <w:szCs w:val="24"/>
        </w:rPr>
        <w:t xml:space="preserve">, ako aj recitálu 16 smernice, je zrejmé, že právna úprava, ktorá rieši nemožnosť exkulpácie z dôvodu nedostatku vhodných vnútorných postupov medzi </w:t>
      </w:r>
      <w:r>
        <w:rPr>
          <w:rFonts w:ascii="Times New Roman" w:hAnsi="Times New Roman" w:cs="Times New Roman"/>
          <w:sz w:val="24"/>
          <w:szCs w:val="24"/>
        </w:rPr>
        <w:t xml:space="preserve"> </w:t>
      </w:r>
      <w:r w:rsidR="00F26B14" w:rsidRPr="00F26B14">
        <w:rPr>
          <w:rFonts w:ascii="Times New Roman" w:hAnsi="Times New Roman" w:cs="Times New Roman"/>
          <w:sz w:val="24"/>
          <w:szCs w:val="24"/>
        </w:rPr>
        <w:t xml:space="preserve">poskytovateľom služieb a určenou prevádzkarňou alebo právnym zástupcom </w:t>
      </w:r>
      <w:r w:rsidR="00F26B14" w:rsidRPr="008663D5">
        <w:rPr>
          <w:rFonts w:ascii="Times New Roman" w:hAnsi="Times New Roman" w:cs="Times New Roman"/>
          <w:i/>
          <w:sz w:val="24"/>
          <w:szCs w:val="24"/>
        </w:rPr>
        <w:t>(„Členské štáty predovšetkým zabezpečia, že nebude možné, aby poskytovateľ služieb alebo určená prevádzkareň, alebo v príslušných prípadoch právny zástupca odôvodnili neplnenie týchto povinností nedostatkom vhodných vnútorných postupov medzi poskytovateľom služieb a určenou prevádzkarňou alebo právnym zástupcom.“)</w:t>
      </w:r>
      <w:r w:rsidR="00F26B14">
        <w:rPr>
          <w:rFonts w:ascii="Times New Roman" w:hAnsi="Times New Roman" w:cs="Times New Roman"/>
          <w:sz w:val="24"/>
          <w:szCs w:val="24"/>
        </w:rPr>
        <w:t xml:space="preserve"> sa týka taktiež zodpovednosti za nesplnenie substantívnych povinností. Rovnako je tomu aj v prípade úpravy kolízie s predpismi trestného práva hmotného </w:t>
      </w:r>
      <w:r w:rsidR="00F26B14" w:rsidRPr="00B52FA7">
        <w:rPr>
          <w:rFonts w:ascii="Times New Roman" w:hAnsi="Times New Roman" w:cs="Times New Roman"/>
          <w:i/>
          <w:sz w:val="24"/>
          <w:szCs w:val="24"/>
        </w:rPr>
        <w:t>(„Spoločná a nerozdielna zodpovednosť sa neuplatňuje na konanie alebo opomenutie poskytovateľa služieb alebo určenej prevádzkarne, alebo v príslušných prípadoch právneho zástupcu, ktoré predstavuje trestný čin v členskom štáte, ktorý ukladá sankcie.“)</w:t>
      </w:r>
      <w:r w:rsidR="00F26B14">
        <w:rPr>
          <w:rFonts w:ascii="Times New Roman" w:hAnsi="Times New Roman" w:cs="Times New Roman"/>
          <w:sz w:val="24"/>
          <w:szCs w:val="24"/>
        </w:rPr>
        <w:t xml:space="preserve">. Preto sa smernica ani v tejto časti nepreberá do predkladaného návrhu zákona. </w:t>
      </w:r>
    </w:p>
    <w:p w14:paraId="050A6BF2" w14:textId="2BE71EE7" w:rsidR="00E07ACA" w:rsidRDefault="00E07ACA" w:rsidP="00A64364">
      <w:pPr>
        <w:spacing w:after="0" w:line="240" w:lineRule="auto"/>
        <w:jc w:val="both"/>
        <w:rPr>
          <w:rFonts w:ascii="Times New Roman" w:hAnsi="Times New Roman" w:cs="Times New Roman"/>
          <w:sz w:val="24"/>
          <w:szCs w:val="24"/>
        </w:rPr>
      </w:pPr>
    </w:p>
    <w:p w14:paraId="5C99567D" w14:textId="77777777" w:rsidR="00D671AF" w:rsidRDefault="00D671AF" w:rsidP="00A64364">
      <w:pPr>
        <w:spacing w:after="0" w:line="240" w:lineRule="auto"/>
        <w:jc w:val="both"/>
        <w:rPr>
          <w:rFonts w:ascii="Times New Roman" w:hAnsi="Times New Roman" w:cs="Times New Roman"/>
          <w:sz w:val="24"/>
          <w:szCs w:val="24"/>
        </w:rPr>
      </w:pPr>
    </w:p>
    <w:p w14:paraId="72487D1A" w14:textId="555B51AA" w:rsidR="00BB61B4" w:rsidRPr="007622D4" w:rsidRDefault="00BB61B4" w:rsidP="00A64364">
      <w:pPr>
        <w:spacing w:after="0" w:line="240" w:lineRule="auto"/>
        <w:jc w:val="both"/>
        <w:rPr>
          <w:rFonts w:ascii="Times New Roman" w:hAnsi="Times New Roman" w:cs="Times New Roman"/>
          <w:sz w:val="24"/>
          <w:szCs w:val="24"/>
          <w:u w:val="single"/>
        </w:rPr>
      </w:pPr>
      <w:r w:rsidRPr="007622D4">
        <w:rPr>
          <w:rFonts w:ascii="Times New Roman" w:hAnsi="Times New Roman" w:cs="Times New Roman"/>
          <w:sz w:val="24"/>
          <w:szCs w:val="24"/>
          <w:u w:val="single"/>
        </w:rPr>
        <w:t xml:space="preserve">K § </w:t>
      </w:r>
      <w:r w:rsidR="0009531B">
        <w:rPr>
          <w:rFonts w:ascii="Times New Roman" w:hAnsi="Times New Roman" w:cs="Times New Roman"/>
          <w:sz w:val="24"/>
          <w:szCs w:val="24"/>
          <w:u w:val="single"/>
        </w:rPr>
        <w:t>7</w:t>
      </w:r>
    </w:p>
    <w:p w14:paraId="61F452C4" w14:textId="77777777" w:rsidR="00BB61B4" w:rsidRPr="007622D4" w:rsidRDefault="00BB61B4" w:rsidP="00A64364">
      <w:pPr>
        <w:spacing w:after="0" w:line="240" w:lineRule="auto"/>
        <w:jc w:val="both"/>
        <w:rPr>
          <w:rFonts w:ascii="Times New Roman" w:hAnsi="Times New Roman" w:cs="Times New Roman"/>
          <w:sz w:val="24"/>
          <w:szCs w:val="24"/>
        </w:rPr>
      </w:pPr>
    </w:p>
    <w:p w14:paraId="75182103" w14:textId="78E018ED" w:rsidR="00BB61B4" w:rsidRPr="007622D4" w:rsidRDefault="00813189"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 xml:space="preserve">V navrhovanom § 7 sa </w:t>
      </w:r>
      <w:r w:rsidR="00B15511" w:rsidRPr="007622D4">
        <w:rPr>
          <w:rFonts w:ascii="Times New Roman" w:hAnsi="Times New Roman" w:cs="Times New Roman"/>
          <w:sz w:val="24"/>
          <w:szCs w:val="24"/>
        </w:rPr>
        <w:t xml:space="preserve">riešia </w:t>
      </w:r>
      <w:r w:rsidR="001903DC">
        <w:rPr>
          <w:rFonts w:ascii="Times New Roman" w:hAnsi="Times New Roman" w:cs="Times New Roman"/>
          <w:sz w:val="24"/>
          <w:szCs w:val="24"/>
        </w:rPr>
        <w:t>tri</w:t>
      </w:r>
      <w:r w:rsidR="00383DAC" w:rsidRPr="007622D4">
        <w:rPr>
          <w:rFonts w:ascii="Times New Roman" w:hAnsi="Times New Roman" w:cs="Times New Roman"/>
          <w:sz w:val="24"/>
          <w:szCs w:val="24"/>
        </w:rPr>
        <w:t xml:space="preserve"> </w:t>
      </w:r>
      <w:r w:rsidR="00B15511" w:rsidRPr="007622D4">
        <w:rPr>
          <w:rFonts w:ascii="Times New Roman" w:hAnsi="Times New Roman" w:cs="Times New Roman"/>
          <w:sz w:val="24"/>
          <w:szCs w:val="24"/>
        </w:rPr>
        <w:t>otázky súvisiace s matériou upravenou v predchádzajúcich ustanovenia zákona</w:t>
      </w:r>
      <w:r w:rsidRPr="007622D4">
        <w:rPr>
          <w:rFonts w:ascii="Times New Roman" w:hAnsi="Times New Roman" w:cs="Times New Roman"/>
          <w:sz w:val="24"/>
          <w:szCs w:val="24"/>
        </w:rPr>
        <w:t>, ktoré je vhodné zo systematického hľadiska sústrediť do jedného spoločného ustanovenia</w:t>
      </w:r>
      <w:r w:rsidR="00B15511" w:rsidRPr="007622D4">
        <w:rPr>
          <w:rFonts w:ascii="Times New Roman" w:hAnsi="Times New Roman" w:cs="Times New Roman"/>
          <w:sz w:val="24"/>
          <w:szCs w:val="24"/>
        </w:rPr>
        <w:t>.</w:t>
      </w:r>
    </w:p>
    <w:p w14:paraId="39B75AF0" w14:textId="77777777" w:rsidR="00B15511" w:rsidRPr="007622D4" w:rsidRDefault="00B15511" w:rsidP="00A64364">
      <w:pPr>
        <w:spacing w:after="0" w:line="240" w:lineRule="auto"/>
        <w:jc w:val="both"/>
        <w:rPr>
          <w:rFonts w:ascii="Times New Roman" w:hAnsi="Times New Roman" w:cs="Times New Roman"/>
          <w:sz w:val="24"/>
          <w:szCs w:val="24"/>
        </w:rPr>
      </w:pPr>
    </w:p>
    <w:p w14:paraId="4A2883ED" w14:textId="5DF2ABA2" w:rsidR="00B15511" w:rsidRPr="007622D4" w:rsidRDefault="00B15511"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 xml:space="preserve">Navrhovaný odsek 1 reaguje na čl. 19 ods. 2 nariadenia, podľa ktorého majú členské štáty, ktorým je adresované nariadenie, zabezpečiť pre určené prevádzkarne a právnych zástupcov prístup k decentralizovanému informačnému systému. </w:t>
      </w:r>
      <w:r w:rsidR="00C76FC0" w:rsidRPr="007622D4">
        <w:rPr>
          <w:rFonts w:ascii="Times New Roman" w:hAnsi="Times New Roman" w:cs="Times New Roman"/>
          <w:sz w:val="24"/>
          <w:szCs w:val="24"/>
        </w:rPr>
        <w:t xml:space="preserve">V rámci implementácie nariadenia volí Slovenská republika opciu podľa čl. 22 ods. 1 nariadenia, podľa ktorého členské štáty môžu namiesto budovania vlastných informačných systémov, využívať referenčný implementačný softvér, ktorý vyvíja </w:t>
      </w:r>
      <w:r w:rsidR="00353C83" w:rsidRPr="007622D4">
        <w:rPr>
          <w:rFonts w:ascii="Times New Roman" w:hAnsi="Times New Roman" w:cs="Times New Roman"/>
          <w:sz w:val="24"/>
          <w:szCs w:val="24"/>
        </w:rPr>
        <w:t xml:space="preserve">a bezplatne poskytuje </w:t>
      </w:r>
      <w:r w:rsidR="00C76FC0" w:rsidRPr="007622D4">
        <w:rPr>
          <w:rFonts w:ascii="Times New Roman" w:hAnsi="Times New Roman" w:cs="Times New Roman"/>
          <w:sz w:val="24"/>
          <w:szCs w:val="24"/>
        </w:rPr>
        <w:t xml:space="preserve">Európska komisia. </w:t>
      </w:r>
      <w:r w:rsidR="000431CD" w:rsidRPr="007622D4">
        <w:rPr>
          <w:rFonts w:ascii="Times New Roman" w:hAnsi="Times New Roman" w:cs="Times New Roman"/>
          <w:sz w:val="24"/>
          <w:szCs w:val="24"/>
        </w:rPr>
        <w:t>Vzhľadom na uvedené sa preto navrhuje, aby vnútroštátna úprava určila orgán, ktorý zabezpečí prístup k decentralizovanému informačnému systému určenému na komunikáciu medzi justičnými orgánmi a poskytovateľmi služieb. Javí sa ako účelné</w:t>
      </w:r>
      <w:r w:rsidR="00C66168" w:rsidRPr="007622D4">
        <w:rPr>
          <w:rFonts w:ascii="Times New Roman" w:hAnsi="Times New Roman" w:cs="Times New Roman"/>
          <w:sz w:val="24"/>
          <w:szCs w:val="24"/>
        </w:rPr>
        <w:t xml:space="preserve"> a hospodárne</w:t>
      </w:r>
      <w:r w:rsidR="000431CD" w:rsidRPr="007622D4">
        <w:rPr>
          <w:rFonts w:ascii="Times New Roman" w:hAnsi="Times New Roman" w:cs="Times New Roman"/>
          <w:sz w:val="24"/>
          <w:szCs w:val="24"/>
        </w:rPr>
        <w:t>, aby týmto orgánom bol príslušný orgán podľa predloženého návrhu zákona (Rada pre mediálne služby)</w:t>
      </w:r>
      <w:r w:rsidR="00C66168" w:rsidRPr="007622D4">
        <w:rPr>
          <w:rFonts w:ascii="Times New Roman" w:hAnsi="Times New Roman" w:cs="Times New Roman"/>
          <w:sz w:val="24"/>
          <w:szCs w:val="24"/>
        </w:rPr>
        <w:t>, pretože tento orgán eviduje určené prevádzkarne a právnych zástupcov</w:t>
      </w:r>
      <w:r w:rsidR="000431CD" w:rsidRPr="007622D4">
        <w:rPr>
          <w:rFonts w:ascii="Times New Roman" w:hAnsi="Times New Roman" w:cs="Times New Roman"/>
          <w:sz w:val="24"/>
          <w:szCs w:val="24"/>
        </w:rPr>
        <w:t>.</w:t>
      </w:r>
      <w:r w:rsidR="00C66168" w:rsidRPr="007622D4">
        <w:rPr>
          <w:rFonts w:ascii="Times New Roman" w:hAnsi="Times New Roman" w:cs="Times New Roman"/>
          <w:sz w:val="24"/>
          <w:szCs w:val="24"/>
        </w:rPr>
        <w:t xml:space="preserve"> Akonáhle dôjde k účinnému oznámeniu určenej prevádzkarne alebo právneho zástupcu, príslušný orgán podľa návrhu zákona zabezpečí prístup k decentralizovanému informačnému systému</w:t>
      </w:r>
      <w:r w:rsidR="00C02861" w:rsidRPr="007622D4">
        <w:rPr>
          <w:rFonts w:ascii="Times New Roman" w:hAnsi="Times New Roman" w:cs="Times New Roman"/>
          <w:sz w:val="24"/>
          <w:szCs w:val="24"/>
        </w:rPr>
        <w:t xml:space="preserve">, najmä tým, že sprístupní </w:t>
      </w:r>
      <w:r w:rsidR="00FF3B28">
        <w:rPr>
          <w:rFonts w:ascii="Times New Roman" w:hAnsi="Times New Roman" w:cs="Times New Roman"/>
          <w:sz w:val="24"/>
          <w:szCs w:val="24"/>
        </w:rPr>
        <w:t>decentralizovaný i</w:t>
      </w:r>
      <w:r w:rsidR="00FF3B28" w:rsidRPr="00FF3B28">
        <w:rPr>
          <w:rFonts w:ascii="Times New Roman" w:hAnsi="Times New Roman" w:cs="Times New Roman"/>
          <w:sz w:val="24"/>
          <w:szCs w:val="24"/>
        </w:rPr>
        <w:t>nformačný systém určenej prevádzkarni alebo právnemu zástupcovi a poskytne im prístupové údaje</w:t>
      </w:r>
      <w:r w:rsidR="00FF3B28">
        <w:rPr>
          <w:rFonts w:ascii="Times New Roman" w:hAnsi="Times New Roman" w:cs="Times New Roman"/>
          <w:sz w:val="24"/>
          <w:szCs w:val="24"/>
        </w:rPr>
        <w:t xml:space="preserve"> </w:t>
      </w:r>
      <w:r w:rsidR="00C02861" w:rsidRPr="007622D4">
        <w:rPr>
          <w:rFonts w:ascii="Times New Roman" w:hAnsi="Times New Roman" w:cs="Times New Roman"/>
          <w:sz w:val="24"/>
          <w:szCs w:val="24"/>
        </w:rPr>
        <w:t xml:space="preserve">prístupové údaje. </w:t>
      </w:r>
    </w:p>
    <w:p w14:paraId="0F59F3AB" w14:textId="77777777" w:rsidR="00B06E83" w:rsidRPr="007622D4" w:rsidRDefault="00B06E83" w:rsidP="00A64364">
      <w:pPr>
        <w:spacing w:after="0" w:line="240" w:lineRule="auto"/>
        <w:ind w:firstLine="708"/>
        <w:jc w:val="both"/>
        <w:rPr>
          <w:rFonts w:ascii="Times New Roman" w:hAnsi="Times New Roman" w:cs="Times New Roman"/>
          <w:sz w:val="24"/>
          <w:szCs w:val="24"/>
        </w:rPr>
      </w:pPr>
    </w:p>
    <w:p w14:paraId="08E58F10" w14:textId="2E59D53B" w:rsidR="00B06E83" w:rsidRPr="007622D4" w:rsidRDefault="00B06E83"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 xml:space="preserve">Odsek 2 je transpozíciou čl. </w:t>
      </w:r>
      <w:r w:rsidR="00FE3677" w:rsidRPr="007622D4">
        <w:rPr>
          <w:rFonts w:ascii="Times New Roman" w:hAnsi="Times New Roman" w:cs="Times New Roman"/>
          <w:sz w:val="24"/>
          <w:szCs w:val="24"/>
        </w:rPr>
        <w:t xml:space="preserve">6 ods. 3 smernice, podľa ktorého je </w:t>
      </w:r>
      <w:r w:rsidR="009574E0" w:rsidRPr="007622D4">
        <w:rPr>
          <w:rFonts w:ascii="Times New Roman" w:hAnsi="Times New Roman" w:cs="Times New Roman"/>
          <w:sz w:val="24"/>
          <w:szCs w:val="24"/>
        </w:rPr>
        <w:t>potrebn</w:t>
      </w:r>
      <w:r w:rsidR="009574E0">
        <w:rPr>
          <w:rFonts w:ascii="Times New Roman" w:hAnsi="Times New Roman" w:cs="Times New Roman"/>
          <w:sz w:val="24"/>
          <w:szCs w:val="24"/>
        </w:rPr>
        <w:t>é</w:t>
      </w:r>
      <w:r w:rsidR="00FE3677" w:rsidRPr="007622D4">
        <w:rPr>
          <w:rFonts w:ascii="Times New Roman" w:hAnsi="Times New Roman" w:cs="Times New Roman"/>
          <w:sz w:val="24"/>
          <w:szCs w:val="24"/>
        </w:rPr>
        <w:t>, aby členské štáty zabezpečili, aby ich ústredné orgány koordinovali svoju činnosť a spolupracovali medzi sebou a v relevantných prípadoch aj s Komisiou.</w:t>
      </w:r>
      <w:r w:rsidR="00566B7B" w:rsidRPr="007622D4">
        <w:rPr>
          <w:rFonts w:ascii="Times New Roman" w:hAnsi="Times New Roman" w:cs="Times New Roman"/>
          <w:sz w:val="24"/>
          <w:szCs w:val="24"/>
        </w:rPr>
        <w:t xml:space="preserve"> </w:t>
      </w:r>
      <w:r w:rsidR="00E66830" w:rsidRPr="007622D4">
        <w:rPr>
          <w:rFonts w:ascii="Times New Roman" w:hAnsi="Times New Roman" w:cs="Times New Roman"/>
          <w:sz w:val="24"/>
          <w:szCs w:val="24"/>
        </w:rPr>
        <w:t xml:space="preserve">Na tento účel sa normuje všeobecné pravidlo o vzájomnej spolupráci medzi </w:t>
      </w:r>
      <w:r w:rsidR="00C64DC6">
        <w:rPr>
          <w:rFonts w:ascii="Times New Roman" w:hAnsi="Times New Roman" w:cs="Times New Roman"/>
          <w:sz w:val="24"/>
          <w:szCs w:val="24"/>
        </w:rPr>
        <w:t xml:space="preserve">Radou pre mediálne služby a </w:t>
      </w:r>
      <w:r w:rsidR="00E66830" w:rsidRPr="007622D4">
        <w:rPr>
          <w:rFonts w:ascii="Times New Roman" w:hAnsi="Times New Roman" w:cs="Times New Roman"/>
          <w:sz w:val="24"/>
          <w:szCs w:val="24"/>
        </w:rPr>
        <w:t>členskými štátmi a Európskou komisiou.</w:t>
      </w:r>
    </w:p>
    <w:p w14:paraId="69AE052B" w14:textId="77777777" w:rsidR="000431CD" w:rsidRPr="007622D4" w:rsidRDefault="000431CD" w:rsidP="00A64364">
      <w:pPr>
        <w:spacing w:after="0" w:line="240" w:lineRule="auto"/>
        <w:ind w:firstLine="708"/>
        <w:jc w:val="both"/>
        <w:rPr>
          <w:rFonts w:ascii="Times New Roman" w:hAnsi="Times New Roman" w:cs="Times New Roman"/>
          <w:sz w:val="24"/>
          <w:szCs w:val="24"/>
        </w:rPr>
      </w:pPr>
    </w:p>
    <w:p w14:paraId="540930D7" w14:textId="4EC17279" w:rsidR="00435A0D" w:rsidRDefault="00435A0D"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 xml:space="preserve">V odseku 3 sa normuje vzťah návrhu zákona a zákona č. 71/1967 Zb. o správnom konaní (správny poriadok) v znení neskorších predpisov, a to tým spôsobom, že správny poriadok sa bude subsidiárne aplikovať na postup príslušného orgánu len v prípade konania o pokute podľa § 6. Správny poriadok sa však nebude vzťahovať na postup príslušného orgánu podľa § 5, ktorý upravuje oznamovaciu povinnosť a úkony s tým spojené na strane príslušného orgánu. </w:t>
      </w:r>
    </w:p>
    <w:p w14:paraId="7FA3895C" w14:textId="77777777" w:rsidR="00BB61B4" w:rsidRPr="007622D4" w:rsidRDefault="00BB61B4" w:rsidP="00A64364">
      <w:pPr>
        <w:spacing w:after="0" w:line="240" w:lineRule="auto"/>
        <w:jc w:val="both"/>
        <w:rPr>
          <w:rFonts w:ascii="Times New Roman" w:hAnsi="Times New Roman" w:cs="Times New Roman"/>
          <w:sz w:val="24"/>
          <w:szCs w:val="24"/>
        </w:rPr>
      </w:pPr>
    </w:p>
    <w:p w14:paraId="3FD985C8" w14:textId="172B66F5" w:rsidR="00CF1971" w:rsidRPr="007622D4" w:rsidRDefault="00737A87" w:rsidP="00A64364">
      <w:pPr>
        <w:spacing w:after="0" w:line="240" w:lineRule="auto"/>
        <w:jc w:val="both"/>
        <w:rPr>
          <w:rFonts w:ascii="Times New Roman" w:hAnsi="Times New Roman" w:cs="Times New Roman"/>
          <w:sz w:val="24"/>
          <w:szCs w:val="24"/>
          <w:u w:val="single"/>
        </w:rPr>
      </w:pPr>
      <w:r w:rsidRPr="007622D4">
        <w:rPr>
          <w:rFonts w:ascii="Times New Roman" w:hAnsi="Times New Roman" w:cs="Times New Roman"/>
          <w:sz w:val="24"/>
          <w:szCs w:val="24"/>
          <w:u w:val="single"/>
        </w:rPr>
        <w:t xml:space="preserve">K § </w:t>
      </w:r>
      <w:r w:rsidR="0009531B">
        <w:rPr>
          <w:rFonts w:ascii="Times New Roman" w:hAnsi="Times New Roman" w:cs="Times New Roman"/>
          <w:sz w:val="24"/>
          <w:szCs w:val="24"/>
          <w:u w:val="single"/>
        </w:rPr>
        <w:t>8</w:t>
      </w:r>
    </w:p>
    <w:p w14:paraId="16EE3123" w14:textId="77777777" w:rsidR="00FC3CA2" w:rsidRPr="007622D4" w:rsidRDefault="00FC3CA2" w:rsidP="00A64364">
      <w:pPr>
        <w:spacing w:after="0" w:line="240" w:lineRule="auto"/>
        <w:jc w:val="both"/>
        <w:rPr>
          <w:rFonts w:ascii="Times New Roman" w:hAnsi="Times New Roman" w:cs="Times New Roman"/>
          <w:sz w:val="24"/>
          <w:szCs w:val="24"/>
        </w:rPr>
      </w:pPr>
      <w:r w:rsidRPr="007622D4">
        <w:rPr>
          <w:rFonts w:ascii="Times New Roman" w:hAnsi="Times New Roman" w:cs="Times New Roman"/>
          <w:sz w:val="24"/>
          <w:szCs w:val="24"/>
        </w:rPr>
        <w:t xml:space="preserve"> </w:t>
      </w:r>
    </w:p>
    <w:p w14:paraId="4ADFB945" w14:textId="77777777" w:rsidR="00737A87" w:rsidRPr="007622D4" w:rsidRDefault="0041792C"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 xml:space="preserve">Navrhované prechodné ustanovenie zohľadňuje požiadavku vyjadrenú v čl. 3 ods. 6, podľa ktorej </w:t>
      </w:r>
      <w:r w:rsidRPr="007622D4">
        <w:rPr>
          <w:rFonts w:ascii="Times New Roman" w:hAnsi="Times New Roman" w:cs="Times New Roman"/>
          <w:i/>
          <w:sz w:val="24"/>
          <w:szCs w:val="24"/>
        </w:rPr>
        <w:t>„Členské štáty zabezpečia, aby poskytovatelia služieb, ktorí ponúkajú služby v Únii k 18. februáru 2026, mali povinnosť určiť určené prevádzkarne alebo vymenovať právnych zástupcov do 18. augusta 2026...“</w:t>
      </w:r>
      <w:r w:rsidRPr="007622D4">
        <w:rPr>
          <w:rFonts w:ascii="Times New Roman" w:hAnsi="Times New Roman" w:cs="Times New Roman"/>
          <w:sz w:val="24"/>
          <w:szCs w:val="24"/>
        </w:rPr>
        <w:t xml:space="preserve">. </w:t>
      </w:r>
      <w:r w:rsidR="002C293C" w:rsidRPr="007622D4">
        <w:rPr>
          <w:rFonts w:ascii="Times New Roman" w:hAnsi="Times New Roman" w:cs="Times New Roman"/>
          <w:sz w:val="24"/>
          <w:szCs w:val="24"/>
        </w:rPr>
        <w:t xml:space="preserve">Citované ustanovenie smernice je vo svojej podstate prechodným ustanovením, ktorým sa má zabezpečiť určenie prvých prevádzkarní alebo prvých právnych zástupcov. Smernica v tomto prípade upravuje aj lehoty do kedy sa tak má stať. Preto predkladateľ preberá čl. 3 ods. 6 v citovanom rozsahu do prechodného ustanovenia v § </w:t>
      </w:r>
      <w:r w:rsidR="00056545" w:rsidRPr="007622D4">
        <w:rPr>
          <w:rFonts w:ascii="Times New Roman" w:hAnsi="Times New Roman" w:cs="Times New Roman"/>
          <w:sz w:val="24"/>
          <w:szCs w:val="24"/>
        </w:rPr>
        <w:t>8</w:t>
      </w:r>
      <w:r w:rsidR="00946B53" w:rsidRPr="007622D4">
        <w:rPr>
          <w:rFonts w:ascii="Times New Roman" w:hAnsi="Times New Roman" w:cs="Times New Roman"/>
          <w:sz w:val="24"/>
          <w:szCs w:val="24"/>
        </w:rPr>
        <w:t>.</w:t>
      </w:r>
      <w:r w:rsidR="002C293C" w:rsidRPr="007622D4">
        <w:rPr>
          <w:rFonts w:ascii="Times New Roman" w:hAnsi="Times New Roman" w:cs="Times New Roman"/>
          <w:sz w:val="24"/>
          <w:szCs w:val="24"/>
        </w:rPr>
        <w:t xml:space="preserve"> </w:t>
      </w:r>
    </w:p>
    <w:p w14:paraId="03D376B2" w14:textId="77777777" w:rsidR="002C293C" w:rsidRPr="007622D4" w:rsidRDefault="002C293C" w:rsidP="00A64364">
      <w:pPr>
        <w:spacing w:after="0" w:line="240" w:lineRule="auto"/>
        <w:ind w:firstLine="708"/>
        <w:jc w:val="both"/>
        <w:rPr>
          <w:rFonts w:ascii="Times New Roman" w:hAnsi="Times New Roman" w:cs="Times New Roman"/>
          <w:sz w:val="24"/>
          <w:szCs w:val="24"/>
        </w:rPr>
      </w:pPr>
    </w:p>
    <w:p w14:paraId="627D29FB" w14:textId="695A1EBC" w:rsidR="002C293C" w:rsidRPr="007622D4" w:rsidRDefault="002C293C"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Vzhľadom na to, že čl. 5 smernice upravujúci sankcie sa vzťahuje na všetky povinnosti poskytovateľov služieb podľa čl.</w:t>
      </w:r>
      <w:r w:rsidR="00A50119" w:rsidRPr="007622D4">
        <w:rPr>
          <w:rFonts w:ascii="Times New Roman" w:hAnsi="Times New Roman" w:cs="Times New Roman"/>
          <w:sz w:val="24"/>
          <w:szCs w:val="24"/>
        </w:rPr>
        <w:t xml:space="preserve"> 3 a 4, tak je potrebné, aby aj nesplnenie povinnosti vyjadrenej v navrhovanom prechodnom ustanovení bolo sankcionované. Práve z tohto dôvodu je porušenie povinnosti podľa § </w:t>
      </w:r>
      <w:r w:rsidR="00B251B1">
        <w:rPr>
          <w:rFonts w:ascii="Times New Roman" w:hAnsi="Times New Roman" w:cs="Times New Roman"/>
          <w:sz w:val="24"/>
          <w:szCs w:val="24"/>
        </w:rPr>
        <w:t>8</w:t>
      </w:r>
      <w:r w:rsidR="00B251B1" w:rsidRPr="007622D4">
        <w:rPr>
          <w:rFonts w:ascii="Times New Roman" w:hAnsi="Times New Roman" w:cs="Times New Roman"/>
          <w:sz w:val="24"/>
          <w:szCs w:val="24"/>
        </w:rPr>
        <w:t xml:space="preserve"> </w:t>
      </w:r>
      <w:r w:rsidR="00A50119" w:rsidRPr="007622D4">
        <w:rPr>
          <w:rFonts w:ascii="Times New Roman" w:hAnsi="Times New Roman" w:cs="Times New Roman"/>
          <w:sz w:val="24"/>
          <w:szCs w:val="24"/>
        </w:rPr>
        <w:t xml:space="preserve">zaradené medzi skutkové podstaty správneho deliktu podľa § </w:t>
      </w:r>
      <w:r w:rsidR="00946B53" w:rsidRPr="007622D4">
        <w:rPr>
          <w:rFonts w:ascii="Times New Roman" w:hAnsi="Times New Roman" w:cs="Times New Roman"/>
          <w:sz w:val="24"/>
          <w:szCs w:val="24"/>
        </w:rPr>
        <w:t>6</w:t>
      </w:r>
      <w:r w:rsidR="00A50119" w:rsidRPr="007622D4">
        <w:rPr>
          <w:rFonts w:ascii="Times New Roman" w:hAnsi="Times New Roman" w:cs="Times New Roman"/>
          <w:sz w:val="24"/>
          <w:szCs w:val="24"/>
        </w:rPr>
        <w:t xml:space="preserve"> ods. </w:t>
      </w:r>
      <w:r w:rsidR="00B251B1">
        <w:rPr>
          <w:rFonts w:ascii="Times New Roman" w:hAnsi="Times New Roman" w:cs="Times New Roman"/>
          <w:sz w:val="24"/>
          <w:szCs w:val="24"/>
        </w:rPr>
        <w:t>1</w:t>
      </w:r>
      <w:r w:rsidR="00A50119" w:rsidRPr="007622D4">
        <w:rPr>
          <w:rFonts w:ascii="Times New Roman" w:hAnsi="Times New Roman" w:cs="Times New Roman"/>
          <w:sz w:val="24"/>
          <w:szCs w:val="24"/>
        </w:rPr>
        <w:t xml:space="preserve">.   </w:t>
      </w:r>
    </w:p>
    <w:p w14:paraId="76C07F89" w14:textId="3BDA9598" w:rsidR="004F7B27" w:rsidRDefault="004F7B27" w:rsidP="00A64364">
      <w:pPr>
        <w:spacing w:after="0" w:line="240" w:lineRule="auto"/>
        <w:jc w:val="both"/>
        <w:rPr>
          <w:rFonts w:ascii="Times New Roman" w:hAnsi="Times New Roman" w:cs="Times New Roman"/>
          <w:sz w:val="24"/>
          <w:szCs w:val="24"/>
        </w:rPr>
      </w:pPr>
    </w:p>
    <w:p w14:paraId="4BA9CCFF" w14:textId="77777777" w:rsidR="00D671AF" w:rsidRPr="007622D4" w:rsidRDefault="00D671AF" w:rsidP="00A64364">
      <w:pPr>
        <w:spacing w:after="0" w:line="240" w:lineRule="auto"/>
        <w:jc w:val="both"/>
        <w:rPr>
          <w:rFonts w:ascii="Times New Roman" w:hAnsi="Times New Roman" w:cs="Times New Roman"/>
          <w:sz w:val="24"/>
          <w:szCs w:val="24"/>
        </w:rPr>
      </w:pPr>
    </w:p>
    <w:p w14:paraId="51E9A68D" w14:textId="6EEB1AFF" w:rsidR="00037028" w:rsidRPr="007622D4" w:rsidRDefault="00037028" w:rsidP="00A64364">
      <w:pPr>
        <w:spacing w:after="0" w:line="240" w:lineRule="auto"/>
        <w:jc w:val="both"/>
        <w:rPr>
          <w:rFonts w:ascii="Times New Roman" w:hAnsi="Times New Roman" w:cs="Times New Roman"/>
          <w:sz w:val="24"/>
          <w:szCs w:val="24"/>
          <w:u w:val="single"/>
        </w:rPr>
      </w:pPr>
      <w:r w:rsidRPr="007622D4">
        <w:rPr>
          <w:rFonts w:ascii="Times New Roman" w:hAnsi="Times New Roman" w:cs="Times New Roman"/>
          <w:sz w:val="24"/>
          <w:szCs w:val="24"/>
          <w:u w:val="single"/>
        </w:rPr>
        <w:t xml:space="preserve">K § </w:t>
      </w:r>
      <w:r w:rsidR="0009531B">
        <w:rPr>
          <w:rFonts w:ascii="Times New Roman" w:hAnsi="Times New Roman" w:cs="Times New Roman"/>
          <w:sz w:val="24"/>
          <w:szCs w:val="24"/>
          <w:u w:val="single"/>
        </w:rPr>
        <w:t>9</w:t>
      </w:r>
    </w:p>
    <w:p w14:paraId="0BA74BC3" w14:textId="77777777" w:rsidR="00037028" w:rsidRPr="007622D4" w:rsidRDefault="00037028" w:rsidP="00A64364">
      <w:pPr>
        <w:spacing w:after="0" w:line="240" w:lineRule="auto"/>
        <w:jc w:val="both"/>
        <w:rPr>
          <w:rFonts w:ascii="Times New Roman" w:hAnsi="Times New Roman" w:cs="Times New Roman"/>
          <w:sz w:val="24"/>
          <w:szCs w:val="24"/>
        </w:rPr>
      </w:pPr>
    </w:p>
    <w:p w14:paraId="2C1237D5" w14:textId="77777777" w:rsidR="00037028" w:rsidRPr="007622D4" w:rsidRDefault="00D65701"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 xml:space="preserve">V súlade s požiadavkou </w:t>
      </w:r>
      <w:r w:rsidR="00F56E16" w:rsidRPr="007622D4">
        <w:rPr>
          <w:rFonts w:ascii="Times New Roman" w:hAnsi="Times New Roman" w:cs="Times New Roman"/>
          <w:sz w:val="24"/>
          <w:szCs w:val="24"/>
        </w:rPr>
        <w:t xml:space="preserve">čl. 4 ods. 2 </w:t>
      </w:r>
      <w:r w:rsidRPr="007622D4">
        <w:rPr>
          <w:rFonts w:ascii="Times New Roman" w:hAnsi="Times New Roman" w:cs="Times New Roman"/>
          <w:sz w:val="24"/>
          <w:szCs w:val="24"/>
        </w:rPr>
        <w:t xml:space="preserve">Legislatívnych pravidiel vlády Slovenskej republiky sa v návrhu zákona zavádza štandardné </w:t>
      </w:r>
      <w:r w:rsidR="00F56E16" w:rsidRPr="007622D4">
        <w:rPr>
          <w:rFonts w:ascii="Times New Roman" w:hAnsi="Times New Roman" w:cs="Times New Roman"/>
          <w:sz w:val="24"/>
          <w:szCs w:val="24"/>
        </w:rPr>
        <w:t>ustanovenie odkazujúce na transpozičnú</w:t>
      </w:r>
      <w:r w:rsidRPr="007622D4">
        <w:rPr>
          <w:rFonts w:ascii="Times New Roman" w:hAnsi="Times New Roman" w:cs="Times New Roman"/>
          <w:sz w:val="24"/>
          <w:szCs w:val="24"/>
        </w:rPr>
        <w:t xml:space="preserve"> </w:t>
      </w:r>
      <w:r w:rsidR="00F56E16" w:rsidRPr="007622D4">
        <w:rPr>
          <w:rFonts w:ascii="Times New Roman" w:hAnsi="Times New Roman" w:cs="Times New Roman"/>
          <w:sz w:val="24"/>
          <w:szCs w:val="24"/>
        </w:rPr>
        <w:t>prílohu.</w:t>
      </w:r>
      <w:r w:rsidR="00AB132E" w:rsidRPr="007622D4">
        <w:rPr>
          <w:rFonts w:ascii="Times New Roman" w:hAnsi="Times New Roman" w:cs="Times New Roman"/>
          <w:sz w:val="24"/>
          <w:szCs w:val="24"/>
        </w:rPr>
        <w:t xml:space="preserve"> Navrhovaný § </w:t>
      </w:r>
      <w:r w:rsidR="00900FF3" w:rsidRPr="007622D4">
        <w:rPr>
          <w:rFonts w:ascii="Times New Roman" w:hAnsi="Times New Roman" w:cs="Times New Roman"/>
          <w:sz w:val="24"/>
          <w:szCs w:val="24"/>
        </w:rPr>
        <w:t>8</w:t>
      </w:r>
      <w:r w:rsidR="00AB132E" w:rsidRPr="007622D4">
        <w:rPr>
          <w:rFonts w:ascii="Times New Roman" w:hAnsi="Times New Roman" w:cs="Times New Roman"/>
          <w:sz w:val="24"/>
          <w:szCs w:val="24"/>
        </w:rPr>
        <w:t xml:space="preserve"> spolu s prílohou k zákonu sú transpozičnými opatreniami vo vzťahu k čl. 7 ods. 2 smernice. </w:t>
      </w:r>
    </w:p>
    <w:p w14:paraId="51F49E80" w14:textId="6946A8EC" w:rsidR="00037028" w:rsidRDefault="00037028" w:rsidP="00A64364">
      <w:pPr>
        <w:spacing w:after="0" w:line="240" w:lineRule="auto"/>
        <w:jc w:val="both"/>
        <w:rPr>
          <w:rFonts w:ascii="Times New Roman" w:hAnsi="Times New Roman" w:cs="Times New Roman"/>
          <w:sz w:val="24"/>
          <w:szCs w:val="24"/>
        </w:rPr>
      </w:pPr>
    </w:p>
    <w:p w14:paraId="56CB5E4B" w14:textId="77777777" w:rsidR="00D671AF" w:rsidRDefault="00D671AF" w:rsidP="00A64364">
      <w:pPr>
        <w:spacing w:after="0" w:line="240" w:lineRule="auto"/>
        <w:jc w:val="both"/>
        <w:rPr>
          <w:rFonts w:ascii="Times New Roman" w:hAnsi="Times New Roman" w:cs="Times New Roman"/>
          <w:sz w:val="24"/>
          <w:szCs w:val="24"/>
        </w:rPr>
      </w:pPr>
    </w:p>
    <w:p w14:paraId="3C13CF72" w14:textId="6764FF58" w:rsidR="00B04FF9" w:rsidRDefault="00B04FF9" w:rsidP="00A64364">
      <w:pPr>
        <w:spacing w:after="0" w:line="240" w:lineRule="auto"/>
        <w:jc w:val="both"/>
        <w:rPr>
          <w:rFonts w:ascii="Times New Roman" w:hAnsi="Times New Roman" w:cs="Times New Roman"/>
          <w:b/>
          <w:sz w:val="24"/>
          <w:szCs w:val="24"/>
        </w:rPr>
      </w:pPr>
      <w:r w:rsidRPr="0062081A">
        <w:rPr>
          <w:rFonts w:ascii="Times New Roman" w:hAnsi="Times New Roman" w:cs="Times New Roman"/>
          <w:b/>
          <w:sz w:val="24"/>
          <w:szCs w:val="24"/>
        </w:rPr>
        <w:t>K čl. II</w:t>
      </w:r>
    </w:p>
    <w:p w14:paraId="2856CB7A" w14:textId="77777777" w:rsidR="00136D2A" w:rsidRPr="00F9121B" w:rsidRDefault="00136D2A" w:rsidP="00A64364">
      <w:pPr>
        <w:spacing w:after="0" w:line="240" w:lineRule="auto"/>
        <w:jc w:val="both"/>
        <w:rPr>
          <w:rFonts w:ascii="Times New Roman" w:hAnsi="Times New Roman" w:cs="Times New Roman"/>
          <w:i/>
          <w:sz w:val="24"/>
          <w:szCs w:val="24"/>
        </w:rPr>
      </w:pPr>
      <w:r w:rsidRPr="00F9121B">
        <w:rPr>
          <w:rFonts w:ascii="Times New Roman" w:hAnsi="Times New Roman" w:cs="Times New Roman"/>
          <w:i/>
          <w:sz w:val="24"/>
          <w:szCs w:val="24"/>
        </w:rPr>
        <w:t>(zákon č. 264/2022 Z. z.)</w:t>
      </w:r>
    </w:p>
    <w:p w14:paraId="24C8BD1F" w14:textId="77777777" w:rsidR="00136D2A" w:rsidRDefault="00136D2A" w:rsidP="00A64364">
      <w:pPr>
        <w:spacing w:after="0" w:line="240" w:lineRule="auto"/>
        <w:jc w:val="both"/>
        <w:rPr>
          <w:rFonts w:ascii="Times New Roman" w:hAnsi="Times New Roman" w:cs="Times New Roman"/>
          <w:sz w:val="24"/>
          <w:szCs w:val="24"/>
        </w:rPr>
      </w:pPr>
    </w:p>
    <w:p w14:paraId="440C11C6" w14:textId="77777777" w:rsidR="00136D2A" w:rsidRDefault="00136D2A" w:rsidP="00A6436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 nadväznosti na ukotvenie Rady pre mediálne služby ako príslušného orgánu v  čl. I návrhu zákona sa navrhuje vykonanie vyvolanej novelizácie zákona č.</w:t>
      </w:r>
      <w:r w:rsidRPr="00270F02">
        <w:rPr>
          <w:rFonts w:ascii="Times New Roman" w:hAnsi="Times New Roman" w:cs="Times New Roman"/>
          <w:sz w:val="24"/>
          <w:szCs w:val="24"/>
        </w:rPr>
        <w:t xml:space="preserve"> 264/2022 Z. z. o mediálnych službách a o zmene a doplnení niektorých zákonov (zákon o mediálnych službách) v znení neskorších predpisov</w:t>
      </w:r>
      <w:r>
        <w:rPr>
          <w:rFonts w:ascii="Times New Roman" w:hAnsi="Times New Roman" w:cs="Times New Roman"/>
          <w:sz w:val="24"/>
          <w:szCs w:val="24"/>
        </w:rPr>
        <w:t xml:space="preserve">. </w:t>
      </w:r>
      <w:r w:rsidRPr="00670830">
        <w:rPr>
          <w:rFonts w:ascii="Times New Roman" w:hAnsi="Times New Roman" w:cs="Times New Roman"/>
          <w:sz w:val="24"/>
          <w:szCs w:val="24"/>
        </w:rPr>
        <w:t xml:space="preserve">V rámci prípravy návrhu zákona sa ustálila diskusia pri určovaní orgánu </w:t>
      </w:r>
      <w:r>
        <w:rPr>
          <w:rFonts w:ascii="Times New Roman" w:hAnsi="Times New Roman" w:cs="Times New Roman"/>
          <w:sz w:val="24"/>
          <w:szCs w:val="24"/>
        </w:rPr>
        <w:t xml:space="preserve">podľa čl. 6 ods. 1 smernice </w:t>
      </w:r>
      <w:r w:rsidRPr="00670830">
        <w:rPr>
          <w:rFonts w:ascii="Times New Roman" w:hAnsi="Times New Roman" w:cs="Times New Roman"/>
          <w:sz w:val="24"/>
          <w:szCs w:val="24"/>
        </w:rPr>
        <w:t>tak, že úlohu príslušného orgánu bude plniť Rada pre mediálne služby, ktorá plní obdobné úlohy podľa nariadenia Európskeho parlamentu a Rady (EÚ) 2022/2065 z 19. októbra 2022 o jednotnom trhu s digitálnymi službami a o zmene smernice 2000/31/ES (akt o digitálnych službách). Nová pôsobnosť Rady pre mediálne služby ako príslušného orgánu zahŕňa úlohy pri prijímaní oznámení o určení určenej prevádzkarne alebo o vymenovaní právneho zástupcu (§ 5), ukladaní sankcií (§ 6), zabezpečovaní prístupu do decentralizovaného informačného systému a pri kooperácii s inými členskými štátni a Európskou komisiou (§ 7 ods. 2).</w:t>
      </w:r>
    </w:p>
    <w:p w14:paraId="1E12A5A9" w14:textId="77777777" w:rsidR="00136D2A" w:rsidRDefault="00136D2A" w:rsidP="00A64364">
      <w:pPr>
        <w:spacing w:after="0" w:line="240" w:lineRule="auto"/>
        <w:ind w:firstLine="708"/>
        <w:jc w:val="both"/>
        <w:rPr>
          <w:rFonts w:ascii="Times New Roman" w:hAnsi="Times New Roman" w:cs="Times New Roman"/>
          <w:sz w:val="24"/>
          <w:szCs w:val="24"/>
        </w:rPr>
      </w:pPr>
    </w:p>
    <w:p w14:paraId="4C69F7DF" w14:textId="77777777" w:rsidR="00136D2A" w:rsidRDefault="00136D2A" w:rsidP="00A6436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tento účel sa preto rozširuje pôsobnosť Rady pre mediálne služby doplnením nového písmena z) v § 110 ods. 3 (bod 2) a súčasne sa v súlade s logikou § 132 dopĺňa odkaz na zákon </w:t>
      </w:r>
      <w:r w:rsidRPr="00E65AC5">
        <w:rPr>
          <w:rFonts w:ascii="Times New Roman" w:hAnsi="Times New Roman" w:cs="Times New Roman"/>
          <w:sz w:val="24"/>
          <w:szCs w:val="24"/>
        </w:rPr>
        <w:t>o niektorých administratívnych opatreniach súvisiacich so zhromažďovaním elektronických dôkazov v trestnom konaní</w:t>
      </w:r>
      <w:r>
        <w:rPr>
          <w:rFonts w:ascii="Times New Roman" w:hAnsi="Times New Roman" w:cs="Times New Roman"/>
          <w:sz w:val="24"/>
          <w:szCs w:val="24"/>
        </w:rPr>
        <w:t xml:space="preserve"> v odseku 4 (bod 4), ktorý je referenčnou právnou úpravou pre doplnenú novú pôsobnosť Rady pre mediálne služby. </w:t>
      </w:r>
    </w:p>
    <w:p w14:paraId="1856F7B0" w14:textId="77777777" w:rsidR="00136D2A" w:rsidRDefault="00136D2A" w:rsidP="00A64364">
      <w:pPr>
        <w:spacing w:after="0" w:line="240" w:lineRule="auto"/>
        <w:ind w:firstLine="708"/>
        <w:jc w:val="both"/>
        <w:rPr>
          <w:rFonts w:ascii="Times New Roman" w:hAnsi="Times New Roman" w:cs="Times New Roman"/>
          <w:sz w:val="24"/>
          <w:szCs w:val="24"/>
        </w:rPr>
      </w:pPr>
    </w:p>
    <w:p w14:paraId="5B68CDF6" w14:textId="77777777" w:rsidR="00136D2A" w:rsidRDefault="00136D2A" w:rsidP="00A6436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Okrem toho sa návrhu zákona aktualizuje poznámkový aparát (body 1 a 3) a dopĺňa sa transpozičná príloha o referenciu na smernicu </w:t>
      </w:r>
      <w:r w:rsidRPr="005C74A1">
        <w:rPr>
          <w:rFonts w:ascii="Times New Roman" w:hAnsi="Times New Roman" w:cs="Times New Roman"/>
          <w:sz w:val="24"/>
          <w:szCs w:val="24"/>
        </w:rPr>
        <w:t xml:space="preserve">Európskeho parlamentu a Rady (EÚ) 2023/1544 </w:t>
      </w:r>
      <w:r w:rsidRPr="005C74A1">
        <w:rPr>
          <w:rFonts w:ascii="Times New Roman" w:hAnsi="Times New Roman" w:cs="Times New Roman"/>
          <w:sz w:val="24"/>
          <w:szCs w:val="24"/>
        </w:rPr>
        <w:lastRenderedPageBreak/>
        <w:t>z 12. júla 2023, ktorou sa stanovujú harmonizované pravidlá určovania určených prevádzkarní a vymenúvania právnych zástupcov na účely zhromažďovania dôkazov v trestnom konaní</w:t>
      </w:r>
      <w:r>
        <w:rPr>
          <w:rFonts w:ascii="Times New Roman" w:hAnsi="Times New Roman" w:cs="Times New Roman"/>
          <w:sz w:val="24"/>
          <w:szCs w:val="24"/>
        </w:rPr>
        <w:t>.</w:t>
      </w:r>
    </w:p>
    <w:p w14:paraId="5EB24AF4" w14:textId="77777777" w:rsidR="00136D2A" w:rsidRDefault="00136D2A" w:rsidP="00A64364">
      <w:pPr>
        <w:spacing w:after="0" w:line="240" w:lineRule="auto"/>
        <w:ind w:firstLine="708"/>
        <w:jc w:val="both"/>
        <w:rPr>
          <w:rFonts w:ascii="Times New Roman" w:hAnsi="Times New Roman" w:cs="Times New Roman"/>
          <w:sz w:val="24"/>
          <w:szCs w:val="24"/>
        </w:rPr>
      </w:pPr>
    </w:p>
    <w:p w14:paraId="78F264C1" w14:textId="77777777" w:rsidR="00136D2A" w:rsidRDefault="00136D2A" w:rsidP="00A6436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 transpozičnej prílohe sa tiež vypúšťa citácia smernice</w:t>
      </w:r>
      <w:r w:rsidRPr="003600E1">
        <w:rPr>
          <w:rFonts w:ascii="Times New Roman" w:hAnsi="Times New Roman" w:cs="Times New Roman"/>
          <w:sz w:val="24"/>
          <w:szCs w:val="24"/>
        </w:rPr>
        <w:t xml:space="preserve"> Komisie 2006/141/ES z 22. decembra 2006 o počiatočnej dojčenskej výžive a následnej dojčenskej výžive a o zmene a doplnení smernice 1999/21/ES (Ú. v. EÚ L 401, 30. 12. 2006) v znení smernice Komisie 2013/26/EÚ z 8. februára 2013 (Ú. v. EÚ L 158, 10. 6. 2013)</w:t>
      </w:r>
      <w:r>
        <w:rPr>
          <w:rFonts w:ascii="Times New Roman" w:hAnsi="Times New Roman" w:cs="Times New Roman"/>
          <w:sz w:val="24"/>
          <w:szCs w:val="24"/>
        </w:rPr>
        <w:t>, pretože táto smernica už nie je účinná.</w:t>
      </w:r>
      <w:r w:rsidRPr="003600E1">
        <w:t xml:space="preserve"> </w:t>
      </w:r>
      <w:r>
        <w:t>P</w:t>
      </w:r>
      <w:r w:rsidRPr="003600E1">
        <w:rPr>
          <w:rFonts w:ascii="Times New Roman" w:hAnsi="Times New Roman" w:cs="Times New Roman"/>
          <w:sz w:val="24"/>
          <w:szCs w:val="24"/>
        </w:rPr>
        <w:t>odľa bodu 62.14. prílohy č. 1 k Legislatívnym pravidlám vlády SR: „Právne záväzné akty Európskej únie, ktoré boli zrušené a nie sú účinné, sa vypustia.“</w:t>
      </w:r>
    </w:p>
    <w:p w14:paraId="06103275" w14:textId="0FF98443" w:rsidR="00136D2A" w:rsidRDefault="00136D2A" w:rsidP="00A64364">
      <w:pPr>
        <w:spacing w:after="0" w:line="240" w:lineRule="auto"/>
        <w:jc w:val="both"/>
        <w:rPr>
          <w:rFonts w:ascii="Times New Roman" w:hAnsi="Times New Roman" w:cs="Times New Roman"/>
          <w:sz w:val="24"/>
          <w:szCs w:val="24"/>
        </w:rPr>
      </w:pPr>
    </w:p>
    <w:p w14:paraId="7253CB23" w14:textId="77777777" w:rsidR="00D671AF" w:rsidRDefault="00D671AF" w:rsidP="00A64364">
      <w:pPr>
        <w:spacing w:after="0" w:line="240" w:lineRule="auto"/>
        <w:jc w:val="both"/>
        <w:rPr>
          <w:rFonts w:ascii="Times New Roman" w:hAnsi="Times New Roman" w:cs="Times New Roman"/>
          <w:sz w:val="24"/>
          <w:szCs w:val="24"/>
        </w:rPr>
      </w:pPr>
    </w:p>
    <w:p w14:paraId="0EAED87F" w14:textId="547263FD" w:rsidR="00F9121B" w:rsidRPr="00F9121B" w:rsidRDefault="00F9121B" w:rsidP="00A64364">
      <w:pPr>
        <w:spacing w:after="0" w:line="240" w:lineRule="auto"/>
        <w:jc w:val="both"/>
        <w:rPr>
          <w:rFonts w:ascii="Times New Roman" w:hAnsi="Times New Roman" w:cs="Times New Roman"/>
          <w:b/>
          <w:sz w:val="24"/>
          <w:szCs w:val="24"/>
        </w:rPr>
      </w:pPr>
      <w:r w:rsidRPr="00F9121B">
        <w:rPr>
          <w:rFonts w:ascii="Times New Roman" w:hAnsi="Times New Roman" w:cs="Times New Roman"/>
          <w:b/>
          <w:sz w:val="24"/>
          <w:szCs w:val="24"/>
        </w:rPr>
        <w:t>K čl. II</w:t>
      </w:r>
      <w:r w:rsidR="00B04FF9">
        <w:rPr>
          <w:rFonts w:ascii="Times New Roman" w:hAnsi="Times New Roman" w:cs="Times New Roman"/>
          <w:b/>
          <w:sz w:val="24"/>
          <w:szCs w:val="24"/>
        </w:rPr>
        <w:t>I</w:t>
      </w:r>
    </w:p>
    <w:p w14:paraId="205FD7E5" w14:textId="77777777" w:rsidR="00136D2A" w:rsidRPr="0062081A" w:rsidRDefault="00136D2A" w:rsidP="00A64364">
      <w:pPr>
        <w:spacing w:after="0" w:line="240" w:lineRule="auto"/>
        <w:jc w:val="both"/>
        <w:rPr>
          <w:rFonts w:ascii="Times New Roman" w:hAnsi="Times New Roman" w:cs="Times New Roman"/>
          <w:i/>
          <w:sz w:val="24"/>
          <w:szCs w:val="24"/>
        </w:rPr>
      </w:pPr>
      <w:r w:rsidRPr="0062081A">
        <w:rPr>
          <w:rFonts w:ascii="Times New Roman" w:hAnsi="Times New Roman" w:cs="Times New Roman"/>
          <w:i/>
          <w:sz w:val="24"/>
          <w:szCs w:val="24"/>
        </w:rPr>
        <w:t>(zákon č. 192/2023 Z. z.)</w:t>
      </w:r>
    </w:p>
    <w:p w14:paraId="17EA23F1" w14:textId="77777777" w:rsidR="00136D2A" w:rsidRDefault="00136D2A" w:rsidP="00A64364">
      <w:pPr>
        <w:spacing w:after="0" w:line="240" w:lineRule="auto"/>
        <w:jc w:val="both"/>
        <w:rPr>
          <w:rFonts w:ascii="Times New Roman" w:hAnsi="Times New Roman" w:cs="Times New Roman"/>
          <w:sz w:val="24"/>
          <w:szCs w:val="24"/>
        </w:rPr>
      </w:pPr>
    </w:p>
    <w:p w14:paraId="0C718D6D" w14:textId="77777777" w:rsidR="00136D2A" w:rsidRDefault="00136D2A" w:rsidP="00A6436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Novelizácia </w:t>
      </w:r>
      <w:r w:rsidRPr="00EF64BF">
        <w:rPr>
          <w:rFonts w:ascii="Times New Roman" w:hAnsi="Times New Roman" w:cs="Times New Roman"/>
          <w:sz w:val="24"/>
          <w:szCs w:val="24"/>
        </w:rPr>
        <w:t>zákona č. 192/2023 Z. z. o registri trestov a o zmene a doplnení niektorých zákonov v znení neskorších predpisov je nevyhnutn</w:t>
      </w:r>
      <w:r>
        <w:rPr>
          <w:rFonts w:ascii="Times New Roman" w:hAnsi="Times New Roman" w:cs="Times New Roman"/>
          <w:sz w:val="24"/>
          <w:szCs w:val="24"/>
        </w:rPr>
        <w:t>á</w:t>
      </w:r>
      <w:r w:rsidRPr="00EF64BF">
        <w:rPr>
          <w:rFonts w:ascii="Times New Roman" w:hAnsi="Times New Roman" w:cs="Times New Roman"/>
          <w:sz w:val="24"/>
          <w:szCs w:val="24"/>
        </w:rPr>
        <w:t xml:space="preserve"> z dôvodu posunutia termínu začatia prevádzky systému ECRIS-TCN, ktorý bol pôvodne </w:t>
      </w:r>
      <w:r>
        <w:rPr>
          <w:rFonts w:ascii="Times New Roman" w:hAnsi="Times New Roman" w:cs="Times New Roman"/>
          <w:sz w:val="24"/>
          <w:szCs w:val="24"/>
        </w:rPr>
        <w:t xml:space="preserve">zo strany Európskej komisie naplánovaný na 1. januára 2026, čomu zodpovedá aj pôvodné nastavenie účinnosti novelizovaného zákona. Podľa čl. 35 ods. 4  nariadenia </w:t>
      </w:r>
      <w:r w:rsidRPr="00EF64BF">
        <w:rPr>
          <w:rFonts w:ascii="Times New Roman" w:hAnsi="Times New Roman" w:cs="Times New Roman"/>
          <w:sz w:val="24"/>
          <w:szCs w:val="24"/>
        </w:rPr>
        <w:t>Európskeho parlamentu a Rady (EÚ) 2019/816 zo 17. apríla 2019, ktorým sa zriaďuje centralizovaný systém na identifikáciu členských štátov, ktoré majú informácie o odsúdeniach štátnych príslušníkov tretích krajín a osôb bez štátnej príslušnosti (ECRIS-TCN), s cieľom doplniť Európsky informačný systém registrov trestov, a ktorým sa mení nariadenie (EÚ) 2018/1726 (Ú. v. EÚ L 135, 22. 5. 2019)</w:t>
      </w:r>
      <w:r>
        <w:rPr>
          <w:rFonts w:ascii="Times New Roman" w:hAnsi="Times New Roman" w:cs="Times New Roman"/>
          <w:sz w:val="24"/>
          <w:szCs w:val="24"/>
        </w:rPr>
        <w:t xml:space="preserve"> Európska komisia rozhoduje o dátume začatia prevádzky systému </w:t>
      </w:r>
      <w:r w:rsidRPr="00EF64BF">
        <w:rPr>
          <w:rFonts w:ascii="Times New Roman" w:hAnsi="Times New Roman" w:cs="Times New Roman"/>
          <w:sz w:val="24"/>
          <w:szCs w:val="24"/>
        </w:rPr>
        <w:t>ECRIS-TCN</w:t>
      </w:r>
      <w:r>
        <w:rPr>
          <w:rFonts w:ascii="Times New Roman" w:hAnsi="Times New Roman" w:cs="Times New Roman"/>
          <w:sz w:val="24"/>
          <w:szCs w:val="24"/>
        </w:rPr>
        <w:t>. Podľa čl. 35 ods. 5 citovaného nariadenia Európska komisia svoje rozhodnutie uverejní v Úradnom vestníku Európskej únie. Berúc do úvahy tento mechanizmus určovania momentu začatia prevádzky systému</w:t>
      </w:r>
      <w:r w:rsidRPr="00EF64BF">
        <w:rPr>
          <w:rFonts w:ascii="Times New Roman" w:hAnsi="Times New Roman" w:cs="Times New Roman"/>
          <w:sz w:val="24"/>
          <w:szCs w:val="24"/>
        </w:rPr>
        <w:t xml:space="preserve"> ECRIS-TCN</w:t>
      </w:r>
      <w:r>
        <w:rPr>
          <w:rFonts w:ascii="Times New Roman" w:hAnsi="Times New Roman" w:cs="Times New Roman"/>
          <w:sz w:val="24"/>
          <w:szCs w:val="24"/>
        </w:rPr>
        <w:t xml:space="preserve"> prekladateľ volí techniku, podľa ktorej odkazuje na citované ustanovenia nariadenia. Dotknutými ustanoveniami zákona o registri trestov, ktoré sú referenčnými z hľadia funkčnosti systému </w:t>
      </w:r>
      <w:r w:rsidRPr="00EF64BF">
        <w:rPr>
          <w:rFonts w:ascii="Times New Roman" w:hAnsi="Times New Roman" w:cs="Times New Roman"/>
          <w:sz w:val="24"/>
          <w:szCs w:val="24"/>
        </w:rPr>
        <w:t>ECRIS-TCN</w:t>
      </w:r>
      <w:r>
        <w:rPr>
          <w:rFonts w:ascii="Times New Roman" w:hAnsi="Times New Roman" w:cs="Times New Roman"/>
          <w:sz w:val="24"/>
          <w:szCs w:val="24"/>
        </w:rPr>
        <w:t>, sú § 12 ods. 5 písm. d) a § 23 zákona o registri trestov. Preto sa vo vzťahu k nim v navrhovanom prechodnom ustanovení zavádza pravidlo, podľa ktorého sa začnú uplatňovať – hoci budú účinné od 1. januára 2026 – až od momentu</w:t>
      </w:r>
      <w:r w:rsidRPr="00F049CC">
        <w:t xml:space="preserve"> </w:t>
      </w:r>
      <w:r w:rsidRPr="00F049CC">
        <w:rPr>
          <w:rFonts w:ascii="Times New Roman" w:hAnsi="Times New Roman" w:cs="Times New Roman"/>
          <w:sz w:val="24"/>
          <w:szCs w:val="24"/>
        </w:rPr>
        <w:t>dňom začatia prevádzky systému na identifikáciu členských štátov, ktoré majú informácie o predchádzajúcich odsúdeniach štátnych príslušníkov tretích krajín</w:t>
      </w:r>
      <w:r>
        <w:rPr>
          <w:rFonts w:ascii="Times New Roman" w:hAnsi="Times New Roman" w:cs="Times New Roman"/>
          <w:sz w:val="24"/>
          <w:szCs w:val="24"/>
        </w:rPr>
        <w:t xml:space="preserve"> (systém </w:t>
      </w:r>
      <w:r w:rsidRPr="00EF64BF">
        <w:rPr>
          <w:rFonts w:ascii="Times New Roman" w:hAnsi="Times New Roman" w:cs="Times New Roman"/>
          <w:sz w:val="24"/>
          <w:szCs w:val="24"/>
        </w:rPr>
        <w:t>ECRIS-TCN</w:t>
      </w:r>
      <w:r>
        <w:rPr>
          <w:rFonts w:ascii="Times New Roman" w:hAnsi="Times New Roman" w:cs="Times New Roman"/>
          <w:sz w:val="24"/>
          <w:szCs w:val="24"/>
        </w:rPr>
        <w:t xml:space="preserve">). </w:t>
      </w:r>
    </w:p>
    <w:p w14:paraId="7B4B3CE6" w14:textId="77777777" w:rsidR="00136D2A" w:rsidRDefault="00136D2A" w:rsidP="00A64364">
      <w:pPr>
        <w:spacing w:after="0" w:line="240" w:lineRule="auto"/>
        <w:ind w:firstLine="708"/>
        <w:jc w:val="both"/>
        <w:rPr>
          <w:rFonts w:ascii="Times New Roman" w:hAnsi="Times New Roman" w:cs="Times New Roman"/>
          <w:sz w:val="24"/>
          <w:szCs w:val="24"/>
        </w:rPr>
      </w:pPr>
    </w:p>
    <w:p w14:paraId="106C4D80" w14:textId="77777777" w:rsidR="00136D2A" w:rsidRDefault="00136D2A" w:rsidP="00A6436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Doplnenie navrhovanej novelizácie zákona o registri trestov do návrhu zákona vzišlo zo zásadnej pripomienky Generálnej prokuratúry Slovenskej republiky. Predkladateľ vyhodnotil uplatnenú zásadnú pripomienku ako opodstatnenú. Preto zaradil novelizáciu zákona o registri trestov do návrhu zákona. Jednotiacim prvkom pre toto riešenie je skutočnosť, že ako nariadenie </w:t>
      </w:r>
      <w:r w:rsidRPr="00EF64BF">
        <w:rPr>
          <w:rFonts w:ascii="Times New Roman" w:hAnsi="Times New Roman" w:cs="Times New Roman"/>
          <w:sz w:val="24"/>
          <w:szCs w:val="24"/>
        </w:rPr>
        <w:t>Európskeho parlamentu a Rady (EÚ) 2019/816 zo 17. apríla 2019, ktorým sa zriaďuje centralizovaný systém na identifikáciu členských štátov, ktoré majú informácie o odsúdeniach štátnych príslušníkov tretích krajín a osôb bez štátnej príslušnosti (ECRIS-TCN), s cieľom doplniť Európsky informačný systém registrov trestov, a ktorým sa mení nariadenie (EÚ) 2018/1726 (Ú. v. EÚ L 135, 22. 5. 2019)</w:t>
      </w:r>
      <w:r>
        <w:rPr>
          <w:rFonts w:ascii="Times New Roman" w:hAnsi="Times New Roman" w:cs="Times New Roman"/>
          <w:sz w:val="24"/>
          <w:szCs w:val="24"/>
        </w:rPr>
        <w:t>, tak aj agenda elektronických dôkazov sú súčasťou širšieho celku, ktorým je justičná spolupráca v trestných veciach.</w:t>
      </w:r>
    </w:p>
    <w:p w14:paraId="19CB3D97" w14:textId="77D4CAA8" w:rsidR="00136D2A" w:rsidRDefault="00136D2A" w:rsidP="00A64364">
      <w:pPr>
        <w:spacing w:after="0" w:line="240" w:lineRule="auto"/>
        <w:jc w:val="both"/>
        <w:rPr>
          <w:rFonts w:ascii="Times New Roman" w:hAnsi="Times New Roman" w:cs="Times New Roman"/>
          <w:b/>
          <w:sz w:val="24"/>
          <w:szCs w:val="24"/>
        </w:rPr>
      </w:pPr>
    </w:p>
    <w:p w14:paraId="344848B8" w14:textId="7DED75C0" w:rsidR="00F9121B" w:rsidRPr="00270F02" w:rsidRDefault="00F9121B" w:rsidP="00A64364">
      <w:pPr>
        <w:spacing w:after="0" w:line="240" w:lineRule="auto"/>
        <w:jc w:val="both"/>
        <w:rPr>
          <w:rFonts w:ascii="Times New Roman" w:hAnsi="Times New Roman" w:cs="Times New Roman"/>
          <w:b/>
          <w:sz w:val="24"/>
          <w:szCs w:val="24"/>
        </w:rPr>
      </w:pPr>
      <w:r w:rsidRPr="00270F02">
        <w:rPr>
          <w:rFonts w:ascii="Times New Roman" w:hAnsi="Times New Roman" w:cs="Times New Roman"/>
          <w:b/>
          <w:sz w:val="24"/>
          <w:szCs w:val="24"/>
        </w:rPr>
        <w:t xml:space="preserve">K čl. </w:t>
      </w:r>
      <w:r w:rsidR="00885487">
        <w:rPr>
          <w:rFonts w:ascii="Times New Roman" w:hAnsi="Times New Roman" w:cs="Times New Roman"/>
          <w:b/>
          <w:sz w:val="24"/>
          <w:szCs w:val="24"/>
        </w:rPr>
        <w:t>IV</w:t>
      </w:r>
    </w:p>
    <w:p w14:paraId="7AD44AD1" w14:textId="28510D18" w:rsidR="00F9121B" w:rsidRPr="007F30F9" w:rsidRDefault="007F30F9" w:rsidP="00A64364">
      <w:pPr>
        <w:spacing w:after="0" w:line="240" w:lineRule="auto"/>
        <w:jc w:val="both"/>
        <w:rPr>
          <w:rFonts w:ascii="Times New Roman" w:hAnsi="Times New Roman" w:cs="Times New Roman"/>
          <w:i/>
          <w:sz w:val="24"/>
          <w:szCs w:val="24"/>
        </w:rPr>
      </w:pPr>
      <w:r w:rsidRPr="007F30F9">
        <w:rPr>
          <w:rFonts w:ascii="Times New Roman" w:hAnsi="Times New Roman" w:cs="Times New Roman"/>
          <w:i/>
          <w:sz w:val="24"/>
          <w:szCs w:val="24"/>
        </w:rPr>
        <w:t>(účinnosť)</w:t>
      </w:r>
    </w:p>
    <w:p w14:paraId="48700964" w14:textId="77777777" w:rsidR="007F30F9" w:rsidRPr="007622D4" w:rsidRDefault="007F30F9" w:rsidP="00A64364">
      <w:pPr>
        <w:spacing w:after="0" w:line="240" w:lineRule="auto"/>
        <w:jc w:val="both"/>
        <w:rPr>
          <w:rFonts w:ascii="Times New Roman" w:hAnsi="Times New Roman" w:cs="Times New Roman"/>
          <w:sz w:val="24"/>
          <w:szCs w:val="24"/>
        </w:rPr>
      </w:pPr>
    </w:p>
    <w:p w14:paraId="6823C172" w14:textId="52382B0C" w:rsidR="006A1E7C" w:rsidRPr="007622D4" w:rsidRDefault="00A6483B" w:rsidP="00A6436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Vzhľadom na potrebu zabezpečiť účinnosť čl. II</w:t>
      </w:r>
      <w:r w:rsidR="00F60951">
        <w:rPr>
          <w:rFonts w:ascii="Times New Roman" w:hAnsi="Times New Roman" w:cs="Times New Roman"/>
          <w:sz w:val="24"/>
          <w:szCs w:val="24"/>
        </w:rPr>
        <w:t>I</w:t>
      </w:r>
      <w:r>
        <w:rPr>
          <w:rFonts w:ascii="Times New Roman" w:hAnsi="Times New Roman" w:cs="Times New Roman"/>
          <w:sz w:val="24"/>
          <w:szCs w:val="24"/>
        </w:rPr>
        <w:t xml:space="preserve"> do 31. decembra 2025 sa navrhuje, aby čl. II</w:t>
      </w:r>
      <w:r w:rsidR="00F60951">
        <w:rPr>
          <w:rFonts w:ascii="Times New Roman" w:hAnsi="Times New Roman" w:cs="Times New Roman"/>
          <w:sz w:val="24"/>
          <w:szCs w:val="24"/>
        </w:rPr>
        <w:t>I</w:t>
      </w:r>
      <w:r>
        <w:rPr>
          <w:rFonts w:ascii="Times New Roman" w:hAnsi="Times New Roman" w:cs="Times New Roman"/>
          <w:sz w:val="24"/>
          <w:szCs w:val="24"/>
        </w:rPr>
        <w:t xml:space="preserve"> nadobudol účinnosť 1. decembra 2025. Vo zvyšku návrhu zákona ú</w:t>
      </w:r>
      <w:r w:rsidR="00DC4874" w:rsidRPr="007622D4">
        <w:rPr>
          <w:rFonts w:ascii="Times New Roman" w:hAnsi="Times New Roman" w:cs="Times New Roman"/>
          <w:sz w:val="24"/>
          <w:szCs w:val="24"/>
        </w:rPr>
        <w:t xml:space="preserve">činnosť kopíruje </w:t>
      </w:r>
      <w:r w:rsidR="00DC4874" w:rsidRPr="007622D4">
        <w:rPr>
          <w:rFonts w:ascii="Times New Roman" w:hAnsi="Times New Roman" w:cs="Times New Roman"/>
          <w:sz w:val="24"/>
          <w:szCs w:val="24"/>
        </w:rPr>
        <w:lastRenderedPageBreak/>
        <w:t>transpozičný termín podľa čl. 7 ods. 1 smernice</w:t>
      </w:r>
      <w:r w:rsidR="005A1754" w:rsidRPr="007622D4">
        <w:rPr>
          <w:rFonts w:ascii="Times New Roman" w:hAnsi="Times New Roman" w:cs="Times New Roman"/>
          <w:sz w:val="24"/>
          <w:szCs w:val="24"/>
        </w:rPr>
        <w:t>, pretože členské štáty musia uviesť do účinnosti zákony, iné právne predpisy a správne opatrenia potrebné na dosiahnutie súladu s touto smernicou do 18. februára 2026</w:t>
      </w:r>
      <w:r w:rsidR="00DC4874" w:rsidRPr="007622D4">
        <w:rPr>
          <w:rFonts w:ascii="Times New Roman" w:hAnsi="Times New Roman" w:cs="Times New Roman"/>
          <w:sz w:val="24"/>
          <w:szCs w:val="24"/>
        </w:rPr>
        <w:t xml:space="preserve">. </w:t>
      </w:r>
    </w:p>
    <w:p w14:paraId="3EC1305E" w14:textId="77777777" w:rsidR="006A1E7C" w:rsidRPr="007622D4" w:rsidRDefault="006A1E7C" w:rsidP="00A64364">
      <w:pPr>
        <w:spacing w:after="0" w:line="240" w:lineRule="auto"/>
        <w:jc w:val="both"/>
        <w:rPr>
          <w:rFonts w:ascii="Times New Roman" w:hAnsi="Times New Roman" w:cs="Times New Roman"/>
          <w:sz w:val="24"/>
          <w:szCs w:val="24"/>
        </w:rPr>
      </w:pPr>
    </w:p>
    <w:p w14:paraId="14696CF4" w14:textId="77777777" w:rsidR="004F7B27" w:rsidRPr="00395BD4" w:rsidRDefault="006A1E7C" w:rsidP="00A64364">
      <w:pPr>
        <w:spacing w:after="0" w:line="240" w:lineRule="auto"/>
        <w:jc w:val="both"/>
        <w:rPr>
          <w:rFonts w:ascii="Times New Roman" w:hAnsi="Times New Roman" w:cs="Times New Roman"/>
          <w:b/>
          <w:sz w:val="24"/>
          <w:szCs w:val="24"/>
        </w:rPr>
      </w:pPr>
      <w:r w:rsidRPr="00395BD4">
        <w:rPr>
          <w:rFonts w:ascii="Times New Roman" w:hAnsi="Times New Roman" w:cs="Times New Roman"/>
          <w:b/>
          <w:sz w:val="24"/>
          <w:szCs w:val="24"/>
        </w:rPr>
        <w:t>K prílohe</w:t>
      </w:r>
    </w:p>
    <w:p w14:paraId="2B858836" w14:textId="77777777" w:rsidR="006A1E7C" w:rsidRPr="007622D4" w:rsidRDefault="006A1E7C" w:rsidP="00A64364">
      <w:pPr>
        <w:spacing w:after="0" w:line="240" w:lineRule="auto"/>
        <w:jc w:val="both"/>
        <w:rPr>
          <w:rFonts w:ascii="Times New Roman" w:hAnsi="Times New Roman" w:cs="Times New Roman"/>
          <w:sz w:val="24"/>
          <w:szCs w:val="24"/>
        </w:rPr>
      </w:pPr>
    </w:p>
    <w:p w14:paraId="0D78D50C" w14:textId="741EEA13" w:rsidR="00BA6DA7" w:rsidRDefault="00D64050" w:rsidP="00A64364">
      <w:pPr>
        <w:spacing w:after="0" w:line="240" w:lineRule="auto"/>
        <w:ind w:firstLine="708"/>
        <w:jc w:val="both"/>
        <w:rPr>
          <w:rFonts w:ascii="Times New Roman" w:hAnsi="Times New Roman" w:cs="Times New Roman"/>
          <w:sz w:val="24"/>
          <w:szCs w:val="24"/>
        </w:rPr>
      </w:pPr>
      <w:r w:rsidRPr="007622D4">
        <w:rPr>
          <w:rFonts w:ascii="Times New Roman" w:hAnsi="Times New Roman" w:cs="Times New Roman"/>
          <w:sz w:val="24"/>
          <w:szCs w:val="24"/>
        </w:rPr>
        <w:t>V</w:t>
      </w:r>
      <w:r w:rsidR="0070125E">
        <w:rPr>
          <w:rFonts w:ascii="Times New Roman" w:hAnsi="Times New Roman" w:cs="Times New Roman"/>
          <w:sz w:val="24"/>
          <w:szCs w:val="24"/>
        </w:rPr>
        <w:t xml:space="preserve"> transpozičnej </w:t>
      </w:r>
      <w:r w:rsidRPr="007622D4">
        <w:rPr>
          <w:rFonts w:ascii="Times New Roman" w:hAnsi="Times New Roman" w:cs="Times New Roman"/>
          <w:sz w:val="24"/>
          <w:szCs w:val="24"/>
        </w:rPr>
        <w:t>prílohe sa uvádza smernica, ktorá je predmetom transpozície.</w:t>
      </w:r>
    </w:p>
    <w:p w14:paraId="6106CAFE" w14:textId="1144B33C" w:rsidR="00A64364" w:rsidRDefault="00A64364" w:rsidP="00A64364">
      <w:pPr>
        <w:spacing w:after="0" w:line="240" w:lineRule="auto"/>
        <w:jc w:val="both"/>
        <w:rPr>
          <w:rFonts w:ascii="Times New Roman" w:hAnsi="Times New Roman" w:cs="Times New Roman"/>
          <w:sz w:val="24"/>
          <w:szCs w:val="24"/>
        </w:rPr>
      </w:pPr>
    </w:p>
    <w:p w14:paraId="2DD4CF47" w14:textId="3DC845B9" w:rsidR="00A64364" w:rsidRPr="0048189C" w:rsidRDefault="00A64364" w:rsidP="00A64364">
      <w:pPr>
        <w:spacing w:after="0" w:line="240" w:lineRule="auto"/>
        <w:jc w:val="both"/>
        <w:rPr>
          <w:rFonts w:ascii="Times New Roman" w:eastAsia="Times New Roman" w:hAnsi="Times New Roman" w:cs="Times New Roman"/>
          <w:sz w:val="24"/>
          <w:szCs w:val="24"/>
          <w:lang w:eastAsia="sk-SK"/>
        </w:rPr>
      </w:pPr>
      <w:r w:rsidRPr="0048189C">
        <w:rPr>
          <w:rFonts w:ascii="Times New Roman" w:eastAsia="Times New Roman" w:hAnsi="Times New Roman" w:cs="Times New Roman"/>
          <w:bCs/>
          <w:sz w:val="24"/>
          <w:szCs w:val="24"/>
          <w:lang w:eastAsia="sk-SK"/>
        </w:rPr>
        <w:t>V Bratislave, 20. augusta 2025</w:t>
      </w:r>
    </w:p>
    <w:p w14:paraId="5820AC83" w14:textId="77777777" w:rsidR="00A64364" w:rsidRPr="0048189C" w:rsidRDefault="00A64364" w:rsidP="00A64364">
      <w:pPr>
        <w:spacing w:after="0" w:line="240" w:lineRule="auto"/>
        <w:jc w:val="center"/>
        <w:rPr>
          <w:rFonts w:ascii="Times New Roman" w:hAnsi="Times New Roman" w:cs="Times New Roman"/>
          <w:b/>
          <w:sz w:val="24"/>
          <w:szCs w:val="24"/>
        </w:rPr>
      </w:pPr>
    </w:p>
    <w:p w14:paraId="7886EFA2" w14:textId="77777777" w:rsidR="00A64364" w:rsidRPr="0048189C" w:rsidRDefault="00A64364" w:rsidP="00A64364">
      <w:pPr>
        <w:spacing w:after="0" w:line="240" w:lineRule="auto"/>
        <w:jc w:val="center"/>
        <w:rPr>
          <w:rFonts w:ascii="Times New Roman" w:hAnsi="Times New Roman" w:cs="Times New Roman"/>
          <w:b/>
          <w:sz w:val="24"/>
          <w:szCs w:val="24"/>
        </w:rPr>
      </w:pPr>
    </w:p>
    <w:p w14:paraId="6BA41615" w14:textId="77777777" w:rsidR="00A64364" w:rsidRPr="0048189C" w:rsidRDefault="00A64364" w:rsidP="00A64364">
      <w:pPr>
        <w:spacing w:after="0" w:line="240" w:lineRule="auto"/>
        <w:jc w:val="center"/>
        <w:rPr>
          <w:rFonts w:ascii="Times New Roman" w:hAnsi="Times New Roman" w:cs="Times New Roman"/>
          <w:b/>
          <w:sz w:val="24"/>
          <w:szCs w:val="24"/>
        </w:rPr>
      </w:pPr>
    </w:p>
    <w:p w14:paraId="10F003C4" w14:textId="77777777" w:rsidR="00A64364" w:rsidRPr="0048189C" w:rsidRDefault="00A64364" w:rsidP="00A64364">
      <w:pPr>
        <w:spacing w:after="0" w:line="240" w:lineRule="auto"/>
        <w:jc w:val="center"/>
        <w:rPr>
          <w:rFonts w:ascii="Times New Roman" w:hAnsi="Times New Roman" w:cs="Times New Roman"/>
          <w:b/>
          <w:sz w:val="24"/>
          <w:szCs w:val="24"/>
        </w:rPr>
      </w:pPr>
    </w:p>
    <w:p w14:paraId="62CD2B7A" w14:textId="5CFC037D" w:rsidR="00A64364" w:rsidRPr="0048189C" w:rsidRDefault="00A64364" w:rsidP="00A64364">
      <w:pPr>
        <w:spacing w:after="0" w:line="240" w:lineRule="auto"/>
        <w:jc w:val="center"/>
        <w:rPr>
          <w:rFonts w:ascii="Times New Roman" w:hAnsi="Times New Roman" w:cs="Times New Roman"/>
          <w:b/>
          <w:sz w:val="24"/>
          <w:szCs w:val="24"/>
        </w:rPr>
      </w:pPr>
      <w:r w:rsidRPr="0048189C">
        <w:rPr>
          <w:rFonts w:ascii="Times New Roman" w:hAnsi="Times New Roman" w:cs="Times New Roman"/>
          <w:b/>
          <w:sz w:val="24"/>
          <w:szCs w:val="24"/>
        </w:rPr>
        <w:t>Robert Fico</w:t>
      </w:r>
      <w:r w:rsidR="001A310D">
        <w:rPr>
          <w:rFonts w:ascii="Times New Roman" w:hAnsi="Times New Roman" w:cs="Times New Roman"/>
          <w:b/>
          <w:sz w:val="24"/>
          <w:szCs w:val="24"/>
        </w:rPr>
        <w:t>, v. r.</w:t>
      </w:r>
    </w:p>
    <w:p w14:paraId="7409C6C7" w14:textId="77777777" w:rsidR="00A64364" w:rsidRPr="0048189C" w:rsidRDefault="00A64364" w:rsidP="00A64364">
      <w:pPr>
        <w:spacing w:after="0" w:line="240" w:lineRule="auto"/>
        <w:jc w:val="center"/>
        <w:rPr>
          <w:rFonts w:ascii="Times New Roman" w:hAnsi="Times New Roman" w:cs="Times New Roman"/>
          <w:sz w:val="24"/>
          <w:szCs w:val="24"/>
        </w:rPr>
      </w:pPr>
      <w:r w:rsidRPr="0048189C">
        <w:rPr>
          <w:rFonts w:ascii="Times New Roman" w:hAnsi="Times New Roman" w:cs="Times New Roman"/>
          <w:sz w:val="24"/>
          <w:szCs w:val="24"/>
        </w:rPr>
        <w:t>predseda vlády Slovenskej republiky</w:t>
      </w:r>
    </w:p>
    <w:p w14:paraId="361BA9DE" w14:textId="77777777" w:rsidR="00A64364" w:rsidRPr="0048189C" w:rsidRDefault="00A64364" w:rsidP="00A64364">
      <w:pPr>
        <w:spacing w:after="0" w:line="240" w:lineRule="auto"/>
        <w:jc w:val="center"/>
        <w:rPr>
          <w:rFonts w:ascii="Times New Roman" w:hAnsi="Times New Roman" w:cs="Times New Roman"/>
          <w:b/>
          <w:sz w:val="24"/>
          <w:szCs w:val="24"/>
        </w:rPr>
      </w:pPr>
    </w:p>
    <w:p w14:paraId="5E5080F0" w14:textId="77777777" w:rsidR="00A64364" w:rsidRPr="0048189C" w:rsidRDefault="00A64364" w:rsidP="00A64364">
      <w:pPr>
        <w:spacing w:after="0" w:line="240" w:lineRule="auto"/>
        <w:jc w:val="center"/>
        <w:rPr>
          <w:rFonts w:ascii="Times New Roman" w:hAnsi="Times New Roman" w:cs="Times New Roman"/>
          <w:b/>
          <w:sz w:val="24"/>
          <w:szCs w:val="24"/>
        </w:rPr>
      </w:pPr>
      <w:bookmarkStart w:id="0" w:name="_GoBack"/>
      <w:bookmarkEnd w:id="0"/>
    </w:p>
    <w:p w14:paraId="516F687A" w14:textId="77777777" w:rsidR="00A64364" w:rsidRPr="0048189C" w:rsidRDefault="00A64364" w:rsidP="00A64364">
      <w:pPr>
        <w:spacing w:after="0" w:line="240" w:lineRule="auto"/>
        <w:jc w:val="center"/>
        <w:rPr>
          <w:rFonts w:ascii="Times New Roman" w:hAnsi="Times New Roman" w:cs="Times New Roman"/>
          <w:b/>
          <w:sz w:val="24"/>
          <w:szCs w:val="24"/>
        </w:rPr>
      </w:pPr>
    </w:p>
    <w:p w14:paraId="3A0802BD" w14:textId="77777777" w:rsidR="00A64364" w:rsidRPr="0048189C" w:rsidRDefault="00A64364" w:rsidP="00A64364">
      <w:pPr>
        <w:spacing w:after="0" w:line="240" w:lineRule="auto"/>
        <w:jc w:val="center"/>
        <w:rPr>
          <w:rFonts w:ascii="Times New Roman" w:hAnsi="Times New Roman" w:cs="Times New Roman"/>
          <w:b/>
          <w:sz w:val="24"/>
          <w:szCs w:val="24"/>
        </w:rPr>
      </w:pPr>
    </w:p>
    <w:p w14:paraId="605DCE25" w14:textId="77777777" w:rsidR="00A64364" w:rsidRPr="0048189C" w:rsidRDefault="00A64364" w:rsidP="00A64364">
      <w:pPr>
        <w:spacing w:after="0" w:line="240" w:lineRule="auto"/>
        <w:jc w:val="center"/>
        <w:rPr>
          <w:rFonts w:ascii="Times New Roman" w:hAnsi="Times New Roman" w:cs="Times New Roman"/>
          <w:b/>
          <w:sz w:val="24"/>
          <w:szCs w:val="24"/>
        </w:rPr>
      </w:pPr>
    </w:p>
    <w:p w14:paraId="09BA5835" w14:textId="77777777" w:rsidR="00A64364" w:rsidRPr="0048189C" w:rsidRDefault="00A64364" w:rsidP="00A64364">
      <w:pPr>
        <w:spacing w:after="0" w:line="240" w:lineRule="auto"/>
        <w:jc w:val="center"/>
        <w:rPr>
          <w:rFonts w:ascii="Times New Roman" w:hAnsi="Times New Roman" w:cs="Times New Roman"/>
          <w:b/>
          <w:sz w:val="24"/>
          <w:szCs w:val="24"/>
        </w:rPr>
      </w:pPr>
    </w:p>
    <w:p w14:paraId="4CD698E8" w14:textId="012CFF85" w:rsidR="00A64364" w:rsidRPr="0048189C" w:rsidRDefault="00A64364" w:rsidP="00A64364">
      <w:pPr>
        <w:spacing w:after="0" w:line="240" w:lineRule="auto"/>
        <w:jc w:val="center"/>
        <w:rPr>
          <w:rFonts w:ascii="Times New Roman" w:hAnsi="Times New Roman" w:cs="Times New Roman"/>
          <w:b/>
          <w:sz w:val="24"/>
          <w:szCs w:val="24"/>
        </w:rPr>
      </w:pPr>
      <w:r w:rsidRPr="0048189C">
        <w:rPr>
          <w:rFonts w:ascii="Times New Roman" w:hAnsi="Times New Roman" w:cs="Times New Roman"/>
          <w:b/>
          <w:sz w:val="24"/>
          <w:szCs w:val="24"/>
        </w:rPr>
        <w:t>Boris Susko</w:t>
      </w:r>
      <w:r w:rsidR="001A310D">
        <w:rPr>
          <w:rFonts w:ascii="Times New Roman" w:hAnsi="Times New Roman" w:cs="Times New Roman"/>
          <w:b/>
          <w:sz w:val="24"/>
          <w:szCs w:val="24"/>
        </w:rPr>
        <w:t>, v.</w:t>
      </w:r>
      <w:r w:rsidR="001A310D">
        <w:rPr>
          <w:rFonts w:ascii="Times New Roman" w:hAnsi="Times New Roman" w:cs="Times New Roman"/>
          <w:b/>
          <w:sz w:val="24"/>
          <w:szCs w:val="24"/>
        </w:rPr>
        <w:t xml:space="preserve"> </w:t>
      </w:r>
      <w:r w:rsidR="001A310D">
        <w:rPr>
          <w:rFonts w:ascii="Times New Roman" w:hAnsi="Times New Roman" w:cs="Times New Roman"/>
          <w:b/>
          <w:sz w:val="24"/>
          <w:szCs w:val="24"/>
        </w:rPr>
        <w:t>r.</w:t>
      </w:r>
    </w:p>
    <w:p w14:paraId="5FB4EA33" w14:textId="77777777" w:rsidR="00A64364" w:rsidRDefault="00A64364" w:rsidP="00A64364">
      <w:pPr>
        <w:spacing w:after="0" w:line="240" w:lineRule="auto"/>
        <w:jc w:val="center"/>
        <w:rPr>
          <w:rFonts w:ascii="Times New Roman" w:hAnsi="Times New Roman" w:cs="Times New Roman"/>
          <w:sz w:val="24"/>
          <w:szCs w:val="24"/>
        </w:rPr>
      </w:pPr>
      <w:r w:rsidRPr="0048189C">
        <w:rPr>
          <w:rFonts w:ascii="Times New Roman" w:hAnsi="Times New Roman" w:cs="Times New Roman"/>
          <w:sz w:val="24"/>
          <w:szCs w:val="24"/>
        </w:rPr>
        <w:t>minister spravodlivosti Slovenskej republiky</w:t>
      </w:r>
    </w:p>
    <w:p w14:paraId="139CBC19" w14:textId="77777777" w:rsidR="00A64364" w:rsidRPr="007622D4" w:rsidRDefault="00A64364" w:rsidP="00A64364">
      <w:pPr>
        <w:spacing w:after="0" w:line="240" w:lineRule="auto"/>
        <w:jc w:val="both"/>
        <w:rPr>
          <w:rFonts w:ascii="Times New Roman" w:hAnsi="Times New Roman" w:cs="Times New Roman"/>
          <w:sz w:val="24"/>
          <w:szCs w:val="24"/>
        </w:rPr>
      </w:pPr>
    </w:p>
    <w:sectPr w:rsidR="00A64364" w:rsidRPr="007622D4" w:rsidSect="00CB5217">
      <w:footerReference w:type="default" r:id="rId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180D2" w14:textId="77777777" w:rsidR="00BD61BE" w:rsidRDefault="00BD61BE" w:rsidP="00CB5217">
      <w:pPr>
        <w:spacing w:after="0" w:line="240" w:lineRule="auto"/>
      </w:pPr>
      <w:r>
        <w:separator/>
      </w:r>
    </w:p>
  </w:endnote>
  <w:endnote w:type="continuationSeparator" w:id="0">
    <w:p w14:paraId="156A80F0" w14:textId="77777777" w:rsidR="00BD61BE" w:rsidRDefault="00BD61BE" w:rsidP="00CB5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2050745617"/>
      <w:docPartObj>
        <w:docPartGallery w:val="Page Numbers (Bottom of Page)"/>
        <w:docPartUnique/>
      </w:docPartObj>
    </w:sdtPr>
    <w:sdtEndPr/>
    <w:sdtContent>
      <w:p w14:paraId="1FFEB624" w14:textId="086501AD" w:rsidR="00CB5217" w:rsidRPr="00CB5217" w:rsidRDefault="00CB5217">
        <w:pPr>
          <w:pStyle w:val="Pta"/>
          <w:jc w:val="center"/>
          <w:rPr>
            <w:rFonts w:ascii="Times New Roman" w:hAnsi="Times New Roman" w:cs="Times New Roman"/>
            <w:sz w:val="24"/>
          </w:rPr>
        </w:pPr>
        <w:r w:rsidRPr="00CB5217">
          <w:rPr>
            <w:rFonts w:ascii="Times New Roman" w:hAnsi="Times New Roman" w:cs="Times New Roman"/>
            <w:sz w:val="24"/>
          </w:rPr>
          <w:fldChar w:fldCharType="begin"/>
        </w:r>
        <w:r w:rsidRPr="00CB5217">
          <w:rPr>
            <w:rFonts w:ascii="Times New Roman" w:hAnsi="Times New Roman" w:cs="Times New Roman"/>
            <w:sz w:val="24"/>
          </w:rPr>
          <w:instrText>PAGE   \* MERGEFORMAT</w:instrText>
        </w:r>
        <w:r w:rsidRPr="00CB5217">
          <w:rPr>
            <w:rFonts w:ascii="Times New Roman" w:hAnsi="Times New Roman" w:cs="Times New Roman"/>
            <w:sz w:val="24"/>
          </w:rPr>
          <w:fldChar w:fldCharType="separate"/>
        </w:r>
        <w:r w:rsidR="001A310D">
          <w:rPr>
            <w:rFonts w:ascii="Times New Roman" w:hAnsi="Times New Roman" w:cs="Times New Roman"/>
            <w:noProof/>
            <w:sz w:val="24"/>
          </w:rPr>
          <w:t>18</w:t>
        </w:r>
        <w:r w:rsidRPr="00CB5217">
          <w:rPr>
            <w:rFonts w:ascii="Times New Roman" w:hAnsi="Times New Roman" w:cs="Times New Roman"/>
            <w:sz w:val="24"/>
          </w:rPr>
          <w:fldChar w:fldCharType="end"/>
        </w:r>
      </w:p>
    </w:sdtContent>
  </w:sdt>
  <w:p w14:paraId="099E4B8A" w14:textId="77777777" w:rsidR="00CB5217" w:rsidRPr="00CB5217" w:rsidRDefault="00CB5217">
    <w:pPr>
      <w:pStyle w:val="Pta"/>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CB5A8" w14:textId="77777777" w:rsidR="00BD61BE" w:rsidRDefault="00BD61BE" w:rsidP="00CB5217">
      <w:pPr>
        <w:spacing w:after="0" w:line="240" w:lineRule="auto"/>
      </w:pPr>
      <w:r>
        <w:separator/>
      </w:r>
    </w:p>
  </w:footnote>
  <w:footnote w:type="continuationSeparator" w:id="0">
    <w:p w14:paraId="7019E95E" w14:textId="77777777" w:rsidR="00BD61BE" w:rsidRDefault="00BD61BE" w:rsidP="00CB52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71340"/>
    <w:multiLevelType w:val="hybridMultilevel"/>
    <w:tmpl w:val="8D78DD6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80902D6"/>
    <w:multiLevelType w:val="hybridMultilevel"/>
    <w:tmpl w:val="FFE6D2EE"/>
    <w:lvl w:ilvl="0" w:tplc="58FEA380">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536"/>
    <w:rsid w:val="00003FEE"/>
    <w:rsid w:val="00004E45"/>
    <w:rsid w:val="00005925"/>
    <w:rsid w:val="00006D46"/>
    <w:rsid w:val="000101DF"/>
    <w:rsid w:val="0002669C"/>
    <w:rsid w:val="00027797"/>
    <w:rsid w:val="0003130B"/>
    <w:rsid w:val="0003376B"/>
    <w:rsid w:val="00034549"/>
    <w:rsid w:val="00034968"/>
    <w:rsid w:val="000356C3"/>
    <w:rsid w:val="00035959"/>
    <w:rsid w:val="00037028"/>
    <w:rsid w:val="000431CD"/>
    <w:rsid w:val="00051A96"/>
    <w:rsid w:val="00056545"/>
    <w:rsid w:val="0005750F"/>
    <w:rsid w:val="00060D22"/>
    <w:rsid w:val="00073C01"/>
    <w:rsid w:val="0007446C"/>
    <w:rsid w:val="00074AF5"/>
    <w:rsid w:val="000771EE"/>
    <w:rsid w:val="00080C86"/>
    <w:rsid w:val="00084813"/>
    <w:rsid w:val="000857A1"/>
    <w:rsid w:val="00086668"/>
    <w:rsid w:val="00087387"/>
    <w:rsid w:val="00091341"/>
    <w:rsid w:val="00094DE0"/>
    <w:rsid w:val="0009531B"/>
    <w:rsid w:val="00097BF8"/>
    <w:rsid w:val="000A3820"/>
    <w:rsid w:val="000A5132"/>
    <w:rsid w:val="000A72FD"/>
    <w:rsid w:val="000B2871"/>
    <w:rsid w:val="000B3023"/>
    <w:rsid w:val="000B6C7B"/>
    <w:rsid w:val="000C233B"/>
    <w:rsid w:val="000D4E25"/>
    <w:rsid w:val="000D544F"/>
    <w:rsid w:val="000D7FC7"/>
    <w:rsid w:val="000E01A4"/>
    <w:rsid w:val="000E78E4"/>
    <w:rsid w:val="000F665C"/>
    <w:rsid w:val="000F6AE0"/>
    <w:rsid w:val="001013BA"/>
    <w:rsid w:val="00107284"/>
    <w:rsid w:val="00107A64"/>
    <w:rsid w:val="001104D1"/>
    <w:rsid w:val="00110F8A"/>
    <w:rsid w:val="00114E11"/>
    <w:rsid w:val="00125C19"/>
    <w:rsid w:val="00126815"/>
    <w:rsid w:val="001306EA"/>
    <w:rsid w:val="00131651"/>
    <w:rsid w:val="00133871"/>
    <w:rsid w:val="0013472F"/>
    <w:rsid w:val="0013506B"/>
    <w:rsid w:val="00136963"/>
    <w:rsid w:val="00136D2A"/>
    <w:rsid w:val="00144208"/>
    <w:rsid w:val="00144E6A"/>
    <w:rsid w:val="0014521F"/>
    <w:rsid w:val="00145F27"/>
    <w:rsid w:val="00146C56"/>
    <w:rsid w:val="0014763C"/>
    <w:rsid w:val="00151098"/>
    <w:rsid w:val="00151E32"/>
    <w:rsid w:val="00152A39"/>
    <w:rsid w:val="00160039"/>
    <w:rsid w:val="00161820"/>
    <w:rsid w:val="00165B54"/>
    <w:rsid w:val="00165F60"/>
    <w:rsid w:val="00174C20"/>
    <w:rsid w:val="001767F2"/>
    <w:rsid w:val="00183B08"/>
    <w:rsid w:val="0018657E"/>
    <w:rsid w:val="001903DC"/>
    <w:rsid w:val="00193EE1"/>
    <w:rsid w:val="00196C13"/>
    <w:rsid w:val="001970D5"/>
    <w:rsid w:val="001A2781"/>
    <w:rsid w:val="001A310D"/>
    <w:rsid w:val="001A34B5"/>
    <w:rsid w:val="001A453D"/>
    <w:rsid w:val="001B0321"/>
    <w:rsid w:val="001B061E"/>
    <w:rsid w:val="001C06FF"/>
    <w:rsid w:val="001C7B04"/>
    <w:rsid w:val="001D0750"/>
    <w:rsid w:val="001D27A3"/>
    <w:rsid w:val="001D6091"/>
    <w:rsid w:val="001D72FA"/>
    <w:rsid w:val="001E0589"/>
    <w:rsid w:val="001E0B2B"/>
    <w:rsid w:val="001E28C9"/>
    <w:rsid w:val="001E43FC"/>
    <w:rsid w:val="001E4C30"/>
    <w:rsid w:val="001E6778"/>
    <w:rsid w:val="001F0800"/>
    <w:rsid w:val="0020002F"/>
    <w:rsid w:val="00204E69"/>
    <w:rsid w:val="00204F55"/>
    <w:rsid w:val="002061C9"/>
    <w:rsid w:val="00207868"/>
    <w:rsid w:val="00207D0C"/>
    <w:rsid w:val="00211F9A"/>
    <w:rsid w:val="002151EE"/>
    <w:rsid w:val="00227EB8"/>
    <w:rsid w:val="00233AE0"/>
    <w:rsid w:val="002347FA"/>
    <w:rsid w:val="00244F72"/>
    <w:rsid w:val="00251515"/>
    <w:rsid w:val="00251804"/>
    <w:rsid w:val="00251B0F"/>
    <w:rsid w:val="00251C18"/>
    <w:rsid w:val="002527E2"/>
    <w:rsid w:val="002536F2"/>
    <w:rsid w:val="0025559E"/>
    <w:rsid w:val="002558F3"/>
    <w:rsid w:val="00256D63"/>
    <w:rsid w:val="00263A2F"/>
    <w:rsid w:val="00264970"/>
    <w:rsid w:val="002672F6"/>
    <w:rsid w:val="0026736E"/>
    <w:rsid w:val="00270F02"/>
    <w:rsid w:val="00271158"/>
    <w:rsid w:val="00273368"/>
    <w:rsid w:val="0029341D"/>
    <w:rsid w:val="00294450"/>
    <w:rsid w:val="002966E5"/>
    <w:rsid w:val="002A33CA"/>
    <w:rsid w:val="002A4DD1"/>
    <w:rsid w:val="002A5F9D"/>
    <w:rsid w:val="002A614E"/>
    <w:rsid w:val="002A7EDC"/>
    <w:rsid w:val="002B091F"/>
    <w:rsid w:val="002B0BA3"/>
    <w:rsid w:val="002B1E61"/>
    <w:rsid w:val="002B329D"/>
    <w:rsid w:val="002B4527"/>
    <w:rsid w:val="002B73AD"/>
    <w:rsid w:val="002C0DDC"/>
    <w:rsid w:val="002C293C"/>
    <w:rsid w:val="002C57A9"/>
    <w:rsid w:val="002D2122"/>
    <w:rsid w:val="002D3577"/>
    <w:rsid w:val="002D630B"/>
    <w:rsid w:val="002E37D9"/>
    <w:rsid w:val="002E3958"/>
    <w:rsid w:val="002E4043"/>
    <w:rsid w:val="002E6B4D"/>
    <w:rsid w:val="002F08C9"/>
    <w:rsid w:val="003011B6"/>
    <w:rsid w:val="003027F2"/>
    <w:rsid w:val="003113B5"/>
    <w:rsid w:val="003120A5"/>
    <w:rsid w:val="0031340E"/>
    <w:rsid w:val="00313E04"/>
    <w:rsid w:val="00314AB2"/>
    <w:rsid w:val="003176B3"/>
    <w:rsid w:val="0032198A"/>
    <w:rsid w:val="003261BF"/>
    <w:rsid w:val="003269C3"/>
    <w:rsid w:val="0033076B"/>
    <w:rsid w:val="003322B4"/>
    <w:rsid w:val="00332B86"/>
    <w:rsid w:val="00333DA9"/>
    <w:rsid w:val="0033605F"/>
    <w:rsid w:val="0033699C"/>
    <w:rsid w:val="00337BFF"/>
    <w:rsid w:val="003454DC"/>
    <w:rsid w:val="00353329"/>
    <w:rsid w:val="00353915"/>
    <w:rsid w:val="00353C83"/>
    <w:rsid w:val="003600E1"/>
    <w:rsid w:val="00360F15"/>
    <w:rsid w:val="003611EA"/>
    <w:rsid w:val="00363F02"/>
    <w:rsid w:val="00367D1F"/>
    <w:rsid w:val="00367DB2"/>
    <w:rsid w:val="00372095"/>
    <w:rsid w:val="003744A5"/>
    <w:rsid w:val="003747EF"/>
    <w:rsid w:val="00377D79"/>
    <w:rsid w:val="00380A1B"/>
    <w:rsid w:val="0038321D"/>
    <w:rsid w:val="00383C4D"/>
    <w:rsid w:val="00383DAC"/>
    <w:rsid w:val="00390C09"/>
    <w:rsid w:val="00391F76"/>
    <w:rsid w:val="00393720"/>
    <w:rsid w:val="00393FF2"/>
    <w:rsid w:val="00395BD4"/>
    <w:rsid w:val="00397944"/>
    <w:rsid w:val="00397AC2"/>
    <w:rsid w:val="003A2C20"/>
    <w:rsid w:val="003B00C2"/>
    <w:rsid w:val="003B2AB6"/>
    <w:rsid w:val="003B34DA"/>
    <w:rsid w:val="003B457C"/>
    <w:rsid w:val="003B7407"/>
    <w:rsid w:val="003B7C0D"/>
    <w:rsid w:val="003C1046"/>
    <w:rsid w:val="003C25EB"/>
    <w:rsid w:val="003C69B9"/>
    <w:rsid w:val="003E3B88"/>
    <w:rsid w:val="003E7C88"/>
    <w:rsid w:val="003F169D"/>
    <w:rsid w:val="003F28B5"/>
    <w:rsid w:val="003F32C1"/>
    <w:rsid w:val="003F4A8E"/>
    <w:rsid w:val="003F6D52"/>
    <w:rsid w:val="00405653"/>
    <w:rsid w:val="0040648D"/>
    <w:rsid w:val="00407E40"/>
    <w:rsid w:val="00413157"/>
    <w:rsid w:val="00413411"/>
    <w:rsid w:val="00415EA9"/>
    <w:rsid w:val="0041692E"/>
    <w:rsid w:val="00416EDD"/>
    <w:rsid w:val="0041759F"/>
    <w:rsid w:val="0041792C"/>
    <w:rsid w:val="004201C5"/>
    <w:rsid w:val="00423236"/>
    <w:rsid w:val="004256AC"/>
    <w:rsid w:val="00427BF4"/>
    <w:rsid w:val="00432D80"/>
    <w:rsid w:val="00433597"/>
    <w:rsid w:val="004350BF"/>
    <w:rsid w:val="00435A0D"/>
    <w:rsid w:val="00436C15"/>
    <w:rsid w:val="0044507F"/>
    <w:rsid w:val="00446761"/>
    <w:rsid w:val="00446873"/>
    <w:rsid w:val="004506BE"/>
    <w:rsid w:val="00451044"/>
    <w:rsid w:val="0045248D"/>
    <w:rsid w:val="0045374E"/>
    <w:rsid w:val="00461020"/>
    <w:rsid w:val="00461878"/>
    <w:rsid w:val="00464713"/>
    <w:rsid w:val="00465157"/>
    <w:rsid w:val="004660C6"/>
    <w:rsid w:val="004762E0"/>
    <w:rsid w:val="0047658D"/>
    <w:rsid w:val="0048189C"/>
    <w:rsid w:val="004920DD"/>
    <w:rsid w:val="0049274C"/>
    <w:rsid w:val="00493665"/>
    <w:rsid w:val="00495F2B"/>
    <w:rsid w:val="004A1038"/>
    <w:rsid w:val="004A35AA"/>
    <w:rsid w:val="004A4704"/>
    <w:rsid w:val="004A4EDD"/>
    <w:rsid w:val="004A5210"/>
    <w:rsid w:val="004A736D"/>
    <w:rsid w:val="004A7B39"/>
    <w:rsid w:val="004B47FC"/>
    <w:rsid w:val="004C2C2C"/>
    <w:rsid w:val="004C309A"/>
    <w:rsid w:val="004C4584"/>
    <w:rsid w:val="004C5598"/>
    <w:rsid w:val="004D1186"/>
    <w:rsid w:val="004D7216"/>
    <w:rsid w:val="004E087F"/>
    <w:rsid w:val="004E3AB5"/>
    <w:rsid w:val="004E7995"/>
    <w:rsid w:val="004E7C06"/>
    <w:rsid w:val="004F041E"/>
    <w:rsid w:val="004F202C"/>
    <w:rsid w:val="004F4108"/>
    <w:rsid w:val="004F4D02"/>
    <w:rsid w:val="004F54D1"/>
    <w:rsid w:val="004F5DD5"/>
    <w:rsid w:val="004F7B27"/>
    <w:rsid w:val="00502832"/>
    <w:rsid w:val="00503E82"/>
    <w:rsid w:val="005123B3"/>
    <w:rsid w:val="005126C5"/>
    <w:rsid w:val="005155C8"/>
    <w:rsid w:val="00517DEF"/>
    <w:rsid w:val="005204BC"/>
    <w:rsid w:val="00520D50"/>
    <w:rsid w:val="0052330E"/>
    <w:rsid w:val="00523BB1"/>
    <w:rsid w:val="005255B8"/>
    <w:rsid w:val="00533834"/>
    <w:rsid w:val="005353FB"/>
    <w:rsid w:val="00536476"/>
    <w:rsid w:val="005372FD"/>
    <w:rsid w:val="0053752D"/>
    <w:rsid w:val="00537D6E"/>
    <w:rsid w:val="0054027B"/>
    <w:rsid w:val="00540C0D"/>
    <w:rsid w:val="00542340"/>
    <w:rsid w:val="00546E47"/>
    <w:rsid w:val="0055428C"/>
    <w:rsid w:val="00556F57"/>
    <w:rsid w:val="00556FD0"/>
    <w:rsid w:val="00557D55"/>
    <w:rsid w:val="00560431"/>
    <w:rsid w:val="005639A4"/>
    <w:rsid w:val="00563AAD"/>
    <w:rsid w:val="005654B2"/>
    <w:rsid w:val="00566B7B"/>
    <w:rsid w:val="00570794"/>
    <w:rsid w:val="005717BB"/>
    <w:rsid w:val="005721D0"/>
    <w:rsid w:val="00581CB1"/>
    <w:rsid w:val="00585684"/>
    <w:rsid w:val="00590D37"/>
    <w:rsid w:val="0059310D"/>
    <w:rsid w:val="005979FA"/>
    <w:rsid w:val="005A1754"/>
    <w:rsid w:val="005A3BF5"/>
    <w:rsid w:val="005A4ECB"/>
    <w:rsid w:val="005B0AFA"/>
    <w:rsid w:val="005C2C89"/>
    <w:rsid w:val="005C5F04"/>
    <w:rsid w:val="005C74A1"/>
    <w:rsid w:val="005D0282"/>
    <w:rsid w:val="005D11DA"/>
    <w:rsid w:val="005D27EA"/>
    <w:rsid w:val="005D6F6E"/>
    <w:rsid w:val="005D7324"/>
    <w:rsid w:val="005E21CD"/>
    <w:rsid w:val="005E718D"/>
    <w:rsid w:val="005F0D83"/>
    <w:rsid w:val="005F1606"/>
    <w:rsid w:val="005F485D"/>
    <w:rsid w:val="005F7275"/>
    <w:rsid w:val="0060025F"/>
    <w:rsid w:val="006026D0"/>
    <w:rsid w:val="00603367"/>
    <w:rsid w:val="00603EA6"/>
    <w:rsid w:val="006048E1"/>
    <w:rsid w:val="006063E5"/>
    <w:rsid w:val="00606AE6"/>
    <w:rsid w:val="00606EBA"/>
    <w:rsid w:val="00607861"/>
    <w:rsid w:val="00610069"/>
    <w:rsid w:val="00611566"/>
    <w:rsid w:val="0061721E"/>
    <w:rsid w:val="00617A3F"/>
    <w:rsid w:val="0062081A"/>
    <w:rsid w:val="006209D8"/>
    <w:rsid w:val="00620E62"/>
    <w:rsid w:val="006244B0"/>
    <w:rsid w:val="00633831"/>
    <w:rsid w:val="00642B67"/>
    <w:rsid w:val="00647705"/>
    <w:rsid w:val="00650305"/>
    <w:rsid w:val="006567C4"/>
    <w:rsid w:val="00656C9E"/>
    <w:rsid w:val="0065768B"/>
    <w:rsid w:val="00661724"/>
    <w:rsid w:val="00661BD6"/>
    <w:rsid w:val="0066326D"/>
    <w:rsid w:val="0066760F"/>
    <w:rsid w:val="00670830"/>
    <w:rsid w:val="00670D16"/>
    <w:rsid w:val="00671F06"/>
    <w:rsid w:val="0067552A"/>
    <w:rsid w:val="00677317"/>
    <w:rsid w:val="00677D8F"/>
    <w:rsid w:val="00680968"/>
    <w:rsid w:val="00681B5E"/>
    <w:rsid w:val="00682B42"/>
    <w:rsid w:val="00686FD8"/>
    <w:rsid w:val="0069036A"/>
    <w:rsid w:val="00691306"/>
    <w:rsid w:val="00691581"/>
    <w:rsid w:val="00694D8F"/>
    <w:rsid w:val="00695F7F"/>
    <w:rsid w:val="006A0B81"/>
    <w:rsid w:val="006A1E7C"/>
    <w:rsid w:val="006A2B28"/>
    <w:rsid w:val="006A386B"/>
    <w:rsid w:val="006B10C9"/>
    <w:rsid w:val="006C44A9"/>
    <w:rsid w:val="006C4C7B"/>
    <w:rsid w:val="006D1627"/>
    <w:rsid w:val="006D20C1"/>
    <w:rsid w:val="006D3544"/>
    <w:rsid w:val="006D47FD"/>
    <w:rsid w:val="006E2412"/>
    <w:rsid w:val="006E68DE"/>
    <w:rsid w:val="006E6E1B"/>
    <w:rsid w:val="006F572D"/>
    <w:rsid w:val="0070125E"/>
    <w:rsid w:val="00701C89"/>
    <w:rsid w:val="0070239D"/>
    <w:rsid w:val="0070433C"/>
    <w:rsid w:val="00705501"/>
    <w:rsid w:val="00706F19"/>
    <w:rsid w:val="00714B85"/>
    <w:rsid w:val="007208D5"/>
    <w:rsid w:val="00720D9E"/>
    <w:rsid w:val="0072134A"/>
    <w:rsid w:val="00722CD2"/>
    <w:rsid w:val="007237D5"/>
    <w:rsid w:val="00725BDB"/>
    <w:rsid w:val="00731003"/>
    <w:rsid w:val="00734DCC"/>
    <w:rsid w:val="00736A2F"/>
    <w:rsid w:val="00736E74"/>
    <w:rsid w:val="00737A87"/>
    <w:rsid w:val="0074044B"/>
    <w:rsid w:val="00744B54"/>
    <w:rsid w:val="00745F3D"/>
    <w:rsid w:val="007474D4"/>
    <w:rsid w:val="00750EEE"/>
    <w:rsid w:val="00751DBA"/>
    <w:rsid w:val="00752E3B"/>
    <w:rsid w:val="00753EEC"/>
    <w:rsid w:val="00756271"/>
    <w:rsid w:val="00757773"/>
    <w:rsid w:val="007601B9"/>
    <w:rsid w:val="00761537"/>
    <w:rsid w:val="007622D4"/>
    <w:rsid w:val="00773EBF"/>
    <w:rsid w:val="0078117C"/>
    <w:rsid w:val="00781582"/>
    <w:rsid w:val="0079175C"/>
    <w:rsid w:val="0079499F"/>
    <w:rsid w:val="007A030E"/>
    <w:rsid w:val="007A2BD0"/>
    <w:rsid w:val="007A66BF"/>
    <w:rsid w:val="007A6A03"/>
    <w:rsid w:val="007B1E5E"/>
    <w:rsid w:val="007B24A8"/>
    <w:rsid w:val="007B46A9"/>
    <w:rsid w:val="007B6AA9"/>
    <w:rsid w:val="007D2A15"/>
    <w:rsid w:val="007D43A6"/>
    <w:rsid w:val="007E51D8"/>
    <w:rsid w:val="007E7950"/>
    <w:rsid w:val="007F09FE"/>
    <w:rsid w:val="007F30F9"/>
    <w:rsid w:val="007F4B3B"/>
    <w:rsid w:val="007F527C"/>
    <w:rsid w:val="007F5F18"/>
    <w:rsid w:val="007F73E4"/>
    <w:rsid w:val="00800C32"/>
    <w:rsid w:val="00803FCF"/>
    <w:rsid w:val="00804029"/>
    <w:rsid w:val="00813189"/>
    <w:rsid w:val="00813D08"/>
    <w:rsid w:val="008168F7"/>
    <w:rsid w:val="008175F0"/>
    <w:rsid w:val="00817C43"/>
    <w:rsid w:val="00824A4F"/>
    <w:rsid w:val="00827DD8"/>
    <w:rsid w:val="00827E54"/>
    <w:rsid w:val="00832E0A"/>
    <w:rsid w:val="00835AFC"/>
    <w:rsid w:val="0084024B"/>
    <w:rsid w:val="00840EC9"/>
    <w:rsid w:val="00841A47"/>
    <w:rsid w:val="00850454"/>
    <w:rsid w:val="008603B3"/>
    <w:rsid w:val="00861E41"/>
    <w:rsid w:val="008626FB"/>
    <w:rsid w:val="00864FC3"/>
    <w:rsid w:val="008663D5"/>
    <w:rsid w:val="00877B54"/>
    <w:rsid w:val="00881168"/>
    <w:rsid w:val="00881872"/>
    <w:rsid w:val="00885487"/>
    <w:rsid w:val="008854BC"/>
    <w:rsid w:val="00886CF9"/>
    <w:rsid w:val="008928F1"/>
    <w:rsid w:val="008955B6"/>
    <w:rsid w:val="008A1D76"/>
    <w:rsid w:val="008B18DF"/>
    <w:rsid w:val="008C0219"/>
    <w:rsid w:val="008D26FC"/>
    <w:rsid w:val="008D3198"/>
    <w:rsid w:val="008D5032"/>
    <w:rsid w:val="008D5E15"/>
    <w:rsid w:val="008D6596"/>
    <w:rsid w:val="008E14F1"/>
    <w:rsid w:val="008E2152"/>
    <w:rsid w:val="008E5F68"/>
    <w:rsid w:val="008E6195"/>
    <w:rsid w:val="008F1EC1"/>
    <w:rsid w:val="008F46BA"/>
    <w:rsid w:val="008F6F6F"/>
    <w:rsid w:val="00900FF3"/>
    <w:rsid w:val="009029B6"/>
    <w:rsid w:val="00904E98"/>
    <w:rsid w:val="00912E89"/>
    <w:rsid w:val="00913898"/>
    <w:rsid w:val="00914411"/>
    <w:rsid w:val="00921FD4"/>
    <w:rsid w:val="00931079"/>
    <w:rsid w:val="00932993"/>
    <w:rsid w:val="0093730E"/>
    <w:rsid w:val="009403E6"/>
    <w:rsid w:val="0094257C"/>
    <w:rsid w:val="00942E8D"/>
    <w:rsid w:val="00944027"/>
    <w:rsid w:val="009458C5"/>
    <w:rsid w:val="00945E26"/>
    <w:rsid w:val="009469F9"/>
    <w:rsid w:val="00946B53"/>
    <w:rsid w:val="0095045A"/>
    <w:rsid w:val="00950656"/>
    <w:rsid w:val="009533C6"/>
    <w:rsid w:val="009574E0"/>
    <w:rsid w:val="00965E2F"/>
    <w:rsid w:val="00967130"/>
    <w:rsid w:val="00971746"/>
    <w:rsid w:val="00971B15"/>
    <w:rsid w:val="00973059"/>
    <w:rsid w:val="00974A7D"/>
    <w:rsid w:val="00976EF9"/>
    <w:rsid w:val="0098134E"/>
    <w:rsid w:val="0098151D"/>
    <w:rsid w:val="009831A9"/>
    <w:rsid w:val="0098617D"/>
    <w:rsid w:val="009861CF"/>
    <w:rsid w:val="00995D8C"/>
    <w:rsid w:val="009A2536"/>
    <w:rsid w:val="009B439D"/>
    <w:rsid w:val="009B5780"/>
    <w:rsid w:val="009C0FB7"/>
    <w:rsid w:val="009D19B4"/>
    <w:rsid w:val="009E2D61"/>
    <w:rsid w:val="009E7981"/>
    <w:rsid w:val="009F02FC"/>
    <w:rsid w:val="009F341C"/>
    <w:rsid w:val="009F3DEC"/>
    <w:rsid w:val="009F441E"/>
    <w:rsid w:val="009F48DA"/>
    <w:rsid w:val="00A00A43"/>
    <w:rsid w:val="00A0588B"/>
    <w:rsid w:val="00A07417"/>
    <w:rsid w:val="00A101C2"/>
    <w:rsid w:val="00A1306F"/>
    <w:rsid w:val="00A20FE6"/>
    <w:rsid w:val="00A2199B"/>
    <w:rsid w:val="00A22CF9"/>
    <w:rsid w:val="00A22D40"/>
    <w:rsid w:val="00A24BAB"/>
    <w:rsid w:val="00A2519B"/>
    <w:rsid w:val="00A259B1"/>
    <w:rsid w:val="00A303D8"/>
    <w:rsid w:val="00A32326"/>
    <w:rsid w:val="00A33194"/>
    <w:rsid w:val="00A351AE"/>
    <w:rsid w:val="00A50119"/>
    <w:rsid w:val="00A52E55"/>
    <w:rsid w:val="00A53A7D"/>
    <w:rsid w:val="00A55CBB"/>
    <w:rsid w:val="00A61824"/>
    <w:rsid w:val="00A64364"/>
    <w:rsid w:val="00A6483B"/>
    <w:rsid w:val="00A65EA4"/>
    <w:rsid w:val="00A67A2E"/>
    <w:rsid w:val="00A711F5"/>
    <w:rsid w:val="00A71F9F"/>
    <w:rsid w:val="00A730DB"/>
    <w:rsid w:val="00A75292"/>
    <w:rsid w:val="00A75F40"/>
    <w:rsid w:val="00A77338"/>
    <w:rsid w:val="00A7792B"/>
    <w:rsid w:val="00A8033E"/>
    <w:rsid w:val="00A87D8B"/>
    <w:rsid w:val="00A946DA"/>
    <w:rsid w:val="00AA09FA"/>
    <w:rsid w:val="00AA2C43"/>
    <w:rsid w:val="00AB05DB"/>
    <w:rsid w:val="00AB132E"/>
    <w:rsid w:val="00AC0E58"/>
    <w:rsid w:val="00AC0F00"/>
    <w:rsid w:val="00AC2955"/>
    <w:rsid w:val="00AC39BE"/>
    <w:rsid w:val="00AC52D5"/>
    <w:rsid w:val="00AD2E93"/>
    <w:rsid w:val="00AE301C"/>
    <w:rsid w:val="00AE6382"/>
    <w:rsid w:val="00AE6954"/>
    <w:rsid w:val="00AE6DCD"/>
    <w:rsid w:val="00AF4053"/>
    <w:rsid w:val="00AF76DC"/>
    <w:rsid w:val="00B04FF9"/>
    <w:rsid w:val="00B0649C"/>
    <w:rsid w:val="00B06E83"/>
    <w:rsid w:val="00B15511"/>
    <w:rsid w:val="00B204D6"/>
    <w:rsid w:val="00B22817"/>
    <w:rsid w:val="00B25079"/>
    <w:rsid w:val="00B251B1"/>
    <w:rsid w:val="00B253CD"/>
    <w:rsid w:val="00B26B78"/>
    <w:rsid w:val="00B26EED"/>
    <w:rsid w:val="00B306CF"/>
    <w:rsid w:val="00B32770"/>
    <w:rsid w:val="00B3625A"/>
    <w:rsid w:val="00B367E8"/>
    <w:rsid w:val="00B37472"/>
    <w:rsid w:val="00B50FA7"/>
    <w:rsid w:val="00B5175C"/>
    <w:rsid w:val="00B52FA7"/>
    <w:rsid w:val="00B54707"/>
    <w:rsid w:val="00B56E6A"/>
    <w:rsid w:val="00B571ED"/>
    <w:rsid w:val="00B61E56"/>
    <w:rsid w:val="00B63EDE"/>
    <w:rsid w:val="00B65DB6"/>
    <w:rsid w:val="00B6605A"/>
    <w:rsid w:val="00B66939"/>
    <w:rsid w:val="00B72253"/>
    <w:rsid w:val="00B7253F"/>
    <w:rsid w:val="00B73C00"/>
    <w:rsid w:val="00B7492D"/>
    <w:rsid w:val="00B762AC"/>
    <w:rsid w:val="00B800CE"/>
    <w:rsid w:val="00B809B6"/>
    <w:rsid w:val="00B816F9"/>
    <w:rsid w:val="00B817F6"/>
    <w:rsid w:val="00B853C0"/>
    <w:rsid w:val="00B86B66"/>
    <w:rsid w:val="00B87469"/>
    <w:rsid w:val="00B940AC"/>
    <w:rsid w:val="00B9695C"/>
    <w:rsid w:val="00BA0EC7"/>
    <w:rsid w:val="00BA2097"/>
    <w:rsid w:val="00BA4C92"/>
    <w:rsid w:val="00BA6DA7"/>
    <w:rsid w:val="00BA6DB1"/>
    <w:rsid w:val="00BA715D"/>
    <w:rsid w:val="00BB0B52"/>
    <w:rsid w:val="00BB12D1"/>
    <w:rsid w:val="00BB1544"/>
    <w:rsid w:val="00BB1B1C"/>
    <w:rsid w:val="00BB436F"/>
    <w:rsid w:val="00BB61B4"/>
    <w:rsid w:val="00BB73EA"/>
    <w:rsid w:val="00BC4096"/>
    <w:rsid w:val="00BC73AB"/>
    <w:rsid w:val="00BD026B"/>
    <w:rsid w:val="00BD187A"/>
    <w:rsid w:val="00BD1FF7"/>
    <w:rsid w:val="00BD420E"/>
    <w:rsid w:val="00BD55BC"/>
    <w:rsid w:val="00BD55D9"/>
    <w:rsid w:val="00BD61BE"/>
    <w:rsid w:val="00BD7245"/>
    <w:rsid w:val="00BE1B77"/>
    <w:rsid w:val="00BE1E84"/>
    <w:rsid w:val="00BE3C87"/>
    <w:rsid w:val="00BE6A88"/>
    <w:rsid w:val="00BE79CA"/>
    <w:rsid w:val="00BF01AA"/>
    <w:rsid w:val="00BF3CEF"/>
    <w:rsid w:val="00C00C01"/>
    <w:rsid w:val="00C00D82"/>
    <w:rsid w:val="00C02861"/>
    <w:rsid w:val="00C0526A"/>
    <w:rsid w:val="00C069A5"/>
    <w:rsid w:val="00C15501"/>
    <w:rsid w:val="00C214A3"/>
    <w:rsid w:val="00C24B9C"/>
    <w:rsid w:val="00C26B32"/>
    <w:rsid w:val="00C27C9E"/>
    <w:rsid w:val="00C42187"/>
    <w:rsid w:val="00C505BD"/>
    <w:rsid w:val="00C54C8F"/>
    <w:rsid w:val="00C625C8"/>
    <w:rsid w:val="00C62751"/>
    <w:rsid w:val="00C629C1"/>
    <w:rsid w:val="00C64972"/>
    <w:rsid w:val="00C64DC6"/>
    <w:rsid w:val="00C6504E"/>
    <w:rsid w:val="00C66168"/>
    <w:rsid w:val="00C6793A"/>
    <w:rsid w:val="00C713D3"/>
    <w:rsid w:val="00C73D78"/>
    <w:rsid w:val="00C760B8"/>
    <w:rsid w:val="00C76FC0"/>
    <w:rsid w:val="00C80A50"/>
    <w:rsid w:val="00C82369"/>
    <w:rsid w:val="00C82781"/>
    <w:rsid w:val="00C84A29"/>
    <w:rsid w:val="00C87AE3"/>
    <w:rsid w:val="00CA3805"/>
    <w:rsid w:val="00CA4505"/>
    <w:rsid w:val="00CA6D35"/>
    <w:rsid w:val="00CB189F"/>
    <w:rsid w:val="00CB2A62"/>
    <w:rsid w:val="00CB5217"/>
    <w:rsid w:val="00CC365D"/>
    <w:rsid w:val="00CC3AB6"/>
    <w:rsid w:val="00CE0B86"/>
    <w:rsid w:val="00CE14FC"/>
    <w:rsid w:val="00CE1F15"/>
    <w:rsid w:val="00CE4612"/>
    <w:rsid w:val="00CE4A60"/>
    <w:rsid w:val="00CE5CAA"/>
    <w:rsid w:val="00CF1971"/>
    <w:rsid w:val="00CF4DB5"/>
    <w:rsid w:val="00CF5170"/>
    <w:rsid w:val="00CF6059"/>
    <w:rsid w:val="00D0016A"/>
    <w:rsid w:val="00D00A10"/>
    <w:rsid w:val="00D03BE5"/>
    <w:rsid w:val="00D1171A"/>
    <w:rsid w:val="00D14DFD"/>
    <w:rsid w:val="00D2268A"/>
    <w:rsid w:val="00D2494D"/>
    <w:rsid w:val="00D24F31"/>
    <w:rsid w:val="00D27AF9"/>
    <w:rsid w:val="00D30877"/>
    <w:rsid w:val="00D31BE2"/>
    <w:rsid w:val="00D37EA6"/>
    <w:rsid w:val="00D40EA9"/>
    <w:rsid w:val="00D44E7B"/>
    <w:rsid w:val="00D46181"/>
    <w:rsid w:val="00D54658"/>
    <w:rsid w:val="00D607D1"/>
    <w:rsid w:val="00D60F92"/>
    <w:rsid w:val="00D64050"/>
    <w:rsid w:val="00D65701"/>
    <w:rsid w:val="00D671AF"/>
    <w:rsid w:val="00D706AE"/>
    <w:rsid w:val="00D71B18"/>
    <w:rsid w:val="00D7338E"/>
    <w:rsid w:val="00D747C1"/>
    <w:rsid w:val="00D83ED4"/>
    <w:rsid w:val="00D84CEE"/>
    <w:rsid w:val="00D9015D"/>
    <w:rsid w:val="00D914DC"/>
    <w:rsid w:val="00D91EAE"/>
    <w:rsid w:val="00D97476"/>
    <w:rsid w:val="00DA0D0F"/>
    <w:rsid w:val="00DA450D"/>
    <w:rsid w:val="00DA69F7"/>
    <w:rsid w:val="00DA707C"/>
    <w:rsid w:val="00DB31AA"/>
    <w:rsid w:val="00DB3929"/>
    <w:rsid w:val="00DB730E"/>
    <w:rsid w:val="00DC03E6"/>
    <w:rsid w:val="00DC1AD1"/>
    <w:rsid w:val="00DC1B0D"/>
    <w:rsid w:val="00DC22C4"/>
    <w:rsid w:val="00DC33ED"/>
    <w:rsid w:val="00DC4012"/>
    <w:rsid w:val="00DC4740"/>
    <w:rsid w:val="00DC4874"/>
    <w:rsid w:val="00DC69CD"/>
    <w:rsid w:val="00DD1E35"/>
    <w:rsid w:val="00DD38E5"/>
    <w:rsid w:val="00DD4B5D"/>
    <w:rsid w:val="00DD640E"/>
    <w:rsid w:val="00DD78AC"/>
    <w:rsid w:val="00DE24AB"/>
    <w:rsid w:val="00DE51E0"/>
    <w:rsid w:val="00DE7866"/>
    <w:rsid w:val="00DF481F"/>
    <w:rsid w:val="00E03048"/>
    <w:rsid w:val="00E03A16"/>
    <w:rsid w:val="00E07ACA"/>
    <w:rsid w:val="00E11E05"/>
    <w:rsid w:val="00E153F8"/>
    <w:rsid w:val="00E15A02"/>
    <w:rsid w:val="00E16B3B"/>
    <w:rsid w:val="00E179A3"/>
    <w:rsid w:val="00E17C0F"/>
    <w:rsid w:val="00E23CC8"/>
    <w:rsid w:val="00E24111"/>
    <w:rsid w:val="00E25C4B"/>
    <w:rsid w:val="00E41416"/>
    <w:rsid w:val="00E46224"/>
    <w:rsid w:val="00E472C3"/>
    <w:rsid w:val="00E47AD8"/>
    <w:rsid w:val="00E50130"/>
    <w:rsid w:val="00E50243"/>
    <w:rsid w:val="00E5140A"/>
    <w:rsid w:val="00E515EE"/>
    <w:rsid w:val="00E529D3"/>
    <w:rsid w:val="00E54379"/>
    <w:rsid w:val="00E548B3"/>
    <w:rsid w:val="00E5631A"/>
    <w:rsid w:val="00E60846"/>
    <w:rsid w:val="00E62569"/>
    <w:rsid w:val="00E62D44"/>
    <w:rsid w:val="00E65AC5"/>
    <w:rsid w:val="00E66830"/>
    <w:rsid w:val="00E705C6"/>
    <w:rsid w:val="00E714EA"/>
    <w:rsid w:val="00E73249"/>
    <w:rsid w:val="00E8513F"/>
    <w:rsid w:val="00E864D0"/>
    <w:rsid w:val="00E91F7A"/>
    <w:rsid w:val="00E94A50"/>
    <w:rsid w:val="00EB06F1"/>
    <w:rsid w:val="00EB158A"/>
    <w:rsid w:val="00EB3900"/>
    <w:rsid w:val="00EB5151"/>
    <w:rsid w:val="00EC0EFC"/>
    <w:rsid w:val="00EC1371"/>
    <w:rsid w:val="00EC1A58"/>
    <w:rsid w:val="00EC498E"/>
    <w:rsid w:val="00EC65E8"/>
    <w:rsid w:val="00ED0007"/>
    <w:rsid w:val="00ED0A38"/>
    <w:rsid w:val="00ED5D87"/>
    <w:rsid w:val="00ED7751"/>
    <w:rsid w:val="00EE252A"/>
    <w:rsid w:val="00EF2958"/>
    <w:rsid w:val="00EF2ED3"/>
    <w:rsid w:val="00EF3395"/>
    <w:rsid w:val="00EF367F"/>
    <w:rsid w:val="00EF64BF"/>
    <w:rsid w:val="00F008E4"/>
    <w:rsid w:val="00F049CC"/>
    <w:rsid w:val="00F049E3"/>
    <w:rsid w:val="00F10312"/>
    <w:rsid w:val="00F10DF9"/>
    <w:rsid w:val="00F12D12"/>
    <w:rsid w:val="00F15859"/>
    <w:rsid w:val="00F21344"/>
    <w:rsid w:val="00F23E60"/>
    <w:rsid w:val="00F26B14"/>
    <w:rsid w:val="00F26B78"/>
    <w:rsid w:val="00F27CD6"/>
    <w:rsid w:val="00F3115F"/>
    <w:rsid w:val="00F35108"/>
    <w:rsid w:val="00F42912"/>
    <w:rsid w:val="00F50BFD"/>
    <w:rsid w:val="00F50E99"/>
    <w:rsid w:val="00F56A39"/>
    <w:rsid w:val="00F56E16"/>
    <w:rsid w:val="00F60951"/>
    <w:rsid w:val="00F60E6E"/>
    <w:rsid w:val="00F62A36"/>
    <w:rsid w:val="00F62BCA"/>
    <w:rsid w:val="00F823E0"/>
    <w:rsid w:val="00F82BC3"/>
    <w:rsid w:val="00F9058B"/>
    <w:rsid w:val="00F9121B"/>
    <w:rsid w:val="00F9532F"/>
    <w:rsid w:val="00F961D6"/>
    <w:rsid w:val="00F97AAD"/>
    <w:rsid w:val="00FA2462"/>
    <w:rsid w:val="00FA2E9D"/>
    <w:rsid w:val="00FB1DE8"/>
    <w:rsid w:val="00FB1F51"/>
    <w:rsid w:val="00FB3DEE"/>
    <w:rsid w:val="00FB65FD"/>
    <w:rsid w:val="00FC2A33"/>
    <w:rsid w:val="00FC36AD"/>
    <w:rsid w:val="00FC3CA2"/>
    <w:rsid w:val="00FD004F"/>
    <w:rsid w:val="00FE0EE1"/>
    <w:rsid w:val="00FE1D16"/>
    <w:rsid w:val="00FE3677"/>
    <w:rsid w:val="00FE72FE"/>
    <w:rsid w:val="00FF2662"/>
    <w:rsid w:val="00FF275B"/>
    <w:rsid w:val="00FF362C"/>
    <w:rsid w:val="00FF3B28"/>
    <w:rsid w:val="00FF67F2"/>
    <w:rsid w:val="00FF6C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D89F2"/>
  <w15:chartTrackingRefBased/>
  <w15:docId w15:val="{E28A43D0-498D-4E38-B08D-76C851FC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8116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7658D"/>
    <w:pPr>
      <w:ind w:left="720"/>
      <w:contextualSpacing/>
    </w:pPr>
  </w:style>
  <w:style w:type="paragraph" w:styleId="Hlavika">
    <w:name w:val="header"/>
    <w:basedOn w:val="Normlny"/>
    <w:link w:val="HlavikaChar"/>
    <w:uiPriority w:val="99"/>
    <w:unhideWhenUsed/>
    <w:rsid w:val="00CB521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B5217"/>
  </w:style>
  <w:style w:type="paragraph" w:styleId="Pta">
    <w:name w:val="footer"/>
    <w:basedOn w:val="Normlny"/>
    <w:link w:val="PtaChar"/>
    <w:uiPriority w:val="99"/>
    <w:unhideWhenUsed/>
    <w:rsid w:val="00CB5217"/>
    <w:pPr>
      <w:tabs>
        <w:tab w:val="center" w:pos="4536"/>
        <w:tab w:val="right" w:pos="9072"/>
      </w:tabs>
      <w:spacing w:after="0" w:line="240" w:lineRule="auto"/>
    </w:pPr>
  </w:style>
  <w:style w:type="character" w:customStyle="1" w:styleId="PtaChar">
    <w:name w:val="Päta Char"/>
    <w:basedOn w:val="Predvolenpsmoodseku"/>
    <w:link w:val="Pta"/>
    <w:uiPriority w:val="99"/>
    <w:rsid w:val="00CB5217"/>
  </w:style>
  <w:style w:type="character" w:styleId="Odkaznakomentr">
    <w:name w:val="annotation reference"/>
    <w:basedOn w:val="Predvolenpsmoodseku"/>
    <w:uiPriority w:val="99"/>
    <w:semiHidden/>
    <w:unhideWhenUsed/>
    <w:rsid w:val="004E087F"/>
    <w:rPr>
      <w:sz w:val="16"/>
      <w:szCs w:val="16"/>
    </w:rPr>
  </w:style>
  <w:style w:type="paragraph" w:styleId="Textkomentra">
    <w:name w:val="annotation text"/>
    <w:basedOn w:val="Normlny"/>
    <w:link w:val="TextkomentraChar"/>
    <w:uiPriority w:val="99"/>
    <w:semiHidden/>
    <w:unhideWhenUsed/>
    <w:rsid w:val="004E087F"/>
    <w:pPr>
      <w:spacing w:line="240" w:lineRule="auto"/>
    </w:pPr>
    <w:rPr>
      <w:sz w:val="20"/>
      <w:szCs w:val="20"/>
    </w:rPr>
  </w:style>
  <w:style w:type="character" w:customStyle="1" w:styleId="TextkomentraChar">
    <w:name w:val="Text komentára Char"/>
    <w:basedOn w:val="Predvolenpsmoodseku"/>
    <w:link w:val="Textkomentra"/>
    <w:uiPriority w:val="99"/>
    <w:semiHidden/>
    <w:rsid w:val="004E087F"/>
    <w:rPr>
      <w:sz w:val="20"/>
      <w:szCs w:val="20"/>
    </w:rPr>
  </w:style>
  <w:style w:type="paragraph" w:styleId="Predmetkomentra">
    <w:name w:val="annotation subject"/>
    <w:basedOn w:val="Textkomentra"/>
    <w:next w:val="Textkomentra"/>
    <w:link w:val="PredmetkomentraChar"/>
    <w:uiPriority w:val="99"/>
    <w:semiHidden/>
    <w:unhideWhenUsed/>
    <w:rsid w:val="004E087F"/>
    <w:rPr>
      <w:b/>
      <w:bCs/>
    </w:rPr>
  </w:style>
  <w:style w:type="character" w:customStyle="1" w:styleId="PredmetkomentraChar">
    <w:name w:val="Predmet komentára Char"/>
    <w:basedOn w:val="TextkomentraChar"/>
    <w:link w:val="Predmetkomentra"/>
    <w:uiPriority w:val="99"/>
    <w:semiHidden/>
    <w:rsid w:val="004E087F"/>
    <w:rPr>
      <w:b/>
      <w:bCs/>
      <w:sz w:val="20"/>
      <w:szCs w:val="20"/>
    </w:rPr>
  </w:style>
  <w:style w:type="paragraph" w:styleId="Textbubliny">
    <w:name w:val="Balloon Text"/>
    <w:basedOn w:val="Normlny"/>
    <w:link w:val="TextbublinyChar"/>
    <w:uiPriority w:val="99"/>
    <w:semiHidden/>
    <w:unhideWhenUsed/>
    <w:rsid w:val="004E087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E087F"/>
    <w:rPr>
      <w:rFonts w:ascii="Segoe UI" w:hAnsi="Segoe UI" w:cs="Segoe UI"/>
      <w:sz w:val="18"/>
      <w:szCs w:val="18"/>
    </w:rPr>
  </w:style>
  <w:style w:type="character" w:styleId="Hypertextovprepojenie">
    <w:name w:val="Hyperlink"/>
    <w:basedOn w:val="Predvolenpsmoodseku"/>
    <w:uiPriority w:val="99"/>
    <w:unhideWhenUsed/>
    <w:rsid w:val="00233A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6D07E-ED33-4D3D-81FD-1F3586467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20</Pages>
  <Words>10006</Words>
  <Characters>57038</Characters>
  <Application>Microsoft Office Word</Application>
  <DocSecurity>0</DocSecurity>
  <Lines>475</Lines>
  <Paragraphs>133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PALÚŠ Juraj</dc:creator>
  <cp:keywords/>
  <dc:description/>
  <cp:lastModifiedBy>PALÚŠ Juraj</cp:lastModifiedBy>
  <cp:revision>261</cp:revision>
  <cp:lastPrinted>2025-08-12T13:14:00Z</cp:lastPrinted>
  <dcterms:created xsi:type="dcterms:W3CDTF">2025-05-05T06:13:00Z</dcterms:created>
  <dcterms:modified xsi:type="dcterms:W3CDTF">2025-08-20T06:05:00Z</dcterms:modified>
</cp:coreProperties>
</file>