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4240F" w:rsidRDefault="00E40D2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DÔVODOVÁ SPRÁVA</w:t>
      </w:r>
    </w:p>
    <w:p w14:paraId="00000002" w14:textId="77777777" w:rsidR="00A4240F" w:rsidRDefault="00A4240F">
      <w:pPr>
        <w:jc w:val="center"/>
        <w:rPr>
          <w:rFonts w:ascii="Times New Roman" w:eastAsia="Times New Roman" w:hAnsi="Times New Roman" w:cs="Times New Roman"/>
          <w:b/>
        </w:rPr>
      </w:pPr>
    </w:p>
    <w:p w14:paraId="00000003" w14:textId="77777777" w:rsidR="00A4240F" w:rsidRDefault="00A4240F">
      <w:pPr>
        <w:rPr>
          <w:rFonts w:ascii="Times New Roman" w:eastAsia="Times New Roman" w:hAnsi="Times New Roman" w:cs="Times New Roman"/>
          <w:b/>
        </w:rPr>
      </w:pPr>
    </w:p>
    <w:p w14:paraId="00000004" w14:textId="77777777" w:rsidR="00A4240F" w:rsidRDefault="00E40D2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A. VŠEOBECNÁ ČASŤ </w:t>
      </w:r>
    </w:p>
    <w:p w14:paraId="00000005" w14:textId="77777777" w:rsidR="00A4240F" w:rsidRDefault="00A4240F">
      <w:pPr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06" w14:textId="77777777" w:rsidR="00A4240F" w:rsidRDefault="00E40D2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Návrh zákona, ktorým sa mení a dopĺňa zákon č. 245/2008 Z. z. o výchove a vzdelávaní (školský zákon) a o zmene a doplnení niektorých zákonov v znení neskorších predpisov (ďalej len „návrh zákona“) </w:t>
      </w:r>
      <w:r>
        <w:rPr>
          <w:rFonts w:ascii="Times New Roman" w:eastAsia="Times New Roman" w:hAnsi="Times New Roman" w:cs="Times New Roman"/>
        </w:rPr>
        <w:t xml:space="preserve">predkladajú na rokovanie Národnej rady Slovenskej republiky poslankyne Národnej rady Slovenskej republiky Natália Nash a  Ingrid </w:t>
      </w:r>
      <w:proofErr w:type="spellStart"/>
      <w:r>
        <w:rPr>
          <w:rFonts w:ascii="Times New Roman" w:eastAsia="Times New Roman" w:hAnsi="Times New Roman" w:cs="Times New Roman"/>
        </w:rPr>
        <w:t>Kosová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00000007" w14:textId="77777777" w:rsidR="00A4240F" w:rsidRDefault="00A4240F">
      <w:pPr>
        <w:jc w:val="both"/>
        <w:rPr>
          <w:rFonts w:ascii="Times New Roman" w:eastAsia="Times New Roman" w:hAnsi="Times New Roman" w:cs="Times New Roman"/>
        </w:rPr>
      </w:pPr>
    </w:p>
    <w:p w14:paraId="00000008" w14:textId="77777777" w:rsidR="00A4240F" w:rsidRDefault="00E40D2F">
      <w:p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Predkladaný návrh zákona vytvorí legislatívnu možnosť zriaďovať a uskutočňovať osemročné vzdelávacie programy na stre</w:t>
      </w:r>
      <w:r>
        <w:rPr>
          <w:rFonts w:ascii="Times New Roman" w:eastAsia="Times New Roman" w:hAnsi="Times New Roman" w:cs="Times New Roman"/>
          <w:highlight w:val="white"/>
        </w:rPr>
        <w:t>dných športových školách. V súčasnosti platná právna úprava umožňuje organizovať osemročné štúdium iba gymnáziám a konzervatóriám.</w:t>
      </w:r>
    </w:p>
    <w:p w14:paraId="00000009" w14:textId="77777777" w:rsidR="00A4240F" w:rsidRDefault="00A4240F">
      <w:pPr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0A" w14:textId="77777777" w:rsidR="00A4240F" w:rsidRDefault="00E40D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Hlavné ciele predkladanej právnej úpravy sú:</w:t>
      </w:r>
    </w:p>
    <w:p w14:paraId="0000000B" w14:textId="77777777" w:rsidR="00A4240F" w:rsidRDefault="00A424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0000000C" w14:textId="77777777" w:rsidR="00A4240F" w:rsidRDefault="00E40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Zabezpečenie kontinuity prípravy športovcov. Zavedenie osemročných programov n</w:t>
      </w:r>
      <w:r>
        <w:rPr>
          <w:rFonts w:ascii="Times New Roman" w:eastAsia="Times New Roman" w:hAnsi="Times New Roman" w:cs="Times New Roman"/>
        </w:rPr>
        <w:t>a športových školách podporí kontinuitu športovej prípravy talentovaných žiakov. Preklenie sa tým kritické obdobie prechodu zo základnej na strednú školu, ktoré je často spojené so zmenou tréningového prostredia, kolektívu či presťahovaním, a ktoré vedie k</w:t>
      </w:r>
      <w:r>
        <w:rPr>
          <w:rFonts w:ascii="Times New Roman" w:eastAsia="Times New Roman" w:hAnsi="Times New Roman" w:cs="Times New Roman"/>
        </w:rPr>
        <w:t xml:space="preserve"> tomu, že mnoho nádejných športovcov ukončí svoju kariéru. Dlhodobá a neprerušovaná príprava v známom prostredí poskytuje lepší predpoklad na zosúladenie náročných požiadaviek vzdelávacieho a tréningového procesu.</w:t>
      </w:r>
    </w:p>
    <w:p w14:paraId="0000000D" w14:textId="77777777" w:rsidR="00A4240F" w:rsidRDefault="00A4240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</w:rPr>
      </w:pPr>
    </w:p>
    <w:p w14:paraId="0000000E" w14:textId="77777777" w:rsidR="00A4240F" w:rsidRDefault="00E40D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Podpora duálnej kariéry športovca a komplexný rozvoj osobnosti. Osemročný vzdelávací program poskytuje jedinečnú príležitosť na realizáciu konceptu duálnej kariéry, ktorý je aktívne podporovaný aj na úrovni Európskej únie. V tomto modeli nie je vzdelanie v</w:t>
      </w:r>
      <w:r>
        <w:rPr>
          <w:rFonts w:ascii="Times New Roman" w:eastAsia="Times New Roman" w:hAnsi="Times New Roman" w:cs="Times New Roman"/>
        </w:rPr>
        <w:t>nímané ako prekážka športovej kariéry, ale ako jej integrálna súčasť. Škola môže v dlhodobom horizonte plánovať a harmonizovať akademické a tréningové zaťaženie, čím sa predchádza preťaženiu žiakov a riziku, že zanechajú buď šport, alebo vzdelávanie. Okrem</w:t>
      </w:r>
      <w:r>
        <w:rPr>
          <w:rFonts w:ascii="Times New Roman" w:eastAsia="Times New Roman" w:hAnsi="Times New Roman" w:cs="Times New Roman"/>
        </w:rPr>
        <w:t xml:space="preserve"> toho osemročný program umožňuje skoršiu a systematickejšiu prácu s mladými športovcami aj v oblastiach, ako sú športová psychológia, regenerácia a výživa, čo prispieva ku komplexnému a zdravému rozvoju ich osobnosti.</w:t>
      </w:r>
    </w:p>
    <w:p w14:paraId="0000000F" w14:textId="77777777" w:rsidR="00A4240F" w:rsidRDefault="00A4240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</w:rPr>
      </w:pPr>
    </w:p>
    <w:p w14:paraId="00000010" w14:textId="77777777" w:rsidR="00A4240F" w:rsidRDefault="00E40D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Udržanie talentov v systéme športu. Š</w:t>
      </w:r>
      <w:r>
        <w:rPr>
          <w:rFonts w:ascii="Times New Roman" w:eastAsia="Times New Roman" w:hAnsi="Times New Roman" w:cs="Times New Roman"/>
        </w:rPr>
        <w:t>tatistiky a skúsenosti z praxe poukazujú na dramatický pokles počtu aktívne športujúcich detí vo veku od 12 do 15 rokov. Vzdelávanie v osemročnom programe športových škôl vytvára predpoklad na ich dlhšie zotrvanie v organizovanom športe. To môže mať význam</w:t>
      </w:r>
      <w:r>
        <w:rPr>
          <w:rFonts w:ascii="Times New Roman" w:eastAsia="Times New Roman" w:hAnsi="Times New Roman" w:cs="Times New Roman"/>
        </w:rPr>
        <w:t>ný pozitívny vplyv na šírku základne mládežníckych a juniorských reprezentantov. Vekové obdobie 12 až 15 rokov je kritické z hľadiska formovania osobnosti. Udržanie detí v športovom systéme prostredníctvom osemročných programov má preto nielen športový, al</w:t>
      </w:r>
      <w:r>
        <w:rPr>
          <w:rFonts w:ascii="Times New Roman" w:eastAsia="Times New Roman" w:hAnsi="Times New Roman" w:cs="Times New Roman"/>
        </w:rPr>
        <w:t xml:space="preserve">e aj významný zdravotný a preventívny rozmer. </w:t>
      </w:r>
    </w:p>
    <w:p w14:paraId="00000011" w14:textId="77777777" w:rsidR="00A4240F" w:rsidRDefault="00A4240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</w:rPr>
      </w:pPr>
    </w:p>
    <w:p w14:paraId="00000012" w14:textId="77777777" w:rsidR="00A4240F" w:rsidRDefault="00E40D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Zvýšenie atraktivity stredných športových škôl. Dopyt po osemročných vzdelávacích programoch v spoločnosti neklesá, zatiaľ čo záujem o štúdium na stredných športových školách má klesajúcu tendenciu. Umožnenie školám dobrovoľne si rozšíriť ponuku o osemročn</w:t>
      </w:r>
      <w:r>
        <w:rPr>
          <w:rFonts w:ascii="Times New Roman" w:eastAsia="Times New Roman" w:hAnsi="Times New Roman" w:cs="Times New Roman"/>
        </w:rPr>
        <w:t>ý študijný program reaguje na tento dopyt a môže výrazne zvýšiť ich atraktivitu a konkurencieschopnosť.</w:t>
      </w:r>
    </w:p>
    <w:p w14:paraId="00000013" w14:textId="77777777" w:rsidR="00A4240F" w:rsidRDefault="00A4240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</w:rPr>
      </w:pPr>
    </w:p>
    <w:p w14:paraId="00000014" w14:textId="77777777" w:rsidR="00A4240F" w:rsidRDefault="00E40D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Zefektívnenie systému vyhľadávania a rozvoja talentov. Legislatívny rámec, ktorý umožní zaradenie osemročného programu, priamo nadväzuje na snahy o zef</w:t>
      </w:r>
      <w:r>
        <w:rPr>
          <w:rFonts w:ascii="Times New Roman" w:eastAsia="Times New Roman" w:hAnsi="Times New Roman" w:cs="Times New Roman"/>
        </w:rPr>
        <w:t>ektívnenie systému identifikácie a starostlivosti o športové talenty na národnej úrovni. Umožní plynulý prechod najväčších talentov identifikovaných v rámci súťaží a aktivít na prvom stupni základných škôl do prostredia, ktoré je plne prispôsobené ich potr</w:t>
      </w:r>
      <w:r>
        <w:rPr>
          <w:rFonts w:ascii="Times New Roman" w:eastAsia="Times New Roman" w:hAnsi="Times New Roman" w:cs="Times New Roman"/>
        </w:rPr>
        <w:t>ebám. Školy tak budú môcť pracovať s talentovanými žiakmi systematicky a koncepčne už od veku 11 rokov, čo je v mnohých športových odvetviach (napr. krasokorčuľovanie, gymnastika, plávanie, hokej, tenis) kľúčové pre dosiahnutie vrcholovej úrovne v dospelos</w:t>
      </w:r>
      <w:r>
        <w:rPr>
          <w:rFonts w:ascii="Times New Roman" w:eastAsia="Times New Roman" w:hAnsi="Times New Roman" w:cs="Times New Roman"/>
        </w:rPr>
        <w:t>ti. Tento krok je tak v súlade so strategickými cieľmi štátnej politiky v oblasti športu a práce s mládežou.</w:t>
      </w:r>
    </w:p>
    <w:p w14:paraId="00000015" w14:textId="77777777" w:rsidR="00A4240F" w:rsidRDefault="00A4240F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0000016" w14:textId="77777777" w:rsidR="00A4240F" w:rsidRDefault="00E40D2F">
      <w:pPr>
        <w:spacing w:line="276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V súvislosti s navrhovanou zmenou sa primerane </w:t>
      </w:r>
      <w:r>
        <w:rPr>
          <w:rFonts w:ascii="Times New Roman" w:eastAsia="Times New Roman" w:hAnsi="Times New Roman" w:cs="Times New Roman"/>
          <w:highlight w:val="white"/>
        </w:rPr>
        <w:t>upraví príslušný vykonávací predpis, t. j. vyhláška Ministerstva školstva, výskumu, vývoja a mládež</w:t>
      </w:r>
      <w:r>
        <w:rPr>
          <w:rFonts w:ascii="Times New Roman" w:eastAsia="Times New Roman" w:hAnsi="Times New Roman" w:cs="Times New Roman"/>
          <w:highlight w:val="white"/>
        </w:rPr>
        <w:t>e Slovenskej republiky č. 217/2025 Z. z. o sústave odborov vzdelávania pre stredné školy a vecnej pôsobnosti k odborom vzdelávania.</w:t>
      </w:r>
    </w:p>
    <w:p w14:paraId="00000017" w14:textId="77777777" w:rsidR="00A4240F" w:rsidRDefault="00A4240F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0000018" w14:textId="77777777" w:rsidR="00A4240F" w:rsidRDefault="00E40D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Navrhovaná legislatívna úprava má pozitívny sociálny vplyv, pretože vytvára legislatívne predpoklady na systematickú a cielenú prácu so športovo nadanými žiakmi už od nižšieho veku a prispieva k rovnosti príležitostí a môže znižovať riziko sociálnej </w:t>
      </w:r>
      <w:proofErr w:type="spellStart"/>
      <w:r>
        <w:rPr>
          <w:rFonts w:ascii="Times New Roman" w:eastAsia="Times New Roman" w:hAnsi="Times New Roman" w:cs="Times New Roman"/>
        </w:rPr>
        <w:t>exklúz</w:t>
      </w:r>
      <w:r>
        <w:rPr>
          <w:rFonts w:ascii="Times New Roman" w:eastAsia="Times New Roman" w:hAnsi="Times New Roman" w:cs="Times New Roman"/>
        </w:rPr>
        <w:t>ie</w:t>
      </w:r>
      <w:proofErr w:type="spellEnd"/>
      <w:r>
        <w:rPr>
          <w:rFonts w:ascii="Times New Roman" w:eastAsia="Times New Roman" w:hAnsi="Times New Roman" w:cs="Times New Roman"/>
        </w:rPr>
        <w:t xml:space="preserve">. Zároveň návrh pozitívne vplýva na rodinu a rodičovstvo, keďže podporuje rodiny v ich úsilí o rozvoj nadania svojich detí a zosúlaďuje náročný tréningový proces so vzdelávaním v rámci jedného </w:t>
      </w:r>
      <w:proofErr w:type="spellStart"/>
      <w:r>
        <w:rPr>
          <w:rFonts w:ascii="Times New Roman" w:eastAsia="Times New Roman" w:hAnsi="Times New Roman" w:cs="Times New Roman"/>
        </w:rPr>
        <w:t>výchovno</w:t>
      </w:r>
      <w:proofErr w:type="spellEnd"/>
      <w:r>
        <w:rPr>
          <w:rFonts w:ascii="Times New Roman" w:eastAsia="Times New Roman" w:hAnsi="Times New Roman" w:cs="Times New Roman"/>
        </w:rPr>
        <w:t xml:space="preserve"> vzdelávacieho programu.</w:t>
      </w:r>
    </w:p>
    <w:p w14:paraId="00000019" w14:textId="77777777" w:rsidR="00A4240F" w:rsidRDefault="00A424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000001A" w14:textId="77777777" w:rsidR="00A4240F" w:rsidRDefault="00E40D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Návrh zákona nemá vplyvy na</w:t>
      </w:r>
      <w:r>
        <w:rPr>
          <w:rFonts w:ascii="Times New Roman" w:eastAsia="Times New Roman" w:hAnsi="Times New Roman" w:cs="Times New Roman"/>
        </w:rPr>
        <w:t xml:space="preserve"> rozpočet verejnej správy, podnikateľské prostredie, životné prostredie ani na informatizáciu spoločnosti, keďže ide o zosúladenie podmienok prijímacieho konania s existujúcimi typmi osemročných vzdelávacích programov.</w:t>
      </w:r>
    </w:p>
    <w:p w14:paraId="0000001B" w14:textId="77777777" w:rsidR="00A4240F" w:rsidRDefault="00A424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000001C" w14:textId="77777777" w:rsidR="00A4240F" w:rsidRDefault="00E40D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Predkladaný návrh zákona je v súlade</w:t>
      </w:r>
      <w:r>
        <w:rPr>
          <w:rFonts w:ascii="Times New Roman" w:eastAsia="Times New Roman" w:hAnsi="Times New Roman" w:cs="Times New Roman"/>
        </w:rPr>
        <w:t xml:space="preserve"> s Ústavou Slovenskej republiky, ústavnými zákonmi  a ostatnými všeobecne záväznými právnymi predpismi Slovenskej republiky, nálezmi Ústavného súdu Slovenskej republiky, medzinárodnými zmluvami a inými medzinárodnými dokumentmi, ktorými je Slovenská republ</w:t>
      </w:r>
      <w:r>
        <w:rPr>
          <w:rFonts w:ascii="Times New Roman" w:eastAsia="Times New Roman" w:hAnsi="Times New Roman" w:cs="Times New Roman"/>
        </w:rPr>
        <w:t>ika viazaná, ako aj v súlade s právom Európskej únie.</w:t>
      </w:r>
    </w:p>
    <w:p w14:paraId="0000001D" w14:textId="77777777" w:rsidR="00A4240F" w:rsidRDefault="00A424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000001E" w14:textId="77777777" w:rsidR="00A4240F" w:rsidRDefault="00A4240F">
      <w:pPr>
        <w:pStyle w:val="Nadpis4"/>
        <w:keepNext w:val="0"/>
        <w:keepLines w:val="0"/>
        <w:widowControl w:val="0"/>
        <w:spacing w:before="0" w:after="120" w:line="276" w:lineRule="auto"/>
        <w:rPr>
          <w:rFonts w:ascii="Times New Roman" w:eastAsia="Times New Roman" w:hAnsi="Times New Roman" w:cs="Times New Roman"/>
          <w:b/>
          <w:i w:val="0"/>
          <w:color w:val="1B1C1D"/>
          <w:sz w:val="22"/>
          <w:szCs w:val="22"/>
        </w:rPr>
      </w:pPr>
      <w:bookmarkStart w:id="0" w:name="_heading=h.qr2vyszhnhrs" w:colFirst="0" w:colLast="0"/>
      <w:bookmarkEnd w:id="0"/>
    </w:p>
    <w:p w14:paraId="0000001F" w14:textId="77777777" w:rsidR="00A4240F" w:rsidRDefault="00A4240F">
      <w:pPr>
        <w:pStyle w:val="Nadpis4"/>
        <w:keepNext w:val="0"/>
        <w:keepLines w:val="0"/>
        <w:widowControl w:val="0"/>
        <w:spacing w:before="0" w:after="120" w:line="276" w:lineRule="auto"/>
        <w:rPr>
          <w:rFonts w:ascii="Times New Roman" w:eastAsia="Times New Roman" w:hAnsi="Times New Roman" w:cs="Times New Roman"/>
          <w:b/>
          <w:i w:val="0"/>
          <w:color w:val="1B1C1D"/>
          <w:sz w:val="22"/>
          <w:szCs w:val="22"/>
        </w:rPr>
      </w:pPr>
      <w:bookmarkStart w:id="1" w:name="_heading=h.mn1bgnoecb7b" w:colFirst="0" w:colLast="0"/>
      <w:bookmarkEnd w:id="1"/>
    </w:p>
    <w:p w14:paraId="00000020" w14:textId="77777777" w:rsidR="00A4240F" w:rsidRDefault="00A4240F">
      <w:pPr>
        <w:pStyle w:val="Nadpis4"/>
        <w:keepNext w:val="0"/>
        <w:keepLines w:val="0"/>
        <w:widowControl w:val="0"/>
        <w:spacing w:before="0" w:after="120" w:line="276" w:lineRule="auto"/>
        <w:rPr>
          <w:rFonts w:ascii="Times New Roman" w:eastAsia="Times New Roman" w:hAnsi="Times New Roman" w:cs="Times New Roman"/>
          <w:b/>
          <w:i w:val="0"/>
          <w:color w:val="1B1C1D"/>
          <w:sz w:val="22"/>
          <w:szCs w:val="22"/>
        </w:rPr>
      </w:pPr>
      <w:bookmarkStart w:id="2" w:name="_heading=h.c5s4m0rl751o" w:colFirst="0" w:colLast="0"/>
      <w:bookmarkEnd w:id="2"/>
    </w:p>
    <w:p w14:paraId="00000021" w14:textId="77777777" w:rsidR="00A4240F" w:rsidRDefault="00A4240F">
      <w:pPr>
        <w:pStyle w:val="Nadpis4"/>
        <w:keepNext w:val="0"/>
        <w:keepLines w:val="0"/>
        <w:widowControl w:val="0"/>
        <w:spacing w:before="0" w:after="120" w:line="276" w:lineRule="auto"/>
        <w:rPr>
          <w:rFonts w:ascii="Times New Roman" w:eastAsia="Times New Roman" w:hAnsi="Times New Roman" w:cs="Times New Roman"/>
          <w:b/>
          <w:i w:val="0"/>
          <w:color w:val="1B1C1D"/>
          <w:sz w:val="22"/>
          <w:szCs w:val="22"/>
        </w:rPr>
      </w:pPr>
      <w:bookmarkStart w:id="3" w:name="_heading=h.41q1mvnchv0h" w:colFirst="0" w:colLast="0"/>
      <w:bookmarkEnd w:id="3"/>
    </w:p>
    <w:p w14:paraId="00000022" w14:textId="77777777" w:rsidR="00A4240F" w:rsidRDefault="00A4240F"/>
    <w:p w14:paraId="00000023" w14:textId="77777777" w:rsidR="00A4240F" w:rsidRDefault="00A4240F"/>
    <w:p w14:paraId="00000024" w14:textId="77777777" w:rsidR="00A4240F" w:rsidRDefault="00A4240F"/>
    <w:p w14:paraId="00000025" w14:textId="77777777" w:rsidR="00A4240F" w:rsidRDefault="00A4240F"/>
    <w:p w14:paraId="00000026" w14:textId="77777777" w:rsidR="00A4240F" w:rsidRDefault="00A4240F"/>
    <w:p w14:paraId="00000027" w14:textId="77777777" w:rsidR="00A4240F" w:rsidRDefault="00A4240F"/>
    <w:p w14:paraId="00000028" w14:textId="77777777" w:rsidR="00A4240F" w:rsidRDefault="00A4240F">
      <w:pPr>
        <w:pStyle w:val="Nadpis4"/>
        <w:keepNext w:val="0"/>
        <w:keepLines w:val="0"/>
        <w:widowControl w:val="0"/>
        <w:spacing w:before="0" w:after="120" w:line="276" w:lineRule="auto"/>
        <w:rPr>
          <w:rFonts w:ascii="Times New Roman" w:eastAsia="Times New Roman" w:hAnsi="Times New Roman" w:cs="Times New Roman"/>
          <w:b/>
          <w:i w:val="0"/>
          <w:color w:val="1B1C1D"/>
          <w:sz w:val="22"/>
          <w:szCs w:val="22"/>
        </w:rPr>
      </w:pPr>
      <w:bookmarkStart w:id="4" w:name="_heading=h.ca5kviu3ercm" w:colFirst="0" w:colLast="0"/>
      <w:bookmarkEnd w:id="4"/>
    </w:p>
    <w:p w14:paraId="3503C1C3" w14:textId="77777777" w:rsidR="00E40D2F" w:rsidRDefault="00E40D2F">
      <w:pPr>
        <w:pStyle w:val="Nadpis4"/>
        <w:keepNext w:val="0"/>
        <w:keepLines w:val="0"/>
        <w:widowControl w:val="0"/>
        <w:spacing w:before="0" w:after="120" w:line="276" w:lineRule="auto"/>
        <w:rPr>
          <w:rFonts w:ascii="Times New Roman" w:eastAsia="Times New Roman" w:hAnsi="Times New Roman" w:cs="Times New Roman"/>
          <w:b/>
          <w:i w:val="0"/>
          <w:color w:val="1B1C1D"/>
          <w:sz w:val="22"/>
          <w:szCs w:val="22"/>
        </w:rPr>
      </w:pPr>
      <w:bookmarkStart w:id="5" w:name="_heading=h.ntle9d6gu577" w:colFirst="0" w:colLast="0"/>
      <w:bookmarkEnd w:id="5"/>
    </w:p>
    <w:p w14:paraId="00000029" w14:textId="36F37607" w:rsidR="00A4240F" w:rsidRDefault="00E40D2F">
      <w:pPr>
        <w:pStyle w:val="Nadpis4"/>
        <w:keepNext w:val="0"/>
        <w:keepLines w:val="0"/>
        <w:widowControl w:val="0"/>
        <w:spacing w:before="0" w:after="120" w:line="276" w:lineRule="auto"/>
        <w:rPr>
          <w:rFonts w:ascii="Times New Roman" w:eastAsia="Times New Roman" w:hAnsi="Times New Roman" w:cs="Times New Roman"/>
          <w:b/>
          <w:i w:val="0"/>
          <w:color w:val="1B1C1D"/>
          <w:sz w:val="22"/>
          <w:szCs w:val="22"/>
        </w:rPr>
      </w:pPr>
      <w:bookmarkStart w:id="6" w:name="_GoBack"/>
      <w:bookmarkEnd w:id="6"/>
      <w:r>
        <w:rPr>
          <w:rFonts w:ascii="Times New Roman" w:eastAsia="Times New Roman" w:hAnsi="Times New Roman" w:cs="Times New Roman"/>
          <w:b/>
          <w:i w:val="0"/>
          <w:color w:val="1B1C1D"/>
          <w:sz w:val="22"/>
          <w:szCs w:val="22"/>
        </w:rPr>
        <w:lastRenderedPageBreak/>
        <w:t>B. OSOBITNÁ ČASŤ</w:t>
      </w:r>
    </w:p>
    <w:p w14:paraId="0000002A" w14:textId="77777777" w:rsidR="00A4240F" w:rsidRDefault="00E40D2F">
      <w:pPr>
        <w:widowControl w:val="0"/>
        <w:spacing w:after="240" w:line="276" w:lineRule="auto"/>
        <w:rPr>
          <w:rFonts w:ascii="Times New Roman" w:eastAsia="Times New Roman" w:hAnsi="Times New Roman" w:cs="Times New Roman"/>
          <w:b/>
          <w:color w:val="1B1C1D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1B1C1D"/>
          <w:sz w:val="22"/>
          <w:szCs w:val="22"/>
        </w:rPr>
        <w:t>K čl. I</w:t>
      </w:r>
    </w:p>
    <w:p w14:paraId="0000002B" w14:textId="77777777" w:rsidR="00A4240F" w:rsidRDefault="00E40D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K bodom 1 a 2</w:t>
      </w:r>
      <w:r>
        <w:rPr>
          <w:rFonts w:ascii="Times New Roman" w:eastAsia="Times New Roman" w:hAnsi="Times New Roman" w:cs="Times New Roman"/>
        </w:rPr>
        <w:t xml:space="preserve"> (§ 16 ods. 4 písm. c) a § 62 ods. 7):</w:t>
      </w:r>
    </w:p>
    <w:p w14:paraId="0000002C" w14:textId="77777777" w:rsidR="00A4240F" w:rsidRDefault="00E40D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V § 16 ods. 4</w:t>
      </w:r>
      <w:r>
        <w:rPr>
          <w:rFonts w:ascii="Times New Roman" w:eastAsia="Times New Roman" w:hAnsi="Times New Roman" w:cs="Times New Roman"/>
        </w:rPr>
        <w:t xml:space="preserve"> písm. c) sa upravuje ustanovenie o úplnom strednom všeobecnom vzdelaní tak, aby bolo zrejmé, že ho získa žiak, ak </w:t>
      </w:r>
      <w:r>
        <w:rPr>
          <w:rFonts w:ascii="Times New Roman" w:eastAsia="Times New Roman" w:hAnsi="Times New Roman" w:cs="Times New Roman"/>
          <w:highlight w:val="white"/>
        </w:rPr>
        <w:t>absolvuje posledný ročník najmenej štvorročného a najviac osemročného vzdelávacieho programu odboru vzdelávania v strednej športovej škole.</w:t>
      </w:r>
    </w:p>
    <w:p w14:paraId="0000002D" w14:textId="77777777" w:rsidR="00A4240F" w:rsidRDefault="00A424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000002E" w14:textId="77777777" w:rsidR="00A4240F" w:rsidRDefault="00E40D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Zároveň sa navrhuje sa doplniť § 62 ods. 7, ktorý upravuje podmienky prijatia na vzdelávanie v strednej športovej škole. V súčasnosti toto ustanovenie odkazuje na podmienky prijatia pre štvorročné programy (absolvovanie 9. ročníka základnej školy) a preuká</w:t>
      </w:r>
      <w:r>
        <w:rPr>
          <w:rFonts w:ascii="Times New Roman" w:eastAsia="Times New Roman" w:hAnsi="Times New Roman" w:cs="Times New Roman"/>
        </w:rPr>
        <w:t>zanie športového nadania.</w:t>
      </w:r>
    </w:p>
    <w:p w14:paraId="0000002F" w14:textId="77777777" w:rsidR="00A4240F" w:rsidRDefault="00A424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0000030" w14:textId="77777777" w:rsidR="00A4240F" w:rsidRDefault="00E40D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Doplnením vnútorného odkazu na odsek 2 daného paragrafu sa umožňuje prijatie na strednú športovú školu aj pre uchádzača, ktorý úspešne absolvoval piaty ročník základnej školy. Práve táto podmienka je kľúčová pre prijatie do prvéh</w:t>
      </w:r>
      <w:r>
        <w:rPr>
          <w:rFonts w:ascii="Times New Roman" w:eastAsia="Times New Roman" w:hAnsi="Times New Roman" w:cs="Times New Roman"/>
        </w:rPr>
        <w:t xml:space="preserve">o ročníka osemročného vzdelávacieho programu, analogicky k fungovaniu osemročných gymnázií. </w:t>
      </w:r>
    </w:p>
    <w:p w14:paraId="00000031" w14:textId="77777777" w:rsidR="00A4240F" w:rsidRDefault="00A424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0000032" w14:textId="77777777" w:rsidR="00A4240F" w:rsidRDefault="00E40D2F">
      <w:pPr>
        <w:widowControl w:val="0"/>
        <w:spacing w:after="240" w:line="276" w:lineRule="auto"/>
        <w:rPr>
          <w:rFonts w:ascii="Times New Roman" w:eastAsia="Times New Roman" w:hAnsi="Times New Roman" w:cs="Times New Roman"/>
          <w:b/>
          <w:color w:val="1B1C1D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1B1C1D"/>
          <w:sz w:val="22"/>
          <w:szCs w:val="22"/>
        </w:rPr>
        <w:t>K čl. II</w:t>
      </w:r>
    </w:p>
    <w:p w14:paraId="00000033" w14:textId="77777777" w:rsidR="00A4240F" w:rsidRDefault="00E40D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Účinnosť zákona sa navrhuje od 1. januára 2026. Navrhovaný časový odstup poskytne zriaďovateľom a samotným stredným športovým školám dostatočný legislatí</w:t>
      </w:r>
      <w:r>
        <w:rPr>
          <w:rFonts w:ascii="Times New Roman" w:eastAsia="Times New Roman" w:hAnsi="Times New Roman" w:cs="Times New Roman"/>
        </w:rPr>
        <w:t>vny a organizačný priestor na prípravu podmienok pre prípadné otvorenie nových osemročných študijných odborov, vrátane prípravy školských vzdelávacích programov a zabezpečenia prijímacieho konania.</w:t>
      </w:r>
    </w:p>
    <w:p w14:paraId="00000034" w14:textId="77777777" w:rsidR="00A4240F" w:rsidRDefault="00A4240F">
      <w:pPr>
        <w:rPr>
          <w:rFonts w:ascii="Times New Roman" w:eastAsia="Times New Roman" w:hAnsi="Times New Roman" w:cs="Times New Roman"/>
          <w:b/>
        </w:rPr>
      </w:pPr>
    </w:p>
    <w:p w14:paraId="00000035" w14:textId="77777777" w:rsidR="00A4240F" w:rsidRDefault="00A4240F">
      <w:pPr>
        <w:jc w:val="both"/>
        <w:rPr>
          <w:rFonts w:ascii="Times New Roman" w:eastAsia="Times New Roman" w:hAnsi="Times New Roman" w:cs="Times New Roman"/>
        </w:rPr>
      </w:pPr>
    </w:p>
    <w:p w14:paraId="00000036" w14:textId="77777777" w:rsidR="00A4240F" w:rsidRDefault="00A4240F">
      <w:pPr>
        <w:jc w:val="both"/>
        <w:rPr>
          <w:rFonts w:ascii="Times New Roman" w:eastAsia="Times New Roman" w:hAnsi="Times New Roman" w:cs="Times New Roman"/>
        </w:rPr>
      </w:pPr>
    </w:p>
    <w:sectPr w:rsidR="00A4240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251D"/>
    <w:multiLevelType w:val="multilevel"/>
    <w:tmpl w:val="286ACC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647A9C"/>
    <w:multiLevelType w:val="multilevel"/>
    <w:tmpl w:val="075CD8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F73B71"/>
    <w:multiLevelType w:val="multilevel"/>
    <w:tmpl w:val="572CBA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F39FD"/>
    <w:multiLevelType w:val="multilevel"/>
    <w:tmpl w:val="A2A4E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3B4D66"/>
    <w:multiLevelType w:val="multilevel"/>
    <w:tmpl w:val="2EB069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0F"/>
    <w:rsid w:val="00A4240F"/>
    <w:rsid w:val="00E4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E499"/>
  <w15:docId w15:val="{CFA61582-7B27-4671-8153-7E4BA2B4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80" w:after="40"/>
      <w:outlineLvl w:val="3"/>
    </w:pPr>
    <w:rPr>
      <w:i/>
      <w:color w:val="2F5496"/>
    </w:rPr>
  </w:style>
  <w:style w:type="paragraph" w:styleId="Nadpis5">
    <w:name w:val="heading 5"/>
    <w:basedOn w:val="Normlny"/>
    <w:next w:val="Normlny"/>
    <w:pPr>
      <w:keepNext/>
      <w:keepLines/>
      <w:spacing w:before="80" w:after="40"/>
      <w:outlineLvl w:val="4"/>
    </w:pPr>
    <w:rPr>
      <w:color w:val="2F5496"/>
    </w:rPr>
  </w:style>
  <w:style w:type="paragraph" w:styleId="Nadpis6">
    <w:name w:val="heading 6"/>
    <w:basedOn w:val="Normlny"/>
    <w:next w:val="Normlny"/>
    <w:pPr>
      <w:keepNext/>
      <w:keepLines/>
      <w:spacing w:before="40"/>
      <w:outlineLvl w:val="5"/>
    </w:pPr>
    <w:rPr>
      <w:i/>
      <w:color w:val="595959"/>
    </w:rPr>
  </w:style>
  <w:style w:type="paragraph" w:styleId="Nadpis7">
    <w:name w:val="heading 7"/>
    <w:link w:val="Nadpis7Char"/>
    <w:uiPriority w:val="9"/>
    <w:semiHidden/>
    <w:unhideWhenUsed/>
    <w:qFormat/>
    <w:rsid w:val="00C003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00C003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link w:val="Nadpis9Char"/>
    <w:uiPriority w:val="9"/>
    <w:semiHidden/>
    <w:unhideWhenUsed/>
    <w:qFormat/>
    <w:rsid w:val="00C003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spacing w:after="80"/>
    </w:pPr>
    <w:rPr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uiPriority w:val="9"/>
    <w:rsid w:val="00C00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uiPriority w:val="9"/>
    <w:semiHidden/>
    <w:rsid w:val="00C00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uiPriority w:val="9"/>
    <w:semiHidden/>
    <w:rsid w:val="00C00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uiPriority w:val="9"/>
    <w:semiHidden/>
    <w:rsid w:val="00C0031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uiPriority w:val="9"/>
    <w:semiHidden/>
    <w:rsid w:val="00C0031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uiPriority w:val="9"/>
    <w:semiHidden/>
    <w:rsid w:val="00C003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003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003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0031C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uiPriority w:val="10"/>
    <w:rsid w:val="00C00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itulChar">
    <w:name w:val="Podtitul Char"/>
    <w:basedOn w:val="Predvolenpsmoodseku"/>
    <w:uiPriority w:val="11"/>
    <w:rsid w:val="00C00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link w:val="CitciaChar"/>
    <w:uiPriority w:val="29"/>
    <w:qFormat/>
    <w:rsid w:val="00C003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0031C"/>
    <w:rPr>
      <w:i/>
      <w:iCs/>
      <w:color w:val="404040" w:themeColor="text1" w:themeTint="BF"/>
    </w:rPr>
  </w:style>
  <w:style w:type="paragraph" w:styleId="Odsekzoznamu">
    <w:name w:val="List Paragraph"/>
    <w:uiPriority w:val="34"/>
    <w:qFormat/>
    <w:rsid w:val="00C0031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0031C"/>
    <w:rPr>
      <w:i/>
      <w:iCs/>
      <w:color w:val="2F5496" w:themeColor="accent1" w:themeShade="BF"/>
    </w:rPr>
  </w:style>
  <w:style w:type="paragraph" w:styleId="Zvraznencitcia">
    <w:name w:val="Intense Quote"/>
    <w:link w:val="ZvraznencitciaChar"/>
    <w:uiPriority w:val="30"/>
    <w:qFormat/>
    <w:rsid w:val="00C00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0031C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C0031C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uiPriority w:val="99"/>
    <w:unhideWhenUsed/>
    <w:rsid w:val="00D965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odtitul">
    <w:name w:val="Subtitle"/>
    <w:basedOn w:val="Normlny"/>
    <w:next w:val="Normlny"/>
    <w:pPr>
      <w:spacing w:after="160"/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VcztGADbn2qxu70rvPfHYNj2vA==">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5415</Characters>
  <Application>Microsoft Office Word</Application>
  <DocSecurity>0</DocSecurity>
  <Lines>45</Lines>
  <Paragraphs>12</Paragraphs>
  <ScaleCrop>false</ScaleCrop>
  <Company>Kancelária Národnej rady Slovenskej republiky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Kosová</dc:creator>
  <cp:lastModifiedBy>Nash, Natalia, (asistent)</cp:lastModifiedBy>
  <cp:revision>2</cp:revision>
  <dcterms:created xsi:type="dcterms:W3CDTF">2025-08-13T09:12:00Z</dcterms:created>
  <dcterms:modified xsi:type="dcterms:W3CDTF">2025-08-21T10:28:00Z</dcterms:modified>
</cp:coreProperties>
</file>