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Odôvodnenie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návrhu na prijatie uznesenia Národnej rady Slovenskej republiky 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 návratu unesených ukrajinských detí</w:t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Navrhuje sa prijatie predloženého uznesenia Národnej rady Slovenskej republiky ako reakcie na pokrok v rokovaniach o ukončení ruskej agresie na Ukrajine, ktorého súčasťou musí byť aj návrat všetkých deportovaných a unesených ukrajinských detí domov k rodinám a príbuzným.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Naopak o pokroku nemožno hovoriť v súvislosti s nečinnosťou vlády SR, ktorá sa na rozdiel od väčšiny našich partnerov z EÚ a NATO doposiaľ nepridala k Medzinárodnej koalícii pre návraty unesených ukrajinských detí ani k žiadnej inej obdobnej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iniciatíve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Cieľom uznesenia je preto nielen vyjadriť jasný postoj Národnej rady SR k závažnému porušovaniu práv detí zo strany Ruskej federácie, ale aj vyzvať vládu a prezidenta SR ku krokom, ktoré reálne pomôžu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celým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rodinám byť opäť zjednotené, čo je nespochybniteľne aj v časoch vojny a konfliktov to najdôležitejšie, čo si nielen ako politici, rodičia ale hlavne ľudia môžeme želať.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Dáta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Momentálne nie je možné presne určiť počet detí, ktoré sa stali obeťami nelegálnych deportácii a únosov a to aj z dôvodu, že ani ukrajinské ani medzinárodné zložky nedisponujú  potrebnými kompletnými informáciami z okupovaných území, na ktoré nemajú prístup. Odhaduje sa, že v tzv. Donbase by sa stále malo nachádzať viac ako 1,6 milióna ukrajinských detí s ukrajinským občianstvom, teda detí, ktoré sa narodili ešte pred administratívnou okupáciou týchto oblastí, t.j pred septembrom 2022. Ruská federácia podľa dostupných informácií aj naďalej pokračuje v ich premiestňovaní na svoje územie. Zároveň samotné Rusko v správe z júla 2023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uviedlo, že do Ruska len za prvé mesiace vojny presídlilo viac ako 4,8 milióna Ukrajincov a Ukrajiniek vrátane 700 tisíc detí. Úrad Verejného ochrancu práv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 medzinárodné organizácie tak odhadujú, že počet deportovaných a násilne presídlených detí by mohol v skutočnosti predstavovať stovky tisíc. Doposiaľ sa podarilo identifikovať 20 tisíc z nich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Kontext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Rusko nazýva únosy ukrajinských detí “evakuáciou”, “humanitárnou pomocou” či “záchranou”.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Samozrejme nie všetky unesené deti stratili rodičov a sú sirotami. Časť z nich pochádza z opatrovateľských centier v okupovaných oblastiach, ďalšie boli rodičom odobraté počas útokov, ich zatknutí, presídlení alebo počas tzv. filtračných operácií na okupovaných územiach. Na Ukrajine tak má stále väčšina z nich zákonných zástupcov alebo blízkych rodinných príslušníkov. V niektorých prípadoch sa deti takmer okamžite stali predmetom adopcie ruskými rodinami.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Ruskom nastolené ministerstvo školstva a vedy v čiastočne okupovanej Luhanskej oblasti Ukrajiny tiež zverejnilo online databázu ukrajinských detí, v ktorej sú uvedené ako “dostupné na adopciu”. Databáza obsahuje profily 294 detí mladších ako 17 rokov. Každý záznam obsahuje meno dieťaťa, fotografiu a stručný opis jeho osobnosti a záujmov. Používatelia môžu profily filtrovať podľa pohlavia, veku, farby očí a vlasov aj počtu súrodencov. Stránka je oficiálne vedená ruskou administratívou. Tento nechutný obchod zároveň deti vystavuje ďalšiemu nebezpečenstvu ako obchod s ľuďmi, sexuálne vykorisťovanie alebo obchod s orgánmi.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 iných prípadoch sú deti umiestňované do resocializačných centier alebo mládežníckych vojenských centier na ruskom území. Deti sú podrobené indoktrinácii a ultimátnym cieľom je vytvoriť z nich armádu, ktorá bude pripravená na boj proti vlastnej krajine.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Deportovaným deťom sú menené mená a často aj dátumy a miesta narodenia, identifikačné doklady, stávajú sa predmetom rusifikácie – pre-vzdelávania, ktorého cieľom je preučiť ich jazyk, vymazať kultúru a korene. Toto konanie nesie známky genocídy a je v hrubom rozpore s medzinárodným právom, vrátane Dohovoru o zabránení a trestaní zločinu genocídy.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Takéto zaobchádzanie má samozrejme veľmi negatívne dopady na mentálne, duševné aj fyzické zdravie detí a mladistvých. Čím dlhšie separácia trvá, tým vážnejšie sú narušené rodinné väzby a dieťa trpí. Zdokumentované prípady hovoria o fyzických trestoch, zákaze komunikácie s inými ukrajinskými známymi či časťou rodiny a tiež odopieraní stravy a starostlivosti po prevoze do Ruska.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Predkladateľky a predkladateľ majú za to, že takéto zaobchádzanie s deťmi,  najohrozenejšou a najzraniteľnejšou časťou spoločnosti obzvlášť počas vojny by mala Národná rada SR jednoznačne odsúdiť a vyzvať Ruskú federáciu, aby s ním okamžite prestala a zaručila ich okamžitý a bezpečný návrat domov.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Medzinárodné právo: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Deportácie, únosy, zadržiavanie detí na okupovaných územiach predstavujú flagrantné porušenie ľudských práv a tiež medzinárodného práva a predstavujú vojnový zločin podľa Rímskeho štatútu. Aj preto bol v marci 2023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ruského prezidenta V. Putina a ruskú komisárku pre deti M. Lvova-Belovu Medzinárodným trestným súdom vydaný medzinárodný zatykač ako zodpovedných za nelegálne deportácie ukrajinských detí do Ruska a Bieloruska.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Rusko tiež odmietlo vydať ukrajinským úradom zoznam detí, ktoré previezli na svoje územie tak, ako mu to nariaďuje medzinárodné právo. Aj naďalej pokračuje v nelegálnych presunoch detí na svoje územie alebo ich drží na okupovaných územiach s nemožnosťou odísť za rodinou na územie kontrolované ukrajinskými zložkami.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color w:val="31313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 rozhodnutí Európskeho súdu ľudských práv Ukrajina a Holandsko proti Rusku zo 7. júla 2025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súd rozhodol, že Rusko sa systematicky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 regulátory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dopúšťa porušení Európskeho dohovoru o ľudských právach vrátane ich nelegálnemu presunu do Ruska a adopcií. Podľa </w:t>
      </w:r>
      <w:r w:rsidDel="00000000" w:rsidR="00000000" w:rsidRPr="00000000">
        <w:rPr>
          <w:rFonts w:ascii="Times New Roman" w:cs="Times New Roman" w:eastAsia="Times New Roman" w:hAnsi="Times New Roman"/>
          <w:color w:val="313131"/>
          <w:rtl w:val="0"/>
        </w:rPr>
        <w:t xml:space="preserve">ESĽP Ruská federácia „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musí bezodkladne spolupracovať pri zriadení medzinárodného a nezávislého mechanizmu, ktorý čo najskôr a s náležitým zohľadnením najlepších záujmov detí zabezpečí identifikáciu všetkých detí prevezených z Ukrajiny do Ruska a na územie kontrolované Ruskom pred 16. septembrom 2022, obnovenie kontaktu medzi týmito deťmi a ich rodinnými príslušníkmi alebo zákonnými zástupcami a bezpečné zjednotenie detí s ich rodinami alebo zákonnými zástupcami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1313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313131"/>
          <w:rtl w:val="0"/>
        </w:rPr>
        <w:t xml:space="preserve">“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color w:val="313131"/>
        </w:rPr>
      </w:pPr>
      <w:r w:rsidDel="00000000" w:rsidR="00000000" w:rsidRPr="00000000">
        <w:rPr>
          <w:rFonts w:ascii="Times New Roman" w:cs="Times New Roman" w:eastAsia="Times New Roman" w:hAnsi="Times New Roman"/>
          <w:color w:val="313131"/>
          <w:rtl w:val="0"/>
        </w:rPr>
        <w:t xml:space="preserve">Podľa predkladateliek a predkladateľa sa musí Národná rada SR jednoznačne postaviť proti porušovaniu základných ľudských práv a za rešpektovanie medzinárodného práva, ktorým je viazaná aj Slovenská republika. Obzvlášť keď sa dotýka detí, najzraniteľnejšej skupiny obyvateľstva.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13131"/>
          <w:rtl w:val="0"/>
        </w:rPr>
        <w:t xml:space="preserve">Existujúce iniciatívy: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februára 2024 bola na podnet Kanady vytvorená Medzinárodná koalícia pre návraty ukrajinských detí, ktorej cieľom je koordinovať úsilie Ukrajiny a partnerských krajín pri návratoch unesených detí. Spoločne sa krajiny snažia identifikovať, nájsť a bezpečne prinavrátiť domov unesené deti, vymieňajú si informácie, spolupracujú v diplomatických rokovaniach a tiež podporujú vytváranie systému psychologickej pomoci, vzdelávania a aktivít pre deti, aby uľahčili ich reintegráciu a socializáciu. Len synchronizáciou rôznych možností, expertízy, finančných zdrojov a diplomatických kontaktov je možné zaručiť úspech v podobe návratov unesených detí. Doposiaľ sa to podarilo vo viac ako 1500 prípadoch. Zásluhu na diplomatickej mediácii majú aj krajiny ako Katar, Južná Afrika. 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Návrat všetkých unesených ukrajinských detí je prioritou ukrajinskej vlády, ktorá preto v roku 2023 vytvorila strategický akčný plán Bring Kids Back UA, do ktorého sa zapojili desiatky krajín, ich predstaviteľov, známe osobnosti a organizácie. Predstavitelia Slovenskej republiky opäť chýbajú.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Priorita mierových rokovaní: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Návraty detí predstavujú pre Ukrajinu jednu z priorít rokovaní o mieri, ktorú na stretnutí EÚ lídrov a ukrajinského prezidenta s americkým prezidentom vo Washingtone opätovne pripomenula EÚ/UA delegácia.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Ukrajinská delegácia už počas 3. kola rokovaní v Istanbule 23. júla 2025 odovzdala ruskej delegácii prvý, počiatočný zoznam viac ako 300 identifikovaných detí so žiadosťou o ich okamžitý návrat.  Podľa dostupných informácií sa Ruská federácia nevyjadrila k dvom stovkách z nich vrátane detí z Khersonského domova pre deti a k zvyšným uviedla, že boli vrátené, dosiahli plnoletosť alebo sa už nenachádzajú na ruskom území. 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Napriek nevôli ruských vyjednávačov spoločné úsilie krajín zapojených do Medzinárodnej koalície a projektu Bring Kids Back UA prináša výsledky, ktoré ale samozrejme do veľkej miery závisia od počtu zapojených aktérov a ich možností efektívne pomôcť. Predkladateľky a predkladateľ sú presvedčení, že Slovenská republika by mohla byť v nápomocná a využiť svoje diplomatické možnosti na ochranu nevinných detí a ich rodín a spoločne s našimi partnermi vyvinúť všetko potrebné úsilie pre ich rýchly návrat domov. Aj preto v predloženom uznesení vyzývajú nielen vládu, ale aj prezidenta Slovenskej republiky, k zapojeniu sa do medzinárodných iniciatív s týmto cieľom.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Zároveň sú predkladateľky a predkladateľ presvedčení, že práve teraz, v momente, keď rokovania o možnom ukončení vojny zaznamenávajú určitý pokrok, je dôležité, aby sa Národná rada pridala k ďalším parlamentom, ktoré odsúdili toto hrubé porušovanie práv detí a vyzvali k zintenzívneniu spoločného úsilia prinavrátiť deti domov. Tak, ako by sme si to dozaista v rovnakej situácii želali aj my všetci. 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4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https://hudoc.echr.coe.int/fre?i=001-244292#%7B%2522itemid%2522:%5B%2522001-244292%2522%5D%7D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https://www.themoscowtimes.com/2023/07/31/700k-ukrainian-children-transferred-to-russia-since-invasion-official-a82008</w:t>
      </w:r>
    </w:p>
  </w:footnote>
  <w:footnote w:id="1"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https://ombudsman.gov.ua/storage/app/media/uploaded-files/The%20task%20is%20to%20bring%20all%20Ukrainians%20back%20home.pdf</w:t>
      </w:r>
    </w:p>
  </w:footnote>
  <w:footnote w:id="3"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https://www.icc-cpi.int/news/situation-ukraine-icc-judges-issue-arrest-warrants-against-vladimir-vladimirovich-putin-and</w:t>
      </w:r>
    </w:p>
  </w:footnote>
  <w:footnote w:id="2"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https://medicine.yale.edu/news-article/fact-sheet-russias-kidnapping-and-re-education-of-ukraines-children/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k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dpis7">
    <w:name w:val="heading 7"/>
    <w:basedOn w:val="Normlny"/>
    <w:next w:val="Normlny"/>
    <w:link w:val="Nadpis7Char"/>
    <w:uiPriority w:val="9"/>
    <w:semiHidden w:val="1"/>
    <w:unhideWhenUsed w:val="1"/>
    <w:qFormat w:val="1"/>
    <w:rsid w:val="000A124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y"/>
    <w:next w:val="Normlny"/>
    <w:link w:val="Nadpis8Char"/>
    <w:uiPriority w:val="9"/>
    <w:semiHidden w:val="1"/>
    <w:unhideWhenUsed w:val="1"/>
    <w:qFormat w:val="1"/>
    <w:rsid w:val="000A124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y"/>
    <w:next w:val="Normlny"/>
    <w:link w:val="Nadpis9Char"/>
    <w:uiPriority w:val="9"/>
    <w:semiHidden w:val="1"/>
    <w:unhideWhenUsed w:val="1"/>
    <w:qFormat w:val="1"/>
    <w:rsid w:val="000A124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rsid w:val="000A124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 w:val="1"/>
    <w:rsid w:val="000A124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 w:val="1"/>
    <w:rsid w:val="000A124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 w:val="1"/>
    <w:rsid w:val="000A124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Predvolenpsmoodseku"/>
    <w:link w:val="Nadpis5"/>
    <w:uiPriority w:val="9"/>
    <w:semiHidden w:val="1"/>
    <w:rsid w:val="000A124A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Predvolenpsmoodseku"/>
    <w:link w:val="Nadpis6"/>
    <w:uiPriority w:val="9"/>
    <w:semiHidden w:val="1"/>
    <w:rsid w:val="000A124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Predvolenpsmoodseku"/>
    <w:link w:val="Nadpis7"/>
    <w:uiPriority w:val="9"/>
    <w:semiHidden w:val="1"/>
    <w:rsid w:val="000A124A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Predvolenpsmoodseku"/>
    <w:link w:val="Nadpis8"/>
    <w:uiPriority w:val="9"/>
    <w:semiHidden w:val="1"/>
    <w:rsid w:val="000A124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Predvolenpsmoodseku"/>
    <w:link w:val="Nadpis9"/>
    <w:uiPriority w:val="9"/>
    <w:semiHidden w:val="1"/>
    <w:rsid w:val="000A124A"/>
    <w:rPr>
      <w:rFonts w:cstheme="majorBidi" w:eastAsiaTheme="majorEastAsia"/>
      <w:color w:val="272727" w:themeColor="text1" w:themeTint="0000D8"/>
    </w:rPr>
  </w:style>
  <w:style w:type="character" w:styleId="NzovChar" w:customStyle="1">
    <w:name w:val="Názov Char"/>
    <w:basedOn w:val="Predvolenpsmoodseku"/>
    <w:link w:val="Nzov"/>
    <w:uiPriority w:val="10"/>
    <w:rsid w:val="000A124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itulChar" w:customStyle="1">
    <w:name w:val="Podtitul Char"/>
    <w:basedOn w:val="Predvolenpsmoodseku"/>
    <w:link w:val="Podtitul"/>
    <w:uiPriority w:val="11"/>
    <w:rsid w:val="000A124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 w:val="1"/>
    <w:rsid w:val="000A124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ciaChar" w:customStyle="1">
    <w:name w:val="Citácia Char"/>
    <w:basedOn w:val="Predvolenpsmoodseku"/>
    <w:link w:val="Citcia"/>
    <w:uiPriority w:val="29"/>
    <w:rsid w:val="000A124A"/>
    <w:rPr>
      <w:i w:val="1"/>
      <w:iCs w:val="1"/>
      <w:color w:val="404040" w:themeColor="text1" w:themeTint="0000BF"/>
    </w:rPr>
  </w:style>
  <w:style w:type="paragraph" w:styleId="Odsekzoznamu">
    <w:name w:val="List Paragraph"/>
    <w:basedOn w:val="Normlny"/>
    <w:uiPriority w:val="34"/>
    <w:qFormat w:val="1"/>
    <w:rsid w:val="000A124A"/>
    <w:pPr>
      <w:ind w:left="720"/>
      <w:contextualSpacing w:val="1"/>
    </w:pPr>
  </w:style>
  <w:style w:type="character" w:styleId="Intenzvnezvraznenie">
    <w:name w:val="Intense Emphasis"/>
    <w:basedOn w:val="Predvolenpsmoodseku"/>
    <w:uiPriority w:val="21"/>
    <w:qFormat w:val="1"/>
    <w:rsid w:val="000A124A"/>
    <w:rPr>
      <w:i w:val="1"/>
      <w:iCs w:val="1"/>
      <w:color w:val="0f4761" w:themeColor="accent1" w:themeShade="0000BF"/>
    </w:rPr>
  </w:style>
  <w:style w:type="paragraph" w:styleId="Zvraznencitcia">
    <w:name w:val="Intense Quote"/>
    <w:basedOn w:val="Normlny"/>
    <w:next w:val="Normlny"/>
    <w:link w:val="ZvraznencitciaChar"/>
    <w:uiPriority w:val="30"/>
    <w:qFormat w:val="1"/>
    <w:rsid w:val="000A124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0A124A"/>
    <w:rPr>
      <w:i w:val="1"/>
      <w:iCs w:val="1"/>
      <w:color w:val="0f4761" w:themeColor="accent1" w:themeShade="0000BF"/>
    </w:rPr>
  </w:style>
  <w:style w:type="character" w:styleId="Zvraznenodkaz">
    <w:name w:val="Intense Reference"/>
    <w:basedOn w:val="Predvolenpsmoodseku"/>
    <w:uiPriority w:val="32"/>
    <w:qFormat w:val="1"/>
    <w:rsid w:val="000A124A"/>
    <w:rPr>
      <w:b w:val="1"/>
      <w:bCs w:val="1"/>
      <w:smallCaps w:val="1"/>
      <w:color w:val="0f4761" w:themeColor="accent1" w:themeShade="0000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 w:val="1"/>
    <w:unhideWhenUsed w:val="1"/>
    <w:rsid w:val="00594A4B"/>
    <w:pPr>
      <w:spacing w:after="0" w:line="240" w:lineRule="auto"/>
    </w:pPr>
    <w:rPr>
      <w:sz w:val="20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semiHidden w:val="1"/>
    <w:rsid w:val="00594A4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 w:val="1"/>
    <w:unhideWhenUsed w:val="1"/>
    <w:rsid w:val="00594A4B"/>
    <w:rPr>
      <w:vertAlign w:val="superscript"/>
    </w:rPr>
  </w:style>
  <w:style w:type="paragraph" w:styleId="p1" w:customStyle="1">
    <w:name w:val="p1"/>
    <w:basedOn w:val="Normlny"/>
    <w:rsid w:val="00594A4B"/>
    <w:pPr>
      <w:spacing w:after="0" w:line="240" w:lineRule="auto"/>
    </w:pPr>
    <w:rPr>
      <w:rFonts w:ascii="Helvetica" w:cs="Times New Roman" w:hAnsi="Helvetica"/>
      <w:kern w:val="0"/>
      <w:sz w:val="18"/>
      <w:szCs w:val="18"/>
    </w:rPr>
  </w:style>
  <w:style w:type="character" w:styleId="s1" w:customStyle="1">
    <w:name w:val="s1"/>
    <w:basedOn w:val="Predvolenpsmoodseku"/>
    <w:rsid w:val="00594A4B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textovprepojenie">
    <w:name w:val="Hyperlink"/>
    <w:basedOn w:val="Predvolenpsmoodseku"/>
    <w:uiPriority w:val="99"/>
    <w:semiHidden w:val="1"/>
    <w:unhideWhenUsed w:val="1"/>
    <w:rsid w:val="00594A4B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hudoc.echr.coe.int/fre?i=001-244292#%7B%2522itemid%2522:%5B%2522001-244292%2522%5D%7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HQDGTWMqNnsT8kpr872g8YPKhA==">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2025-08-20T08:27:00Z</dcterms:created>
  <dc:creator>Beata Jurik</dc:creator>
</cp:coreProperties>
</file>