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38DA" w14:textId="77777777" w:rsidR="005C3031" w:rsidRPr="00444E00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44E00">
        <w:rPr>
          <w:rFonts w:ascii="Palatino Linotype" w:hAnsi="Palatino Linotype"/>
          <w:b/>
          <w:bCs/>
          <w:sz w:val="28"/>
          <w:szCs w:val="28"/>
        </w:rPr>
        <w:t>NÁRODNÁ  RADA  SLOVENSKEJ  REPUBLIKY</w:t>
      </w:r>
    </w:p>
    <w:p w14:paraId="6AACFBFA" w14:textId="77777777" w:rsidR="005C3031" w:rsidRPr="00ED051C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D051C">
        <w:rPr>
          <w:rFonts w:ascii="Palatino Linotype" w:hAnsi="Palatino Linotype"/>
          <w:b/>
          <w:bCs/>
        </w:rPr>
        <w:t>IX</w:t>
      </w:r>
      <w:r w:rsidR="005C3031" w:rsidRPr="00ED051C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1528B7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528B7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1528B7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1528B7" w:rsidRDefault="00982FD0" w:rsidP="00F02061">
      <w:pPr>
        <w:tabs>
          <w:tab w:val="left" w:pos="1730"/>
        </w:tabs>
        <w:spacing w:before="120" w:line="276" w:lineRule="auto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ab/>
      </w:r>
    </w:p>
    <w:p w14:paraId="41C1A9E2" w14:textId="663AEA70" w:rsidR="00982FD0" w:rsidRPr="001528B7" w:rsidRDefault="00B22774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 ...... 2025</w:t>
      </w:r>
      <w:r w:rsidR="00982FD0" w:rsidRPr="001528B7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29DAA6F2" w14:textId="77777777" w:rsidR="008E33D9" w:rsidRDefault="001D7A99" w:rsidP="00F02061">
      <w:pPr>
        <w:pStyle w:val="TextBody"/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</w:pPr>
      <w:bookmarkStart w:id="0" w:name="_Hlk85308999"/>
      <w:r>
        <w:rPr>
          <w:rFonts w:ascii="Palatino Linotype" w:hAnsi="Palatino Linotype" w:cs="Times New Roman"/>
          <w:b/>
          <w:sz w:val="22"/>
          <w:szCs w:val="22"/>
        </w:rPr>
        <w:t xml:space="preserve">ktorým sa </w:t>
      </w:r>
      <w:r w:rsidR="00235001">
        <w:rPr>
          <w:rFonts w:ascii="Palatino Linotype" w:hAnsi="Palatino Linotype" w:cs="Times New Roman"/>
          <w:b/>
          <w:sz w:val="22"/>
          <w:szCs w:val="22"/>
        </w:rPr>
        <w:t xml:space="preserve">mení a </w:t>
      </w:r>
      <w:r w:rsidR="00ED051C">
        <w:rPr>
          <w:rFonts w:ascii="Palatino Linotype" w:hAnsi="Palatino Linotype" w:cs="Times New Roman"/>
          <w:b/>
          <w:sz w:val="22"/>
          <w:szCs w:val="22"/>
        </w:rPr>
        <w:t xml:space="preserve">dopĺňa zákon </w:t>
      </w:r>
      <w:r w:rsidR="00235001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č. 355/ 2007</w:t>
      </w:r>
      <w:r w:rsidR="00235001" w:rsidRPr="00FE2386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 Z. z.</w:t>
      </w:r>
      <w:r w:rsidR="00235001" w:rsidRPr="00FE2386">
        <w:rPr>
          <w:rFonts w:ascii="Arial" w:hAnsi="Arial" w:cs="Arial"/>
          <w:b/>
          <w:bCs/>
          <w:sz w:val="29"/>
          <w:szCs w:val="29"/>
          <w:shd w:val="clear" w:color="auto" w:fill="FFFFFF"/>
        </w:rPr>
        <w:t xml:space="preserve"> </w:t>
      </w:r>
      <w:r w:rsidR="00235001" w:rsidRPr="0097657B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o ochrane, podpore a rozvoji verejného zdravia a o zmene a doplnení niektorých zákonov</w:t>
      </w:r>
    </w:p>
    <w:p w14:paraId="1B9F014E" w14:textId="56AF9B03" w:rsidR="00982FD0" w:rsidRPr="001528B7" w:rsidRDefault="00235001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 xml:space="preserve"> </w:t>
      </w:r>
    </w:p>
    <w:bookmarkEnd w:id="0"/>
    <w:p w14:paraId="3E01C23C" w14:textId="77777777" w:rsidR="00982FD0" w:rsidRPr="001528B7" w:rsidRDefault="00982FD0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28B7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1528B7" w:rsidRDefault="00982FD0" w:rsidP="00F02061">
      <w:pPr>
        <w:pStyle w:val="Default"/>
        <w:spacing w:line="276" w:lineRule="auto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1528B7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30FFB930" w:rsidR="00982FD0" w:rsidRPr="00235001" w:rsidRDefault="00235001" w:rsidP="00235001">
      <w:pPr>
        <w:pStyle w:val="TextBody"/>
        <w:spacing w:line="276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Zákon č. 355/2007</w:t>
      </w:r>
      <w:r w:rsidR="00ED051C" w:rsidRPr="00ED051C">
        <w:rPr>
          <w:rFonts w:ascii="Palatino Linotype" w:hAnsi="Palatino Linotype" w:cs="Times New Roman"/>
          <w:sz w:val="22"/>
          <w:szCs w:val="22"/>
        </w:rPr>
        <w:t xml:space="preserve"> Z. z. </w:t>
      </w:r>
      <w:r w:rsidRPr="00235001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o ochrane, podpore a rozvoji verejného zdravia a o zmene a doplnení niektorých zákonov</w:t>
      </w:r>
      <w:r>
        <w:rPr>
          <w:rFonts w:ascii="Palatino Linotype" w:hAnsi="Palatino Linotype" w:cs="Times New Roman"/>
          <w:b/>
          <w:sz w:val="22"/>
          <w:szCs w:val="22"/>
        </w:rPr>
        <w:t xml:space="preserve"> </w:t>
      </w:r>
      <w:r w:rsidR="00ED051C" w:rsidRPr="00ED051C">
        <w:rPr>
          <w:rFonts w:ascii="Palatino Linotype" w:hAnsi="Palatino Linotype" w:cs="Times New Roman"/>
          <w:sz w:val="22"/>
          <w:szCs w:val="22"/>
        </w:rPr>
        <w:t xml:space="preserve">v znení </w:t>
      </w:r>
      <w:r w:rsidR="00ED051C"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140/2008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461/2008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540/2008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170/2009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67/2010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</w:t>
      </w:r>
      <w:r>
        <w:rPr>
          <w:rFonts w:ascii="Palatino Linotype" w:hAnsi="Palatino Linotype" w:cs="Times New Roman"/>
          <w:sz w:val="22"/>
          <w:szCs w:val="22"/>
        </w:rPr>
        <w:t>131/2010 Z. z.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132/2010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136/2010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172/2011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470/2011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306/2012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74/2013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153/2013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204/2014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77/2015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403/2015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91/2016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125/2016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355/2016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40/2017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150/2017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289/2017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292/2017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87/2018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475/2019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69/2020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119/2020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125/2020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198/2020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242/2020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286/2020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318/2020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319/2020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220/2021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252/2021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304/2021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412/2021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533/2021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249/2022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517/2022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205/2023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120/2024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 xml:space="preserve">č. 356/2024 Z. z., </w:t>
      </w:r>
      <w:r>
        <w:rPr>
          <w:rFonts w:ascii="Palatino Linotype" w:hAnsi="Palatino Linotype" w:cs="Times New Roman"/>
          <w:sz w:val="22"/>
          <w:szCs w:val="22"/>
        </w:rPr>
        <w:t xml:space="preserve">zákona </w:t>
      </w:r>
      <w:r w:rsidRPr="00235001">
        <w:rPr>
          <w:rFonts w:ascii="Palatino Linotype" w:hAnsi="Palatino Linotype" w:cs="Times New Roman"/>
          <w:sz w:val="22"/>
          <w:szCs w:val="22"/>
        </w:rPr>
        <w:t>č. 361/2024 Z. z.</w:t>
      </w:r>
      <w:r>
        <w:rPr>
          <w:rFonts w:ascii="Palatino Linotype" w:hAnsi="Palatino Linotype" w:cs="Times New Roman"/>
          <w:sz w:val="22"/>
          <w:szCs w:val="22"/>
        </w:rPr>
        <w:t xml:space="preserve"> a zákona </w:t>
      </w:r>
      <w:r w:rsidRPr="00235001">
        <w:rPr>
          <w:rFonts w:ascii="Palatino Linotype" w:hAnsi="Palatino Linotype" w:cs="Times New Roman"/>
          <w:sz w:val="22"/>
          <w:szCs w:val="22"/>
        </w:rPr>
        <w:t>č.  26/2025 Z. z</w:t>
      </w:r>
      <w:r>
        <w:rPr>
          <w:rFonts w:ascii="Palatino Linotype" w:hAnsi="Palatino Linotype" w:cs="Times New Roman"/>
          <w:sz w:val="22"/>
          <w:szCs w:val="22"/>
        </w:rPr>
        <w:t xml:space="preserve">. </w:t>
      </w:r>
      <w:r w:rsidR="00ED051C">
        <w:rPr>
          <w:rFonts w:ascii="Palatino Linotype" w:hAnsi="Palatino Linotype" w:cs="Times New Roman"/>
          <w:sz w:val="22"/>
          <w:szCs w:val="22"/>
        </w:rPr>
        <w:t xml:space="preserve">sa </w:t>
      </w:r>
      <w:r>
        <w:rPr>
          <w:rFonts w:ascii="Palatino Linotype" w:hAnsi="Palatino Linotype" w:cs="Times New Roman"/>
          <w:sz w:val="22"/>
          <w:szCs w:val="22"/>
        </w:rPr>
        <w:t xml:space="preserve">mení a </w:t>
      </w:r>
      <w:r w:rsidR="00982FD0" w:rsidRPr="001528B7">
        <w:rPr>
          <w:rFonts w:ascii="Palatino Linotype" w:eastAsia="SimSun" w:hAnsi="Palatino Linotype"/>
          <w:kern w:val="3"/>
          <w:sz w:val="22"/>
          <w:szCs w:val="22"/>
        </w:rPr>
        <w:t>dopĺňa takto:</w:t>
      </w:r>
    </w:p>
    <w:p w14:paraId="4B8E0CA9" w14:textId="77777777" w:rsidR="00982FD0" w:rsidRPr="001528B7" w:rsidRDefault="00982FD0" w:rsidP="00F02061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38562B69" w14:textId="77777777" w:rsidR="001A3FCB" w:rsidRDefault="002274B9" w:rsidP="001A3FCB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024205">
        <w:rPr>
          <w:rFonts w:ascii="Palatino Linotype" w:hAnsi="Palatino Linotype"/>
          <w:sz w:val="22"/>
          <w:szCs w:val="22"/>
        </w:rPr>
        <w:t xml:space="preserve">V </w:t>
      </w:r>
      <w:r w:rsidR="00982FD0" w:rsidRPr="00024205">
        <w:rPr>
          <w:rFonts w:ascii="Palatino Linotype" w:hAnsi="Palatino Linotype"/>
          <w:sz w:val="22"/>
          <w:szCs w:val="22"/>
        </w:rPr>
        <w:t>§</w:t>
      </w:r>
      <w:r w:rsidRPr="00024205">
        <w:rPr>
          <w:rFonts w:ascii="Palatino Linotype" w:hAnsi="Palatino Linotype"/>
          <w:sz w:val="22"/>
          <w:szCs w:val="22"/>
        </w:rPr>
        <w:t xml:space="preserve"> </w:t>
      </w:r>
      <w:r w:rsidR="00D07E59" w:rsidRPr="00024205">
        <w:rPr>
          <w:rFonts w:ascii="Palatino Linotype" w:hAnsi="Palatino Linotype"/>
          <w:sz w:val="22"/>
          <w:szCs w:val="22"/>
        </w:rPr>
        <w:t>2</w:t>
      </w:r>
      <w:r w:rsidR="00024205" w:rsidRPr="00024205">
        <w:rPr>
          <w:rFonts w:ascii="Palatino Linotype" w:hAnsi="Palatino Linotype"/>
          <w:sz w:val="22"/>
          <w:szCs w:val="22"/>
        </w:rPr>
        <w:t xml:space="preserve">5 sa mení znenie odseku 1, ktorý znie: </w:t>
      </w:r>
      <w:r w:rsidR="00D07E59" w:rsidRPr="00024205">
        <w:rPr>
          <w:rFonts w:ascii="Palatino Linotype" w:hAnsi="Palatino Linotype"/>
          <w:sz w:val="22"/>
          <w:szCs w:val="22"/>
        </w:rPr>
        <w:t xml:space="preserve"> </w:t>
      </w:r>
    </w:p>
    <w:p w14:paraId="38E9CF8D" w14:textId="0D7DD179" w:rsidR="00024205" w:rsidRPr="001A3FCB" w:rsidRDefault="00AE70DB" w:rsidP="001A3FCB">
      <w:pPr>
        <w:pStyle w:val="Odsekzoznamu"/>
        <w:spacing w:before="100" w:beforeAutospacing="1" w:after="100" w:afterAutospacing="1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„</w:t>
      </w:r>
      <w:r w:rsidR="001A3FCB"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3F2F1"/>
        </w:rPr>
        <w:t>(1)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3F2F1"/>
        </w:rPr>
        <w:t>Zotavovacie podujatie je organizovaný pobyt n</w:t>
      </w:r>
      <w:r w:rsidR="001058D3">
        <w:rPr>
          <w:rFonts w:ascii="Palatino Linotype" w:hAnsi="Palatino Linotype" w:cs="Arial"/>
          <w:color w:val="000000"/>
          <w:sz w:val="22"/>
          <w:szCs w:val="22"/>
          <w:shd w:val="clear" w:color="auto" w:fill="F3F2F1"/>
        </w:rPr>
        <w:t>ajmenej 30 detí a mládeže do 16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3F2F1"/>
        </w:rPr>
        <w:t xml:space="preserve"> rokov veku na čas dlhší ako päť dní, ktorého účelom je rekreácia detí a mládeže, posilnenie ich zdravia a zvýšenie ich telesnej zdatnosti.“</w:t>
      </w:r>
    </w:p>
    <w:p w14:paraId="0CC7CC7A" w14:textId="7D729586" w:rsidR="00AE70DB" w:rsidRDefault="0032706A" w:rsidP="00AE70DB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32706A">
        <w:rPr>
          <w:rFonts w:ascii="Palatino Linotype" w:hAnsi="Palatino Linotype"/>
          <w:sz w:val="22"/>
          <w:szCs w:val="22"/>
        </w:rPr>
        <w:t>V §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8E33D9">
        <w:rPr>
          <w:rFonts w:ascii="Palatino Linotype" w:hAnsi="Palatino Linotype"/>
          <w:sz w:val="22"/>
          <w:szCs w:val="22"/>
        </w:rPr>
        <w:t>25 ods. 2</w:t>
      </w:r>
      <w:r>
        <w:rPr>
          <w:rFonts w:ascii="Palatino Linotype" w:hAnsi="Palatino Linotype"/>
          <w:sz w:val="22"/>
          <w:szCs w:val="22"/>
        </w:rPr>
        <w:t xml:space="preserve"> písm</w:t>
      </w:r>
      <w:r w:rsidR="008E33D9">
        <w:rPr>
          <w:rFonts w:ascii="Palatino Linotype" w:hAnsi="Palatino Linotype"/>
          <w:sz w:val="22"/>
          <w:szCs w:val="22"/>
        </w:rPr>
        <w:t xml:space="preserve">. </w:t>
      </w:r>
      <w:r w:rsidRPr="0032706A">
        <w:rPr>
          <w:rFonts w:ascii="Palatino Linotype" w:hAnsi="Palatino Linotype"/>
          <w:sz w:val="22"/>
          <w:szCs w:val="22"/>
        </w:rPr>
        <w:t>h)</w:t>
      </w:r>
      <w:r w:rsidR="008E33D9">
        <w:rPr>
          <w:rFonts w:ascii="Palatino Linotype" w:hAnsi="Palatino Linotype"/>
          <w:sz w:val="22"/>
          <w:szCs w:val="22"/>
        </w:rPr>
        <w:t xml:space="preserve"> znie</w:t>
      </w:r>
      <w:r w:rsidRPr="0032706A">
        <w:rPr>
          <w:rFonts w:ascii="Palatino Linotype" w:hAnsi="Palatino Linotype"/>
          <w:sz w:val="22"/>
          <w:szCs w:val="22"/>
        </w:rPr>
        <w:t>:</w:t>
      </w:r>
    </w:p>
    <w:p w14:paraId="6D779E8D" w14:textId="77777777" w:rsidR="0032706A" w:rsidRPr="001A3FCB" w:rsidRDefault="0032706A" w:rsidP="001A3FCB">
      <w:pPr>
        <w:spacing w:before="100" w:beforeAutospacing="1" w:after="100" w:afterAutospacing="1"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1755F93E" w14:textId="576BB40C" w:rsidR="00C04F0E" w:rsidRPr="008E33D9" w:rsidRDefault="0032706A" w:rsidP="00135F5E">
      <w:pPr>
        <w:spacing w:after="160" w:line="278" w:lineRule="auto"/>
        <w:ind w:left="72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7E0E0D">
        <w:rPr>
          <w:rFonts w:ascii="Palatino Linotype" w:hAnsi="Palatino Linotype"/>
          <w:sz w:val="22"/>
          <w:szCs w:val="22"/>
        </w:rPr>
        <w:t>„</w:t>
      </w:r>
      <w:r w:rsidR="008E33D9" w:rsidRPr="008E33D9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zabezpečiť </w:t>
      </w:r>
      <w:r w:rsidR="008E33D9" w:rsidRPr="008E33D9">
        <w:rPr>
          <w:rFonts w:ascii="Palatino Linotype" w:hAnsi="Palatino Linotype" w:cs="Arial"/>
          <w:sz w:val="22"/>
          <w:szCs w:val="22"/>
          <w:shd w:val="clear" w:color="auto" w:fill="FFFFFF"/>
        </w:rPr>
        <w:t>starostlivosť o zdravie na zotavovacom podujatí odborne spôsobilými osobami, najmenej jednou na 130 detí, </w:t>
      </w:r>
      <w:r w:rsidR="008E33D9" w:rsidRPr="008E33D9">
        <w:rPr>
          <w:rFonts w:ascii="Palatino Linotype" w:hAnsi="Palatino Linotype"/>
          <w:sz w:val="22"/>
          <w:szCs w:val="22"/>
          <w:shd w:val="clear" w:color="auto" w:fill="FFFFFF"/>
        </w:rPr>
        <w:t xml:space="preserve">za odborne spôsobilú osobu sa pre účely tohto zákona považuje fyzická osoba, ktorá získala odbornú spôsobilosť na výkon odborných činností lekára, sestry, pôrodnej asistentky, zdravotníckeho záchranára, praktickej sestry-asistenta, alebo študent odboru všeobecné lekárstvo po ukončení tretieho ročníka, študent odboru zubné lekárstvo po ukončení tretieho ročníka, alebo fyzická osoba, ktorá absolvovala kurz prvej pomoci so zameraním na </w:t>
      </w:r>
      <w:r w:rsidR="00913B1B">
        <w:rPr>
          <w:rFonts w:ascii="Palatino Linotype" w:hAnsi="Palatino Linotype"/>
          <w:sz w:val="22"/>
          <w:szCs w:val="22"/>
          <w:shd w:val="clear" w:color="auto" w:fill="FFFFFF"/>
        </w:rPr>
        <w:t>starostlivosť o zdravie na</w:t>
      </w:r>
      <w:bookmarkStart w:id="1" w:name="_GoBack"/>
      <w:bookmarkEnd w:id="1"/>
      <w:r w:rsidR="008E33D9" w:rsidRPr="008E33D9">
        <w:rPr>
          <w:rFonts w:ascii="Palatino Linotype" w:hAnsi="Palatino Linotype"/>
          <w:sz w:val="22"/>
          <w:szCs w:val="22"/>
          <w:shd w:val="clear" w:color="auto" w:fill="FFFFFF"/>
        </w:rPr>
        <w:t xml:space="preserve"> zotavovacích podujatiach</w:t>
      </w:r>
      <w:r w:rsidR="008E33D9" w:rsidRPr="008E33D9">
        <w:rPr>
          <w:rFonts w:ascii="Palatino Linotype" w:hAnsi="Palatino Linotype" w:cs="Arial"/>
          <w:sz w:val="22"/>
          <w:szCs w:val="22"/>
          <w:shd w:val="clear" w:color="auto" w:fill="FFFFFF"/>
        </w:rPr>
        <w:t>,</w:t>
      </w:r>
      <w:r w:rsidR="00721771" w:rsidRPr="008E33D9">
        <w:rPr>
          <w:rFonts w:ascii="Palatino Linotype" w:hAnsi="Palatino Linotype" w:cs="Arial"/>
          <w:sz w:val="22"/>
          <w:szCs w:val="22"/>
          <w:shd w:val="clear" w:color="auto" w:fill="FFFFFF"/>
        </w:rPr>
        <w:t>“</w:t>
      </w:r>
    </w:p>
    <w:p w14:paraId="7291992A" w14:textId="4E971BB6" w:rsidR="001A3FCB" w:rsidRDefault="001A3FCB" w:rsidP="001A3FCB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 § 25 sa za odsek 2 dopĺňa nový odsek 3, ktorý znie:</w:t>
      </w:r>
    </w:p>
    <w:p w14:paraId="160F0044" w14:textId="44CA99FE" w:rsidR="001A3FCB" w:rsidRPr="001A3FCB" w:rsidRDefault="001A3FCB" w:rsidP="001A3FCB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„(3) </w:t>
      </w:r>
      <w:r w:rsidR="00A907ED">
        <w:rPr>
          <w:rFonts w:ascii="Palatino Linotype" w:hAnsi="Palatino Linotype"/>
          <w:sz w:val="22"/>
          <w:szCs w:val="22"/>
        </w:rPr>
        <w:t xml:space="preserve">Iné podujatie je 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organizovaný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pobyt detí v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 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nižšom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počte alebo kratšom čase než stanovuje odsek 1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, </w:t>
      </w:r>
      <w:r w:rsidR="00BE3BFF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a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lebo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obdobné podujatie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r w:rsidR="00BE3BFF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rodinného charakteru 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alebo 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podujatie, ktoré je</w:t>
      </w:r>
      <w:r w:rsidR="00BE3BFF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výsledkom</w:t>
      </w:r>
      <w:r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celoročnej mimoškolskej 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činnosti 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detskej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a</w:t>
      </w:r>
      <w:r w:rsidR="00BE3BFF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lebo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 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mládežníckej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organizáci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e. Iné podujatie vedie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r w:rsidR="00FC6FC3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odborne spôsobilá </w:t>
      </w:r>
      <w:r w:rsidRPr="001A3FC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osoba</w:t>
      </w:r>
      <w:r w:rsidR="009517A1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. 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Podrobnosti</w:t>
      </w:r>
      <w:r w:rsidR="009517A1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o požiadavkách na iné podujatia ustanoví vyhláška M</w:t>
      </w:r>
      <w:r w:rsidR="00A907E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inisterstva zdravotníctva</w:t>
      </w:r>
      <w:r w:rsidR="009517A1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S</w:t>
      </w:r>
      <w:r w:rsidR="00B22774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lovenskej republiky</w:t>
      </w:r>
      <w:r w:rsidR="009517A1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.“</w:t>
      </w:r>
    </w:p>
    <w:p w14:paraId="5C334A03" w14:textId="7F789B1D" w:rsidR="00391706" w:rsidRPr="001528B7" w:rsidRDefault="00391706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1D73B3C7" w14:textId="77777777" w:rsidR="00B76162" w:rsidRPr="001528B7" w:rsidRDefault="00B76162" w:rsidP="00F0206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b/>
          <w:sz w:val="22"/>
          <w:szCs w:val="22"/>
        </w:rPr>
        <w:t>Čl. II</w:t>
      </w:r>
    </w:p>
    <w:p w14:paraId="7AC493A9" w14:textId="77777777" w:rsidR="00492FC9" w:rsidRPr="001528B7" w:rsidRDefault="00492FC9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6261A757" w14:textId="77777777" w:rsidR="00B92F60" w:rsidRPr="001528B7" w:rsidRDefault="00B92F60" w:rsidP="00F02061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575D92A4" w14:textId="7E99D522" w:rsidR="00B92F60" w:rsidRPr="001528B7" w:rsidRDefault="00CF68EC" w:rsidP="00F0206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Tento zákon</w:t>
      </w:r>
      <w:r w:rsidR="00B92F60" w:rsidRPr="001528B7">
        <w:rPr>
          <w:rFonts w:ascii="Palatino Linotype" w:hAnsi="Palatino Linotype"/>
          <w:sz w:val="22"/>
          <w:szCs w:val="22"/>
        </w:rPr>
        <w:t xml:space="preserve"> nadobúda účinnosť </w:t>
      </w:r>
      <w:r w:rsidR="00B92F60" w:rsidRPr="00024205">
        <w:rPr>
          <w:rFonts w:ascii="Palatino Linotype" w:hAnsi="Palatino Linotype"/>
          <w:sz w:val="22"/>
          <w:szCs w:val="22"/>
        </w:rPr>
        <w:t xml:space="preserve">dňom 1. </w:t>
      </w:r>
      <w:r w:rsidR="00D714C7" w:rsidRPr="00024205">
        <w:rPr>
          <w:rFonts w:ascii="Palatino Linotype" w:hAnsi="Palatino Linotype"/>
          <w:sz w:val="22"/>
          <w:szCs w:val="22"/>
        </w:rPr>
        <w:t>januára</w:t>
      </w:r>
      <w:r w:rsidR="00B92F60" w:rsidRPr="00024205">
        <w:rPr>
          <w:rFonts w:ascii="Palatino Linotype" w:hAnsi="Palatino Linotype"/>
          <w:sz w:val="22"/>
          <w:szCs w:val="22"/>
        </w:rPr>
        <w:t xml:space="preserve"> 202</w:t>
      </w:r>
      <w:r w:rsidR="00ED051C" w:rsidRPr="00024205">
        <w:rPr>
          <w:rFonts w:ascii="Palatino Linotype" w:hAnsi="Palatino Linotype"/>
          <w:sz w:val="22"/>
          <w:szCs w:val="22"/>
        </w:rPr>
        <w:t>6</w:t>
      </w:r>
      <w:r w:rsidR="00024205" w:rsidRPr="00024205">
        <w:rPr>
          <w:rFonts w:ascii="Palatino Linotype" w:hAnsi="Palatino Linotype"/>
          <w:sz w:val="22"/>
          <w:szCs w:val="22"/>
        </w:rPr>
        <w:t>.</w:t>
      </w:r>
    </w:p>
    <w:sectPr w:rsidR="00B92F60" w:rsidRPr="0015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F2D"/>
    <w:multiLevelType w:val="hybridMultilevel"/>
    <w:tmpl w:val="3286B6AA"/>
    <w:lvl w:ilvl="0" w:tplc="C380A83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51056C"/>
    <w:multiLevelType w:val="multilevel"/>
    <w:tmpl w:val="7F8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D79AB"/>
    <w:multiLevelType w:val="hybridMultilevel"/>
    <w:tmpl w:val="F22AB5B4"/>
    <w:lvl w:ilvl="0" w:tplc="5CD034A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24205"/>
    <w:rsid w:val="00060EBB"/>
    <w:rsid w:val="0007268E"/>
    <w:rsid w:val="000B0356"/>
    <w:rsid w:val="000E3F33"/>
    <w:rsid w:val="000F5507"/>
    <w:rsid w:val="000F6A0C"/>
    <w:rsid w:val="001058D3"/>
    <w:rsid w:val="00135F5E"/>
    <w:rsid w:val="001528B7"/>
    <w:rsid w:val="00156095"/>
    <w:rsid w:val="00187E44"/>
    <w:rsid w:val="001A3FCB"/>
    <w:rsid w:val="001D7A99"/>
    <w:rsid w:val="002274B9"/>
    <w:rsid w:val="00235001"/>
    <w:rsid w:val="00244110"/>
    <w:rsid w:val="0028688A"/>
    <w:rsid w:val="002F497A"/>
    <w:rsid w:val="00303D8D"/>
    <w:rsid w:val="0032706A"/>
    <w:rsid w:val="003633E5"/>
    <w:rsid w:val="0036570A"/>
    <w:rsid w:val="0037504E"/>
    <w:rsid w:val="00391706"/>
    <w:rsid w:val="003E2B52"/>
    <w:rsid w:val="003E73CC"/>
    <w:rsid w:val="003F4D79"/>
    <w:rsid w:val="004408D8"/>
    <w:rsid w:val="00444E00"/>
    <w:rsid w:val="0044770D"/>
    <w:rsid w:val="00492FC9"/>
    <w:rsid w:val="004E4DEC"/>
    <w:rsid w:val="004F2CE1"/>
    <w:rsid w:val="005461F6"/>
    <w:rsid w:val="005A3088"/>
    <w:rsid w:val="005C3031"/>
    <w:rsid w:val="00642093"/>
    <w:rsid w:val="00656002"/>
    <w:rsid w:val="006B67AE"/>
    <w:rsid w:val="006D1157"/>
    <w:rsid w:val="006D4160"/>
    <w:rsid w:val="006E17C8"/>
    <w:rsid w:val="006F7476"/>
    <w:rsid w:val="00714C2A"/>
    <w:rsid w:val="00721771"/>
    <w:rsid w:val="00761095"/>
    <w:rsid w:val="007623DC"/>
    <w:rsid w:val="00762A7F"/>
    <w:rsid w:val="0077560D"/>
    <w:rsid w:val="007E0E0D"/>
    <w:rsid w:val="007E545C"/>
    <w:rsid w:val="008231DC"/>
    <w:rsid w:val="00860714"/>
    <w:rsid w:val="0086236C"/>
    <w:rsid w:val="008802AB"/>
    <w:rsid w:val="008873BD"/>
    <w:rsid w:val="008E33D9"/>
    <w:rsid w:val="008F5BAB"/>
    <w:rsid w:val="00904953"/>
    <w:rsid w:val="00913B1B"/>
    <w:rsid w:val="009205D7"/>
    <w:rsid w:val="00936E1F"/>
    <w:rsid w:val="009517A1"/>
    <w:rsid w:val="00955FA1"/>
    <w:rsid w:val="00982FD0"/>
    <w:rsid w:val="009F31F1"/>
    <w:rsid w:val="00A14CEC"/>
    <w:rsid w:val="00A87C46"/>
    <w:rsid w:val="00A907ED"/>
    <w:rsid w:val="00A94DC3"/>
    <w:rsid w:val="00AE70DB"/>
    <w:rsid w:val="00B22774"/>
    <w:rsid w:val="00B76162"/>
    <w:rsid w:val="00B81769"/>
    <w:rsid w:val="00B92F60"/>
    <w:rsid w:val="00BA2D78"/>
    <w:rsid w:val="00BE3BFF"/>
    <w:rsid w:val="00C04F0E"/>
    <w:rsid w:val="00C21904"/>
    <w:rsid w:val="00C54FEE"/>
    <w:rsid w:val="00C620FE"/>
    <w:rsid w:val="00C83B04"/>
    <w:rsid w:val="00CC4D13"/>
    <w:rsid w:val="00CD46F8"/>
    <w:rsid w:val="00CF68EC"/>
    <w:rsid w:val="00D07E59"/>
    <w:rsid w:val="00D714C7"/>
    <w:rsid w:val="00D830C5"/>
    <w:rsid w:val="00DE32DF"/>
    <w:rsid w:val="00E10C3F"/>
    <w:rsid w:val="00EA343B"/>
    <w:rsid w:val="00ED051C"/>
    <w:rsid w:val="00EF2CB4"/>
    <w:rsid w:val="00EF3DD3"/>
    <w:rsid w:val="00F02061"/>
    <w:rsid w:val="00F23E28"/>
    <w:rsid w:val="00F32498"/>
    <w:rsid w:val="00F404F5"/>
    <w:rsid w:val="00F66015"/>
    <w:rsid w:val="00FC6FC3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F550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F5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F922-CC5A-45E8-A4A5-74AE5882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Stachura, Peter, (asistent)</cp:lastModifiedBy>
  <cp:revision>4</cp:revision>
  <cp:lastPrinted>2024-10-03T12:25:00Z</cp:lastPrinted>
  <dcterms:created xsi:type="dcterms:W3CDTF">2025-08-21T08:19:00Z</dcterms:created>
  <dcterms:modified xsi:type="dcterms:W3CDTF">2025-08-21T10:19:00Z</dcterms:modified>
</cp:coreProperties>
</file>