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7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682"/>
        <w:gridCol w:w="4620"/>
        <w:gridCol w:w="850"/>
        <w:gridCol w:w="993"/>
        <w:gridCol w:w="860"/>
        <w:gridCol w:w="3534"/>
        <w:gridCol w:w="709"/>
        <w:gridCol w:w="1077"/>
        <w:gridCol w:w="1332"/>
        <w:gridCol w:w="1418"/>
      </w:tblGrid>
      <w:tr w:rsidR="004B4186" w:rsidRPr="00D148C0" w14:paraId="64ED41B4" w14:textId="77777777" w:rsidTr="00D148C0">
        <w:tc>
          <w:tcPr>
            <w:tcW w:w="160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6BAD" w14:textId="77777777" w:rsidR="004B4186" w:rsidRPr="00D148C0" w:rsidRDefault="004B4186" w:rsidP="00930557">
            <w:pPr>
              <w:pStyle w:val="Nadpis1"/>
              <w:rPr>
                <w:sz w:val="20"/>
                <w:szCs w:val="20"/>
              </w:rPr>
            </w:pPr>
            <w:r w:rsidRPr="00D148C0">
              <w:rPr>
                <w:sz w:val="20"/>
                <w:szCs w:val="20"/>
              </w:rPr>
              <w:t>TABUĽKA  ZHODY</w:t>
            </w:r>
          </w:p>
          <w:p w14:paraId="7558A635" w14:textId="77777777" w:rsidR="004B4186" w:rsidRPr="00D148C0" w:rsidRDefault="004B4186" w:rsidP="00930557">
            <w:pPr>
              <w:pStyle w:val="Zkladntext"/>
              <w:jc w:val="center"/>
              <w:rPr>
                <w:b/>
                <w:bCs/>
                <w:sz w:val="20"/>
                <w:szCs w:val="20"/>
              </w:rPr>
            </w:pPr>
            <w:r w:rsidRPr="00D148C0">
              <w:rPr>
                <w:b/>
                <w:bCs/>
                <w:sz w:val="20"/>
                <w:szCs w:val="20"/>
              </w:rPr>
              <w:t>návrhu právneho predpisu s právom Európskej únie</w:t>
            </w:r>
          </w:p>
        </w:tc>
      </w:tr>
      <w:tr w:rsidR="00D148C0" w:rsidRPr="00D148C0" w14:paraId="3B87EA14" w14:textId="7666754B" w:rsidTr="00D148C0">
        <w:tc>
          <w:tcPr>
            <w:tcW w:w="6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6FC6" w14:textId="6488698C" w:rsidR="00D148C0" w:rsidRPr="00BE60CA" w:rsidRDefault="00BB5299" w:rsidP="00E01021">
            <w:pPr>
              <w:pStyle w:val="Nadpis1"/>
              <w:rPr>
                <w:sz w:val="20"/>
                <w:szCs w:val="20"/>
              </w:rPr>
            </w:pPr>
            <w:r w:rsidRPr="00BE60CA">
              <w:rPr>
                <w:sz w:val="20"/>
                <w:szCs w:val="20"/>
              </w:rPr>
              <w:t xml:space="preserve">Smernica </w:t>
            </w:r>
          </w:p>
        </w:tc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EAC51" w14:textId="1DB747C9" w:rsidR="00D148C0" w:rsidRPr="00BE60CA" w:rsidRDefault="00BB5299" w:rsidP="00BB5299">
            <w:pPr>
              <w:autoSpaceDE/>
              <w:autoSpaceDN/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E60CA">
              <w:rPr>
                <w:b/>
                <w:bCs/>
                <w:sz w:val="20"/>
                <w:szCs w:val="20"/>
              </w:rPr>
              <w:t>Právne predpisy Slovenskej republiky</w:t>
            </w:r>
          </w:p>
        </w:tc>
      </w:tr>
      <w:tr w:rsidR="00D148C0" w:rsidRPr="00D148C0" w14:paraId="46784759" w14:textId="77777777" w:rsidTr="00D148C0">
        <w:trPr>
          <w:trHeight w:val="567"/>
        </w:trPr>
        <w:tc>
          <w:tcPr>
            <w:tcW w:w="61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830954" w14:textId="77777777" w:rsidR="00D148C0" w:rsidRPr="00BE60CA" w:rsidRDefault="00D148C0" w:rsidP="00D148C0">
            <w:pPr>
              <w:pStyle w:val="Zkladntext3"/>
              <w:spacing w:line="240" w:lineRule="exact"/>
              <w:rPr>
                <w:b/>
                <w:bCs/>
                <w:color w:val="000000"/>
                <w:sz w:val="20"/>
                <w:szCs w:val="20"/>
              </w:rPr>
            </w:pPr>
          </w:p>
          <w:p w14:paraId="4309B0DC" w14:textId="2BCE306C" w:rsidR="00BB5299" w:rsidRPr="00BE60CA" w:rsidRDefault="00232F7E" w:rsidP="00D148C0">
            <w:pPr>
              <w:pStyle w:val="oj-doc-ti"/>
              <w:shd w:val="clear" w:color="auto" w:fill="FFFFFF"/>
              <w:spacing w:before="0" w:beforeAutospacing="0" w:after="120" w:afterAutospacing="0"/>
              <w:jc w:val="both"/>
              <w:rPr>
                <w:sz w:val="20"/>
                <w:szCs w:val="20"/>
              </w:rPr>
            </w:pPr>
            <w:r w:rsidRPr="00BE60CA">
              <w:rPr>
                <w:b/>
                <w:bCs/>
                <w:color w:val="000000"/>
                <w:sz w:val="20"/>
                <w:szCs w:val="20"/>
              </w:rPr>
              <w:t>Smernica Európskeho parlamentu a Rady (EÚ) 2024/2994 z 27. novembra 2024, ktorou sa menia smernice 2009/65/ES, 2013/36/EÚ a (EÚ) 2019/2034, pokiaľ ide o zaobchádzanie s rizikom koncentrácie vyplývajúcim z expozícií voči centrálnym protistranám a s rizikom protistrany pri centrálne zúčtovávaných transakciách s derivátmi (Ú. v. EÚ L, 2024/2994, 4.12.2024).</w:t>
            </w:r>
          </w:p>
        </w:tc>
        <w:tc>
          <w:tcPr>
            <w:tcW w:w="99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0BC4EE2" w14:textId="77777777" w:rsidR="00D148C0" w:rsidRPr="00BE60CA" w:rsidRDefault="00D148C0" w:rsidP="00D148C0">
            <w:pPr>
              <w:pStyle w:val="Zkladntext"/>
              <w:ind w:right="241"/>
              <w:jc w:val="both"/>
              <w:rPr>
                <w:b/>
                <w:sz w:val="20"/>
                <w:szCs w:val="20"/>
              </w:rPr>
            </w:pPr>
          </w:p>
          <w:p w14:paraId="1D6BC113" w14:textId="77777777" w:rsidR="0037164D" w:rsidRPr="0037164D" w:rsidRDefault="0037164D" w:rsidP="0037164D">
            <w:pPr>
              <w:jc w:val="both"/>
              <w:rPr>
                <w:b/>
                <w:sz w:val="20"/>
                <w:szCs w:val="20"/>
              </w:rPr>
            </w:pPr>
            <w:r w:rsidRPr="0037164D">
              <w:rPr>
                <w:b/>
                <w:sz w:val="20"/>
                <w:szCs w:val="20"/>
              </w:rPr>
              <w:t xml:space="preserve">Návrh zákona, </w:t>
            </w:r>
            <w:bookmarkStart w:id="0" w:name="_Hlk190869702"/>
            <w:r w:rsidRPr="0037164D">
              <w:rPr>
                <w:b/>
                <w:bCs/>
                <w:noProof/>
                <w:sz w:val="20"/>
                <w:szCs w:val="20"/>
              </w:rPr>
              <w:t>ktorým sa mení a dopĺňa zákon č. 566/2001 Z. z. o cenných papieroch a investičných službách a o zmene a doplnení niektorých zákonov (zákon o cenných papieroch) v znení neskorších predpisov a ktorým sa mení a dopĺňa zákon č. 429/2002 Z. z. o burze cenných papierov v znení neskorších predpisov</w:t>
            </w:r>
            <w:bookmarkEnd w:id="0"/>
            <w:r w:rsidRPr="0037164D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Pr="0037164D">
              <w:rPr>
                <w:b/>
                <w:sz w:val="20"/>
                <w:szCs w:val="20"/>
              </w:rPr>
              <w:t>(ďalej „návrh“).</w:t>
            </w:r>
          </w:p>
          <w:p w14:paraId="5D8D8312" w14:textId="2A108A7A" w:rsidR="00BF4A2E" w:rsidRPr="00BE60CA" w:rsidRDefault="00BF4A2E" w:rsidP="00BF4A2E">
            <w:pPr>
              <w:jc w:val="both"/>
              <w:rPr>
                <w:sz w:val="20"/>
                <w:szCs w:val="20"/>
              </w:rPr>
            </w:pPr>
            <w:r w:rsidRPr="00BE60CA">
              <w:rPr>
                <w:sz w:val="20"/>
                <w:szCs w:val="20"/>
              </w:rPr>
              <w:t>Zákon č. 566/2001 Z. z. o cenných papieroch a investičných službách a o zmene a doplnení niektorých zákonov (zákon o cenných papieroch) v znení neskorších predpisov (ďalej len „566/2001“)</w:t>
            </w:r>
            <w:r w:rsidR="004C2B7C" w:rsidRPr="00BE60CA">
              <w:rPr>
                <w:sz w:val="20"/>
                <w:szCs w:val="20"/>
              </w:rPr>
              <w:t>.</w:t>
            </w:r>
          </w:p>
          <w:p w14:paraId="240A9EBC" w14:textId="460EFA97" w:rsidR="00D148C0" w:rsidRPr="00BE60CA" w:rsidRDefault="00D148C0" w:rsidP="00232F7E">
            <w:pPr>
              <w:pStyle w:val="Zkladntext"/>
              <w:jc w:val="both"/>
              <w:rPr>
                <w:b/>
                <w:bCs/>
                <w:sz w:val="20"/>
                <w:szCs w:val="20"/>
              </w:rPr>
            </w:pPr>
            <w:r w:rsidRPr="00BE60CA">
              <w:rPr>
                <w:bCs/>
                <w:sz w:val="20"/>
                <w:szCs w:val="20"/>
                <w:shd w:val="clear" w:color="auto" w:fill="FFFFFF"/>
              </w:rPr>
              <w:t>Zákon č. 575/2001 Z. z. o organizácii činnosti vlády a organizácii ústrednej štátnej správy v znení neskorších predpisov (ďalej len „575/2001“).</w:t>
            </w:r>
          </w:p>
        </w:tc>
      </w:tr>
      <w:tr w:rsidR="00D148C0" w:rsidRPr="00D148C0" w14:paraId="2A17E1FF" w14:textId="77777777" w:rsidTr="00FF4B29"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55F764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  <w:r w:rsidRPr="00D148C0">
              <w:rPr>
                <w:sz w:val="20"/>
                <w:szCs w:val="20"/>
              </w:rPr>
              <w:t>1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6F39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  <w:r w:rsidRPr="00D148C0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B7CAE0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  <w:r w:rsidRPr="00D148C0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EE63E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  <w:r w:rsidRPr="00D148C0">
              <w:rPr>
                <w:sz w:val="20"/>
                <w:szCs w:val="20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9D75" w14:textId="77777777" w:rsidR="00D148C0" w:rsidRPr="00D148C0" w:rsidRDefault="00D148C0" w:rsidP="00D148C0">
            <w:pPr>
              <w:pStyle w:val="Zkladntext2"/>
              <w:spacing w:line="240" w:lineRule="exact"/>
            </w:pPr>
            <w:r w:rsidRPr="00D148C0">
              <w:t>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6F8A" w14:textId="77777777" w:rsidR="00D148C0" w:rsidRPr="00D148C0" w:rsidRDefault="00D148C0" w:rsidP="00D148C0">
            <w:pPr>
              <w:pStyle w:val="Zkladntext2"/>
              <w:spacing w:line="240" w:lineRule="exact"/>
            </w:pPr>
            <w:r w:rsidRPr="00D148C0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D965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  <w:r w:rsidRPr="00D148C0">
              <w:rPr>
                <w:sz w:val="20"/>
                <w:szCs w:val="20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F6D7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  <w:r w:rsidRPr="00D148C0">
              <w:rPr>
                <w:sz w:val="20"/>
                <w:szCs w:val="20"/>
              </w:rPr>
              <w:t>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F19FC0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  <w:r w:rsidRPr="00D148C0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8A5626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  <w:r w:rsidRPr="00D148C0">
              <w:rPr>
                <w:sz w:val="20"/>
                <w:szCs w:val="20"/>
              </w:rPr>
              <w:t>10</w:t>
            </w:r>
          </w:p>
        </w:tc>
      </w:tr>
      <w:tr w:rsidR="00D148C0" w:rsidRPr="00D148C0" w14:paraId="52B8B0D9" w14:textId="77777777" w:rsidTr="00FF4B29"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45C694" w14:textId="77777777" w:rsidR="00D148C0" w:rsidRPr="00D148C0" w:rsidRDefault="00D148C0" w:rsidP="00D148C0">
            <w:pPr>
              <w:pStyle w:val="Normlny0"/>
              <w:jc w:val="center"/>
            </w:pPr>
            <w:r w:rsidRPr="00D148C0">
              <w:t>Článok</w:t>
            </w:r>
          </w:p>
          <w:p w14:paraId="1CE01EE5" w14:textId="77777777" w:rsidR="00D148C0" w:rsidRPr="00D148C0" w:rsidRDefault="00D148C0" w:rsidP="00D148C0">
            <w:pPr>
              <w:pStyle w:val="Normlny0"/>
              <w:jc w:val="center"/>
            </w:pPr>
            <w:r w:rsidRPr="00D148C0">
              <w:t>(Č, O,</w:t>
            </w:r>
          </w:p>
          <w:p w14:paraId="5D0DE5DF" w14:textId="77777777" w:rsidR="00D148C0" w:rsidRPr="00D148C0" w:rsidRDefault="00D148C0" w:rsidP="00D148C0">
            <w:pPr>
              <w:pStyle w:val="Normlny0"/>
              <w:jc w:val="center"/>
            </w:pPr>
            <w:r w:rsidRPr="00D148C0">
              <w:t>V, P)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7C11" w14:textId="77777777" w:rsidR="00D148C0" w:rsidRPr="00D148C0" w:rsidRDefault="00D148C0" w:rsidP="00D148C0">
            <w:pPr>
              <w:pStyle w:val="Normlny0"/>
              <w:jc w:val="center"/>
            </w:pPr>
            <w:r w:rsidRPr="00D148C0">
              <w:t>Text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FC9323" w14:textId="77777777" w:rsidR="00D148C0" w:rsidRPr="00D148C0" w:rsidRDefault="00D148C0" w:rsidP="00D148C0">
            <w:pPr>
              <w:pStyle w:val="Normlny0"/>
              <w:jc w:val="center"/>
            </w:pPr>
            <w:r w:rsidRPr="00D148C0">
              <w:t xml:space="preserve">Spôsob </w:t>
            </w:r>
            <w:proofErr w:type="spellStart"/>
            <w:r w:rsidRPr="00D148C0">
              <w:t>transp</w:t>
            </w:r>
            <w:proofErr w:type="spellEnd"/>
            <w:r w:rsidRPr="00D148C0">
              <w:t>.</w:t>
            </w:r>
          </w:p>
          <w:p w14:paraId="22A55C0A" w14:textId="77777777" w:rsidR="00D148C0" w:rsidRPr="00D148C0" w:rsidRDefault="00D148C0" w:rsidP="00D148C0">
            <w:pPr>
              <w:pStyle w:val="Normlny0"/>
              <w:jc w:val="center"/>
            </w:pPr>
            <w:r w:rsidRPr="00D148C0">
              <w:t xml:space="preserve">(N, O, D, </w:t>
            </w:r>
            <w:proofErr w:type="spellStart"/>
            <w:r w:rsidRPr="00D148C0">
              <w:t>n.a</w:t>
            </w:r>
            <w:proofErr w:type="spellEnd"/>
            <w:r w:rsidRPr="00D148C0">
              <w:t>.)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8B98F" w14:textId="77777777" w:rsidR="00D148C0" w:rsidRPr="00D148C0" w:rsidRDefault="00D148C0" w:rsidP="00D148C0">
            <w:pPr>
              <w:pStyle w:val="Normlny0"/>
              <w:jc w:val="center"/>
            </w:pPr>
            <w:r w:rsidRPr="00D148C0">
              <w:t>Číslo</w:t>
            </w:r>
          </w:p>
          <w:p w14:paraId="7B837930" w14:textId="77777777" w:rsidR="00D148C0" w:rsidRPr="00D148C0" w:rsidRDefault="00D148C0" w:rsidP="00D148C0">
            <w:pPr>
              <w:pStyle w:val="Normlny0"/>
              <w:jc w:val="center"/>
            </w:pPr>
            <w:r w:rsidRPr="00D148C0">
              <w:t>predpisu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2942" w14:textId="77777777" w:rsidR="00D148C0" w:rsidRPr="00D148C0" w:rsidRDefault="00D148C0" w:rsidP="00D148C0">
            <w:pPr>
              <w:pStyle w:val="Normlny0"/>
              <w:jc w:val="center"/>
            </w:pPr>
            <w:r w:rsidRPr="00D148C0">
              <w:t>Článok (Č, §, O, V, P)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CEE0" w14:textId="77777777" w:rsidR="00D148C0" w:rsidRPr="00D148C0" w:rsidRDefault="00D148C0" w:rsidP="00D148C0">
            <w:pPr>
              <w:pStyle w:val="Normlny0"/>
              <w:jc w:val="center"/>
            </w:pPr>
            <w:r w:rsidRPr="00D148C0">
              <w:t>Text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31A1" w14:textId="77777777" w:rsidR="00D148C0" w:rsidRPr="00D148C0" w:rsidRDefault="00D148C0" w:rsidP="00D148C0">
            <w:pPr>
              <w:pStyle w:val="Normlny0"/>
              <w:ind w:left="-48" w:hanging="48"/>
              <w:jc w:val="center"/>
            </w:pPr>
            <w:r w:rsidRPr="00D148C0">
              <w:t>Zhoda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C78D" w14:textId="77777777" w:rsidR="00D148C0" w:rsidRPr="00D148C0" w:rsidRDefault="00D148C0" w:rsidP="00D148C0">
            <w:pPr>
              <w:pStyle w:val="Normlny0"/>
              <w:jc w:val="center"/>
            </w:pPr>
            <w:r w:rsidRPr="00D148C0">
              <w:t>Poznámky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B952CD" w14:textId="77777777" w:rsidR="00D148C0" w:rsidRPr="00D148C0" w:rsidRDefault="00D148C0" w:rsidP="00D148C0">
            <w:pPr>
              <w:pStyle w:val="Normlny0"/>
              <w:jc w:val="center"/>
            </w:pPr>
            <w:r w:rsidRPr="00D148C0">
              <w:t xml:space="preserve">Identifikácia </w:t>
            </w:r>
            <w:proofErr w:type="spellStart"/>
            <w:r w:rsidRPr="00D148C0">
              <w:t>goldplatingu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AA4F7F" w14:textId="77777777" w:rsidR="00D148C0" w:rsidRPr="00D148C0" w:rsidRDefault="00D148C0" w:rsidP="00D148C0">
            <w:pPr>
              <w:pStyle w:val="Normlny0"/>
              <w:jc w:val="center"/>
            </w:pPr>
            <w:r w:rsidRPr="00D148C0">
              <w:t xml:space="preserve">Identifikácia oblasti </w:t>
            </w:r>
            <w:proofErr w:type="spellStart"/>
            <w:r w:rsidRPr="00D148C0">
              <w:t>goldplatingu</w:t>
            </w:r>
            <w:proofErr w:type="spellEnd"/>
            <w:r w:rsidRPr="00D148C0">
              <w:t xml:space="preserve"> a vyjadrenie k opodstatnenosti </w:t>
            </w:r>
            <w:proofErr w:type="spellStart"/>
            <w:r w:rsidRPr="00D148C0">
              <w:t>goldplatingu</w:t>
            </w:r>
            <w:proofErr w:type="spellEnd"/>
            <w:r w:rsidRPr="00D148C0">
              <w:t>*</w:t>
            </w:r>
          </w:p>
        </w:tc>
      </w:tr>
      <w:tr w:rsidR="00D148C0" w:rsidRPr="00D148C0" w14:paraId="46B4DDBA" w14:textId="77777777" w:rsidTr="00FF4B29">
        <w:tc>
          <w:tcPr>
            <w:tcW w:w="68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2655C63" w14:textId="5691DEF4" w:rsidR="00D148C0" w:rsidRDefault="00D148C0" w:rsidP="00D148C0">
            <w:pPr>
              <w:jc w:val="center"/>
              <w:rPr>
                <w:sz w:val="20"/>
                <w:szCs w:val="20"/>
              </w:rPr>
            </w:pPr>
            <w:r w:rsidRPr="00D148C0">
              <w:rPr>
                <w:sz w:val="20"/>
                <w:szCs w:val="20"/>
              </w:rPr>
              <w:t>Č: 1</w:t>
            </w:r>
          </w:p>
          <w:p w14:paraId="352318F3" w14:textId="4FC458EF" w:rsidR="00456B55" w:rsidRDefault="00456B55" w:rsidP="00D14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O:1</w:t>
            </w:r>
          </w:p>
          <w:p w14:paraId="3A94AA75" w14:textId="745C17FA" w:rsidR="00456B55" w:rsidRDefault="00456B55" w:rsidP="00D148C0">
            <w:pPr>
              <w:jc w:val="center"/>
              <w:rPr>
                <w:sz w:val="20"/>
                <w:szCs w:val="20"/>
              </w:rPr>
            </w:pPr>
          </w:p>
          <w:p w14:paraId="0C10CAFC" w14:textId="7B47CE14" w:rsidR="00456B55" w:rsidRDefault="00456B55" w:rsidP="00D148C0">
            <w:pPr>
              <w:jc w:val="center"/>
              <w:rPr>
                <w:sz w:val="20"/>
                <w:szCs w:val="20"/>
              </w:rPr>
            </w:pPr>
          </w:p>
          <w:p w14:paraId="0CB9DFBD" w14:textId="5D7250A6" w:rsidR="00456B55" w:rsidRDefault="00456B55" w:rsidP="00D148C0">
            <w:pPr>
              <w:jc w:val="center"/>
              <w:rPr>
                <w:sz w:val="20"/>
                <w:szCs w:val="20"/>
              </w:rPr>
            </w:pPr>
          </w:p>
          <w:p w14:paraId="058CE725" w14:textId="098C2D11" w:rsidR="00456B55" w:rsidRDefault="00456B55" w:rsidP="00D148C0">
            <w:pPr>
              <w:jc w:val="center"/>
              <w:rPr>
                <w:sz w:val="20"/>
                <w:szCs w:val="20"/>
              </w:rPr>
            </w:pPr>
          </w:p>
          <w:p w14:paraId="61A9A89C" w14:textId="44B654CB" w:rsidR="00456B55" w:rsidRDefault="00456B55" w:rsidP="00D148C0">
            <w:pPr>
              <w:jc w:val="center"/>
              <w:rPr>
                <w:sz w:val="20"/>
                <w:szCs w:val="20"/>
              </w:rPr>
            </w:pPr>
          </w:p>
          <w:p w14:paraId="21DFCDB5" w14:textId="21E36A0E" w:rsidR="00456B55" w:rsidRDefault="00456B55" w:rsidP="00D148C0">
            <w:pPr>
              <w:jc w:val="center"/>
              <w:rPr>
                <w:sz w:val="20"/>
                <w:szCs w:val="20"/>
              </w:rPr>
            </w:pPr>
          </w:p>
          <w:p w14:paraId="2C6851A3" w14:textId="391096AF" w:rsidR="00456B55" w:rsidRDefault="00456B55" w:rsidP="00D148C0">
            <w:pPr>
              <w:jc w:val="center"/>
              <w:rPr>
                <w:sz w:val="20"/>
                <w:szCs w:val="20"/>
              </w:rPr>
            </w:pPr>
          </w:p>
          <w:p w14:paraId="4C718174" w14:textId="39801CBA" w:rsidR="00456B55" w:rsidRDefault="00456B55" w:rsidP="00D148C0">
            <w:pPr>
              <w:jc w:val="center"/>
              <w:rPr>
                <w:sz w:val="20"/>
                <w:szCs w:val="20"/>
              </w:rPr>
            </w:pPr>
          </w:p>
          <w:p w14:paraId="02DAE065" w14:textId="21DF277C" w:rsidR="00456B55" w:rsidRDefault="00456B55" w:rsidP="00D148C0">
            <w:pPr>
              <w:jc w:val="center"/>
              <w:rPr>
                <w:sz w:val="20"/>
                <w:szCs w:val="20"/>
              </w:rPr>
            </w:pPr>
          </w:p>
          <w:p w14:paraId="08FA7AA6" w14:textId="0C3FD812" w:rsidR="00456B55" w:rsidRDefault="00456B55" w:rsidP="00D148C0">
            <w:pPr>
              <w:jc w:val="center"/>
              <w:rPr>
                <w:sz w:val="20"/>
                <w:szCs w:val="20"/>
              </w:rPr>
            </w:pPr>
          </w:p>
          <w:p w14:paraId="0850F300" w14:textId="2486ECEA" w:rsidR="00456B55" w:rsidRDefault="00456B55" w:rsidP="00D148C0">
            <w:pPr>
              <w:jc w:val="center"/>
              <w:rPr>
                <w:sz w:val="20"/>
                <w:szCs w:val="20"/>
              </w:rPr>
            </w:pPr>
          </w:p>
          <w:p w14:paraId="673BA366" w14:textId="75F86A73" w:rsidR="00456B55" w:rsidRDefault="00456B55" w:rsidP="00D148C0">
            <w:pPr>
              <w:jc w:val="center"/>
              <w:rPr>
                <w:sz w:val="20"/>
                <w:szCs w:val="20"/>
              </w:rPr>
            </w:pPr>
          </w:p>
          <w:p w14:paraId="5618BB48" w14:textId="77777777" w:rsidR="00456B55" w:rsidRDefault="00456B55" w:rsidP="00D148C0">
            <w:pPr>
              <w:jc w:val="center"/>
              <w:rPr>
                <w:sz w:val="20"/>
                <w:szCs w:val="20"/>
              </w:rPr>
            </w:pPr>
          </w:p>
          <w:p w14:paraId="1A5312BA" w14:textId="77777777" w:rsidR="00456B55" w:rsidRDefault="00456B55" w:rsidP="00456B55">
            <w:pPr>
              <w:jc w:val="center"/>
              <w:rPr>
                <w:sz w:val="20"/>
                <w:szCs w:val="20"/>
              </w:rPr>
            </w:pPr>
            <w:r w:rsidRPr="00D148C0">
              <w:rPr>
                <w:sz w:val="20"/>
                <w:szCs w:val="20"/>
              </w:rPr>
              <w:t>Č: 1</w:t>
            </w:r>
          </w:p>
          <w:p w14:paraId="00021F39" w14:textId="4CDD3620" w:rsidR="00456B55" w:rsidRPr="00D148C0" w:rsidRDefault="00456B55" w:rsidP="00456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O:2</w:t>
            </w:r>
          </w:p>
          <w:p w14:paraId="268D6B1E" w14:textId="77777777" w:rsidR="00456B55" w:rsidRPr="00D148C0" w:rsidRDefault="00456B55" w:rsidP="00D148C0">
            <w:pPr>
              <w:jc w:val="center"/>
              <w:rPr>
                <w:sz w:val="20"/>
                <w:szCs w:val="20"/>
              </w:rPr>
            </w:pPr>
          </w:p>
          <w:p w14:paraId="5595F67D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751DFFE9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1AEF7A12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702AB1B8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30F0CDFD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211B3D5A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2D0D6264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75844EBF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6FCDECF8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4A08E266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51E24A15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7140D819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5FAF3A6E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606177D5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163F1979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0DC0EA70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3CEE75FF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23319107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3F9587C5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66865C51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4B9081C4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01CF1D17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019BA984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4BC2DC3C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0D87CBE0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2DA50E31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301E4205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13D799F4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5139DAD7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338D4299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4D40AEEA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45831DDA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521CFBAD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3CF000A0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5E54DFBA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7917C818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206445A5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783A8" w14:textId="708739E9" w:rsidR="00456B55" w:rsidRPr="00456B55" w:rsidRDefault="00456B55" w:rsidP="00456B55">
            <w:pPr>
              <w:pStyle w:val="oj-normal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56B55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Zmeny smernice 2009/65/ES</w:t>
            </w:r>
          </w:p>
          <w:p w14:paraId="4C39C083" w14:textId="53188808" w:rsidR="00456B55" w:rsidRPr="00456B55" w:rsidRDefault="00456B55" w:rsidP="00456B55">
            <w:pPr>
              <w:pStyle w:val="oj-normal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56B55">
              <w:rPr>
                <w:color w:val="000000"/>
                <w:sz w:val="20"/>
                <w:szCs w:val="20"/>
              </w:rPr>
              <w:t>Smernica 2009/65/ES sa mení takto: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"/>
              <w:gridCol w:w="4346"/>
            </w:tblGrid>
            <w:tr w:rsidR="00456B55" w:rsidRPr="00456B55" w14:paraId="3038E541" w14:textId="77777777" w:rsidTr="00456B55">
              <w:tc>
                <w:tcPr>
                  <w:tcW w:w="188" w:type="dxa"/>
                  <w:shd w:val="clear" w:color="auto" w:fill="auto"/>
                  <w:hideMark/>
                </w:tcPr>
                <w:p w14:paraId="5E9B525B" w14:textId="77777777" w:rsidR="00456B55" w:rsidRPr="00456B55" w:rsidRDefault="00456B55" w:rsidP="00456B55">
                  <w:pPr>
                    <w:pStyle w:val="oj-normal"/>
                    <w:spacing w:before="12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 w:rsidRPr="00456B55"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4346" w:type="dxa"/>
                  <w:shd w:val="clear" w:color="auto" w:fill="auto"/>
                  <w:hideMark/>
                </w:tcPr>
                <w:p w14:paraId="07B35510" w14:textId="77777777" w:rsidR="00456B55" w:rsidRPr="00456B55" w:rsidRDefault="00456B55" w:rsidP="00456B55">
                  <w:pPr>
                    <w:pStyle w:val="oj-normal"/>
                    <w:spacing w:before="12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 w:rsidRPr="00456B55">
                    <w:rPr>
                      <w:sz w:val="20"/>
                      <w:szCs w:val="20"/>
                    </w:rPr>
                    <w:t>V článku 2 ods. 1 sa dopĺňa toto písmeno:</w:t>
                  </w:r>
                </w:p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3"/>
                    <w:gridCol w:w="4063"/>
                  </w:tblGrid>
                  <w:tr w:rsidR="00456B55" w:rsidRPr="00456B55" w14:paraId="32FA846B" w14:textId="77777777" w:rsidTr="00456B55">
                    <w:tc>
                      <w:tcPr>
                        <w:tcW w:w="283" w:type="dxa"/>
                        <w:shd w:val="clear" w:color="auto" w:fill="auto"/>
                        <w:hideMark/>
                      </w:tcPr>
                      <w:p w14:paraId="05D2FECA" w14:textId="77777777" w:rsidR="00456B55" w:rsidRPr="00456B55" w:rsidRDefault="00456B55" w:rsidP="00456B55">
                        <w:pPr>
                          <w:pStyle w:val="oj-normal"/>
                          <w:spacing w:before="120" w:beforeAutospacing="0" w:after="0" w:afterAutospacing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456B55">
                          <w:rPr>
                            <w:sz w:val="20"/>
                            <w:szCs w:val="20"/>
                          </w:rPr>
                          <w:t>„v)</w:t>
                        </w:r>
                      </w:p>
                    </w:tc>
                    <w:tc>
                      <w:tcPr>
                        <w:tcW w:w="4063" w:type="dxa"/>
                        <w:shd w:val="clear" w:color="auto" w:fill="auto"/>
                        <w:hideMark/>
                      </w:tcPr>
                      <w:p w14:paraId="0A8532CC" w14:textId="77777777" w:rsidR="00456B55" w:rsidRPr="00456B55" w:rsidRDefault="00456B55" w:rsidP="00456B55">
                        <w:pPr>
                          <w:pStyle w:val="oj-normal"/>
                          <w:spacing w:before="120" w:beforeAutospacing="0" w:after="0" w:afterAutospacing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456B55">
                          <w:rPr>
                            <w:sz w:val="20"/>
                            <w:szCs w:val="20"/>
                          </w:rPr>
                          <w:t>‚centrálna protistrana‘ je centrálna protistrana v zmysle vymedzenia v článku 2 bode 1 nariadenia Európskeho parlamentu a Rady (EÚ) č. 648/2012</w:t>
                        </w:r>
                        <w:hyperlink r:id="rId9" w:anchor="ntr*1-L_202402994SK.000101-E0008" w:history="1">
                          <w:r w:rsidRPr="00456B55">
                            <w:rPr>
                              <w:rStyle w:val="Hypertextovprepojenie"/>
                              <w:rFonts w:eastAsiaTheme="minorEastAsia"/>
                              <w:color w:val="337AB7"/>
                              <w:sz w:val="20"/>
                              <w:szCs w:val="20"/>
                            </w:rPr>
                            <w:t> (</w:t>
                          </w:r>
                          <w:r w:rsidRPr="00456B55">
                            <w:rPr>
                              <w:rStyle w:val="oj-super"/>
                              <w:color w:val="337AB7"/>
                              <w:sz w:val="20"/>
                              <w:szCs w:val="20"/>
                              <w:vertAlign w:val="superscript"/>
                            </w:rPr>
                            <w:t>*1</w:t>
                          </w:r>
                          <w:r w:rsidRPr="00456B55">
                            <w:rPr>
                              <w:rStyle w:val="Hypertextovprepojenie"/>
                              <w:rFonts w:eastAsiaTheme="minorEastAsia"/>
                              <w:color w:val="337AB7"/>
                              <w:sz w:val="20"/>
                              <w:szCs w:val="20"/>
                            </w:rPr>
                            <w:t>)</w:t>
                          </w:r>
                        </w:hyperlink>
                        <w:r w:rsidRPr="00456B55">
                          <w:rPr>
                            <w:sz w:val="20"/>
                            <w:szCs w:val="20"/>
                          </w:rPr>
                          <w:t>.</w:t>
                        </w:r>
                      </w:p>
                    </w:tc>
                  </w:tr>
                </w:tbl>
                <w:p w14:paraId="4FB6BB36" w14:textId="77777777" w:rsidR="00456B55" w:rsidRPr="00456B55" w:rsidRDefault="00000000" w:rsidP="00456B55">
                  <w:pPr>
                    <w:pStyle w:val="oj-note"/>
                    <w:spacing w:before="60" w:beforeAutospacing="0" w:after="60" w:afterAutospacing="0"/>
                    <w:jc w:val="both"/>
                    <w:rPr>
                      <w:sz w:val="20"/>
                      <w:szCs w:val="20"/>
                    </w:rPr>
                  </w:pPr>
                  <w:hyperlink r:id="rId10" w:anchor="ntc*1-L_202402994SK.000101-E0008" w:history="1">
                    <w:r w:rsidR="00456B55" w:rsidRPr="00456B55">
                      <w:rPr>
                        <w:rStyle w:val="Hypertextovprepojenie"/>
                        <w:rFonts w:eastAsiaTheme="minorEastAsia"/>
                        <w:color w:val="337AB7"/>
                        <w:sz w:val="20"/>
                        <w:szCs w:val="20"/>
                      </w:rPr>
                      <w:t>(</w:t>
                    </w:r>
                    <w:r w:rsidR="00456B55" w:rsidRPr="00456B55">
                      <w:rPr>
                        <w:rStyle w:val="oj-super"/>
                        <w:color w:val="337AB7"/>
                        <w:sz w:val="20"/>
                        <w:szCs w:val="20"/>
                        <w:vertAlign w:val="superscript"/>
                      </w:rPr>
                      <w:t>*1</w:t>
                    </w:r>
                    <w:r w:rsidR="00456B55" w:rsidRPr="00456B55">
                      <w:rPr>
                        <w:rStyle w:val="Hypertextovprepojenie"/>
                        <w:rFonts w:eastAsiaTheme="minorEastAsia"/>
                        <w:color w:val="337AB7"/>
                        <w:sz w:val="20"/>
                        <w:szCs w:val="20"/>
                      </w:rPr>
                      <w:t>)</w:t>
                    </w:r>
                  </w:hyperlink>
                  <w:r w:rsidR="00456B55" w:rsidRPr="00456B55">
                    <w:rPr>
                      <w:sz w:val="20"/>
                      <w:szCs w:val="20"/>
                    </w:rPr>
                    <w:t>  Nariadenie Európskeho parlamentu a Rady (EÚ) č. 648/2012 zo 4. júla 2012 o mimoburzových derivátoch, centrálnych protistranách a archívoch obchodných údajov (</w:t>
                  </w:r>
                  <w:hyperlink r:id="rId11" w:history="1">
                    <w:r w:rsidR="00456B55" w:rsidRPr="00456B55">
                      <w:rPr>
                        <w:rStyle w:val="Hypertextovprepojenie"/>
                        <w:rFonts w:eastAsiaTheme="minorEastAsia"/>
                        <w:color w:val="337AB7"/>
                        <w:sz w:val="20"/>
                        <w:szCs w:val="20"/>
                      </w:rPr>
                      <w:t>Ú. v. EÚ L 201, 27.7.2012, s. 1</w:t>
                    </w:r>
                  </w:hyperlink>
                  <w:r w:rsidR="00456B55" w:rsidRPr="00456B55">
                    <w:rPr>
                      <w:sz w:val="20"/>
                      <w:szCs w:val="20"/>
                    </w:rPr>
                    <w:t>).“ "</w:t>
                  </w:r>
                </w:p>
              </w:tc>
            </w:tr>
          </w:tbl>
          <w:p w14:paraId="11BFB1E7" w14:textId="77777777" w:rsidR="00456B55" w:rsidRPr="00456B55" w:rsidRDefault="00456B55" w:rsidP="00456B55">
            <w:pPr>
              <w:shd w:val="clear" w:color="auto" w:fill="FFFFFF"/>
              <w:rPr>
                <w:vanish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9"/>
              <w:gridCol w:w="4205"/>
            </w:tblGrid>
            <w:tr w:rsidR="00456B55" w:rsidRPr="00456B55" w14:paraId="565337EA" w14:textId="77777777" w:rsidTr="00456B55">
              <w:tc>
                <w:tcPr>
                  <w:tcW w:w="329" w:type="dxa"/>
                  <w:shd w:val="clear" w:color="auto" w:fill="auto"/>
                  <w:hideMark/>
                </w:tcPr>
                <w:p w14:paraId="0218A2BE" w14:textId="77777777" w:rsidR="00456B55" w:rsidRPr="00456B55" w:rsidRDefault="00456B55" w:rsidP="00456B55">
                  <w:pPr>
                    <w:pStyle w:val="oj-normal"/>
                    <w:spacing w:before="12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 w:rsidRPr="00456B55"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205" w:type="dxa"/>
                  <w:shd w:val="clear" w:color="auto" w:fill="auto"/>
                  <w:hideMark/>
                </w:tcPr>
                <w:p w14:paraId="062812DE" w14:textId="77777777" w:rsidR="00456B55" w:rsidRPr="00456B55" w:rsidRDefault="00456B55" w:rsidP="00456B55">
                  <w:pPr>
                    <w:pStyle w:val="oj-normal"/>
                    <w:spacing w:before="12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 w:rsidRPr="00456B55">
                    <w:rPr>
                      <w:sz w:val="20"/>
                      <w:szCs w:val="20"/>
                    </w:rPr>
                    <w:t>Článok 52 sa mení takto:</w:t>
                  </w:r>
                </w:p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7"/>
                    <w:gridCol w:w="3918"/>
                  </w:tblGrid>
                  <w:tr w:rsidR="00456B55" w:rsidRPr="00456B55" w14:paraId="04D95596" w14:textId="77777777" w:rsidTr="00456B55">
                    <w:tc>
                      <w:tcPr>
                        <w:tcW w:w="287" w:type="dxa"/>
                        <w:shd w:val="clear" w:color="auto" w:fill="auto"/>
                        <w:hideMark/>
                      </w:tcPr>
                      <w:p w14:paraId="4A6878D6" w14:textId="77777777" w:rsidR="00456B55" w:rsidRPr="00456B55" w:rsidRDefault="00456B55" w:rsidP="00456B55">
                        <w:pPr>
                          <w:pStyle w:val="oj-normal"/>
                          <w:spacing w:before="120" w:beforeAutospacing="0" w:after="0" w:afterAutospacing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456B55">
                          <w:rPr>
                            <w:sz w:val="20"/>
                            <w:szCs w:val="20"/>
                          </w:rPr>
                          <w:t>a)</w:t>
                        </w:r>
                      </w:p>
                    </w:tc>
                    <w:tc>
                      <w:tcPr>
                        <w:tcW w:w="3918" w:type="dxa"/>
                        <w:shd w:val="clear" w:color="auto" w:fill="auto"/>
                        <w:hideMark/>
                      </w:tcPr>
                      <w:p w14:paraId="24F07E54" w14:textId="77777777" w:rsidR="00456B55" w:rsidRPr="00456B55" w:rsidRDefault="00456B55" w:rsidP="00456B55">
                        <w:pPr>
                          <w:pStyle w:val="oj-normal"/>
                          <w:spacing w:before="120" w:beforeAutospacing="0" w:after="0" w:afterAutospacing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456B55">
                          <w:rPr>
                            <w:sz w:val="20"/>
                            <w:szCs w:val="20"/>
                          </w:rPr>
                          <w:t xml:space="preserve">v odseku 1 druhom </w:t>
                        </w:r>
                        <w:proofErr w:type="spellStart"/>
                        <w:r w:rsidRPr="00456B55">
                          <w:rPr>
                            <w:sz w:val="20"/>
                            <w:szCs w:val="20"/>
                          </w:rPr>
                          <w:t>pododseku</w:t>
                        </w:r>
                        <w:proofErr w:type="spellEnd"/>
                        <w:r w:rsidRPr="00456B55">
                          <w:rPr>
                            <w:sz w:val="20"/>
                            <w:szCs w:val="20"/>
                          </w:rPr>
                          <w:t xml:space="preserve"> sa úvodné slová nahrádzajú takto:</w:t>
                        </w:r>
                      </w:p>
                      <w:p w14:paraId="392B29D8" w14:textId="77777777" w:rsidR="00456B55" w:rsidRPr="00456B55" w:rsidRDefault="00456B55" w:rsidP="00456B55">
                        <w:pPr>
                          <w:pStyle w:val="oj-normal"/>
                          <w:spacing w:before="120" w:beforeAutospacing="0" w:after="0" w:afterAutospacing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456B55">
                          <w:rPr>
                            <w:sz w:val="20"/>
                            <w:szCs w:val="20"/>
                          </w:rPr>
                          <w:t xml:space="preserve">„Riziková expozícia voči protistrane PKIPCP pri transakcii s derivátmi, ktorú centrálne nezúčtováva centrálna protistrana, ktorej bolo udelené povolenie v súlade s článkom 14 nariadenia (EÚ) č. 648/2012 alebo ktorá bola </w:t>
                        </w:r>
                        <w:r w:rsidRPr="00456B55">
                          <w:rPr>
                            <w:sz w:val="20"/>
                            <w:szCs w:val="20"/>
                          </w:rPr>
                          <w:lastRenderedPageBreak/>
                          <w:t>uznaná v súlade s článkom 25 uvedeného nariadenia, nesmie prekročiť:“</w:t>
                        </w:r>
                      </w:p>
                      <w:p w14:paraId="47F10854" w14:textId="77777777" w:rsidR="00456B55" w:rsidRPr="00456B55" w:rsidRDefault="00456B55" w:rsidP="00456B55">
                        <w:pPr>
                          <w:rPr>
                            <w:sz w:val="20"/>
                            <w:szCs w:val="20"/>
                          </w:rPr>
                        </w:pPr>
                        <w:r w:rsidRPr="00456B55">
                          <w:rPr>
                            <w:sz w:val="20"/>
                            <w:szCs w:val="20"/>
                          </w:rPr>
                          <w:t>;</w:t>
                        </w:r>
                      </w:p>
                    </w:tc>
                  </w:tr>
                </w:tbl>
                <w:p w14:paraId="20B51185" w14:textId="77777777" w:rsidR="00456B55" w:rsidRPr="00456B55" w:rsidRDefault="00456B55" w:rsidP="00456B55">
                  <w:pPr>
                    <w:rPr>
                      <w:vanish/>
                      <w:sz w:val="20"/>
                      <w:szCs w:val="20"/>
                    </w:rPr>
                  </w:pPr>
                </w:p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7"/>
                    <w:gridCol w:w="3918"/>
                  </w:tblGrid>
                  <w:tr w:rsidR="00456B55" w:rsidRPr="00456B55" w14:paraId="5A2B7088" w14:textId="77777777" w:rsidTr="00456B55">
                    <w:tc>
                      <w:tcPr>
                        <w:tcW w:w="287" w:type="dxa"/>
                        <w:shd w:val="clear" w:color="auto" w:fill="auto"/>
                        <w:hideMark/>
                      </w:tcPr>
                      <w:p w14:paraId="5D6DCD5E" w14:textId="77777777" w:rsidR="00456B55" w:rsidRPr="00456B55" w:rsidRDefault="00456B55" w:rsidP="00456B55">
                        <w:pPr>
                          <w:pStyle w:val="oj-normal"/>
                          <w:spacing w:before="120" w:beforeAutospacing="0" w:after="0" w:afterAutospacing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456B55">
                          <w:rPr>
                            <w:sz w:val="20"/>
                            <w:szCs w:val="20"/>
                          </w:rPr>
                          <w:t>b)</w:t>
                        </w:r>
                      </w:p>
                    </w:tc>
                    <w:tc>
                      <w:tcPr>
                        <w:tcW w:w="3918" w:type="dxa"/>
                        <w:shd w:val="clear" w:color="auto" w:fill="auto"/>
                        <w:hideMark/>
                      </w:tcPr>
                      <w:p w14:paraId="586C75E0" w14:textId="77777777" w:rsidR="00456B55" w:rsidRPr="00456B55" w:rsidRDefault="00456B55" w:rsidP="00456B55">
                        <w:pPr>
                          <w:pStyle w:val="oj-normal"/>
                          <w:spacing w:before="120" w:beforeAutospacing="0" w:after="0" w:afterAutospacing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456B55">
                          <w:rPr>
                            <w:sz w:val="20"/>
                            <w:szCs w:val="20"/>
                          </w:rPr>
                          <w:t>odsek 2 sa mení takto:</w:t>
                        </w:r>
                      </w:p>
                      <w:tbl>
                        <w:tblPr>
                          <w:tblW w:w="5000" w:type="pct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2"/>
                          <w:gridCol w:w="3636"/>
                        </w:tblGrid>
                        <w:tr w:rsidR="00456B55" w:rsidRPr="00456B55" w14:paraId="147DE723" w14:textId="77777777" w:rsidTr="00456B55">
                          <w:tc>
                            <w:tcPr>
                              <w:tcW w:w="282" w:type="dxa"/>
                              <w:shd w:val="clear" w:color="auto" w:fill="auto"/>
                              <w:hideMark/>
                            </w:tcPr>
                            <w:p w14:paraId="53F2ED56" w14:textId="77777777" w:rsidR="00456B55" w:rsidRPr="00456B55" w:rsidRDefault="00456B55" w:rsidP="00456B55">
                              <w:pPr>
                                <w:pStyle w:val="oj-normal"/>
                                <w:spacing w:before="120" w:beforeAutospacing="0" w:after="0" w:afterAutospacing="0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56B55">
                                <w:rPr>
                                  <w:sz w:val="20"/>
                                  <w:szCs w:val="20"/>
                                </w:rPr>
                                <w:t>i)</w:t>
                              </w:r>
                            </w:p>
                          </w:tc>
                          <w:tc>
                            <w:tcPr>
                              <w:tcW w:w="3636" w:type="dxa"/>
                              <w:shd w:val="clear" w:color="auto" w:fill="auto"/>
                              <w:hideMark/>
                            </w:tcPr>
                            <w:p w14:paraId="2987E9B7" w14:textId="77777777" w:rsidR="00456B55" w:rsidRPr="00456B55" w:rsidRDefault="00456B55" w:rsidP="00456B55">
                              <w:pPr>
                                <w:pStyle w:val="oj-normal"/>
                                <w:spacing w:before="120" w:beforeAutospacing="0" w:after="0" w:afterAutospacing="0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56B55">
                                <w:rPr>
                                  <w:sz w:val="20"/>
                                  <w:szCs w:val="20"/>
                                </w:rPr>
                                <w:t xml:space="preserve">prvý </w:t>
                              </w:r>
                              <w:proofErr w:type="spellStart"/>
                              <w:r w:rsidRPr="00456B55">
                                <w:rPr>
                                  <w:sz w:val="20"/>
                                  <w:szCs w:val="20"/>
                                </w:rPr>
                                <w:t>pododsek</w:t>
                              </w:r>
                              <w:proofErr w:type="spellEnd"/>
                              <w:r w:rsidRPr="00456B55">
                                <w:rPr>
                                  <w:sz w:val="20"/>
                                  <w:szCs w:val="20"/>
                                </w:rPr>
                                <w:t xml:space="preserve"> sa nahrádza takto:</w:t>
                              </w:r>
                            </w:p>
                            <w:p w14:paraId="5E1DD36A" w14:textId="77777777" w:rsidR="00456B55" w:rsidRPr="00456B55" w:rsidRDefault="00456B55" w:rsidP="00456B55">
                              <w:pPr>
                                <w:pStyle w:val="oj-normal"/>
                                <w:spacing w:before="120" w:beforeAutospacing="0" w:after="0" w:afterAutospacing="0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56B55">
                                <w:rPr>
                                  <w:sz w:val="20"/>
                                  <w:szCs w:val="20"/>
                                </w:rPr>
                                <w:t xml:space="preserve">„Členské štáty môžu zvýšiť 5 % limit stanovený v odseku 1 prvom </w:t>
                              </w:r>
                              <w:proofErr w:type="spellStart"/>
                              <w:r w:rsidRPr="00456B55">
                                <w:rPr>
                                  <w:sz w:val="20"/>
                                  <w:szCs w:val="20"/>
                                </w:rPr>
                                <w:t>pododseku</w:t>
                              </w:r>
                              <w:proofErr w:type="spellEnd"/>
                              <w:r w:rsidRPr="00456B55">
                                <w:rPr>
                                  <w:sz w:val="20"/>
                                  <w:szCs w:val="20"/>
                                </w:rPr>
                                <w:t xml:space="preserve"> najviac na 10 %. Ak ho zvýšia, celková hodnota prevoditeľných cenných papierov a nástrojov peňažného trhu, ktoré má PKIPCP v emitentoch, do ktorých investoval viac ako 5 % svojich aktív, však nesmie presiahnuť 40 % hodnoty jeho aktív. Toto obmedzenie neplatí pre vklady alebo transakcie s derivátmi s finančnými inštitúciami, ktoré podliehajú dohľadu nad obozretným podnikaním.“</w:t>
                              </w:r>
                            </w:p>
                            <w:p w14:paraId="394483B7" w14:textId="77777777" w:rsidR="00456B55" w:rsidRPr="00456B55" w:rsidRDefault="00456B55" w:rsidP="00456B5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456B55">
                                <w:rPr>
                                  <w:sz w:val="20"/>
                                  <w:szCs w:val="20"/>
                                </w:rPr>
                                <w:t>;</w:t>
                              </w:r>
                            </w:p>
                          </w:tc>
                        </w:tr>
                      </w:tbl>
                      <w:p w14:paraId="3D18F385" w14:textId="77777777" w:rsidR="00456B55" w:rsidRPr="00456B55" w:rsidRDefault="00456B55" w:rsidP="00456B55">
                        <w:pPr>
                          <w:rPr>
                            <w:vanish/>
                            <w:sz w:val="20"/>
                            <w:szCs w:val="20"/>
                          </w:rPr>
                        </w:pPr>
                      </w:p>
                      <w:tbl>
                        <w:tblPr>
                          <w:tblW w:w="5000" w:type="pct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2"/>
                          <w:gridCol w:w="3636"/>
                        </w:tblGrid>
                        <w:tr w:rsidR="00456B55" w:rsidRPr="00456B55" w14:paraId="4F7F0FB6" w14:textId="77777777" w:rsidTr="00456B55">
                          <w:tc>
                            <w:tcPr>
                              <w:tcW w:w="282" w:type="dxa"/>
                              <w:shd w:val="clear" w:color="auto" w:fill="auto"/>
                              <w:hideMark/>
                            </w:tcPr>
                            <w:p w14:paraId="01430BF0" w14:textId="77777777" w:rsidR="00456B55" w:rsidRPr="00456B55" w:rsidRDefault="00456B55" w:rsidP="00456B55">
                              <w:pPr>
                                <w:pStyle w:val="oj-normal"/>
                                <w:spacing w:before="120" w:beforeAutospacing="0" w:after="0" w:afterAutospacing="0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56B55">
                                <w:rPr>
                                  <w:sz w:val="20"/>
                                  <w:szCs w:val="20"/>
                                </w:rPr>
                                <w:t>ii)</w:t>
                              </w:r>
                            </w:p>
                          </w:tc>
                          <w:tc>
                            <w:tcPr>
                              <w:tcW w:w="3636" w:type="dxa"/>
                              <w:shd w:val="clear" w:color="auto" w:fill="auto"/>
                              <w:hideMark/>
                            </w:tcPr>
                            <w:p w14:paraId="042DA8C5" w14:textId="77777777" w:rsidR="00456B55" w:rsidRPr="00456B55" w:rsidRDefault="00456B55" w:rsidP="00456B55">
                              <w:pPr>
                                <w:pStyle w:val="oj-normal"/>
                                <w:spacing w:before="120" w:beforeAutospacing="0" w:after="0" w:afterAutospacing="0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56B55">
                                <w:rPr>
                                  <w:sz w:val="20"/>
                                  <w:szCs w:val="20"/>
                                </w:rPr>
                                <w:t xml:space="preserve">v druhom </w:t>
                              </w:r>
                              <w:proofErr w:type="spellStart"/>
                              <w:r w:rsidRPr="00456B55">
                                <w:rPr>
                                  <w:sz w:val="20"/>
                                  <w:szCs w:val="20"/>
                                </w:rPr>
                                <w:t>pododseku</w:t>
                              </w:r>
                              <w:proofErr w:type="spellEnd"/>
                              <w:r w:rsidRPr="00456B55">
                                <w:rPr>
                                  <w:sz w:val="20"/>
                                  <w:szCs w:val="20"/>
                                </w:rPr>
                                <w:t xml:space="preserve"> sa písmeno c) nahrádza takto:</w:t>
                              </w:r>
                            </w:p>
                            <w:tbl>
                              <w:tblPr>
                                <w:tblW w:w="5000" w:type="pct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8"/>
                                <w:gridCol w:w="3358"/>
                              </w:tblGrid>
                              <w:tr w:rsidR="00456B55" w:rsidRPr="00456B55" w14:paraId="40E1A7AB" w14:textId="77777777" w:rsidTr="00456B55">
                                <w:tc>
                                  <w:tcPr>
                                    <w:tcW w:w="278" w:type="dxa"/>
                                    <w:shd w:val="clear" w:color="auto" w:fill="auto"/>
                                    <w:hideMark/>
                                  </w:tcPr>
                                  <w:p w14:paraId="66B031FB" w14:textId="77777777" w:rsidR="00456B55" w:rsidRPr="00456B55" w:rsidRDefault="00456B55" w:rsidP="00456B55">
                                    <w:pPr>
                                      <w:pStyle w:val="oj-normal"/>
                                      <w:spacing w:before="120" w:beforeAutospacing="0" w:after="0" w:afterAutospacing="0"/>
                                      <w:jc w:val="both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456B55">
                                      <w:rPr>
                                        <w:sz w:val="20"/>
                                        <w:szCs w:val="20"/>
                                      </w:rPr>
                                      <w:t>„c)</w:t>
                                    </w:r>
                                  </w:p>
                                </w:tc>
                                <w:tc>
                                  <w:tcPr>
                                    <w:tcW w:w="3358" w:type="dxa"/>
                                    <w:shd w:val="clear" w:color="auto" w:fill="auto"/>
                                    <w:hideMark/>
                                  </w:tcPr>
                                  <w:p w14:paraId="107A5A2A" w14:textId="77777777" w:rsidR="00456B55" w:rsidRPr="00456B55" w:rsidRDefault="00456B55" w:rsidP="00456B55">
                                    <w:pPr>
                                      <w:pStyle w:val="oj-normal"/>
                                      <w:spacing w:before="120" w:beforeAutospacing="0" w:after="0" w:afterAutospacing="0"/>
                                      <w:jc w:val="both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456B55">
                                      <w:rPr>
                                        <w:sz w:val="20"/>
                                        <w:szCs w:val="20"/>
                                      </w:rPr>
                                      <w:t>expozície vyplývajúce z transakcií s derivátmi s týmto subjektom, ktoré centrálne nezúčtováva centrálna protistrana, ktorej bolo udelené povolenie v súlade s článkom 14 nariadenia (EÚ) č. 648/2012 alebo ktorá bola uznaná v súlade s článkom 25 uvedeného nariadenia.“</w:t>
                                    </w:r>
                                  </w:p>
                                </w:tc>
                              </w:tr>
                            </w:tbl>
                            <w:p w14:paraId="2BEA1D9E" w14:textId="77777777" w:rsidR="00456B55" w:rsidRPr="00456B55" w:rsidRDefault="00456B55" w:rsidP="00456B5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88AA6BC" w14:textId="77777777" w:rsidR="00456B55" w:rsidRPr="00456B55" w:rsidRDefault="00456B55" w:rsidP="00456B5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F89035F" w14:textId="77777777" w:rsidR="00456B55" w:rsidRPr="00456B55" w:rsidRDefault="00456B55" w:rsidP="00456B55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15746C9" w14:textId="3092C7D4" w:rsidR="00D148C0" w:rsidRPr="00D148C0" w:rsidRDefault="00456B55" w:rsidP="00D148C0">
            <w:pPr>
              <w:adjustRightInd w:val="0"/>
              <w:spacing w:before="75"/>
              <w:jc w:val="both"/>
              <w:rPr>
                <w:sz w:val="20"/>
                <w:szCs w:val="20"/>
              </w:rPr>
            </w:pPr>
            <w:r w:rsidRPr="00D148C0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C436942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148C0">
              <w:rPr>
                <w:color w:val="000000"/>
                <w:sz w:val="20"/>
                <w:szCs w:val="20"/>
              </w:rPr>
              <w:lastRenderedPageBreak/>
              <w:t>N</w:t>
            </w:r>
          </w:p>
          <w:p w14:paraId="6129D374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1CA1F81D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0CB82464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0F58B81E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599C1BAE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54DED8AC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042B1EFF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0550CE51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0807BD51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2BF66F45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28176F4D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2615B085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2921A619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0AEDE760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63D1FCA1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4192F220" w14:textId="23FD1250" w:rsidR="00954AF3" w:rsidRPr="00D148C0" w:rsidRDefault="00954AF3" w:rsidP="00954AF3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09D59385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6188FF6D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5FBBD595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43FD9EEE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73C6D637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2E15004E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76B981C8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45B4C081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4249EF9A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2979BF83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3EB4D2E4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3A0B478D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5DC4B414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5E3D4485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6F7A99AD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4D666940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6CE08933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7CFC5845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77D33AE3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7D86FEFD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3EF118BC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424EC2A2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628D8EA0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6BA57ECB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46FE1673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2AA55DCC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250C12EF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6B4D72A" w14:textId="77777777" w:rsidR="00D148C0" w:rsidRPr="00D148C0" w:rsidRDefault="00D148C0" w:rsidP="00D148C0">
            <w:pPr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DC9E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5FA0" w14:textId="77CE8563" w:rsidR="00D148C0" w:rsidRPr="00D148C0" w:rsidRDefault="00D148C0" w:rsidP="00D148C0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11471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3D59E0D5" w14:textId="190BE5D9" w:rsidR="00D148C0" w:rsidRPr="00D148C0" w:rsidRDefault="0014501B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Ž</w:t>
            </w:r>
          </w:p>
          <w:p w14:paraId="3C13248B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456DC82E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1FA564D4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2719E3DF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2747A719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02E22FB2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3A4C6953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20716EB2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3AB06F77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1DB1090A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2BB4922F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4958EED7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73CF78CE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795A7AB5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1F2265F8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05AEAA72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18CD989B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226426D6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77329FE1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6C2C6728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7E7E6370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51B9ADE8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5B517E9D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60732500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3C5F5448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30311B7C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66F828E7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59462359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72C6E9B7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54011042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47D99AB4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0210C65C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5896582A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1AC12B90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7FB0F7CB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431F27B3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09C16245" w14:textId="2DA50642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399FA" w14:textId="6E7DF856" w:rsidR="00D148C0" w:rsidRPr="00D148C0" w:rsidRDefault="00C57FA0" w:rsidP="00D148C0">
            <w:pPr>
              <w:spacing w:before="75" w:after="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Článok 1 bude prevzatý do najbližšej novely zákona č. 203/2011 Z. z.  o </w:t>
            </w:r>
            <w:r w:rsidRPr="00BE60CA">
              <w:rPr>
                <w:sz w:val="20"/>
                <w:szCs w:val="20"/>
              </w:rPr>
              <w:t xml:space="preserve">kolektívnom investovaní </w:t>
            </w:r>
            <w:r w:rsidR="00EC37C8" w:rsidRPr="00BE60CA">
              <w:rPr>
                <w:bCs/>
                <w:sz w:val="20"/>
                <w:szCs w:val="20"/>
              </w:rPr>
              <w:t>v znení neskorších predpisov.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896EC67" w14:textId="3B94049E" w:rsidR="00D148C0" w:rsidRPr="00D148C0" w:rsidRDefault="001D1BB5" w:rsidP="00D148C0">
            <w:pPr>
              <w:spacing w:before="75" w:after="75"/>
              <w:rPr>
                <w:sz w:val="20"/>
                <w:szCs w:val="20"/>
              </w:rPr>
            </w:pPr>
            <w:r w:rsidRPr="00D148C0">
              <w:rPr>
                <w:color w:val="000000"/>
                <w:sz w:val="20"/>
                <w:szCs w:val="20"/>
              </w:rPr>
              <w:t>GP - 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0F80A6E" w14:textId="77777777" w:rsidR="00D148C0" w:rsidRPr="00D148C0" w:rsidRDefault="00D148C0" w:rsidP="00D148C0">
            <w:pPr>
              <w:spacing w:before="75" w:after="75"/>
              <w:rPr>
                <w:sz w:val="20"/>
                <w:szCs w:val="20"/>
              </w:rPr>
            </w:pPr>
          </w:p>
        </w:tc>
      </w:tr>
      <w:tr w:rsidR="00D148C0" w:rsidRPr="00D148C0" w14:paraId="38B258D1" w14:textId="77777777" w:rsidTr="00FF4B29">
        <w:tc>
          <w:tcPr>
            <w:tcW w:w="68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23AAF227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  <w:r w:rsidRPr="00D148C0">
              <w:rPr>
                <w:sz w:val="20"/>
                <w:szCs w:val="20"/>
              </w:rPr>
              <w:t>Č:2</w:t>
            </w:r>
          </w:p>
          <w:p w14:paraId="70188F57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  <w:r w:rsidRPr="00D148C0">
              <w:rPr>
                <w:sz w:val="20"/>
                <w:szCs w:val="20"/>
              </w:rPr>
              <w:t>O:1</w:t>
            </w:r>
          </w:p>
          <w:p w14:paraId="79400040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27569D00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40D1C551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4A8B96BB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682269C2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0B4031EA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38C789D7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59FFE0E9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48642263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4487FE57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3035294C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027E0C59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38AC6D9A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49F57A6C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69666B08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1924FE08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3B323081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0F7B962A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745926D3" w14:textId="5DB3BC00" w:rsidR="00D148C0" w:rsidRPr="00D148C0" w:rsidRDefault="00D148C0" w:rsidP="00954AF3">
            <w:pPr>
              <w:rPr>
                <w:sz w:val="20"/>
                <w:szCs w:val="20"/>
              </w:rPr>
            </w:pPr>
          </w:p>
          <w:p w14:paraId="1B336EE1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  <w:r w:rsidRPr="00D148C0">
              <w:rPr>
                <w:sz w:val="20"/>
                <w:szCs w:val="20"/>
              </w:rPr>
              <w:t>Č:2</w:t>
            </w:r>
          </w:p>
          <w:p w14:paraId="1F317BE4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  <w:r w:rsidRPr="00D148C0">
              <w:rPr>
                <w:sz w:val="20"/>
                <w:szCs w:val="20"/>
              </w:rPr>
              <w:t>O:2</w:t>
            </w:r>
          </w:p>
          <w:p w14:paraId="486A9E9D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3D53BD22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508BA1DC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17CD4CF7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3A0E639E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55106D9A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7249988A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0C6DE00B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6E38CDDA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5A0559DB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  <w:r w:rsidRPr="00D148C0">
              <w:rPr>
                <w:sz w:val="20"/>
                <w:szCs w:val="20"/>
              </w:rPr>
              <w:t>Č:2</w:t>
            </w:r>
          </w:p>
          <w:p w14:paraId="1A5511A2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  <w:r w:rsidRPr="00D148C0">
              <w:rPr>
                <w:sz w:val="20"/>
                <w:szCs w:val="20"/>
              </w:rPr>
              <w:t>O:3</w:t>
            </w:r>
          </w:p>
          <w:p w14:paraId="4C923CFB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213A4DD1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54C7FC3A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17242AD8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618C57EA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601595BB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4037CBD3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37933E16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26C1A311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6D998B2E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  <w:r w:rsidRPr="00D148C0">
              <w:rPr>
                <w:sz w:val="20"/>
                <w:szCs w:val="20"/>
              </w:rPr>
              <w:t>Č:2</w:t>
            </w:r>
          </w:p>
          <w:p w14:paraId="367D52E8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  <w:r w:rsidRPr="00D148C0">
              <w:rPr>
                <w:sz w:val="20"/>
                <w:szCs w:val="20"/>
              </w:rPr>
              <w:t>O:4</w:t>
            </w:r>
          </w:p>
          <w:p w14:paraId="00E2570A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0631DC6C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41E1E125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1187197A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06E9070F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1889C328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78109238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2EC6737E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  <w:p w14:paraId="0E497A13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  <w:r w:rsidRPr="00D148C0">
              <w:rPr>
                <w:sz w:val="20"/>
                <w:szCs w:val="20"/>
              </w:rPr>
              <w:t>Č:2</w:t>
            </w:r>
          </w:p>
          <w:p w14:paraId="33DCE174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  <w:r w:rsidRPr="00D148C0">
              <w:rPr>
                <w:sz w:val="20"/>
                <w:szCs w:val="20"/>
              </w:rPr>
              <w:t>O:5</w:t>
            </w:r>
          </w:p>
          <w:p w14:paraId="3BC1DB9C" w14:textId="77777777" w:rsidR="00D148C0" w:rsidRPr="00D148C0" w:rsidRDefault="00D148C0" w:rsidP="00D14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54336" w14:textId="77777777" w:rsidR="00456B55" w:rsidRPr="00456B55" w:rsidRDefault="00456B55" w:rsidP="00456B55">
            <w:pPr>
              <w:pStyle w:val="oj-sti-art"/>
              <w:shd w:val="clear" w:color="auto" w:fill="FFFFFF"/>
              <w:spacing w:before="60" w:beforeAutospacing="0" w:after="12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6B55">
              <w:rPr>
                <w:b/>
                <w:bCs/>
                <w:color w:val="000000"/>
                <w:sz w:val="20"/>
                <w:szCs w:val="20"/>
              </w:rPr>
              <w:lastRenderedPageBreak/>
              <w:t>Zmeny smernice 2013/36/EÚ</w:t>
            </w:r>
          </w:p>
          <w:p w14:paraId="6AE0538B" w14:textId="77777777" w:rsidR="00456B55" w:rsidRPr="00456B55" w:rsidRDefault="00456B55" w:rsidP="00456B55">
            <w:pPr>
              <w:pStyle w:val="oj-normal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56B55">
              <w:rPr>
                <w:color w:val="000000"/>
                <w:sz w:val="20"/>
                <w:szCs w:val="20"/>
              </w:rPr>
              <w:t>Smernica 2013/36/EÚ sa mení takto:</w:t>
            </w:r>
          </w:p>
          <w:tbl>
            <w:tblPr>
              <w:tblW w:w="5000" w:type="pct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"/>
              <w:gridCol w:w="4346"/>
            </w:tblGrid>
            <w:tr w:rsidR="00456B55" w:rsidRPr="00456B55" w14:paraId="48A758D7" w14:textId="77777777" w:rsidTr="00456B55">
              <w:tc>
                <w:tcPr>
                  <w:tcW w:w="188" w:type="dxa"/>
                  <w:shd w:val="clear" w:color="auto" w:fill="FFFFFF"/>
                  <w:hideMark/>
                </w:tcPr>
                <w:p w14:paraId="3AF1EF09" w14:textId="77777777" w:rsidR="00456B55" w:rsidRPr="00456B55" w:rsidRDefault="00456B55" w:rsidP="00456B55">
                  <w:pPr>
                    <w:pStyle w:val="oj-normal"/>
                    <w:spacing w:before="12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456B55">
                    <w:rPr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4346" w:type="dxa"/>
                  <w:shd w:val="clear" w:color="auto" w:fill="FFFFFF"/>
                  <w:hideMark/>
                </w:tcPr>
                <w:p w14:paraId="6E6C09B4" w14:textId="77777777" w:rsidR="00456B55" w:rsidRPr="00456B55" w:rsidRDefault="00456B55" w:rsidP="00456B55">
                  <w:pPr>
                    <w:pStyle w:val="oj-normal"/>
                    <w:spacing w:before="12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456B55">
                    <w:rPr>
                      <w:color w:val="000000"/>
                      <w:sz w:val="20"/>
                      <w:szCs w:val="20"/>
                    </w:rPr>
                    <w:t>V článku 74 ods. 1 sa písmeno b) nahrádza takto:</w:t>
                  </w:r>
                </w:p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5"/>
                    <w:gridCol w:w="3921"/>
                  </w:tblGrid>
                  <w:tr w:rsidR="00456B55" w:rsidRPr="00456B55" w14:paraId="5A78039F" w14:textId="77777777" w:rsidTr="00456B55">
                    <w:tc>
                      <w:tcPr>
                        <w:tcW w:w="425" w:type="dxa"/>
                        <w:shd w:val="clear" w:color="auto" w:fill="auto"/>
                        <w:hideMark/>
                      </w:tcPr>
                      <w:p w14:paraId="41BD2BA3" w14:textId="77777777" w:rsidR="00456B55" w:rsidRPr="00456B55" w:rsidRDefault="00456B55" w:rsidP="00456B55">
                        <w:pPr>
                          <w:pStyle w:val="oj-normal"/>
                          <w:spacing w:before="120" w:beforeAutospacing="0" w:after="0" w:afterAutospacing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456B55">
                          <w:rPr>
                            <w:sz w:val="20"/>
                            <w:szCs w:val="20"/>
                          </w:rPr>
                          <w:t>„b)</w:t>
                        </w:r>
                      </w:p>
                    </w:tc>
                    <w:tc>
                      <w:tcPr>
                        <w:tcW w:w="3921" w:type="dxa"/>
                        <w:shd w:val="clear" w:color="auto" w:fill="auto"/>
                        <w:hideMark/>
                      </w:tcPr>
                      <w:p w14:paraId="113FDFC3" w14:textId="77777777" w:rsidR="00456B55" w:rsidRPr="00456B55" w:rsidRDefault="00456B55" w:rsidP="00456B55">
                        <w:pPr>
                          <w:pStyle w:val="oj-normal"/>
                          <w:spacing w:before="120" w:beforeAutospacing="0" w:after="0" w:afterAutospacing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456B55">
                          <w:rPr>
                            <w:sz w:val="20"/>
                            <w:szCs w:val="20"/>
                          </w:rPr>
                          <w:t xml:space="preserve">účinné postupy na identifikáciu, riadenie, monitorovanie a vykazovanie rizík, ktorým sú alebo ktorým by mohli byť vystavené, vrátane rizík ESG v krátkodobom, strednodobom a dlhodobom horizonte, ako aj rizika koncentrácie vyplývajúceho z expozícií voči centrálnym protistranám, pričom sa zohľadňujú </w:t>
                        </w:r>
                        <w:r w:rsidRPr="00456B55">
                          <w:rPr>
                            <w:sz w:val="20"/>
                            <w:szCs w:val="20"/>
                          </w:rPr>
                          <w:lastRenderedPageBreak/>
                          <w:t>podmienky stanovené v článku 7a nariadenia Európskeho parlamentu a Rady (EÚ) č. 648/2012</w:t>
                        </w:r>
                        <w:hyperlink r:id="rId12" w:anchor="ntr*2-L_202402994SK.000101-E0009" w:history="1">
                          <w:r w:rsidRPr="00456B55">
                            <w:rPr>
                              <w:rStyle w:val="Hypertextovprepojenie"/>
                              <w:color w:val="337AB7"/>
                              <w:sz w:val="20"/>
                              <w:szCs w:val="20"/>
                            </w:rPr>
                            <w:t> (</w:t>
                          </w:r>
                          <w:r w:rsidRPr="00456B55">
                            <w:rPr>
                              <w:rStyle w:val="oj-super"/>
                              <w:color w:val="337AB7"/>
                              <w:sz w:val="20"/>
                              <w:szCs w:val="20"/>
                              <w:vertAlign w:val="superscript"/>
                            </w:rPr>
                            <w:t>*2</w:t>
                          </w:r>
                          <w:r w:rsidRPr="00456B55">
                            <w:rPr>
                              <w:rStyle w:val="Hypertextovprepojenie"/>
                              <w:color w:val="337AB7"/>
                              <w:sz w:val="20"/>
                              <w:szCs w:val="20"/>
                            </w:rPr>
                            <w:t>)</w:t>
                          </w:r>
                        </w:hyperlink>
                        <w:r w:rsidRPr="00456B55">
                          <w:rPr>
                            <w:sz w:val="20"/>
                            <w:szCs w:val="20"/>
                          </w:rPr>
                          <w:t>;</w:t>
                        </w:r>
                      </w:p>
                    </w:tc>
                  </w:tr>
                </w:tbl>
                <w:p w14:paraId="492FC50D" w14:textId="77777777" w:rsidR="00456B55" w:rsidRPr="00456B55" w:rsidRDefault="00000000" w:rsidP="00456B55">
                  <w:pPr>
                    <w:pStyle w:val="oj-note"/>
                    <w:spacing w:before="60" w:beforeAutospacing="0" w:after="6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hyperlink r:id="rId13" w:anchor="ntc*2-L_202402994SK.000101-E0009" w:history="1">
                    <w:r w:rsidR="00456B55" w:rsidRPr="00456B55">
                      <w:rPr>
                        <w:rStyle w:val="Hypertextovprepojenie"/>
                        <w:color w:val="337AB7"/>
                        <w:sz w:val="20"/>
                        <w:szCs w:val="20"/>
                      </w:rPr>
                      <w:t>(</w:t>
                    </w:r>
                    <w:r w:rsidR="00456B55" w:rsidRPr="00456B55">
                      <w:rPr>
                        <w:rStyle w:val="oj-super"/>
                        <w:color w:val="337AB7"/>
                        <w:sz w:val="20"/>
                        <w:szCs w:val="20"/>
                        <w:vertAlign w:val="superscript"/>
                      </w:rPr>
                      <w:t>*2</w:t>
                    </w:r>
                    <w:r w:rsidR="00456B55" w:rsidRPr="00456B55">
                      <w:rPr>
                        <w:rStyle w:val="Hypertextovprepojenie"/>
                        <w:color w:val="337AB7"/>
                        <w:sz w:val="20"/>
                        <w:szCs w:val="20"/>
                      </w:rPr>
                      <w:t>)</w:t>
                    </w:r>
                  </w:hyperlink>
                  <w:r w:rsidR="00456B55" w:rsidRPr="00456B55">
                    <w:rPr>
                      <w:color w:val="000000"/>
                      <w:sz w:val="20"/>
                      <w:szCs w:val="20"/>
                    </w:rPr>
                    <w:t>  Nariadenie Európskeho parlamentu a Rady (EÚ) č. 648/2012 zo 4. júla 2012 o mimoburzových derivátoch, centrálnych protistranách a archívoch obchodných údajov (</w:t>
                  </w:r>
                  <w:hyperlink r:id="rId14" w:history="1">
                    <w:r w:rsidR="00456B55" w:rsidRPr="00456B55">
                      <w:rPr>
                        <w:rStyle w:val="Hypertextovprepojenie"/>
                        <w:color w:val="337AB7"/>
                        <w:sz w:val="20"/>
                        <w:szCs w:val="20"/>
                      </w:rPr>
                      <w:t>Ú. v. EÚ L 201, 27.7.2012, s. 1</w:t>
                    </w:r>
                  </w:hyperlink>
                  <w:r w:rsidR="00456B55" w:rsidRPr="00456B55">
                    <w:rPr>
                      <w:color w:val="000000"/>
                      <w:sz w:val="20"/>
                      <w:szCs w:val="20"/>
                    </w:rPr>
                    <w:t>).“ "</w:t>
                  </w:r>
                </w:p>
              </w:tc>
            </w:tr>
          </w:tbl>
          <w:p w14:paraId="57081721" w14:textId="77777777" w:rsidR="00456B55" w:rsidRPr="00456B55" w:rsidRDefault="00456B55" w:rsidP="00456B55">
            <w:pPr>
              <w:rPr>
                <w:vanish/>
                <w:sz w:val="20"/>
                <w:szCs w:val="20"/>
              </w:rPr>
            </w:pPr>
          </w:p>
          <w:tbl>
            <w:tblPr>
              <w:tblW w:w="5000" w:type="pct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9"/>
              <w:gridCol w:w="4205"/>
            </w:tblGrid>
            <w:tr w:rsidR="00456B55" w:rsidRPr="00456B55" w14:paraId="5FBBBC15" w14:textId="77777777" w:rsidTr="00456B55">
              <w:tc>
                <w:tcPr>
                  <w:tcW w:w="329" w:type="dxa"/>
                  <w:shd w:val="clear" w:color="auto" w:fill="FFFFFF"/>
                  <w:hideMark/>
                </w:tcPr>
                <w:p w14:paraId="6C6C43D2" w14:textId="77777777" w:rsidR="00456B55" w:rsidRPr="00456B55" w:rsidRDefault="00456B55" w:rsidP="00456B55">
                  <w:pPr>
                    <w:pStyle w:val="oj-normal"/>
                    <w:spacing w:before="12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456B55">
                    <w:rPr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205" w:type="dxa"/>
                  <w:shd w:val="clear" w:color="auto" w:fill="FFFFFF"/>
                  <w:hideMark/>
                </w:tcPr>
                <w:p w14:paraId="1072D2A4" w14:textId="77777777" w:rsidR="00456B55" w:rsidRPr="00456B55" w:rsidRDefault="00456B55" w:rsidP="00456B55">
                  <w:pPr>
                    <w:pStyle w:val="oj-normal"/>
                    <w:spacing w:before="12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456B55">
                    <w:rPr>
                      <w:color w:val="000000"/>
                      <w:sz w:val="20"/>
                      <w:szCs w:val="20"/>
                    </w:rPr>
                    <w:t xml:space="preserve">V článku 76 ods. 2 sa dopĺňa tento </w:t>
                  </w:r>
                  <w:proofErr w:type="spellStart"/>
                  <w:r w:rsidRPr="00456B55">
                    <w:rPr>
                      <w:color w:val="000000"/>
                      <w:sz w:val="20"/>
                      <w:szCs w:val="20"/>
                    </w:rPr>
                    <w:t>pododsek</w:t>
                  </w:r>
                  <w:proofErr w:type="spellEnd"/>
                  <w:r w:rsidRPr="00456B55">
                    <w:rPr>
                      <w:color w:val="000000"/>
                      <w:sz w:val="20"/>
                      <w:szCs w:val="20"/>
                    </w:rPr>
                    <w:t>:</w:t>
                  </w:r>
                </w:p>
                <w:p w14:paraId="2007A117" w14:textId="77777777" w:rsidR="00456B55" w:rsidRPr="00456B55" w:rsidRDefault="00456B55" w:rsidP="00456B55">
                  <w:pPr>
                    <w:pStyle w:val="oj-normal"/>
                    <w:spacing w:before="12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456B55">
                    <w:rPr>
                      <w:color w:val="000000"/>
                      <w:sz w:val="20"/>
                      <w:szCs w:val="20"/>
                    </w:rPr>
                    <w:t>„Členské štáty zabezpečia, aby riadiaci orgán vypracoval osobitné plány a kvantifikovateľné ciele v súlade s požiadavkami stanovenými v článku 7a nariadenia (EÚ) č. 648/2012 na monitorovanie a riešenie rizika koncentrácie vyplývajúceho z expozícií voči centrálnym protistranám ponúkajúcim služby podstatného systémového významu pre Úniu alebo jeden či viaceré jej členské štáty.“</w:t>
                  </w:r>
                </w:p>
              </w:tc>
            </w:tr>
          </w:tbl>
          <w:p w14:paraId="402B4B78" w14:textId="77777777" w:rsidR="00456B55" w:rsidRPr="00456B55" w:rsidRDefault="00456B55" w:rsidP="00456B55">
            <w:pPr>
              <w:rPr>
                <w:vanish/>
                <w:sz w:val="20"/>
                <w:szCs w:val="20"/>
              </w:rPr>
            </w:pPr>
          </w:p>
          <w:tbl>
            <w:tblPr>
              <w:tblW w:w="5000" w:type="pct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"/>
              <w:gridCol w:w="4346"/>
            </w:tblGrid>
            <w:tr w:rsidR="00456B55" w:rsidRPr="00456B55" w14:paraId="5A0A33AA" w14:textId="77777777" w:rsidTr="00456B55">
              <w:tc>
                <w:tcPr>
                  <w:tcW w:w="188" w:type="dxa"/>
                  <w:shd w:val="clear" w:color="auto" w:fill="FFFFFF"/>
                  <w:hideMark/>
                </w:tcPr>
                <w:p w14:paraId="57FB0C44" w14:textId="77777777" w:rsidR="00456B55" w:rsidRPr="00456B55" w:rsidRDefault="00456B55" w:rsidP="00456B55">
                  <w:pPr>
                    <w:pStyle w:val="oj-normal"/>
                    <w:spacing w:before="12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456B55">
                    <w:rPr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346" w:type="dxa"/>
                  <w:shd w:val="clear" w:color="auto" w:fill="FFFFFF"/>
                  <w:hideMark/>
                </w:tcPr>
                <w:p w14:paraId="55126617" w14:textId="77777777" w:rsidR="00456B55" w:rsidRPr="00456B55" w:rsidRDefault="00456B55" w:rsidP="00456B55">
                  <w:pPr>
                    <w:pStyle w:val="oj-normal"/>
                    <w:spacing w:before="12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456B55">
                    <w:rPr>
                      <w:color w:val="000000"/>
                      <w:sz w:val="20"/>
                      <w:szCs w:val="20"/>
                    </w:rPr>
                    <w:t>V článku 81 sa dopĺňa tento odsek:</w:t>
                  </w:r>
                </w:p>
                <w:p w14:paraId="3DE374F2" w14:textId="77777777" w:rsidR="00456B55" w:rsidRPr="00456B55" w:rsidRDefault="00456B55" w:rsidP="00456B55">
                  <w:pPr>
                    <w:pStyle w:val="oj-normal"/>
                    <w:spacing w:before="12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456B55">
                    <w:rPr>
                      <w:color w:val="000000"/>
                      <w:sz w:val="20"/>
                      <w:szCs w:val="20"/>
                    </w:rPr>
                    <w:t xml:space="preserve">„Príslušné orgány posudzujú a monitorujú vývoj postupov inštitúcií týkajúcich sa riadenia ich rizika koncentrácie vyplývajúceho z expozícií voči centrálnym protistranám vrátane plánov vypracovaných v súlade s článkom 76 ods. 2 piatym </w:t>
                  </w:r>
                  <w:proofErr w:type="spellStart"/>
                  <w:r w:rsidRPr="00456B55">
                    <w:rPr>
                      <w:color w:val="000000"/>
                      <w:sz w:val="20"/>
                      <w:szCs w:val="20"/>
                    </w:rPr>
                    <w:t>pododsekom</w:t>
                  </w:r>
                  <w:proofErr w:type="spellEnd"/>
                  <w:r w:rsidRPr="00456B55">
                    <w:rPr>
                      <w:color w:val="000000"/>
                      <w:sz w:val="20"/>
                      <w:szCs w:val="20"/>
                    </w:rPr>
                    <w:t xml:space="preserve"> tejto smernice, ako aj pokrok dosiahnutý pri prispôsobovaní ich obchodných modelov požiadavkám stanoveným v článku 7a nariadenia (EÚ) č. 648/2012.“</w:t>
                  </w:r>
                </w:p>
              </w:tc>
            </w:tr>
          </w:tbl>
          <w:p w14:paraId="546CF319" w14:textId="77777777" w:rsidR="00456B55" w:rsidRPr="00456B55" w:rsidRDefault="00456B55" w:rsidP="00456B55">
            <w:pPr>
              <w:rPr>
                <w:vanish/>
                <w:sz w:val="20"/>
                <w:szCs w:val="20"/>
              </w:rPr>
            </w:pPr>
          </w:p>
          <w:tbl>
            <w:tblPr>
              <w:tblW w:w="5000" w:type="pct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"/>
              <w:gridCol w:w="4346"/>
            </w:tblGrid>
            <w:tr w:rsidR="00456B55" w:rsidRPr="00456B55" w14:paraId="5E4B06ED" w14:textId="77777777" w:rsidTr="00456B55">
              <w:tc>
                <w:tcPr>
                  <w:tcW w:w="188" w:type="dxa"/>
                  <w:shd w:val="clear" w:color="auto" w:fill="FFFFFF"/>
                  <w:hideMark/>
                </w:tcPr>
                <w:p w14:paraId="72B6E6F6" w14:textId="77777777" w:rsidR="00456B55" w:rsidRPr="00456B55" w:rsidRDefault="00456B55" w:rsidP="00456B55">
                  <w:pPr>
                    <w:pStyle w:val="oj-normal"/>
                    <w:spacing w:before="12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456B55">
                    <w:rPr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4346" w:type="dxa"/>
                  <w:shd w:val="clear" w:color="auto" w:fill="FFFFFF"/>
                  <w:hideMark/>
                </w:tcPr>
                <w:p w14:paraId="6DC7663F" w14:textId="77777777" w:rsidR="00456B55" w:rsidRPr="00456B55" w:rsidRDefault="00456B55" w:rsidP="00456B55">
                  <w:pPr>
                    <w:pStyle w:val="oj-normal"/>
                    <w:spacing w:before="12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456B55">
                    <w:rPr>
                      <w:color w:val="000000"/>
                      <w:sz w:val="20"/>
                      <w:szCs w:val="20"/>
                    </w:rPr>
                    <w:t>V článku 100 sa dopĺňa tento odsek:</w:t>
                  </w:r>
                </w:p>
                <w:p w14:paraId="15AA7AE5" w14:textId="77777777" w:rsidR="00456B55" w:rsidRPr="00456B55" w:rsidRDefault="00456B55" w:rsidP="00456B55">
                  <w:pPr>
                    <w:pStyle w:val="oj-normal"/>
                    <w:spacing w:before="12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456B55">
                    <w:rPr>
                      <w:color w:val="000000"/>
                      <w:sz w:val="20"/>
                      <w:szCs w:val="20"/>
                    </w:rPr>
                    <w:t>„5.   EBA v spolupráci s ESMA vypracuje usmernenia v súlade s článkom 16 nariadenia (EÚ) č. 1093/2010 s cieľom stanoviť konzistentnú metodiku na začlenenie rizika koncentrácie vyplývajúceho z expozícií voči centrálnym protistranám do stresového testovania orgánmi dohľadu.</w:t>
                  </w:r>
                </w:p>
                <w:p w14:paraId="48396E58" w14:textId="77777777" w:rsidR="00456B55" w:rsidRPr="00456B55" w:rsidRDefault="00456B55" w:rsidP="00456B55">
                  <w:pPr>
                    <w:pStyle w:val="oj-normal"/>
                    <w:spacing w:before="12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456B55">
                    <w:rPr>
                      <w:color w:val="000000"/>
                      <w:sz w:val="20"/>
                      <w:szCs w:val="20"/>
                    </w:rPr>
                    <w:t xml:space="preserve">EBA vydá usmernenia uvedené v prvom </w:t>
                  </w:r>
                  <w:proofErr w:type="spellStart"/>
                  <w:r w:rsidRPr="00456B55">
                    <w:rPr>
                      <w:color w:val="000000"/>
                      <w:sz w:val="20"/>
                      <w:szCs w:val="20"/>
                    </w:rPr>
                    <w:t>pododseku</w:t>
                  </w:r>
                  <w:proofErr w:type="spellEnd"/>
                  <w:r w:rsidRPr="00456B55">
                    <w:rPr>
                      <w:color w:val="000000"/>
                      <w:sz w:val="20"/>
                      <w:szCs w:val="20"/>
                    </w:rPr>
                    <w:t xml:space="preserve"> tohto odseku do 25. júna 2026.“</w:t>
                  </w:r>
                </w:p>
              </w:tc>
            </w:tr>
          </w:tbl>
          <w:p w14:paraId="7F558D95" w14:textId="77777777" w:rsidR="00456B55" w:rsidRPr="00456B55" w:rsidRDefault="00456B55" w:rsidP="00456B55">
            <w:pPr>
              <w:rPr>
                <w:vanish/>
                <w:sz w:val="20"/>
                <w:szCs w:val="20"/>
              </w:rPr>
            </w:pPr>
          </w:p>
          <w:tbl>
            <w:tblPr>
              <w:tblW w:w="5000" w:type="pct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"/>
              <w:gridCol w:w="4346"/>
            </w:tblGrid>
            <w:tr w:rsidR="00456B55" w:rsidRPr="00456B55" w14:paraId="0D7C9468" w14:textId="77777777" w:rsidTr="00456B55">
              <w:tc>
                <w:tcPr>
                  <w:tcW w:w="188" w:type="dxa"/>
                  <w:shd w:val="clear" w:color="auto" w:fill="FFFFFF"/>
                  <w:hideMark/>
                </w:tcPr>
                <w:p w14:paraId="10258504" w14:textId="77777777" w:rsidR="00456B55" w:rsidRPr="00456B55" w:rsidRDefault="00456B55" w:rsidP="00456B55">
                  <w:pPr>
                    <w:pStyle w:val="oj-normal"/>
                    <w:spacing w:before="12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456B55">
                    <w:rPr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4346" w:type="dxa"/>
                  <w:shd w:val="clear" w:color="auto" w:fill="FFFFFF"/>
                  <w:hideMark/>
                </w:tcPr>
                <w:p w14:paraId="0A6CB5E9" w14:textId="77777777" w:rsidR="00456B55" w:rsidRPr="00456B55" w:rsidRDefault="00456B55" w:rsidP="00456B55">
                  <w:pPr>
                    <w:pStyle w:val="oj-normal"/>
                    <w:spacing w:before="12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456B55">
                    <w:rPr>
                      <w:color w:val="000000"/>
                      <w:sz w:val="20"/>
                      <w:szCs w:val="20"/>
                    </w:rPr>
                    <w:t>V článku 104 ods. 1 sa dopĺňa toto písmeno:</w:t>
                  </w:r>
                </w:p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3"/>
                    <w:gridCol w:w="4063"/>
                  </w:tblGrid>
                  <w:tr w:rsidR="00456B55" w:rsidRPr="00456B55" w14:paraId="583C8222" w14:textId="77777777" w:rsidTr="00456B55">
                    <w:tc>
                      <w:tcPr>
                        <w:tcW w:w="283" w:type="dxa"/>
                        <w:shd w:val="clear" w:color="auto" w:fill="auto"/>
                        <w:hideMark/>
                      </w:tcPr>
                      <w:p w14:paraId="078B5BC1" w14:textId="77777777" w:rsidR="00456B55" w:rsidRPr="00456B55" w:rsidRDefault="00456B55" w:rsidP="00456B55">
                        <w:pPr>
                          <w:pStyle w:val="oj-normal"/>
                          <w:spacing w:before="120" w:beforeAutospacing="0" w:after="0" w:afterAutospacing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456B55">
                          <w:rPr>
                            <w:sz w:val="20"/>
                            <w:szCs w:val="20"/>
                          </w:rPr>
                          <w:lastRenderedPageBreak/>
                          <w:t>„o)</w:t>
                        </w:r>
                      </w:p>
                    </w:tc>
                    <w:tc>
                      <w:tcPr>
                        <w:tcW w:w="4063" w:type="dxa"/>
                        <w:shd w:val="clear" w:color="auto" w:fill="auto"/>
                        <w:hideMark/>
                      </w:tcPr>
                      <w:p w14:paraId="084B9FC2" w14:textId="77777777" w:rsidR="00456B55" w:rsidRPr="00456B55" w:rsidRDefault="00456B55" w:rsidP="00456B55">
                        <w:pPr>
                          <w:pStyle w:val="oj-normal"/>
                          <w:spacing w:before="120" w:beforeAutospacing="0" w:after="0" w:afterAutospacing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456B55">
                          <w:rPr>
                            <w:sz w:val="20"/>
                            <w:szCs w:val="20"/>
                          </w:rPr>
                          <w:t>požadovať od inštitúcií, ak sa príslušný orgán domnieva, že existuje riziko nadmernej koncentrácie vyplývajúce z expozícií voči centrálnej protistrane, aby znížili expozície voči tejto centrálnej protistrane alebo aby opätovne preskupili expozície na všetkých svojich zúčtovacích účtoch v súlade s článkom 7a nariadenia (EÚ) č. 648/2012.“</w:t>
                        </w:r>
                      </w:p>
                    </w:tc>
                  </w:tr>
                  <w:tr w:rsidR="00456B55" w:rsidRPr="00456B55" w14:paraId="71A1991C" w14:textId="77777777" w:rsidTr="00456B55">
                    <w:tc>
                      <w:tcPr>
                        <w:tcW w:w="283" w:type="dxa"/>
                        <w:shd w:val="clear" w:color="auto" w:fill="auto"/>
                      </w:tcPr>
                      <w:p w14:paraId="2A812C18" w14:textId="77777777" w:rsidR="00456B55" w:rsidRPr="00456B55" w:rsidRDefault="00456B55" w:rsidP="00456B55">
                        <w:pPr>
                          <w:pStyle w:val="oj-normal"/>
                          <w:spacing w:before="120" w:beforeAutospacing="0" w:after="0" w:afterAutospacing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063" w:type="dxa"/>
                        <w:shd w:val="clear" w:color="auto" w:fill="auto"/>
                      </w:tcPr>
                      <w:p w14:paraId="38856C89" w14:textId="77777777" w:rsidR="00456B55" w:rsidRPr="00456B55" w:rsidRDefault="00456B55" w:rsidP="00456B55">
                        <w:pPr>
                          <w:pStyle w:val="oj-normal"/>
                          <w:spacing w:before="120" w:beforeAutospacing="0" w:after="0" w:afterAutospacing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4593615" w14:textId="77777777" w:rsidR="00456B55" w:rsidRPr="00456B55" w:rsidRDefault="00456B55" w:rsidP="00456B55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A1E4017" w14:textId="59BDBAD4" w:rsidR="00D148C0" w:rsidRPr="00456B55" w:rsidRDefault="00D148C0" w:rsidP="00D148C0">
            <w:pPr>
              <w:shd w:val="clear" w:color="auto" w:fill="FFFFFF"/>
              <w:autoSpaceDE/>
              <w:autoSpaceDN/>
              <w:spacing w:before="100" w:beforeAutospacing="1" w:after="100" w:afterAutospacing="1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58DA0E1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25618825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29B0B3F5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7AF48089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10F4135D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148C0">
              <w:rPr>
                <w:color w:val="000000"/>
                <w:sz w:val="20"/>
                <w:szCs w:val="20"/>
              </w:rPr>
              <w:t>N</w:t>
            </w:r>
          </w:p>
          <w:p w14:paraId="7E97998B" w14:textId="05DE5286" w:rsid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3D108AE3" w14:textId="642B5C1A" w:rsidR="002766F2" w:rsidRDefault="002766F2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6E793A44" w14:textId="42D76B9C" w:rsidR="002766F2" w:rsidRDefault="002766F2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5D480B46" w14:textId="11CBA74A" w:rsidR="002766F2" w:rsidRDefault="002766F2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4CDD8BD6" w14:textId="3D0AB768" w:rsidR="002766F2" w:rsidRDefault="002766F2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5F2AF675" w14:textId="19F46254" w:rsidR="002766F2" w:rsidRDefault="002766F2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4F6CFD04" w14:textId="73DD4632" w:rsidR="002766F2" w:rsidRDefault="002766F2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0ADADAD6" w14:textId="0B3D0EBA" w:rsidR="002766F2" w:rsidRDefault="002766F2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406AA659" w14:textId="673BCDC8" w:rsidR="002766F2" w:rsidRDefault="002766F2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7C525575" w14:textId="7094B912" w:rsidR="002766F2" w:rsidRDefault="002766F2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148CCB1F" w14:textId="6C9E7DDB" w:rsidR="002766F2" w:rsidRDefault="002766F2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174F19F2" w14:textId="35362412" w:rsidR="002766F2" w:rsidRDefault="002766F2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79128747" w14:textId="0FFCCE35" w:rsidR="002766F2" w:rsidRDefault="002766F2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707F85D1" w14:textId="7154D93C" w:rsidR="002766F2" w:rsidRDefault="002766F2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5F1EC656" w14:textId="2B1CF4D8" w:rsidR="002766F2" w:rsidRDefault="002766F2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10E9BB91" w14:textId="723D5DBF" w:rsidR="002766F2" w:rsidRDefault="002766F2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37424FF0" w14:textId="741E8A4B" w:rsidR="002766F2" w:rsidRDefault="002766F2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52AC551C" w14:textId="43946FD0" w:rsidR="002766F2" w:rsidRDefault="002766F2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30926225" w14:textId="6CC6A812" w:rsidR="002766F2" w:rsidRDefault="002766F2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1C2AB859" w14:textId="6F1737CB" w:rsidR="002766F2" w:rsidRDefault="002766F2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68C46A8B" w14:textId="2288DE22" w:rsidR="002766F2" w:rsidRDefault="002766F2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77BE9318" w14:textId="4B599020" w:rsidR="002766F2" w:rsidRDefault="002766F2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45FB086C" w14:textId="4CE7C677" w:rsidR="002766F2" w:rsidRDefault="002766F2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72B598B9" w14:textId="2D68FE92" w:rsidR="002766F2" w:rsidRDefault="002766F2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2FFAF6D7" w14:textId="2E026E3D" w:rsidR="002766F2" w:rsidRDefault="002766F2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2E4BE491" w14:textId="3C2D118A" w:rsidR="002766F2" w:rsidRDefault="002766F2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2806BD84" w14:textId="671FD28C" w:rsidR="002766F2" w:rsidRDefault="002766F2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4ADD3194" w14:textId="700CEFAB" w:rsidR="002766F2" w:rsidRDefault="002766F2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3B5375A6" w14:textId="06DE7514" w:rsidR="002766F2" w:rsidRDefault="002766F2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1F3E2475" w14:textId="012E1D41" w:rsidR="002766F2" w:rsidRDefault="002766F2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6124FBD0" w14:textId="2B834892" w:rsidR="002766F2" w:rsidRDefault="002766F2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6683C6EE" w14:textId="0AD6ED14" w:rsidR="002766F2" w:rsidRDefault="002766F2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7251DD6C" w14:textId="6E4BB83F" w:rsidR="002766F2" w:rsidRDefault="002766F2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69E83707" w14:textId="78C22727" w:rsidR="002766F2" w:rsidRDefault="002766F2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4B64EBB1" w14:textId="40C72DB0" w:rsidR="002766F2" w:rsidRDefault="002766F2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343095C6" w14:textId="4E104F03" w:rsidR="002766F2" w:rsidRDefault="002766F2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62B3F596" w14:textId="6905BD3A" w:rsidR="002766F2" w:rsidRDefault="002766F2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1C39394F" w14:textId="4C37BB20" w:rsidR="002766F2" w:rsidRDefault="002766F2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11128987" w14:textId="685E356F" w:rsidR="002766F2" w:rsidRDefault="002766F2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0134CCD4" w14:textId="2AD23755" w:rsidR="002766F2" w:rsidRDefault="002766F2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5DA181FB" w14:textId="083CAAA9" w:rsidR="002766F2" w:rsidRDefault="002766F2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E60CA">
              <w:rPr>
                <w:color w:val="000000"/>
                <w:sz w:val="20"/>
                <w:szCs w:val="20"/>
              </w:rPr>
              <w:t>n.a</w:t>
            </w:r>
            <w:proofErr w:type="spellEnd"/>
            <w:r w:rsidRPr="00BE60CA">
              <w:rPr>
                <w:color w:val="000000"/>
                <w:sz w:val="20"/>
                <w:szCs w:val="20"/>
              </w:rPr>
              <w:t>.</w:t>
            </w:r>
          </w:p>
          <w:p w14:paraId="707C66DD" w14:textId="659EFCA1" w:rsidR="002766F2" w:rsidRDefault="002766F2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1F4E9996" w14:textId="25223491" w:rsidR="002766F2" w:rsidRDefault="002766F2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2C47766B" w14:textId="6401DD9B" w:rsidR="002766F2" w:rsidRDefault="002766F2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369F6A90" w14:textId="39D4A08B" w:rsidR="002766F2" w:rsidRDefault="002766F2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2D1FB6E2" w14:textId="21EE67D4" w:rsidR="002766F2" w:rsidRDefault="002766F2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5211FB65" w14:textId="531E57DF" w:rsidR="002766F2" w:rsidRDefault="002766F2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4E1DF4FB" w14:textId="5617DDEF" w:rsidR="002766F2" w:rsidRDefault="002766F2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6CA9FCE1" w14:textId="77777777" w:rsidR="002766F2" w:rsidRPr="00D148C0" w:rsidRDefault="002766F2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18EA63A2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72FCF452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6D35F003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4945979A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0DD5DA2C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601F7AB0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32B28E53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070ADE92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47094767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4A051561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401217B5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1124630F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3BF8E3EE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564D051D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63CA19B3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5B48E502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168656AB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3AB7A8E6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32D76409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0C257701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14530AA7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50CC5F5D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4B73638D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24BF003A" w14:textId="77777777" w:rsidR="00D148C0" w:rsidRP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3E725D47" w14:textId="77777777" w:rsidR="00D148C0" w:rsidRPr="00D148C0" w:rsidRDefault="00D148C0" w:rsidP="00C57FA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168E110" w14:textId="78E9BDAE" w:rsidR="00D148C0" w:rsidRPr="00D148C0" w:rsidRDefault="00D148C0" w:rsidP="00D148C0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D4F5" w14:textId="77777777" w:rsidR="00D148C0" w:rsidRPr="00D148C0" w:rsidRDefault="00D148C0" w:rsidP="00D148C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A75A" w14:textId="77777777" w:rsidR="00D148C0" w:rsidRPr="00D148C0" w:rsidRDefault="00D148C0" w:rsidP="00D148C0">
            <w:pPr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93A95" w14:textId="77777777" w:rsidR="00D148C0" w:rsidRDefault="00D148C0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7E29968F" w14:textId="19526127" w:rsidR="001D1BB5" w:rsidRDefault="0090796E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Ž</w:t>
            </w:r>
          </w:p>
          <w:p w14:paraId="0DF90EA9" w14:textId="77777777" w:rsidR="001D1BB5" w:rsidRDefault="001D1BB5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0A120FA6" w14:textId="77777777" w:rsidR="001D1BB5" w:rsidRDefault="001D1BB5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2B949375" w14:textId="77777777" w:rsidR="001D1BB5" w:rsidRDefault="001D1BB5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50C08141" w14:textId="77777777" w:rsidR="001D1BB5" w:rsidRDefault="001D1BB5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056F801C" w14:textId="77777777" w:rsidR="001D1BB5" w:rsidRDefault="001D1BB5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5881CB53" w14:textId="77777777" w:rsidR="001D1BB5" w:rsidRDefault="001D1BB5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616245D4" w14:textId="77777777" w:rsidR="001D1BB5" w:rsidRDefault="001D1BB5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7A8DFE8E" w14:textId="77777777" w:rsidR="001D1BB5" w:rsidRDefault="001D1BB5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4AC71F86" w14:textId="77777777" w:rsidR="001D1BB5" w:rsidRDefault="001D1BB5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1758144D" w14:textId="77777777" w:rsidR="001D1BB5" w:rsidRDefault="001D1BB5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359F8458" w14:textId="77777777" w:rsidR="001D1BB5" w:rsidRDefault="001D1BB5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24DEC1F5" w14:textId="77777777" w:rsidR="001D1BB5" w:rsidRDefault="001D1BB5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4C03A736" w14:textId="77777777" w:rsidR="001D1BB5" w:rsidRDefault="001D1BB5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0E3F17D3" w14:textId="77777777" w:rsidR="001D1BB5" w:rsidRDefault="001D1BB5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6955C7B0" w14:textId="77777777" w:rsidR="001D1BB5" w:rsidRDefault="001D1BB5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2310B0EB" w14:textId="77777777" w:rsidR="001D1BB5" w:rsidRDefault="001D1BB5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58BDE84C" w14:textId="77777777" w:rsidR="001D1BB5" w:rsidRDefault="001D1BB5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61892DAC" w14:textId="77777777" w:rsidR="001D1BB5" w:rsidRDefault="001D1BB5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78BBDF6E" w14:textId="77777777" w:rsidR="001D1BB5" w:rsidRDefault="001D1BB5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6CA21A5B" w14:textId="77777777" w:rsidR="001D1BB5" w:rsidRDefault="001D1BB5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6BAB28FB" w14:textId="77777777" w:rsidR="001D1BB5" w:rsidRDefault="001D1BB5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137280E8" w14:textId="77777777" w:rsidR="001D1BB5" w:rsidRDefault="001D1BB5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42325DDF" w14:textId="77777777" w:rsidR="001D1BB5" w:rsidRDefault="001D1BB5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2A0DCB50" w14:textId="77777777" w:rsidR="001D1BB5" w:rsidRDefault="001D1BB5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6D796AAD" w14:textId="77777777" w:rsidR="001D1BB5" w:rsidRDefault="001D1BB5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23D4E436" w14:textId="77777777" w:rsidR="001D1BB5" w:rsidRDefault="001D1BB5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4642F989" w14:textId="77777777" w:rsidR="001D1BB5" w:rsidRDefault="001D1BB5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2ECBC533" w14:textId="77777777" w:rsidR="001D1BB5" w:rsidRDefault="001D1BB5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79358DD7" w14:textId="77777777" w:rsidR="001D1BB5" w:rsidRDefault="001D1BB5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22636540" w14:textId="77777777" w:rsidR="001D1BB5" w:rsidRDefault="001D1BB5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4C67F0DE" w14:textId="77777777" w:rsidR="001D1BB5" w:rsidRDefault="001D1BB5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5BC405DD" w14:textId="77777777" w:rsidR="001D1BB5" w:rsidRDefault="001D1BB5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5EA085C6" w14:textId="77777777" w:rsidR="001D1BB5" w:rsidRDefault="001D1BB5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0ACB02BD" w14:textId="77777777" w:rsidR="001D1BB5" w:rsidRDefault="001D1BB5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6ECA4230" w14:textId="77777777" w:rsidR="001D1BB5" w:rsidRDefault="001D1BB5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009A8BC1" w14:textId="77777777" w:rsidR="001D1BB5" w:rsidRDefault="001D1BB5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0A2392FE" w14:textId="77777777" w:rsidR="001D1BB5" w:rsidRDefault="001D1BB5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6B5ED5E5" w14:textId="77777777" w:rsidR="001D1BB5" w:rsidRDefault="001D1BB5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4C8DF821" w14:textId="77777777" w:rsidR="001D1BB5" w:rsidRDefault="001D1BB5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26D2B1F3" w14:textId="77777777" w:rsidR="001D1BB5" w:rsidRDefault="001D1BB5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413EAE6E" w14:textId="4ABA0B9B" w:rsidR="001D1BB5" w:rsidRDefault="001D1BB5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5E5C2701" w14:textId="77777777" w:rsidR="001D1BB5" w:rsidRDefault="001D1BB5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098985CD" w14:textId="77777777" w:rsidR="001D1BB5" w:rsidRDefault="001D1BB5" w:rsidP="001D1BB5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E60CA">
              <w:rPr>
                <w:color w:val="000000"/>
                <w:sz w:val="20"/>
                <w:szCs w:val="20"/>
              </w:rPr>
              <w:t>n.a</w:t>
            </w:r>
            <w:proofErr w:type="spellEnd"/>
            <w:r w:rsidRPr="00BE60CA">
              <w:rPr>
                <w:color w:val="000000"/>
                <w:sz w:val="20"/>
                <w:szCs w:val="20"/>
              </w:rPr>
              <w:t>.</w:t>
            </w:r>
          </w:p>
          <w:p w14:paraId="2914B592" w14:textId="0D0984F7" w:rsidR="001D1BB5" w:rsidRPr="00D148C0" w:rsidRDefault="001D1BB5" w:rsidP="00D148C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6700B" w14:textId="647FF2AD" w:rsidR="00D148C0" w:rsidRPr="00D148C0" w:rsidRDefault="00C57FA0" w:rsidP="00D148C0">
            <w:pPr>
              <w:spacing w:before="75" w:after="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Článok 2 bude prevzatý do najbližšej novely zákona č. 483/2001 Z. z.  </w:t>
            </w:r>
            <w:r w:rsidRPr="00BE60CA">
              <w:rPr>
                <w:sz w:val="20"/>
                <w:szCs w:val="20"/>
              </w:rPr>
              <w:t>o</w:t>
            </w:r>
            <w:r w:rsidR="00EC37C8" w:rsidRPr="00BE60CA">
              <w:rPr>
                <w:sz w:val="20"/>
                <w:szCs w:val="20"/>
              </w:rPr>
              <w:t> </w:t>
            </w:r>
            <w:r w:rsidRPr="00BE60CA">
              <w:rPr>
                <w:sz w:val="20"/>
                <w:szCs w:val="20"/>
              </w:rPr>
              <w:t>bankách</w:t>
            </w:r>
            <w:r w:rsidR="00EC37C8" w:rsidRPr="00BE60CA">
              <w:rPr>
                <w:sz w:val="20"/>
                <w:szCs w:val="20"/>
              </w:rPr>
              <w:t xml:space="preserve"> </w:t>
            </w:r>
            <w:r w:rsidR="00D31DCE" w:rsidRPr="00BE60CA">
              <w:rPr>
                <w:sz w:val="20"/>
                <w:szCs w:val="20"/>
              </w:rPr>
              <w:t xml:space="preserve">a o zmene a doplnení </w:t>
            </w:r>
            <w:r w:rsidR="00D31DCE" w:rsidRPr="00BE60CA">
              <w:rPr>
                <w:sz w:val="20"/>
                <w:szCs w:val="20"/>
              </w:rPr>
              <w:lastRenderedPageBreak/>
              <w:t xml:space="preserve">niektorých zákonov </w:t>
            </w:r>
            <w:r w:rsidR="00EC37C8" w:rsidRPr="00BE60CA">
              <w:rPr>
                <w:bCs/>
                <w:sz w:val="20"/>
                <w:szCs w:val="20"/>
              </w:rPr>
              <w:t>v znení neskorších predpisov.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1520C16" w14:textId="3A1EB8D1" w:rsidR="00D148C0" w:rsidRPr="00D148C0" w:rsidRDefault="00D148C0" w:rsidP="00D148C0">
            <w:pPr>
              <w:spacing w:before="7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3A69516" w14:textId="77777777" w:rsidR="00D148C0" w:rsidRPr="00D148C0" w:rsidRDefault="00D148C0" w:rsidP="00D148C0">
            <w:pPr>
              <w:spacing w:before="75" w:after="75"/>
              <w:rPr>
                <w:sz w:val="20"/>
                <w:szCs w:val="20"/>
              </w:rPr>
            </w:pPr>
          </w:p>
        </w:tc>
      </w:tr>
      <w:tr w:rsidR="00456B55" w:rsidRPr="00D148C0" w14:paraId="4266589C" w14:textId="77777777" w:rsidTr="00FF4B29">
        <w:tc>
          <w:tcPr>
            <w:tcW w:w="68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C0DF18F" w14:textId="77777777" w:rsidR="00456B55" w:rsidRPr="00D148C0" w:rsidRDefault="00456B55" w:rsidP="00456B55">
            <w:pPr>
              <w:jc w:val="center"/>
              <w:rPr>
                <w:sz w:val="20"/>
                <w:szCs w:val="20"/>
              </w:rPr>
            </w:pPr>
            <w:r w:rsidRPr="00D148C0">
              <w:rPr>
                <w:sz w:val="20"/>
                <w:szCs w:val="20"/>
              </w:rPr>
              <w:lastRenderedPageBreak/>
              <w:t>Č:3</w:t>
            </w:r>
          </w:p>
          <w:p w14:paraId="6DF8F860" w14:textId="77777777" w:rsidR="00456B55" w:rsidRPr="00D148C0" w:rsidRDefault="00456B55" w:rsidP="00456B55">
            <w:pPr>
              <w:jc w:val="center"/>
              <w:rPr>
                <w:sz w:val="20"/>
                <w:szCs w:val="20"/>
              </w:rPr>
            </w:pPr>
            <w:r w:rsidRPr="00D148C0">
              <w:rPr>
                <w:sz w:val="20"/>
                <w:szCs w:val="20"/>
              </w:rPr>
              <w:t>O:1</w:t>
            </w:r>
          </w:p>
          <w:p w14:paraId="1A254BD2" w14:textId="77777777" w:rsidR="00456B55" w:rsidRPr="00D148C0" w:rsidRDefault="00456B55" w:rsidP="00456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26607" w14:textId="77777777" w:rsidR="00456B55" w:rsidRPr="004603D9" w:rsidRDefault="00456B55" w:rsidP="00456B55">
            <w:pPr>
              <w:pStyle w:val="oj-sti-art"/>
              <w:shd w:val="clear" w:color="auto" w:fill="FFFFFF"/>
              <w:spacing w:before="60" w:beforeAutospacing="0" w:after="12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03D9">
              <w:rPr>
                <w:b/>
                <w:bCs/>
                <w:color w:val="000000"/>
                <w:sz w:val="20"/>
                <w:szCs w:val="20"/>
              </w:rPr>
              <w:t>Zmeny smernice (EÚ) 2019/2034</w:t>
            </w:r>
          </w:p>
          <w:p w14:paraId="2BF1155A" w14:textId="77777777" w:rsidR="00456B55" w:rsidRPr="004603D9" w:rsidRDefault="00456B55" w:rsidP="00456B55">
            <w:pPr>
              <w:pStyle w:val="oj-normal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603D9">
              <w:rPr>
                <w:color w:val="000000"/>
                <w:sz w:val="20"/>
                <w:szCs w:val="20"/>
              </w:rPr>
              <w:t>Smernica (EÚ) 2019/2034 sa mení takto:</w:t>
            </w:r>
          </w:p>
          <w:tbl>
            <w:tblPr>
              <w:tblW w:w="5000" w:type="pct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9"/>
              <w:gridCol w:w="4205"/>
            </w:tblGrid>
            <w:tr w:rsidR="00456B55" w:rsidRPr="004603D9" w14:paraId="08D7AF0F" w14:textId="77777777" w:rsidTr="00456B55">
              <w:tc>
                <w:tcPr>
                  <w:tcW w:w="329" w:type="dxa"/>
                  <w:shd w:val="clear" w:color="auto" w:fill="FFFFFF"/>
                  <w:hideMark/>
                </w:tcPr>
                <w:p w14:paraId="5ACCEC72" w14:textId="77777777" w:rsidR="00456B55" w:rsidRPr="004603D9" w:rsidRDefault="00456B55" w:rsidP="00456B55">
                  <w:pPr>
                    <w:pStyle w:val="oj-normal"/>
                    <w:spacing w:before="12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4603D9">
                    <w:rPr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4205" w:type="dxa"/>
                  <w:shd w:val="clear" w:color="auto" w:fill="FFFFFF"/>
                  <w:hideMark/>
                </w:tcPr>
                <w:p w14:paraId="0297A796" w14:textId="77777777" w:rsidR="00456B55" w:rsidRPr="004603D9" w:rsidRDefault="00456B55" w:rsidP="00456B55">
                  <w:pPr>
                    <w:pStyle w:val="oj-normal"/>
                    <w:spacing w:before="12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4603D9">
                    <w:rPr>
                      <w:color w:val="000000"/>
                      <w:sz w:val="20"/>
                      <w:szCs w:val="20"/>
                    </w:rPr>
                    <w:t>V článku 3 ods. 1 sa dopĺňajú tieto body:</w:t>
                  </w:r>
                </w:p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9"/>
                    <w:gridCol w:w="3776"/>
                  </w:tblGrid>
                  <w:tr w:rsidR="00456B55" w:rsidRPr="004603D9" w14:paraId="71E618EF" w14:textId="77777777" w:rsidTr="00456B55">
                    <w:tc>
                      <w:tcPr>
                        <w:tcW w:w="429" w:type="dxa"/>
                        <w:shd w:val="clear" w:color="auto" w:fill="auto"/>
                        <w:hideMark/>
                      </w:tcPr>
                      <w:p w14:paraId="0F04D4A0" w14:textId="77777777" w:rsidR="00456B55" w:rsidRPr="004603D9" w:rsidRDefault="00456B55" w:rsidP="00456B55">
                        <w:pPr>
                          <w:pStyle w:val="oj-normal"/>
                          <w:spacing w:before="120" w:beforeAutospacing="0" w:after="0" w:afterAutospacing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4603D9">
                          <w:rPr>
                            <w:sz w:val="20"/>
                            <w:szCs w:val="20"/>
                          </w:rPr>
                          <w:t>„34.</w:t>
                        </w:r>
                      </w:p>
                    </w:tc>
                    <w:tc>
                      <w:tcPr>
                        <w:tcW w:w="3776" w:type="dxa"/>
                        <w:shd w:val="clear" w:color="auto" w:fill="auto"/>
                        <w:hideMark/>
                      </w:tcPr>
                      <w:p w14:paraId="475DBB45" w14:textId="77777777" w:rsidR="00456B55" w:rsidRPr="004603D9" w:rsidRDefault="00456B55" w:rsidP="00456B55">
                        <w:pPr>
                          <w:pStyle w:val="oj-normal"/>
                          <w:spacing w:before="120" w:beforeAutospacing="0" w:after="0" w:afterAutospacing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4603D9">
                          <w:rPr>
                            <w:sz w:val="20"/>
                            <w:szCs w:val="20"/>
                          </w:rPr>
                          <w:t>‚centrálna protistrana‘ je centrálna protistrana v zmysle vymedzenia v článku 2 bode 1 nariadenia Európskeho parlamentu a Rady (EÚ) č. 648/2012</w:t>
                        </w:r>
                        <w:hyperlink r:id="rId15" w:anchor="ntr*3-L_202402994SK.000101-E0010" w:history="1">
                          <w:r w:rsidRPr="004603D9">
                            <w:rPr>
                              <w:rStyle w:val="Hypertextovprepojenie"/>
                              <w:color w:val="337AB7"/>
                              <w:sz w:val="20"/>
                              <w:szCs w:val="20"/>
                            </w:rPr>
                            <w:t> (</w:t>
                          </w:r>
                          <w:r w:rsidRPr="004603D9">
                            <w:rPr>
                              <w:rStyle w:val="oj-super"/>
                              <w:color w:val="337AB7"/>
                              <w:sz w:val="20"/>
                              <w:szCs w:val="20"/>
                              <w:vertAlign w:val="superscript"/>
                            </w:rPr>
                            <w:t>*3</w:t>
                          </w:r>
                          <w:r w:rsidRPr="004603D9">
                            <w:rPr>
                              <w:rStyle w:val="Hypertextovprepojenie"/>
                              <w:color w:val="337AB7"/>
                              <w:sz w:val="20"/>
                              <w:szCs w:val="20"/>
                            </w:rPr>
                            <w:t>)</w:t>
                          </w:r>
                        </w:hyperlink>
                        <w:r w:rsidRPr="004603D9">
                          <w:rPr>
                            <w:sz w:val="20"/>
                            <w:szCs w:val="20"/>
                          </w:rPr>
                          <w:t>;</w:t>
                        </w:r>
                      </w:p>
                    </w:tc>
                  </w:tr>
                </w:tbl>
                <w:p w14:paraId="235784FC" w14:textId="77777777" w:rsidR="00456B55" w:rsidRPr="004603D9" w:rsidRDefault="00456B55" w:rsidP="00456B55">
                  <w:pPr>
                    <w:rPr>
                      <w:vanish/>
                      <w:color w:val="000000"/>
                      <w:sz w:val="20"/>
                      <w:szCs w:val="20"/>
                    </w:rPr>
                  </w:pPr>
                </w:p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9"/>
                    <w:gridCol w:w="3776"/>
                  </w:tblGrid>
                  <w:tr w:rsidR="00E74A85" w:rsidRPr="00E74A85" w14:paraId="6AE2DFAD" w14:textId="77777777" w:rsidTr="00456B55">
                    <w:tc>
                      <w:tcPr>
                        <w:tcW w:w="429" w:type="dxa"/>
                        <w:shd w:val="clear" w:color="auto" w:fill="auto"/>
                        <w:hideMark/>
                      </w:tcPr>
                      <w:p w14:paraId="6F956A45" w14:textId="77777777" w:rsidR="00456B55" w:rsidRPr="00E74A85" w:rsidRDefault="00456B55" w:rsidP="00456B55">
                        <w:pPr>
                          <w:pStyle w:val="oj-normal"/>
                          <w:spacing w:before="120" w:beforeAutospacing="0" w:after="0" w:afterAutospacing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E74A85">
                          <w:rPr>
                            <w:sz w:val="20"/>
                            <w:szCs w:val="20"/>
                          </w:rPr>
                          <w:t>35.</w:t>
                        </w:r>
                      </w:p>
                    </w:tc>
                    <w:tc>
                      <w:tcPr>
                        <w:tcW w:w="3776" w:type="dxa"/>
                        <w:shd w:val="clear" w:color="auto" w:fill="auto"/>
                        <w:hideMark/>
                      </w:tcPr>
                      <w:p w14:paraId="521AD825" w14:textId="77777777" w:rsidR="00456B55" w:rsidRPr="00E74A85" w:rsidRDefault="00456B55" w:rsidP="00456B55">
                        <w:pPr>
                          <w:pStyle w:val="oj-normal"/>
                          <w:spacing w:before="120" w:beforeAutospacing="0" w:after="0" w:afterAutospacing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E74A85">
                          <w:rPr>
                            <w:sz w:val="20"/>
                            <w:szCs w:val="20"/>
                          </w:rPr>
                          <w:t>‚kvalifikovaná centrálna protistrana‘ alebo ‚QCCP‘ je kvalifikovaná centrálna protistrana alebo ‚QCCP‘ v zmysle vymedzenia v článku 4 ods. 1 bode 88 nariadenia (EÚ) č. 575/2013;</w:t>
                        </w:r>
                      </w:p>
                    </w:tc>
                  </w:tr>
                </w:tbl>
                <w:p w14:paraId="1CABE0B1" w14:textId="77777777" w:rsidR="00456B55" w:rsidRPr="004603D9" w:rsidRDefault="00000000" w:rsidP="00456B55">
                  <w:pPr>
                    <w:pStyle w:val="oj-note"/>
                    <w:spacing w:before="60" w:beforeAutospacing="0" w:after="6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hyperlink r:id="rId16" w:anchor="ntc*3-L_202402994SK.000101-E0010" w:history="1">
                    <w:r w:rsidR="00456B55" w:rsidRPr="00E74A85">
                      <w:rPr>
                        <w:rStyle w:val="Hypertextovprepojenie"/>
                        <w:color w:val="auto"/>
                        <w:sz w:val="20"/>
                        <w:szCs w:val="20"/>
                      </w:rPr>
                      <w:t>(</w:t>
                    </w:r>
                    <w:r w:rsidR="00456B55" w:rsidRPr="00E74A85">
                      <w:rPr>
                        <w:rStyle w:val="oj-super"/>
                        <w:sz w:val="20"/>
                        <w:szCs w:val="20"/>
                        <w:vertAlign w:val="superscript"/>
                      </w:rPr>
                      <w:t>*3</w:t>
                    </w:r>
                    <w:r w:rsidR="00456B55" w:rsidRPr="00E74A85">
                      <w:rPr>
                        <w:rStyle w:val="Hypertextovprepojenie"/>
                        <w:color w:val="auto"/>
                        <w:sz w:val="20"/>
                        <w:szCs w:val="20"/>
                      </w:rPr>
                      <w:t>)</w:t>
                    </w:r>
                  </w:hyperlink>
                  <w:r w:rsidR="00456B55" w:rsidRPr="00E74A85">
                    <w:rPr>
                      <w:sz w:val="20"/>
                      <w:szCs w:val="20"/>
                    </w:rPr>
                    <w:t>  Nariadenie Európskeho parlamentu a Rady (EÚ) č. 648/2012 zo 4. júla 2012 o mimoburzových derivátoch, centrálnych protistranách a archívoch obchodných údajov (</w:t>
                  </w:r>
                  <w:hyperlink r:id="rId17" w:history="1">
                    <w:r w:rsidR="00456B55" w:rsidRPr="00E74A85">
                      <w:rPr>
                        <w:rStyle w:val="Hypertextovprepojenie"/>
                        <w:color w:val="auto"/>
                        <w:sz w:val="20"/>
                        <w:szCs w:val="20"/>
                        <w:u w:val="none"/>
                      </w:rPr>
                      <w:t>Ú. v. EÚ L 201, 27.7.2012, s. 1</w:t>
                    </w:r>
                  </w:hyperlink>
                  <w:r w:rsidR="00456B55" w:rsidRPr="00E74A85">
                    <w:rPr>
                      <w:sz w:val="20"/>
                      <w:szCs w:val="20"/>
                    </w:rPr>
                    <w:t>).“ "</w:t>
                  </w:r>
                </w:p>
              </w:tc>
            </w:tr>
          </w:tbl>
          <w:p w14:paraId="23DA7029" w14:textId="77777777" w:rsidR="00456B55" w:rsidRPr="004603D9" w:rsidRDefault="00456B55" w:rsidP="00456B55">
            <w:pPr>
              <w:pStyle w:val="oj-normal"/>
              <w:shd w:val="clear" w:color="auto" w:fill="FFFFFF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E0DA991" w14:textId="330B45CB" w:rsidR="00456B55" w:rsidRPr="00F9397B" w:rsidRDefault="00456B55" w:rsidP="00456B55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9397B"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3F86B64" w14:textId="667EEFF7" w:rsidR="002766F2" w:rsidRPr="00F9397B" w:rsidRDefault="002766F2" w:rsidP="002766F2">
            <w:pPr>
              <w:jc w:val="center"/>
              <w:rPr>
                <w:b/>
                <w:sz w:val="20"/>
                <w:szCs w:val="20"/>
              </w:rPr>
            </w:pPr>
            <w:r w:rsidRPr="00F9397B">
              <w:rPr>
                <w:b/>
                <w:sz w:val="20"/>
                <w:szCs w:val="20"/>
              </w:rPr>
              <w:t>Návrh zákona</w:t>
            </w:r>
          </w:p>
          <w:p w14:paraId="2C3CB8BA" w14:textId="77777777" w:rsidR="002766F2" w:rsidRPr="00F9397B" w:rsidRDefault="002766F2" w:rsidP="002766F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9397B">
              <w:rPr>
                <w:b/>
                <w:sz w:val="20"/>
                <w:szCs w:val="20"/>
              </w:rPr>
              <w:t>čl.I</w:t>
            </w:r>
            <w:proofErr w:type="spellEnd"/>
          </w:p>
          <w:p w14:paraId="52A5690F" w14:textId="77777777" w:rsidR="00456B55" w:rsidRDefault="008F1714" w:rsidP="002766F2">
            <w:pPr>
              <w:rPr>
                <w:b/>
                <w:sz w:val="20"/>
                <w:szCs w:val="20"/>
              </w:rPr>
            </w:pPr>
            <w:r w:rsidRPr="00F9397B">
              <w:rPr>
                <w:b/>
                <w:sz w:val="20"/>
                <w:szCs w:val="20"/>
              </w:rPr>
              <w:t xml:space="preserve">    </w:t>
            </w:r>
            <w:r w:rsidR="002766F2" w:rsidRPr="00F9397B">
              <w:rPr>
                <w:b/>
                <w:sz w:val="20"/>
                <w:szCs w:val="20"/>
              </w:rPr>
              <w:t>Bod 2</w:t>
            </w:r>
          </w:p>
          <w:p w14:paraId="07ED8034" w14:textId="77777777" w:rsidR="0014501B" w:rsidRDefault="0014501B" w:rsidP="002766F2">
            <w:pPr>
              <w:rPr>
                <w:b/>
                <w:sz w:val="20"/>
                <w:szCs w:val="20"/>
              </w:rPr>
            </w:pPr>
          </w:p>
          <w:p w14:paraId="0D99098E" w14:textId="77777777" w:rsidR="0014501B" w:rsidRDefault="0014501B" w:rsidP="002766F2">
            <w:pPr>
              <w:rPr>
                <w:b/>
                <w:sz w:val="20"/>
                <w:szCs w:val="20"/>
              </w:rPr>
            </w:pPr>
          </w:p>
          <w:p w14:paraId="6402FA20" w14:textId="77777777" w:rsidR="0014501B" w:rsidRDefault="0014501B" w:rsidP="002766F2">
            <w:pPr>
              <w:rPr>
                <w:b/>
                <w:sz w:val="20"/>
                <w:szCs w:val="20"/>
              </w:rPr>
            </w:pPr>
          </w:p>
          <w:p w14:paraId="516619F1" w14:textId="77777777" w:rsidR="0014501B" w:rsidRDefault="0014501B" w:rsidP="002766F2">
            <w:pPr>
              <w:rPr>
                <w:b/>
                <w:sz w:val="20"/>
                <w:szCs w:val="20"/>
              </w:rPr>
            </w:pPr>
          </w:p>
          <w:p w14:paraId="30005795" w14:textId="77777777" w:rsidR="0014501B" w:rsidRDefault="0014501B" w:rsidP="002766F2">
            <w:pPr>
              <w:rPr>
                <w:b/>
                <w:sz w:val="20"/>
                <w:szCs w:val="20"/>
              </w:rPr>
            </w:pPr>
          </w:p>
          <w:p w14:paraId="04F0B444" w14:textId="77777777" w:rsidR="0014501B" w:rsidRDefault="0014501B" w:rsidP="002766F2">
            <w:pPr>
              <w:rPr>
                <w:b/>
                <w:sz w:val="20"/>
                <w:szCs w:val="20"/>
              </w:rPr>
            </w:pPr>
          </w:p>
          <w:p w14:paraId="3BAD6C68" w14:textId="77777777" w:rsidR="0014501B" w:rsidRDefault="0014501B" w:rsidP="002766F2">
            <w:pPr>
              <w:rPr>
                <w:b/>
                <w:sz w:val="20"/>
                <w:szCs w:val="20"/>
              </w:rPr>
            </w:pPr>
          </w:p>
          <w:p w14:paraId="16A847D0" w14:textId="77777777" w:rsidR="00A8090C" w:rsidRDefault="00A8090C" w:rsidP="002766F2">
            <w:pPr>
              <w:rPr>
                <w:b/>
                <w:sz w:val="20"/>
                <w:szCs w:val="20"/>
              </w:rPr>
            </w:pPr>
          </w:p>
          <w:p w14:paraId="7E386111" w14:textId="77777777" w:rsidR="00A8090C" w:rsidRDefault="00A8090C" w:rsidP="002766F2">
            <w:pPr>
              <w:rPr>
                <w:b/>
                <w:sz w:val="20"/>
                <w:szCs w:val="20"/>
              </w:rPr>
            </w:pPr>
          </w:p>
          <w:p w14:paraId="56818A89" w14:textId="77777777" w:rsidR="00A8090C" w:rsidRDefault="00A8090C" w:rsidP="002766F2">
            <w:pPr>
              <w:rPr>
                <w:b/>
                <w:sz w:val="20"/>
                <w:szCs w:val="20"/>
              </w:rPr>
            </w:pPr>
          </w:p>
          <w:p w14:paraId="6F8F65D9" w14:textId="77777777" w:rsidR="00A8090C" w:rsidRDefault="00A8090C" w:rsidP="002766F2">
            <w:pPr>
              <w:rPr>
                <w:b/>
                <w:sz w:val="20"/>
                <w:szCs w:val="20"/>
              </w:rPr>
            </w:pPr>
          </w:p>
          <w:p w14:paraId="0CFE2320" w14:textId="77777777" w:rsidR="00A8090C" w:rsidRDefault="00A8090C" w:rsidP="002766F2">
            <w:pPr>
              <w:rPr>
                <w:b/>
                <w:sz w:val="20"/>
                <w:szCs w:val="20"/>
              </w:rPr>
            </w:pPr>
          </w:p>
          <w:p w14:paraId="7A8C4AC5" w14:textId="77777777" w:rsidR="00A8090C" w:rsidRDefault="00A8090C" w:rsidP="002766F2">
            <w:pPr>
              <w:rPr>
                <w:b/>
                <w:sz w:val="20"/>
                <w:szCs w:val="20"/>
              </w:rPr>
            </w:pPr>
          </w:p>
          <w:p w14:paraId="46A7AA67" w14:textId="77777777" w:rsidR="00A8090C" w:rsidRDefault="00A8090C" w:rsidP="002766F2">
            <w:pPr>
              <w:rPr>
                <w:b/>
                <w:sz w:val="20"/>
                <w:szCs w:val="20"/>
              </w:rPr>
            </w:pPr>
          </w:p>
          <w:p w14:paraId="252C20AF" w14:textId="77777777" w:rsidR="0014501B" w:rsidRDefault="0014501B" w:rsidP="002766F2">
            <w:pPr>
              <w:rPr>
                <w:b/>
                <w:sz w:val="20"/>
                <w:szCs w:val="20"/>
              </w:rPr>
            </w:pPr>
          </w:p>
          <w:p w14:paraId="0AC14BB3" w14:textId="77777777" w:rsidR="0014501B" w:rsidRDefault="0014501B" w:rsidP="002766F2">
            <w:pPr>
              <w:rPr>
                <w:bCs/>
                <w:sz w:val="20"/>
                <w:szCs w:val="20"/>
              </w:rPr>
            </w:pPr>
            <w:r w:rsidRPr="0014501B">
              <w:rPr>
                <w:bCs/>
                <w:sz w:val="20"/>
                <w:szCs w:val="20"/>
              </w:rPr>
              <w:t>566/2001</w:t>
            </w:r>
          </w:p>
          <w:p w14:paraId="70CD9FAE" w14:textId="77777777" w:rsidR="0014501B" w:rsidRDefault="0014501B" w:rsidP="002766F2">
            <w:pPr>
              <w:rPr>
                <w:bCs/>
                <w:sz w:val="20"/>
                <w:szCs w:val="20"/>
              </w:rPr>
            </w:pPr>
          </w:p>
          <w:p w14:paraId="448E227F" w14:textId="77777777" w:rsidR="0014501B" w:rsidRDefault="0014501B" w:rsidP="002766F2">
            <w:pPr>
              <w:rPr>
                <w:bCs/>
                <w:sz w:val="20"/>
                <w:szCs w:val="20"/>
              </w:rPr>
            </w:pPr>
          </w:p>
          <w:p w14:paraId="509AE61B" w14:textId="77777777" w:rsidR="0014501B" w:rsidRDefault="0014501B" w:rsidP="002766F2">
            <w:pPr>
              <w:rPr>
                <w:bCs/>
                <w:sz w:val="20"/>
                <w:szCs w:val="20"/>
              </w:rPr>
            </w:pPr>
          </w:p>
          <w:p w14:paraId="326E5092" w14:textId="77777777" w:rsidR="0014501B" w:rsidRDefault="0014501B" w:rsidP="002766F2">
            <w:pPr>
              <w:rPr>
                <w:bCs/>
                <w:sz w:val="20"/>
                <w:szCs w:val="20"/>
              </w:rPr>
            </w:pPr>
          </w:p>
          <w:p w14:paraId="581D8B05" w14:textId="77777777" w:rsidR="0014501B" w:rsidRDefault="0014501B" w:rsidP="002766F2">
            <w:pPr>
              <w:rPr>
                <w:bCs/>
                <w:sz w:val="20"/>
                <w:szCs w:val="20"/>
              </w:rPr>
            </w:pPr>
          </w:p>
          <w:p w14:paraId="2B71EA9B" w14:textId="77777777" w:rsidR="0014501B" w:rsidRDefault="0014501B" w:rsidP="002766F2">
            <w:pPr>
              <w:rPr>
                <w:bCs/>
                <w:sz w:val="20"/>
                <w:szCs w:val="20"/>
              </w:rPr>
            </w:pPr>
          </w:p>
          <w:p w14:paraId="1AA6D787" w14:textId="77777777" w:rsidR="0014501B" w:rsidRDefault="0014501B" w:rsidP="002766F2">
            <w:pPr>
              <w:rPr>
                <w:bCs/>
                <w:sz w:val="20"/>
                <w:szCs w:val="20"/>
              </w:rPr>
            </w:pPr>
          </w:p>
          <w:p w14:paraId="603E35C8" w14:textId="77777777" w:rsidR="0014501B" w:rsidRDefault="0014501B" w:rsidP="002766F2">
            <w:pPr>
              <w:rPr>
                <w:bCs/>
                <w:sz w:val="20"/>
                <w:szCs w:val="20"/>
              </w:rPr>
            </w:pPr>
          </w:p>
          <w:p w14:paraId="624DAD35" w14:textId="77777777" w:rsidR="0014501B" w:rsidRDefault="0014501B" w:rsidP="002766F2">
            <w:pPr>
              <w:rPr>
                <w:bCs/>
                <w:sz w:val="20"/>
                <w:szCs w:val="20"/>
              </w:rPr>
            </w:pPr>
          </w:p>
          <w:p w14:paraId="2330D5FD" w14:textId="77777777" w:rsidR="0014501B" w:rsidRDefault="0014501B" w:rsidP="002766F2">
            <w:pPr>
              <w:rPr>
                <w:bCs/>
                <w:sz w:val="20"/>
                <w:szCs w:val="20"/>
              </w:rPr>
            </w:pPr>
          </w:p>
          <w:p w14:paraId="196D8D40" w14:textId="77777777" w:rsidR="0014501B" w:rsidRDefault="0014501B" w:rsidP="002766F2">
            <w:pPr>
              <w:rPr>
                <w:bCs/>
                <w:sz w:val="20"/>
                <w:szCs w:val="20"/>
              </w:rPr>
            </w:pPr>
          </w:p>
          <w:p w14:paraId="502E7C24" w14:textId="77777777" w:rsidR="0014501B" w:rsidRDefault="0014501B" w:rsidP="002766F2">
            <w:pPr>
              <w:rPr>
                <w:bCs/>
                <w:sz w:val="20"/>
                <w:szCs w:val="20"/>
              </w:rPr>
            </w:pPr>
          </w:p>
          <w:p w14:paraId="721DF360" w14:textId="77777777" w:rsidR="0014501B" w:rsidRDefault="0014501B" w:rsidP="002766F2">
            <w:pPr>
              <w:rPr>
                <w:bCs/>
                <w:sz w:val="20"/>
                <w:szCs w:val="20"/>
              </w:rPr>
            </w:pPr>
          </w:p>
          <w:p w14:paraId="03C59F4D" w14:textId="77777777" w:rsidR="0014501B" w:rsidRDefault="0014501B" w:rsidP="002766F2">
            <w:pPr>
              <w:rPr>
                <w:bCs/>
                <w:sz w:val="20"/>
                <w:szCs w:val="20"/>
              </w:rPr>
            </w:pPr>
          </w:p>
          <w:p w14:paraId="0892CF70" w14:textId="77777777" w:rsidR="0014501B" w:rsidRDefault="0014501B" w:rsidP="002766F2">
            <w:pPr>
              <w:rPr>
                <w:bCs/>
                <w:sz w:val="20"/>
                <w:szCs w:val="20"/>
              </w:rPr>
            </w:pPr>
          </w:p>
          <w:p w14:paraId="67118FDB" w14:textId="77777777" w:rsidR="0014501B" w:rsidRDefault="0014501B" w:rsidP="002766F2">
            <w:pPr>
              <w:rPr>
                <w:bCs/>
                <w:sz w:val="20"/>
                <w:szCs w:val="20"/>
              </w:rPr>
            </w:pPr>
          </w:p>
          <w:p w14:paraId="587140B5" w14:textId="77777777" w:rsidR="0014501B" w:rsidRDefault="0014501B" w:rsidP="002766F2">
            <w:pPr>
              <w:rPr>
                <w:bCs/>
                <w:sz w:val="20"/>
                <w:szCs w:val="20"/>
              </w:rPr>
            </w:pPr>
          </w:p>
          <w:p w14:paraId="386AC41E" w14:textId="77777777" w:rsidR="0014501B" w:rsidRDefault="0014501B" w:rsidP="002766F2">
            <w:pPr>
              <w:rPr>
                <w:bCs/>
                <w:sz w:val="20"/>
                <w:szCs w:val="20"/>
              </w:rPr>
            </w:pPr>
          </w:p>
          <w:p w14:paraId="5FBA4D10" w14:textId="77777777" w:rsidR="0014501B" w:rsidRDefault="0014501B" w:rsidP="002766F2">
            <w:pPr>
              <w:rPr>
                <w:bCs/>
                <w:sz w:val="20"/>
                <w:szCs w:val="20"/>
              </w:rPr>
            </w:pPr>
          </w:p>
          <w:p w14:paraId="5A123160" w14:textId="77777777" w:rsidR="0014501B" w:rsidRDefault="0014501B" w:rsidP="002766F2">
            <w:pPr>
              <w:rPr>
                <w:bCs/>
                <w:sz w:val="20"/>
                <w:szCs w:val="20"/>
              </w:rPr>
            </w:pPr>
          </w:p>
          <w:p w14:paraId="1578C005" w14:textId="77777777" w:rsidR="006A0237" w:rsidRPr="00F9397B" w:rsidRDefault="006A0237" w:rsidP="006A0237">
            <w:pPr>
              <w:jc w:val="center"/>
              <w:rPr>
                <w:b/>
                <w:sz w:val="20"/>
                <w:szCs w:val="20"/>
              </w:rPr>
            </w:pPr>
            <w:r w:rsidRPr="00F9397B">
              <w:rPr>
                <w:b/>
                <w:sz w:val="20"/>
                <w:szCs w:val="20"/>
              </w:rPr>
              <w:t>Návrh zákona</w:t>
            </w:r>
          </w:p>
          <w:p w14:paraId="546B46EC" w14:textId="77777777" w:rsidR="006A0237" w:rsidRPr="00F9397B" w:rsidRDefault="006A0237" w:rsidP="006A023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9397B">
              <w:rPr>
                <w:b/>
                <w:sz w:val="20"/>
                <w:szCs w:val="20"/>
              </w:rPr>
              <w:t>čl.I</w:t>
            </w:r>
            <w:proofErr w:type="spellEnd"/>
          </w:p>
          <w:p w14:paraId="5AE3911D" w14:textId="3EE7FEED" w:rsidR="006A0237" w:rsidRPr="00F9397B" w:rsidRDefault="006A0237" w:rsidP="006A0237">
            <w:pPr>
              <w:jc w:val="center"/>
              <w:rPr>
                <w:b/>
                <w:sz w:val="20"/>
                <w:szCs w:val="20"/>
              </w:rPr>
            </w:pPr>
            <w:r w:rsidRPr="00F9397B">
              <w:rPr>
                <w:b/>
                <w:sz w:val="20"/>
                <w:szCs w:val="20"/>
              </w:rPr>
              <w:t xml:space="preserve">Bod </w:t>
            </w:r>
            <w:r>
              <w:rPr>
                <w:b/>
                <w:sz w:val="20"/>
                <w:szCs w:val="20"/>
              </w:rPr>
              <w:t>22</w:t>
            </w:r>
          </w:p>
          <w:p w14:paraId="338A4D3E" w14:textId="77777777" w:rsidR="0014501B" w:rsidRDefault="0014501B" w:rsidP="002766F2">
            <w:pPr>
              <w:rPr>
                <w:bCs/>
                <w:sz w:val="20"/>
                <w:szCs w:val="20"/>
              </w:rPr>
            </w:pPr>
          </w:p>
          <w:p w14:paraId="3D2EDCE5" w14:textId="7EEA92F7" w:rsidR="0014501B" w:rsidRPr="0014501B" w:rsidRDefault="0014501B" w:rsidP="006A0237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B00A" w14:textId="77777777" w:rsidR="0090796E" w:rsidRDefault="0090796E" w:rsidP="00F539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§ 7</w:t>
            </w:r>
          </w:p>
          <w:p w14:paraId="583C45D2" w14:textId="307E028D" w:rsidR="002766F2" w:rsidRPr="00F9397B" w:rsidRDefault="002766F2" w:rsidP="00F539A9">
            <w:pPr>
              <w:jc w:val="center"/>
              <w:rPr>
                <w:b/>
                <w:sz w:val="20"/>
                <w:szCs w:val="20"/>
              </w:rPr>
            </w:pPr>
            <w:r w:rsidRPr="00F9397B">
              <w:rPr>
                <w:b/>
                <w:sz w:val="20"/>
                <w:szCs w:val="20"/>
              </w:rPr>
              <w:t xml:space="preserve">O: </w:t>
            </w:r>
          </w:p>
          <w:p w14:paraId="7E0FCF70" w14:textId="28FEB7F5" w:rsidR="002766F2" w:rsidRDefault="002766F2" w:rsidP="00F539A9">
            <w:pPr>
              <w:jc w:val="center"/>
              <w:rPr>
                <w:b/>
                <w:sz w:val="20"/>
                <w:szCs w:val="20"/>
              </w:rPr>
            </w:pPr>
            <w:r w:rsidRPr="00F9397B">
              <w:rPr>
                <w:b/>
                <w:sz w:val="20"/>
                <w:szCs w:val="20"/>
              </w:rPr>
              <w:t>32</w:t>
            </w:r>
            <w:r w:rsidR="00A8090C">
              <w:rPr>
                <w:b/>
                <w:sz w:val="20"/>
                <w:szCs w:val="20"/>
              </w:rPr>
              <w:t xml:space="preserve"> a 33</w:t>
            </w:r>
            <w:r w:rsidRPr="00F9397B">
              <w:rPr>
                <w:b/>
                <w:sz w:val="20"/>
                <w:szCs w:val="20"/>
              </w:rPr>
              <w:t xml:space="preserve"> </w:t>
            </w:r>
          </w:p>
          <w:p w14:paraId="7643BEB6" w14:textId="77777777" w:rsidR="0014501B" w:rsidRDefault="0014501B" w:rsidP="00F539A9">
            <w:pPr>
              <w:jc w:val="center"/>
              <w:rPr>
                <w:b/>
                <w:sz w:val="20"/>
                <w:szCs w:val="20"/>
              </w:rPr>
            </w:pPr>
          </w:p>
          <w:p w14:paraId="13F95316" w14:textId="77777777" w:rsidR="0014501B" w:rsidRDefault="0014501B" w:rsidP="00F539A9">
            <w:pPr>
              <w:jc w:val="center"/>
              <w:rPr>
                <w:b/>
                <w:sz w:val="20"/>
                <w:szCs w:val="20"/>
              </w:rPr>
            </w:pPr>
          </w:p>
          <w:p w14:paraId="01389416" w14:textId="77777777" w:rsidR="0014501B" w:rsidRDefault="0014501B" w:rsidP="00F539A9">
            <w:pPr>
              <w:jc w:val="center"/>
              <w:rPr>
                <w:b/>
                <w:sz w:val="20"/>
                <w:szCs w:val="20"/>
              </w:rPr>
            </w:pPr>
          </w:p>
          <w:p w14:paraId="733FA961" w14:textId="77777777" w:rsidR="0014501B" w:rsidRDefault="0014501B" w:rsidP="00F539A9">
            <w:pPr>
              <w:jc w:val="center"/>
              <w:rPr>
                <w:b/>
                <w:sz w:val="20"/>
                <w:szCs w:val="20"/>
              </w:rPr>
            </w:pPr>
          </w:p>
          <w:p w14:paraId="1EE76EC8" w14:textId="77777777" w:rsidR="0014501B" w:rsidRDefault="0014501B" w:rsidP="00F539A9">
            <w:pPr>
              <w:jc w:val="center"/>
              <w:rPr>
                <w:b/>
                <w:sz w:val="20"/>
                <w:szCs w:val="20"/>
              </w:rPr>
            </w:pPr>
          </w:p>
          <w:p w14:paraId="03F6E225" w14:textId="77777777" w:rsidR="0014501B" w:rsidRDefault="0014501B" w:rsidP="00F539A9">
            <w:pPr>
              <w:jc w:val="center"/>
              <w:rPr>
                <w:b/>
                <w:sz w:val="20"/>
                <w:szCs w:val="20"/>
              </w:rPr>
            </w:pPr>
          </w:p>
          <w:p w14:paraId="24D00B64" w14:textId="77777777" w:rsidR="0014501B" w:rsidRDefault="0014501B" w:rsidP="00F539A9">
            <w:pPr>
              <w:jc w:val="center"/>
              <w:rPr>
                <w:b/>
                <w:sz w:val="20"/>
                <w:szCs w:val="20"/>
              </w:rPr>
            </w:pPr>
          </w:p>
          <w:p w14:paraId="359C6ABA" w14:textId="77777777" w:rsidR="00A8090C" w:rsidRDefault="00A8090C" w:rsidP="00F539A9">
            <w:pPr>
              <w:jc w:val="center"/>
              <w:rPr>
                <w:b/>
                <w:sz w:val="20"/>
                <w:szCs w:val="20"/>
              </w:rPr>
            </w:pPr>
          </w:p>
          <w:p w14:paraId="0773FDBA" w14:textId="77777777" w:rsidR="00A8090C" w:rsidRDefault="00A8090C" w:rsidP="00F539A9">
            <w:pPr>
              <w:jc w:val="center"/>
              <w:rPr>
                <w:b/>
                <w:sz w:val="20"/>
                <w:szCs w:val="20"/>
              </w:rPr>
            </w:pPr>
          </w:p>
          <w:p w14:paraId="3F6713CA" w14:textId="77777777" w:rsidR="00A8090C" w:rsidRDefault="00A8090C" w:rsidP="00F539A9">
            <w:pPr>
              <w:jc w:val="center"/>
              <w:rPr>
                <w:b/>
                <w:sz w:val="20"/>
                <w:szCs w:val="20"/>
              </w:rPr>
            </w:pPr>
          </w:p>
          <w:p w14:paraId="6B7FEAB5" w14:textId="77777777" w:rsidR="00A8090C" w:rsidRDefault="00A8090C" w:rsidP="00F539A9">
            <w:pPr>
              <w:jc w:val="center"/>
              <w:rPr>
                <w:b/>
                <w:sz w:val="20"/>
                <w:szCs w:val="20"/>
              </w:rPr>
            </w:pPr>
          </w:p>
          <w:p w14:paraId="59A99018" w14:textId="77777777" w:rsidR="00A8090C" w:rsidRDefault="00A8090C" w:rsidP="00F539A9">
            <w:pPr>
              <w:jc w:val="center"/>
              <w:rPr>
                <w:b/>
                <w:sz w:val="20"/>
                <w:szCs w:val="20"/>
              </w:rPr>
            </w:pPr>
          </w:p>
          <w:p w14:paraId="6ADDA70D" w14:textId="77777777" w:rsidR="00A8090C" w:rsidRDefault="00A8090C" w:rsidP="00F539A9">
            <w:pPr>
              <w:jc w:val="center"/>
              <w:rPr>
                <w:b/>
                <w:sz w:val="20"/>
                <w:szCs w:val="20"/>
              </w:rPr>
            </w:pPr>
          </w:p>
          <w:p w14:paraId="4CC93FAD" w14:textId="77777777" w:rsidR="00A8090C" w:rsidRDefault="00A8090C" w:rsidP="00F539A9">
            <w:pPr>
              <w:jc w:val="center"/>
              <w:rPr>
                <w:b/>
                <w:sz w:val="20"/>
                <w:szCs w:val="20"/>
              </w:rPr>
            </w:pPr>
          </w:p>
          <w:p w14:paraId="48047FF8" w14:textId="77777777" w:rsidR="0014501B" w:rsidRDefault="0014501B" w:rsidP="00F539A9">
            <w:pPr>
              <w:jc w:val="center"/>
              <w:rPr>
                <w:b/>
                <w:sz w:val="20"/>
                <w:szCs w:val="20"/>
              </w:rPr>
            </w:pPr>
          </w:p>
          <w:p w14:paraId="06F5F20D" w14:textId="77777777" w:rsidR="0014501B" w:rsidRDefault="0014501B" w:rsidP="00F539A9">
            <w:pPr>
              <w:jc w:val="center"/>
              <w:rPr>
                <w:b/>
                <w:sz w:val="20"/>
                <w:szCs w:val="20"/>
              </w:rPr>
            </w:pPr>
          </w:p>
          <w:p w14:paraId="0BCD8AD3" w14:textId="77777777" w:rsidR="0014501B" w:rsidRPr="0014501B" w:rsidRDefault="0014501B" w:rsidP="00F539A9">
            <w:pPr>
              <w:jc w:val="center"/>
              <w:rPr>
                <w:bCs/>
                <w:sz w:val="20"/>
                <w:szCs w:val="20"/>
              </w:rPr>
            </w:pPr>
            <w:r w:rsidRPr="0014501B">
              <w:rPr>
                <w:bCs/>
                <w:sz w:val="20"/>
                <w:szCs w:val="20"/>
              </w:rPr>
              <w:t>§ 99</w:t>
            </w:r>
          </w:p>
          <w:p w14:paraId="4BF34EA4" w14:textId="77777777" w:rsidR="0014501B" w:rsidRPr="0014501B" w:rsidRDefault="0014501B" w:rsidP="00F539A9">
            <w:pPr>
              <w:jc w:val="center"/>
              <w:rPr>
                <w:bCs/>
                <w:sz w:val="20"/>
                <w:szCs w:val="20"/>
              </w:rPr>
            </w:pPr>
            <w:r w:rsidRPr="0014501B">
              <w:rPr>
                <w:bCs/>
                <w:sz w:val="20"/>
                <w:szCs w:val="20"/>
              </w:rPr>
              <w:t>O: 19</w:t>
            </w:r>
          </w:p>
          <w:p w14:paraId="6CDAAD0F" w14:textId="77777777" w:rsidR="0014501B" w:rsidRDefault="0014501B" w:rsidP="00F539A9">
            <w:pPr>
              <w:jc w:val="center"/>
              <w:rPr>
                <w:bCs/>
                <w:sz w:val="20"/>
                <w:szCs w:val="20"/>
              </w:rPr>
            </w:pPr>
            <w:r w:rsidRPr="0014501B">
              <w:rPr>
                <w:bCs/>
                <w:sz w:val="20"/>
                <w:szCs w:val="20"/>
              </w:rPr>
              <w:lastRenderedPageBreak/>
              <w:t>P: c)</w:t>
            </w:r>
          </w:p>
          <w:p w14:paraId="2FBC6D1C" w14:textId="77777777" w:rsidR="0014501B" w:rsidRDefault="0014501B" w:rsidP="00F539A9">
            <w:pPr>
              <w:jc w:val="center"/>
              <w:rPr>
                <w:bCs/>
                <w:sz w:val="20"/>
                <w:szCs w:val="20"/>
              </w:rPr>
            </w:pPr>
          </w:p>
          <w:p w14:paraId="5E6F03EE" w14:textId="77777777" w:rsidR="0014501B" w:rsidRDefault="0014501B" w:rsidP="00F539A9">
            <w:pPr>
              <w:jc w:val="center"/>
              <w:rPr>
                <w:bCs/>
                <w:sz w:val="20"/>
                <w:szCs w:val="20"/>
              </w:rPr>
            </w:pPr>
          </w:p>
          <w:p w14:paraId="08A1F446" w14:textId="77777777" w:rsidR="0014501B" w:rsidRDefault="0014501B" w:rsidP="00F539A9">
            <w:pPr>
              <w:jc w:val="center"/>
              <w:rPr>
                <w:bCs/>
                <w:sz w:val="20"/>
                <w:szCs w:val="20"/>
              </w:rPr>
            </w:pPr>
          </w:p>
          <w:p w14:paraId="4A5B9F2F" w14:textId="77777777" w:rsidR="0014501B" w:rsidRDefault="0014501B" w:rsidP="00F539A9">
            <w:pPr>
              <w:jc w:val="center"/>
              <w:rPr>
                <w:bCs/>
                <w:sz w:val="20"/>
                <w:szCs w:val="20"/>
              </w:rPr>
            </w:pPr>
          </w:p>
          <w:p w14:paraId="0B277E1C" w14:textId="77777777" w:rsidR="0014501B" w:rsidRDefault="0014501B" w:rsidP="00F539A9">
            <w:pPr>
              <w:jc w:val="center"/>
              <w:rPr>
                <w:bCs/>
                <w:sz w:val="20"/>
                <w:szCs w:val="20"/>
              </w:rPr>
            </w:pPr>
          </w:p>
          <w:p w14:paraId="5C2F896B" w14:textId="77777777" w:rsidR="0014501B" w:rsidRDefault="0014501B" w:rsidP="00F539A9">
            <w:pPr>
              <w:jc w:val="center"/>
              <w:rPr>
                <w:bCs/>
                <w:sz w:val="20"/>
                <w:szCs w:val="20"/>
              </w:rPr>
            </w:pPr>
          </w:p>
          <w:p w14:paraId="70560F84" w14:textId="77777777" w:rsidR="0014501B" w:rsidRDefault="0014501B" w:rsidP="00F539A9">
            <w:pPr>
              <w:jc w:val="center"/>
              <w:rPr>
                <w:bCs/>
                <w:sz w:val="20"/>
                <w:szCs w:val="20"/>
              </w:rPr>
            </w:pPr>
          </w:p>
          <w:p w14:paraId="41366084" w14:textId="77777777" w:rsidR="0014501B" w:rsidRDefault="0014501B" w:rsidP="00F539A9">
            <w:pPr>
              <w:jc w:val="center"/>
              <w:rPr>
                <w:bCs/>
                <w:sz w:val="20"/>
                <w:szCs w:val="20"/>
              </w:rPr>
            </w:pPr>
          </w:p>
          <w:p w14:paraId="4851A556" w14:textId="77777777" w:rsidR="0014501B" w:rsidRDefault="0014501B" w:rsidP="00F539A9">
            <w:pPr>
              <w:jc w:val="center"/>
              <w:rPr>
                <w:bCs/>
                <w:sz w:val="20"/>
                <w:szCs w:val="20"/>
              </w:rPr>
            </w:pPr>
          </w:p>
          <w:p w14:paraId="72236D9D" w14:textId="77777777" w:rsidR="0014501B" w:rsidRDefault="0014501B" w:rsidP="00F539A9">
            <w:pPr>
              <w:jc w:val="center"/>
              <w:rPr>
                <w:bCs/>
                <w:sz w:val="20"/>
                <w:szCs w:val="20"/>
              </w:rPr>
            </w:pPr>
          </w:p>
          <w:p w14:paraId="79CBABA1" w14:textId="77777777" w:rsidR="0014501B" w:rsidRDefault="0014501B" w:rsidP="00F539A9">
            <w:pPr>
              <w:jc w:val="center"/>
              <w:rPr>
                <w:bCs/>
                <w:sz w:val="20"/>
                <w:szCs w:val="20"/>
              </w:rPr>
            </w:pPr>
          </w:p>
          <w:p w14:paraId="0ECB4CC5" w14:textId="77777777" w:rsidR="0014501B" w:rsidRDefault="0014501B" w:rsidP="00F539A9">
            <w:pPr>
              <w:jc w:val="center"/>
              <w:rPr>
                <w:bCs/>
                <w:sz w:val="20"/>
                <w:szCs w:val="20"/>
              </w:rPr>
            </w:pPr>
          </w:p>
          <w:p w14:paraId="290B5C59" w14:textId="77777777" w:rsidR="0014501B" w:rsidRDefault="0014501B" w:rsidP="00F539A9">
            <w:pPr>
              <w:jc w:val="center"/>
              <w:rPr>
                <w:bCs/>
                <w:sz w:val="20"/>
                <w:szCs w:val="20"/>
              </w:rPr>
            </w:pPr>
          </w:p>
          <w:p w14:paraId="14779939" w14:textId="77777777" w:rsidR="0014501B" w:rsidRDefault="0014501B" w:rsidP="00F539A9">
            <w:pPr>
              <w:jc w:val="center"/>
              <w:rPr>
                <w:bCs/>
                <w:sz w:val="20"/>
                <w:szCs w:val="20"/>
              </w:rPr>
            </w:pPr>
          </w:p>
          <w:p w14:paraId="20E680B3" w14:textId="77777777" w:rsidR="0014501B" w:rsidRDefault="0014501B" w:rsidP="00F539A9">
            <w:pPr>
              <w:jc w:val="center"/>
              <w:rPr>
                <w:bCs/>
                <w:sz w:val="20"/>
                <w:szCs w:val="20"/>
              </w:rPr>
            </w:pPr>
          </w:p>
          <w:p w14:paraId="5CE4FA77" w14:textId="77777777" w:rsidR="0014501B" w:rsidRDefault="0014501B" w:rsidP="00F539A9">
            <w:pPr>
              <w:jc w:val="center"/>
              <w:rPr>
                <w:bCs/>
                <w:sz w:val="20"/>
                <w:szCs w:val="20"/>
              </w:rPr>
            </w:pPr>
          </w:p>
          <w:p w14:paraId="09E1CF2A" w14:textId="77777777" w:rsidR="0014501B" w:rsidRDefault="0014501B" w:rsidP="00F539A9">
            <w:pPr>
              <w:jc w:val="center"/>
              <w:rPr>
                <w:bCs/>
                <w:sz w:val="20"/>
                <w:szCs w:val="20"/>
              </w:rPr>
            </w:pPr>
          </w:p>
          <w:p w14:paraId="2E460F6C" w14:textId="77777777" w:rsidR="0014501B" w:rsidRDefault="0014501B" w:rsidP="00F539A9">
            <w:pPr>
              <w:jc w:val="center"/>
              <w:rPr>
                <w:bCs/>
                <w:sz w:val="20"/>
                <w:szCs w:val="20"/>
              </w:rPr>
            </w:pPr>
          </w:p>
          <w:p w14:paraId="781EBB1F" w14:textId="26EA9FC0" w:rsidR="0014501B" w:rsidRPr="0012006E" w:rsidRDefault="0014501B" w:rsidP="00F539A9">
            <w:pPr>
              <w:jc w:val="center"/>
              <w:rPr>
                <w:bCs/>
                <w:sz w:val="20"/>
                <w:szCs w:val="20"/>
              </w:rPr>
            </w:pPr>
            <w:r w:rsidRPr="0012006E">
              <w:rPr>
                <w:bCs/>
                <w:sz w:val="20"/>
                <w:szCs w:val="20"/>
              </w:rPr>
              <w:t>Poznámka pod čiarou 89r</w:t>
            </w:r>
          </w:p>
          <w:p w14:paraId="49DD0007" w14:textId="0EA7325C" w:rsidR="0014501B" w:rsidRPr="00F9397B" w:rsidRDefault="0014501B" w:rsidP="00F539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4E91" w14:textId="07991956" w:rsidR="00A8090C" w:rsidRPr="00A8090C" w:rsidRDefault="00A8090C" w:rsidP="00A8090C">
            <w:pPr>
              <w:jc w:val="both"/>
              <w:rPr>
                <w:b/>
                <w:bCs/>
                <w:noProof/>
                <w:sz w:val="20"/>
                <w:szCs w:val="20"/>
              </w:rPr>
            </w:pPr>
            <w:bookmarkStart w:id="1" w:name="_Hlk197677792"/>
            <w:r w:rsidRPr="00A8090C">
              <w:rPr>
                <w:b/>
                <w:bCs/>
                <w:noProof/>
                <w:sz w:val="20"/>
                <w:szCs w:val="20"/>
              </w:rPr>
              <w:lastRenderedPageBreak/>
              <w:t>(32) Centrálnou protistranou je centrálna protistrana podľa osobitného predpisu</w:t>
            </w:r>
            <w:r w:rsidR="00DB343F">
              <w:rPr>
                <w:b/>
                <w:bCs/>
                <w:noProof/>
                <w:sz w:val="20"/>
                <w:szCs w:val="20"/>
              </w:rPr>
              <w:t>.</w:t>
            </w:r>
            <w:r w:rsidRPr="00A8090C">
              <w:rPr>
                <w:b/>
                <w:bCs/>
                <w:noProof/>
                <w:sz w:val="20"/>
                <w:szCs w:val="20"/>
                <w:vertAlign w:val="superscript"/>
              </w:rPr>
              <w:t>18k</w:t>
            </w:r>
            <w:r w:rsidRPr="00A8090C">
              <w:rPr>
                <w:b/>
                <w:bCs/>
                <w:noProof/>
                <w:sz w:val="20"/>
                <w:szCs w:val="20"/>
              </w:rPr>
              <w:t>)</w:t>
            </w:r>
          </w:p>
          <w:bookmarkEnd w:id="1"/>
          <w:p w14:paraId="1CB7D2D7" w14:textId="47BCEE0D" w:rsidR="00A8090C" w:rsidRPr="00A8090C" w:rsidRDefault="00A8090C" w:rsidP="00A8090C">
            <w:pPr>
              <w:jc w:val="both"/>
              <w:rPr>
                <w:rStyle w:val="y2iqfc"/>
                <w:b/>
                <w:bCs/>
                <w:noProof/>
                <w:sz w:val="20"/>
                <w:szCs w:val="20"/>
              </w:rPr>
            </w:pPr>
            <w:r w:rsidRPr="00A8090C">
              <w:rPr>
                <w:b/>
                <w:bCs/>
                <w:noProof/>
                <w:sz w:val="20"/>
                <w:szCs w:val="20"/>
              </w:rPr>
              <w:t>(33) Kvalifikovanou centrálnou protistranou je kvalifikovaná centrálna protistrana podľa osobitného predpisu.</w:t>
            </w:r>
            <w:r w:rsidRPr="00A8090C">
              <w:rPr>
                <w:b/>
                <w:bCs/>
                <w:noProof/>
                <w:sz w:val="20"/>
                <w:szCs w:val="20"/>
                <w:vertAlign w:val="superscript"/>
              </w:rPr>
              <w:t>18l</w:t>
            </w:r>
            <w:r w:rsidRPr="00A8090C">
              <w:rPr>
                <w:b/>
                <w:bCs/>
                <w:noProof/>
                <w:sz w:val="20"/>
                <w:szCs w:val="20"/>
              </w:rPr>
              <w:t>)</w:t>
            </w:r>
          </w:p>
          <w:p w14:paraId="5320447E" w14:textId="77777777" w:rsidR="00A8090C" w:rsidRPr="00A8090C" w:rsidRDefault="00A8090C" w:rsidP="00A8090C">
            <w:pPr>
              <w:pStyle w:val="Bezriadkovania"/>
              <w:rPr>
                <w:rStyle w:val="y2iqfc"/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  <w:p w14:paraId="7D94F01A" w14:textId="36053D64" w:rsidR="00A8090C" w:rsidRPr="00A8090C" w:rsidRDefault="00A8090C" w:rsidP="00A8090C">
            <w:pPr>
              <w:pStyle w:val="Bezriadkovania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sk-SK"/>
              </w:rPr>
            </w:pPr>
            <w:bookmarkStart w:id="2" w:name="_Hlk193987842"/>
            <w:r w:rsidRPr="00A8090C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vertAlign w:val="superscript"/>
                <w:lang w:eastAsia="sk-SK"/>
              </w:rPr>
              <w:t>18k</w:t>
            </w:r>
            <w:r w:rsidRPr="00A8090C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sk-SK"/>
              </w:rPr>
              <w:t>) Čl. 2 bod 1 nariadenia Európskeho parlamentu a Rady (EÚ) č. 648/2012 zo 4. júla 2012 o mimoburzových derivátoch, centrálnych protistranách a archívoch obchodných údajov (Ú. v. EÚ L 201, 27.7.2012) v platnom znení.</w:t>
            </w:r>
          </w:p>
          <w:p w14:paraId="55CC07DC" w14:textId="628F957B" w:rsidR="00A8090C" w:rsidRPr="00A8090C" w:rsidRDefault="00A8090C" w:rsidP="00A8090C">
            <w:pPr>
              <w:pStyle w:val="Bezriadkovania"/>
              <w:rPr>
                <w:rStyle w:val="y2iqfc"/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A8090C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vertAlign w:val="superscript"/>
                <w:lang w:eastAsia="sk-SK"/>
              </w:rPr>
              <w:t>18l</w:t>
            </w:r>
            <w:r w:rsidRPr="00A8090C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sk-SK"/>
              </w:rPr>
              <w:t xml:space="preserve">) </w:t>
            </w:r>
            <w:r w:rsidRPr="00A8090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shd w:val="clear" w:color="auto" w:fill="FFFFFF"/>
              </w:rPr>
              <w:t>Čl. 4 ods. 1 bod 88 nariadenia (EÚ) č. </w:t>
            </w:r>
            <w:hyperlink r:id="rId18" w:tooltip="Nariadenie Európskeho parlamentu a Rady (EÚ) č. 575/2013 z  26. júna 2013 o prudenciálnych požiadavkách na úverové inštitúcie a investičné spoločnosti a o zmene nariadenia (EÚ) č. 648/2012 Text s významom pre EHP" w:history="1">
              <w:r w:rsidRPr="00A8090C">
                <w:rPr>
                  <w:rStyle w:val="Hypertextovprepojenie"/>
                  <w:rFonts w:ascii="Times New Roman" w:hAnsi="Times New Roman"/>
                  <w:b/>
                  <w:bCs/>
                  <w:noProof/>
                  <w:color w:val="auto"/>
                  <w:sz w:val="20"/>
                  <w:szCs w:val="20"/>
                  <w:u w:val="none"/>
                  <w:shd w:val="clear" w:color="auto" w:fill="FFFFFF"/>
                </w:rPr>
                <w:t>575/2013</w:t>
              </w:r>
            </w:hyperlink>
            <w:r w:rsidRPr="00A8090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shd w:val="clear" w:color="auto" w:fill="FFFFFF"/>
              </w:rPr>
              <w:t> v platnom znení.</w:t>
            </w:r>
          </w:p>
          <w:bookmarkEnd w:id="2"/>
          <w:p w14:paraId="21FC1081" w14:textId="77777777" w:rsidR="00482AE9" w:rsidRDefault="00482AE9" w:rsidP="00482AE9">
            <w:pPr>
              <w:rPr>
                <w:sz w:val="20"/>
                <w:szCs w:val="20"/>
                <w:highlight w:val="yellow"/>
              </w:rPr>
            </w:pPr>
          </w:p>
          <w:p w14:paraId="24B4114D" w14:textId="77777777" w:rsidR="0014501B" w:rsidRPr="0014501B" w:rsidRDefault="0014501B" w:rsidP="0014501B">
            <w:pPr>
              <w:rPr>
                <w:sz w:val="20"/>
                <w:szCs w:val="20"/>
              </w:rPr>
            </w:pPr>
            <w:r w:rsidRPr="0014501B">
              <w:rPr>
                <w:sz w:val="20"/>
                <w:szCs w:val="20"/>
              </w:rPr>
              <w:t>(19) Účastníkom systému vyrovnania môže byť len</w:t>
            </w:r>
          </w:p>
          <w:p w14:paraId="7F91D0CC" w14:textId="77777777" w:rsidR="0014501B" w:rsidRPr="0014501B" w:rsidRDefault="0014501B" w:rsidP="0014501B">
            <w:pPr>
              <w:rPr>
                <w:sz w:val="20"/>
                <w:szCs w:val="20"/>
              </w:rPr>
            </w:pPr>
            <w:r w:rsidRPr="0014501B">
              <w:rPr>
                <w:sz w:val="20"/>
                <w:szCs w:val="20"/>
              </w:rPr>
              <w:t>a) banka alebo zahraničná banka,</w:t>
            </w:r>
          </w:p>
          <w:p w14:paraId="6EF0680D" w14:textId="77777777" w:rsidR="0014501B" w:rsidRPr="0014501B" w:rsidRDefault="0014501B" w:rsidP="0014501B">
            <w:pPr>
              <w:rPr>
                <w:sz w:val="20"/>
                <w:szCs w:val="20"/>
              </w:rPr>
            </w:pPr>
            <w:r w:rsidRPr="0014501B">
              <w:rPr>
                <w:sz w:val="20"/>
                <w:szCs w:val="20"/>
              </w:rPr>
              <w:lastRenderedPageBreak/>
              <w:t>b) obchodník s cennými papiermi alebo zahraničný obchodník s cennými papiermi,</w:t>
            </w:r>
          </w:p>
          <w:p w14:paraId="52B5BA3A" w14:textId="77777777" w:rsidR="0014501B" w:rsidRPr="0014501B" w:rsidRDefault="0014501B" w:rsidP="0014501B">
            <w:pPr>
              <w:rPr>
                <w:sz w:val="20"/>
                <w:szCs w:val="20"/>
              </w:rPr>
            </w:pPr>
            <w:r w:rsidRPr="0014501B">
              <w:rPr>
                <w:sz w:val="20"/>
                <w:szCs w:val="20"/>
              </w:rPr>
              <w:t>c) centrálna protistrana,</w:t>
            </w:r>
            <w:r w:rsidRPr="005616E5">
              <w:rPr>
                <w:strike/>
                <w:sz w:val="20"/>
                <w:szCs w:val="20"/>
              </w:rPr>
              <w:t>89r)</w:t>
            </w:r>
            <w:r w:rsidRPr="0014501B">
              <w:rPr>
                <w:sz w:val="20"/>
                <w:szCs w:val="20"/>
              </w:rPr>
              <w:t xml:space="preserve"> alebo zúčtovací člen centrálnej protistrany s povolením podľa osobitného predpisu,89s) zúčtovací agent, zúčtovací ústav alebo prevádzkovateľ systému vyrovnania, alebo prevádzkovateľ platobného systému,</w:t>
            </w:r>
          </w:p>
          <w:p w14:paraId="064BFF23" w14:textId="77777777" w:rsidR="0014501B" w:rsidRPr="0014501B" w:rsidRDefault="0014501B" w:rsidP="0014501B">
            <w:pPr>
              <w:rPr>
                <w:sz w:val="20"/>
                <w:szCs w:val="20"/>
              </w:rPr>
            </w:pPr>
            <w:r w:rsidRPr="0014501B">
              <w:rPr>
                <w:sz w:val="20"/>
                <w:szCs w:val="20"/>
              </w:rPr>
              <w:t>d) orgán verejnej moci,</w:t>
            </w:r>
          </w:p>
          <w:p w14:paraId="6A87128C" w14:textId="77777777" w:rsidR="0014501B" w:rsidRPr="0014501B" w:rsidRDefault="0014501B" w:rsidP="0014501B">
            <w:pPr>
              <w:rPr>
                <w:sz w:val="20"/>
                <w:szCs w:val="20"/>
              </w:rPr>
            </w:pPr>
            <w:r w:rsidRPr="0014501B">
              <w:rPr>
                <w:sz w:val="20"/>
                <w:szCs w:val="20"/>
              </w:rPr>
              <w:t>e) obchodná spoločnosť, ktorej štát poskytol záruku v súvislosti s jej účasťou v systéme vyrovnania alebo v platobnom systéme,</w:t>
            </w:r>
          </w:p>
          <w:p w14:paraId="2CBE44D0" w14:textId="77777777" w:rsidR="0014501B" w:rsidRDefault="0014501B" w:rsidP="0014501B">
            <w:pPr>
              <w:rPr>
                <w:sz w:val="20"/>
                <w:szCs w:val="20"/>
              </w:rPr>
            </w:pPr>
            <w:r w:rsidRPr="0014501B">
              <w:rPr>
                <w:sz w:val="20"/>
                <w:szCs w:val="20"/>
              </w:rPr>
              <w:t>f) centrálny depozitár, ktorý sa stal účastníkom systému vyrovnania prevádzkovaného centrálnym depozitárom na základe osobitného predpisu.90)</w:t>
            </w:r>
          </w:p>
          <w:p w14:paraId="5433C6D8" w14:textId="77777777" w:rsidR="0014501B" w:rsidRDefault="0014501B" w:rsidP="0014501B">
            <w:pPr>
              <w:rPr>
                <w:sz w:val="20"/>
                <w:szCs w:val="20"/>
              </w:rPr>
            </w:pPr>
          </w:p>
          <w:p w14:paraId="2905FAB8" w14:textId="7FBBE452" w:rsidR="00DA0E86" w:rsidRPr="005616E5" w:rsidRDefault="00DA0E86" w:rsidP="00DA0E86">
            <w:pPr>
              <w:jc w:val="both"/>
              <w:rPr>
                <w:strike/>
                <w:sz w:val="20"/>
                <w:szCs w:val="20"/>
              </w:rPr>
            </w:pPr>
            <w:r w:rsidRPr="005616E5">
              <w:rPr>
                <w:strike/>
                <w:sz w:val="20"/>
                <w:szCs w:val="20"/>
                <w:vertAlign w:val="superscript"/>
              </w:rPr>
              <w:t>89r</w:t>
            </w:r>
            <w:r w:rsidRPr="005616E5">
              <w:rPr>
                <w:strike/>
                <w:sz w:val="20"/>
                <w:szCs w:val="20"/>
              </w:rPr>
              <w:t xml:space="preserve">) </w:t>
            </w:r>
            <w:r w:rsidR="0012006E" w:rsidRPr="005616E5">
              <w:rPr>
                <w:strike/>
                <w:sz w:val="20"/>
                <w:szCs w:val="20"/>
              </w:rPr>
              <w:t>Čl. 2 bod 1 nariadenia Európskeho parlamentu a Rady (EÚ) č. </w:t>
            </w:r>
            <w:hyperlink r:id="rId19" w:tooltip="Nariadenie Európskeho parlamentu a Rady (EÚ) č. 648/2012 zo 4. júla 2012 o mimoburzových derivátoch, centrálnych protistranách a archívoch obchodných údajov Text s významom pre EHP" w:history="1">
              <w:r w:rsidR="0012006E" w:rsidRPr="005616E5">
                <w:rPr>
                  <w:rStyle w:val="Hypertextovprepojenie"/>
                  <w:strike/>
                  <w:color w:val="auto"/>
                  <w:sz w:val="20"/>
                  <w:szCs w:val="20"/>
                  <w:u w:val="none"/>
                </w:rPr>
                <w:t>648/2012</w:t>
              </w:r>
            </w:hyperlink>
            <w:r w:rsidR="0012006E" w:rsidRPr="005616E5">
              <w:rPr>
                <w:strike/>
                <w:sz w:val="20"/>
                <w:szCs w:val="20"/>
              </w:rPr>
              <w:t> zo 4. júla 2012 o mimoburzových derivátoch, centrálnych protistranách a archívoch obchodných údajov (Ú. v. EÚ L 201, 27. 7. 2012) v platnom znení</w:t>
            </w:r>
            <w:r w:rsidRPr="005616E5">
              <w:rPr>
                <w:strike/>
                <w:sz w:val="20"/>
                <w:szCs w:val="20"/>
              </w:rPr>
              <w:t>.</w:t>
            </w:r>
          </w:p>
          <w:p w14:paraId="4376362B" w14:textId="70104C3E" w:rsidR="0014501B" w:rsidRDefault="0014501B" w:rsidP="0014501B">
            <w:pPr>
              <w:rPr>
                <w:sz w:val="20"/>
                <w:szCs w:val="20"/>
              </w:rPr>
            </w:pPr>
          </w:p>
          <w:p w14:paraId="5752B5A1" w14:textId="77777777" w:rsidR="0014501B" w:rsidRDefault="0014501B" w:rsidP="0014501B">
            <w:pPr>
              <w:rPr>
                <w:sz w:val="20"/>
                <w:szCs w:val="20"/>
              </w:rPr>
            </w:pPr>
          </w:p>
          <w:p w14:paraId="3E56E748" w14:textId="46EA6312" w:rsidR="0014501B" w:rsidRPr="00F9397B" w:rsidRDefault="0014501B" w:rsidP="0014501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38DB9" w14:textId="5F21F2AA" w:rsidR="00456B55" w:rsidRPr="00D148C0" w:rsidRDefault="00456B55" w:rsidP="00456B55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148C0">
              <w:rPr>
                <w:color w:val="000000"/>
                <w:sz w:val="20"/>
                <w:szCs w:val="20"/>
              </w:rPr>
              <w:lastRenderedPageBreak/>
              <w:t>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0C081" w14:textId="77777777" w:rsidR="00456B55" w:rsidRPr="00D148C0" w:rsidRDefault="00456B55" w:rsidP="00456B55">
            <w:pPr>
              <w:spacing w:before="75" w:after="75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4360DF3" w14:textId="3467526E" w:rsidR="00456B55" w:rsidRPr="00D148C0" w:rsidRDefault="00456B55" w:rsidP="00456B55">
            <w:pPr>
              <w:spacing w:before="75" w:after="75"/>
              <w:rPr>
                <w:color w:val="000000"/>
                <w:sz w:val="20"/>
                <w:szCs w:val="20"/>
              </w:rPr>
            </w:pPr>
            <w:r w:rsidRPr="00D148C0">
              <w:rPr>
                <w:color w:val="000000"/>
                <w:sz w:val="20"/>
                <w:szCs w:val="20"/>
              </w:rPr>
              <w:t>GP - 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8C1EB21" w14:textId="77777777" w:rsidR="00456B55" w:rsidRPr="00D148C0" w:rsidRDefault="00456B55" w:rsidP="00456B55">
            <w:pPr>
              <w:spacing w:before="75" w:after="75"/>
              <w:rPr>
                <w:sz w:val="20"/>
                <w:szCs w:val="20"/>
              </w:rPr>
            </w:pPr>
          </w:p>
        </w:tc>
      </w:tr>
      <w:tr w:rsidR="00456B55" w:rsidRPr="00D148C0" w14:paraId="4828B991" w14:textId="77777777" w:rsidTr="00FF4B29">
        <w:tc>
          <w:tcPr>
            <w:tcW w:w="68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35D7DC7" w14:textId="77777777" w:rsidR="00456B55" w:rsidRPr="00D148C0" w:rsidRDefault="00456B55" w:rsidP="00456B55">
            <w:pPr>
              <w:jc w:val="center"/>
              <w:rPr>
                <w:sz w:val="20"/>
                <w:szCs w:val="20"/>
              </w:rPr>
            </w:pPr>
            <w:r w:rsidRPr="00D148C0">
              <w:rPr>
                <w:sz w:val="20"/>
                <w:szCs w:val="20"/>
              </w:rPr>
              <w:t>Č:3</w:t>
            </w:r>
          </w:p>
          <w:p w14:paraId="34AEFB5C" w14:textId="35A5F42F" w:rsidR="00456B55" w:rsidRPr="00D148C0" w:rsidRDefault="00456B55" w:rsidP="00456B55">
            <w:pPr>
              <w:jc w:val="center"/>
              <w:rPr>
                <w:sz w:val="20"/>
                <w:szCs w:val="20"/>
              </w:rPr>
            </w:pPr>
            <w:r w:rsidRPr="00D148C0">
              <w:rPr>
                <w:sz w:val="20"/>
                <w:szCs w:val="20"/>
              </w:rPr>
              <w:t>O:</w:t>
            </w:r>
            <w:r>
              <w:rPr>
                <w:sz w:val="20"/>
                <w:szCs w:val="20"/>
              </w:rPr>
              <w:t>2</w:t>
            </w:r>
          </w:p>
          <w:p w14:paraId="19899938" w14:textId="77777777" w:rsidR="00456B55" w:rsidRPr="00D148C0" w:rsidRDefault="00456B55" w:rsidP="00456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9"/>
              <w:gridCol w:w="4205"/>
            </w:tblGrid>
            <w:tr w:rsidR="00456B55" w:rsidRPr="00456B55" w14:paraId="180C9F1B" w14:textId="77777777" w:rsidTr="00456B55">
              <w:tc>
                <w:tcPr>
                  <w:tcW w:w="329" w:type="dxa"/>
                  <w:shd w:val="clear" w:color="auto" w:fill="FFFFFF"/>
                  <w:hideMark/>
                </w:tcPr>
                <w:p w14:paraId="1B4E67C0" w14:textId="10C098B1" w:rsidR="00456B55" w:rsidRPr="00456B55" w:rsidRDefault="00456B55" w:rsidP="00456B55">
                  <w:pPr>
                    <w:autoSpaceDE/>
                    <w:autoSpaceDN/>
                    <w:spacing w:before="12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456B55">
                    <w:rPr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205" w:type="dxa"/>
                  <w:shd w:val="clear" w:color="auto" w:fill="FFFFFF"/>
                  <w:hideMark/>
                </w:tcPr>
                <w:p w14:paraId="29EEF1A4" w14:textId="77777777" w:rsidR="00456B55" w:rsidRPr="00456B55" w:rsidRDefault="00456B55" w:rsidP="00456B55">
                  <w:pPr>
                    <w:autoSpaceDE/>
                    <w:autoSpaceDN/>
                    <w:spacing w:before="12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456B55">
                    <w:rPr>
                      <w:color w:val="000000"/>
                      <w:sz w:val="20"/>
                      <w:szCs w:val="20"/>
                    </w:rPr>
                    <w:t>V článku 26 ods. 1 sa písmeno b) nahrádza takto:</w:t>
                  </w:r>
                </w:p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9"/>
                    <w:gridCol w:w="3776"/>
                  </w:tblGrid>
                  <w:tr w:rsidR="00456B55" w:rsidRPr="00456B55" w14:paraId="6C4F1507" w14:textId="77777777" w:rsidTr="00456B55">
                    <w:tc>
                      <w:tcPr>
                        <w:tcW w:w="429" w:type="dxa"/>
                        <w:shd w:val="clear" w:color="auto" w:fill="auto"/>
                        <w:hideMark/>
                      </w:tcPr>
                      <w:p w14:paraId="4EB8DF98" w14:textId="77777777" w:rsidR="00456B55" w:rsidRPr="00456B55" w:rsidRDefault="00456B55" w:rsidP="00456B55">
                        <w:pPr>
                          <w:autoSpaceDE/>
                          <w:autoSpaceDN/>
                          <w:spacing w:before="12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456B55">
                          <w:rPr>
                            <w:sz w:val="20"/>
                            <w:szCs w:val="20"/>
                          </w:rPr>
                          <w:t>„b)</w:t>
                        </w:r>
                      </w:p>
                    </w:tc>
                    <w:tc>
                      <w:tcPr>
                        <w:tcW w:w="3776" w:type="dxa"/>
                        <w:shd w:val="clear" w:color="auto" w:fill="auto"/>
                        <w:hideMark/>
                      </w:tcPr>
                      <w:p w14:paraId="25669AD8" w14:textId="77777777" w:rsidR="00456B55" w:rsidRPr="00456B55" w:rsidRDefault="00456B55" w:rsidP="00456B55">
                        <w:pPr>
                          <w:autoSpaceDE/>
                          <w:autoSpaceDN/>
                          <w:spacing w:before="12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456B55">
                          <w:rPr>
                            <w:sz w:val="20"/>
                            <w:szCs w:val="20"/>
                          </w:rPr>
                          <w:t>účinné postupy na identifikáciu, riadenie, monitorovanie a vykazovanie rizík, ktorým investičné spoločnosti sú alebo by mohli byť vystavené, alebo rizík, ktoré predstavujú alebo by mohli predstavovať pre iných, vrátane rizika koncentrácie vyplývajúceho z expozícií voči centrálnym protistranám, pričom sa zohľadňujú podmienky stanovené v článku 7a nariadenia (EÚ) č. 648/2012;“.</w:t>
                        </w:r>
                      </w:p>
                    </w:tc>
                  </w:tr>
                </w:tbl>
                <w:p w14:paraId="30E68F1A" w14:textId="77777777" w:rsidR="00456B55" w:rsidRPr="00456B55" w:rsidRDefault="00456B55" w:rsidP="00456B55">
                  <w:pPr>
                    <w:autoSpaceDE/>
                    <w:autoSpaceDN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EC7C9E4" w14:textId="11E697AB" w:rsidR="00456B55" w:rsidRPr="00D148C0" w:rsidRDefault="00456B55" w:rsidP="00456B55">
            <w:pPr>
              <w:pStyle w:val="oj-normal"/>
              <w:shd w:val="clear" w:color="auto" w:fill="FFFFFF"/>
              <w:tabs>
                <w:tab w:val="left" w:pos="1077"/>
              </w:tabs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19913C8" w14:textId="7CB2E80E" w:rsidR="00456B55" w:rsidRPr="00F9397B" w:rsidRDefault="00456B55" w:rsidP="00456B55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9397B"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C343DE9" w14:textId="77777777" w:rsidR="009D440C" w:rsidRPr="00F9397B" w:rsidRDefault="009D440C" w:rsidP="008F1714">
            <w:pPr>
              <w:jc w:val="center"/>
              <w:rPr>
                <w:b/>
                <w:sz w:val="20"/>
                <w:szCs w:val="20"/>
              </w:rPr>
            </w:pPr>
          </w:p>
          <w:p w14:paraId="743ADCD9" w14:textId="50C18C67" w:rsidR="008F1714" w:rsidRPr="00F9397B" w:rsidRDefault="008F1714" w:rsidP="008F1714">
            <w:pPr>
              <w:jc w:val="center"/>
              <w:rPr>
                <w:b/>
                <w:sz w:val="20"/>
                <w:szCs w:val="20"/>
              </w:rPr>
            </w:pPr>
            <w:r w:rsidRPr="00F9397B">
              <w:rPr>
                <w:b/>
                <w:sz w:val="20"/>
                <w:szCs w:val="20"/>
              </w:rPr>
              <w:t>návrh zákona</w:t>
            </w:r>
          </w:p>
          <w:p w14:paraId="11375790" w14:textId="77777777" w:rsidR="008F1714" w:rsidRPr="00F9397B" w:rsidRDefault="008F1714" w:rsidP="008F171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9397B">
              <w:rPr>
                <w:b/>
                <w:sz w:val="20"/>
                <w:szCs w:val="20"/>
              </w:rPr>
              <w:t>čl.I</w:t>
            </w:r>
            <w:proofErr w:type="spellEnd"/>
          </w:p>
          <w:p w14:paraId="1326E3FD" w14:textId="026E26CD" w:rsidR="008F1714" w:rsidRPr="00F9397B" w:rsidRDefault="008F1714" w:rsidP="008F1714">
            <w:pPr>
              <w:jc w:val="center"/>
              <w:rPr>
                <w:b/>
                <w:sz w:val="20"/>
                <w:szCs w:val="20"/>
              </w:rPr>
            </w:pPr>
            <w:r w:rsidRPr="00F9397B">
              <w:rPr>
                <w:b/>
                <w:sz w:val="20"/>
                <w:szCs w:val="20"/>
              </w:rPr>
              <w:t xml:space="preserve">Bod </w:t>
            </w:r>
            <w:r w:rsidR="00DA0E86">
              <w:rPr>
                <w:b/>
                <w:sz w:val="20"/>
                <w:szCs w:val="20"/>
              </w:rPr>
              <w:t>1</w:t>
            </w:r>
            <w:r w:rsidR="0012006E">
              <w:rPr>
                <w:b/>
                <w:sz w:val="20"/>
                <w:szCs w:val="20"/>
              </w:rPr>
              <w:t>1</w:t>
            </w:r>
          </w:p>
          <w:p w14:paraId="4898C555" w14:textId="5E1AFD0A" w:rsidR="00456B55" w:rsidRPr="00F9397B" w:rsidRDefault="00456B55" w:rsidP="00456B5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5962" w14:textId="77777777" w:rsidR="008F1714" w:rsidRPr="00F9397B" w:rsidRDefault="008F1714" w:rsidP="00F539A9">
            <w:pPr>
              <w:jc w:val="center"/>
              <w:rPr>
                <w:b/>
                <w:sz w:val="20"/>
                <w:szCs w:val="20"/>
              </w:rPr>
            </w:pPr>
          </w:p>
          <w:p w14:paraId="70105FA7" w14:textId="77777777" w:rsidR="009D440C" w:rsidRPr="00DA0E86" w:rsidRDefault="008F1714" w:rsidP="009D440C">
            <w:pPr>
              <w:jc w:val="center"/>
              <w:rPr>
                <w:b/>
                <w:bCs/>
                <w:sz w:val="20"/>
                <w:szCs w:val="20"/>
              </w:rPr>
            </w:pPr>
            <w:r w:rsidRPr="00DA0E86">
              <w:rPr>
                <w:b/>
                <w:bCs/>
                <w:sz w:val="20"/>
                <w:szCs w:val="20"/>
              </w:rPr>
              <w:t xml:space="preserve">§ 71d </w:t>
            </w:r>
          </w:p>
          <w:p w14:paraId="27D73A60" w14:textId="1CA48F0B" w:rsidR="0001597E" w:rsidRPr="00F9397B" w:rsidRDefault="009D440C" w:rsidP="009D440C">
            <w:pPr>
              <w:jc w:val="center"/>
              <w:rPr>
                <w:b/>
                <w:sz w:val="20"/>
                <w:szCs w:val="20"/>
              </w:rPr>
            </w:pPr>
            <w:r w:rsidRPr="00DA0E86">
              <w:rPr>
                <w:b/>
                <w:bCs/>
                <w:sz w:val="20"/>
                <w:szCs w:val="20"/>
              </w:rPr>
              <w:t>O:</w:t>
            </w:r>
            <w:r w:rsidR="008F1714" w:rsidRPr="00DA0E86">
              <w:rPr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9AEA" w14:textId="3B43C8C0" w:rsidR="00456B55" w:rsidRPr="00A4062B" w:rsidRDefault="0088344F" w:rsidP="00456B55">
            <w:pPr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A4062B">
              <w:rPr>
                <w:rStyle w:val="PremennHTML"/>
                <w:rFonts w:eastAsiaTheme="majorEastAsia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(2)</w:t>
            </w:r>
            <w:r w:rsidRPr="00A4062B">
              <w:rPr>
                <w:b/>
                <w:bCs/>
                <w:sz w:val="20"/>
                <w:szCs w:val="20"/>
                <w:shd w:val="clear" w:color="auto" w:fill="FFFFFF"/>
              </w:rPr>
              <w:t> </w:t>
            </w:r>
            <w:bookmarkStart w:id="3" w:name="_Hlk197347845"/>
            <w:r w:rsidR="00A4062B" w:rsidRPr="000C0E27">
              <w:rPr>
                <w:b/>
                <w:bCs/>
                <w:sz w:val="20"/>
                <w:szCs w:val="20"/>
              </w:rPr>
              <w:t xml:space="preserve">Vrcholový manažment, a ak to určia stanovy, aj dozorná rada, sú povinní posudzovať, pravidelne skúmať a schvaľovať stratégie a politiky týkajúce sa ochoty obchodníka s cennými papiermi podstupovať riziká, opatrenia a postupy zavedené s cieľom identifikovať, riadiť, monitorovať, vykazovať a zmierňovať riziká, ktorým obchodník s cennými papiermi je alebo môže byť vystavený, alebo riziká, ktoré predstavuje alebo by mohol predstavovať pre iných, vrátane rizika koncentrácie vyplývajúceho z expozícií voči centrálnym protistranám, pričom sa zohľadňujú podmienky ustanovené </w:t>
            </w:r>
            <w:r w:rsidR="00A4062B" w:rsidRPr="000C0E27">
              <w:rPr>
                <w:b/>
                <w:bCs/>
                <w:sz w:val="20"/>
                <w:szCs w:val="20"/>
              </w:rPr>
              <w:lastRenderedPageBreak/>
              <w:t>osobitným predpisom,</w:t>
            </w:r>
            <w:r w:rsidR="00A4062B" w:rsidRPr="000C0E27">
              <w:rPr>
                <w:b/>
                <w:bCs/>
                <w:sz w:val="20"/>
                <w:szCs w:val="20"/>
                <w:vertAlign w:val="superscript"/>
              </w:rPr>
              <w:t>56acaba</w:t>
            </w:r>
            <w:r w:rsidR="00A4062B" w:rsidRPr="000C0E27">
              <w:rPr>
                <w:b/>
                <w:bCs/>
                <w:sz w:val="20"/>
                <w:szCs w:val="20"/>
              </w:rPr>
              <w:t>) vrátane rizík, ktoré vyplývajú z makroekonomického prostredia, v ktorom obchodník s cennými papiermi pôsobí vo vzťahu k hospodárskemu cyklu. Vrcholový manažment, a ak to určia stanovy, aj dozorná rada, sú povinní prijímať a pravidelne skúmať zásady odmeňovania. Správu o kontrole dodržiavania zásad odmeňovania je obchodník s cennými papiermi povinný predložiť Národnej banke Slovenska do 30. júna roka nasledujúceho po kalendárnom roku, za ktorý sa správa vyhotovuje</w:t>
            </w:r>
            <w:bookmarkEnd w:id="3"/>
            <w:r w:rsidRPr="000C0E27">
              <w:rPr>
                <w:b/>
                <w:bCs/>
                <w:sz w:val="20"/>
                <w:szCs w:val="20"/>
                <w:shd w:val="clear" w:color="auto" w:fill="FFFFFF"/>
              </w:rPr>
              <w:t>.</w:t>
            </w:r>
          </w:p>
          <w:p w14:paraId="597BF3F3" w14:textId="77777777" w:rsidR="0090796E" w:rsidRPr="00A4062B" w:rsidRDefault="0090796E" w:rsidP="00456B55">
            <w:pPr>
              <w:jc w:val="both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06E74F51" w14:textId="034A85A7" w:rsidR="0090796E" w:rsidRPr="00A4062B" w:rsidRDefault="0090796E" w:rsidP="00456B55">
            <w:pPr>
              <w:jc w:val="both"/>
              <w:rPr>
                <w:b/>
                <w:bCs/>
                <w:sz w:val="20"/>
                <w:szCs w:val="20"/>
              </w:rPr>
            </w:pPr>
            <w:r w:rsidRPr="00A4062B">
              <w:rPr>
                <w:b/>
                <w:bCs/>
                <w:noProof/>
                <w:sz w:val="20"/>
                <w:szCs w:val="20"/>
                <w:shd w:val="clear" w:color="auto" w:fill="FFFFFF"/>
                <w:vertAlign w:val="superscript"/>
              </w:rPr>
              <w:t>56acaba</w:t>
            </w:r>
            <w:r w:rsidRPr="00A4062B">
              <w:rPr>
                <w:b/>
                <w:bCs/>
                <w:noProof/>
                <w:sz w:val="20"/>
                <w:szCs w:val="20"/>
                <w:shd w:val="clear" w:color="auto" w:fill="FFFFFF"/>
              </w:rPr>
              <w:t>) Čl. 7a nariadenia (EÚ) č. </w:t>
            </w:r>
            <w:hyperlink r:id="rId20" w:tooltip="Nariadenie Európskeho parlamentu a Rady (EÚ) č. 648/2012 zo 4. júla 2012 o mimoburzových derivátoch, centrálnych protistranách a archívoch obchodných údajov Text s významom pre EHP" w:history="1">
              <w:r w:rsidRPr="00A4062B">
                <w:rPr>
                  <w:rStyle w:val="Hypertextovprepojenie"/>
                  <w:b/>
                  <w:bCs/>
                  <w:noProof/>
                  <w:color w:val="auto"/>
                  <w:sz w:val="20"/>
                  <w:szCs w:val="20"/>
                  <w:u w:val="none"/>
                  <w:shd w:val="clear" w:color="auto" w:fill="FFFFFF"/>
                </w:rPr>
                <w:t>648/2012</w:t>
              </w:r>
            </w:hyperlink>
            <w:r w:rsidRPr="00A4062B">
              <w:rPr>
                <w:b/>
                <w:bCs/>
                <w:noProof/>
                <w:sz w:val="20"/>
                <w:szCs w:val="20"/>
                <w:shd w:val="clear" w:color="auto" w:fill="FFFFFF"/>
              </w:rPr>
              <w:t> v platnom znení.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A931D" w14:textId="1A6818AD" w:rsidR="00456B55" w:rsidRPr="00F9397B" w:rsidRDefault="00456B55" w:rsidP="00456B55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9397B">
              <w:rPr>
                <w:color w:val="000000"/>
                <w:sz w:val="20"/>
                <w:szCs w:val="20"/>
              </w:rPr>
              <w:lastRenderedPageBreak/>
              <w:t>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AC4AF" w14:textId="77777777" w:rsidR="00456B55" w:rsidRPr="00F9397B" w:rsidRDefault="00456B55" w:rsidP="00456B55">
            <w:pPr>
              <w:spacing w:before="75" w:after="75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D683EDF" w14:textId="26877480" w:rsidR="00456B55" w:rsidRPr="00F9397B" w:rsidRDefault="00456B55" w:rsidP="00456B55">
            <w:pPr>
              <w:spacing w:before="75" w:after="75"/>
              <w:rPr>
                <w:color w:val="000000"/>
                <w:sz w:val="20"/>
                <w:szCs w:val="20"/>
              </w:rPr>
            </w:pPr>
            <w:r w:rsidRPr="00F9397B">
              <w:rPr>
                <w:color w:val="000000"/>
                <w:sz w:val="20"/>
                <w:szCs w:val="20"/>
              </w:rPr>
              <w:t>GP - 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340CDEC" w14:textId="77777777" w:rsidR="00456B55" w:rsidRPr="00D148C0" w:rsidRDefault="00456B55" w:rsidP="00456B55">
            <w:pPr>
              <w:spacing w:before="75" w:after="75"/>
              <w:rPr>
                <w:sz w:val="20"/>
                <w:szCs w:val="20"/>
              </w:rPr>
            </w:pPr>
          </w:p>
        </w:tc>
      </w:tr>
      <w:tr w:rsidR="00F539A9" w:rsidRPr="00D148C0" w14:paraId="07FEC2BA" w14:textId="77777777" w:rsidTr="00FF4B29">
        <w:tc>
          <w:tcPr>
            <w:tcW w:w="68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175072B" w14:textId="77777777" w:rsidR="00F539A9" w:rsidRPr="00D148C0" w:rsidRDefault="00F539A9" w:rsidP="00F539A9">
            <w:pPr>
              <w:jc w:val="center"/>
              <w:rPr>
                <w:sz w:val="20"/>
                <w:szCs w:val="20"/>
              </w:rPr>
            </w:pPr>
            <w:r w:rsidRPr="00D148C0">
              <w:rPr>
                <w:sz w:val="20"/>
                <w:szCs w:val="20"/>
              </w:rPr>
              <w:t>Č:3</w:t>
            </w:r>
          </w:p>
          <w:p w14:paraId="31A0FFF9" w14:textId="7FE014D1" w:rsidR="00F539A9" w:rsidRPr="00D148C0" w:rsidRDefault="00F539A9" w:rsidP="00F539A9">
            <w:pPr>
              <w:jc w:val="center"/>
              <w:rPr>
                <w:sz w:val="20"/>
                <w:szCs w:val="20"/>
              </w:rPr>
            </w:pPr>
            <w:r w:rsidRPr="00D148C0">
              <w:rPr>
                <w:sz w:val="20"/>
                <w:szCs w:val="20"/>
              </w:rPr>
              <w:t>O:</w:t>
            </w:r>
            <w:r>
              <w:rPr>
                <w:sz w:val="20"/>
                <w:szCs w:val="20"/>
              </w:rPr>
              <w:t>3</w:t>
            </w:r>
          </w:p>
          <w:p w14:paraId="548147AA" w14:textId="77777777" w:rsidR="00F539A9" w:rsidRPr="00D148C0" w:rsidRDefault="00F539A9" w:rsidP="00F53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9"/>
              <w:gridCol w:w="4205"/>
            </w:tblGrid>
            <w:tr w:rsidR="00F539A9" w:rsidRPr="00456B55" w14:paraId="267C8848" w14:textId="77777777" w:rsidTr="00456B55">
              <w:tc>
                <w:tcPr>
                  <w:tcW w:w="329" w:type="dxa"/>
                  <w:shd w:val="clear" w:color="auto" w:fill="FFFFFF"/>
                  <w:hideMark/>
                </w:tcPr>
                <w:p w14:paraId="5902015E" w14:textId="77777777" w:rsidR="00F539A9" w:rsidRPr="00456B55" w:rsidRDefault="00F539A9" w:rsidP="00F539A9">
                  <w:pPr>
                    <w:autoSpaceDE/>
                    <w:autoSpaceDN/>
                    <w:spacing w:before="12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456B55">
                    <w:rPr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205" w:type="dxa"/>
                  <w:shd w:val="clear" w:color="auto" w:fill="FFFFFF"/>
                  <w:hideMark/>
                </w:tcPr>
                <w:p w14:paraId="3CFB61E5" w14:textId="77777777" w:rsidR="00F539A9" w:rsidRPr="00456B55" w:rsidRDefault="00F539A9" w:rsidP="00F539A9">
                  <w:pPr>
                    <w:autoSpaceDE/>
                    <w:autoSpaceDN/>
                    <w:spacing w:before="12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456B55">
                    <w:rPr>
                      <w:color w:val="000000"/>
                      <w:sz w:val="20"/>
                      <w:szCs w:val="20"/>
                    </w:rPr>
                    <w:t>V článku 29 sa odsek 1 mení takto:</w:t>
                  </w:r>
                </w:p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7"/>
                    <w:gridCol w:w="3918"/>
                  </w:tblGrid>
                  <w:tr w:rsidR="00F539A9" w:rsidRPr="00456B55" w14:paraId="38E506B5" w14:textId="77777777" w:rsidTr="00456B55">
                    <w:tc>
                      <w:tcPr>
                        <w:tcW w:w="287" w:type="dxa"/>
                        <w:shd w:val="clear" w:color="auto" w:fill="auto"/>
                        <w:hideMark/>
                      </w:tcPr>
                      <w:p w14:paraId="12E75381" w14:textId="77777777" w:rsidR="00F539A9" w:rsidRPr="00456B55" w:rsidRDefault="00F539A9" w:rsidP="00F539A9">
                        <w:pPr>
                          <w:autoSpaceDE/>
                          <w:autoSpaceDN/>
                          <w:spacing w:before="12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456B55">
                          <w:rPr>
                            <w:sz w:val="20"/>
                            <w:szCs w:val="20"/>
                          </w:rPr>
                          <w:t>a)</w:t>
                        </w:r>
                      </w:p>
                    </w:tc>
                    <w:tc>
                      <w:tcPr>
                        <w:tcW w:w="3918" w:type="dxa"/>
                        <w:shd w:val="clear" w:color="auto" w:fill="auto"/>
                        <w:hideMark/>
                      </w:tcPr>
                      <w:p w14:paraId="4F7B3003" w14:textId="77777777" w:rsidR="00F539A9" w:rsidRPr="00456B55" w:rsidRDefault="00F539A9" w:rsidP="00F539A9">
                        <w:pPr>
                          <w:autoSpaceDE/>
                          <w:autoSpaceDN/>
                          <w:spacing w:before="12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456B55">
                          <w:rPr>
                            <w:sz w:val="20"/>
                            <w:szCs w:val="20"/>
                          </w:rPr>
                          <w:t>dopĺňa sa toto písmeno:</w:t>
                        </w:r>
                      </w:p>
                      <w:tbl>
                        <w:tblPr>
                          <w:tblW w:w="5000" w:type="pct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4"/>
                          <w:gridCol w:w="3604"/>
                        </w:tblGrid>
                        <w:tr w:rsidR="00F539A9" w:rsidRPr="00456B55" w14:paraId="56F4F220" w14:textId="77777777" w:rsidTr="00456B55">
                          <w:tc>
                            <w:tcPr>
                              <w:tcW w:w="329" w:type="dxa"/>
                              <w:shd w:val="clear" w:color="auto" w:fill="auto"/>
                              <w:hideMark/>
                            </w:tcPr>
                            <w:p w14:paraId="43EDCD1D" w14:textId="77777777" w:rsidR="00F539A9" w:rsidRPr="00456B55" w:rsidRDefault="00F539A9" w:rsidP="00F539A9">
                              <w:pPr>
                                <w:autoSpaceDE/>
                                <w:autoSpaceDN/>
                                <w:spacing w:before="120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56B55">
                                <w:rPr>
                                  <w:sz w:val="20"/>
                                  <w:szCs w:val="20"/>
                                </w:rPr>
                                <w:t>„e)</w:t>
                              </w:r>
                            </w:p>
                          </w:tc>
                          <w:tc>
                            <w:tcPr>
                              <w:tcW w:w="3780" w:type="dxa"/>
                              <w:shd w:val="clear" w:color="auto" w:fill="auto"/>
                              <w:hideMark/>
                            </w:tcPr>
                            <w:p w14:paraId="14E2AC34" w14:textId="77777777" w:rsidR="00F539A9" w:rsidRPr="00456B55" w:rsidRDefault="00F539A9" w:rsidP="00F539A9">
                              <w:pPr>
                                <w:autoSpaceDE/>
                                <w:autoSpaceDN/>
                                <w:spacing w:before="120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56B55">
                                <w:rPr>
                                  <w:sz w:val="20"/>
                                  <w:szCs w:val="20"/>
                                </w:rPr>
                                <w:t>významných zdrojov a účinkov rizika koncentrácie vyplývajúceho z expozícií voči centrálnym protistranám a akéhokoľvek významného vplyvu na vlastné zdroje.“</w:t>
                              </w:r>
                            </w:p>
                          </w:tc>
                        </w:tr>
                      </w:tbl>
                      <w:p w14:paraId="0DF9880D" w14:textId="77777777" w:rsidR="00F539A9" w:rsidRPr="00456B55" w:rsidRDefault="00F539A9" w:rsidP="00F539A9">
                        <w:pPr>
                          <w:autoSpaceDE/>
                          <w:autoSpaceDN/>
                          <w:spacing w:before="12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456B55">
                          <w:rPr>
                            <w:sz w:val="20"/>
                            <w:szCs w:val="20"/>
                          </w:rPr>
                          <w:t>;</w:t>
                        </w:r>
                      </w:p>
                    </w:tc>
                  </w:tr>
                </w:tbl>
                <w:p w14:paraId="453F1922" w14:textId="77777777" w:rsidR="00F539A9" w:rsidRPr="00456B55" w:rsidRDefault="00F539A9" w:rsidP="00F539A9">
                  <w:pPr>
                    <w:autoSpaceDE/>
                    <w:autoSpaceDN/>
                    <w:rPr>
                      <w:vanish/>
                      <w:color w:val="000000"/>
                      <w:sz w:val="20"/>
                      <w:szCs w:val="20"/>
                    </w:rPr>
                  </w:pPr>
                </w:p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7"/>
                    <w:gridCol w:w="3918"/>
                  </w:tblGrid>
                  <w:tr w:rsidR="00F539A9" w:rsidRPr="00456B55" w14:paraId="118F6B94" w14:textId="77777777" w:rsidTr="00456B55">
                    <w:tc>
                      <w:tcPr>
                        <w:tcW w:w="287" w:type="dxa"/>
                        <w:shd w:val="clear" w:color="auto" w:fill="auto"/>
                        <w:hideMark/>
                      </w:tcPr>
                      <w:p w14:paraId="20B3FCDA" w14:textId="77777777" w:rsidR="00F539A9" w:rsidRPr="00456B55" w:rsidRDefault="00F539A9" w:rsidP="00F539A9">
                        <w:pPr>
                          <w:autoSpaceDE/>
                          <w:autoSpaceDN/>
                          <w:spacing w:before="12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456B55">
                          <w:rPr>
                            <w:sz w:val="20"/>
                            <w:szCs w:val="20"/>
                          </w:rPr>
                          <w:t>b)</w:t>
                        </w:r>
                      </w:p>
                    </w:tc>
                    <w:tc>
                      <w:tcPr>
                        <w:tcW w:w="3918" w:type="dxa"/>
                        <w:shd w:val="clear" w:color="auto" w:fill="auto"/>
                        <w:hideMark/>
                      </w:tcPr>
                      <w:p w14:paraId="33F80652" w14:textId="77777777" w:rsidR="00F539A9" w:rsidRPr="00456B55" w:rsidRDefault="00F539A9" w:rsidP="00F539A9">
                        <w:pPr>
                          <w:autoSpaceDE/>
                          <w:autoSpaceDN/>
                          <w:spacing w:before="12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456B55">
                          <w:rPr>
                            <w:sz w:val="20"/>
                            <w:szCs w:val="20"/>
                          </w:rPr>
                          <w:t xml:space="preserve">za piaty </w:t>
                        </w:r>
                        <w:proofErr w:type="spellStart"/>
                        <w:r w:rsidRPr="00456B55">
                          <w:rPr>
                            <w:sz w:val="20"/>
                            <w:szCs w:val="20"/>
                          </w:rPr>
                          <w:t>pododsek</w:t>
                        </w:r>
                        <w:proofErr w:type="spellEnd"/>
                        <w:r w:rsidRPr="00456B55">
                          <w:rPr>
                            <w:sz w:val="20"/>
                            <w:szCs w:val="20"/>
                          </w:rPr>
                          <w:t xml:space="preserve"> sa vkladá tento </w:t>
                        </w:r>
                        <w:proofErr w:type="spellStart"/>
                        <w:r w:rsidRPr="00456B55">
                          <w:rPr>
                            <w:sz w:val="20"/>
                            <w:szCs w:val="20"/>
                          </w:rPr>
                          <w:t>pododsek</w:t>
                        </w:r>
                        <w:proofErr w:type="spellEnd"/>
                        <w:r w:rsidRPr="00456B55">
                          <w:rPr>
                            <w:sz w:val="20"/>
                            <w:szCs w:val="20"/>
                          </w:rPr>
                          <w:t>:</w:t>
                        </w:r>
                      </w:p>
                      <w:p w14:paraId="4D174A6F" w14:textId="77777777" w:rsidR="00F539A9" w:rsidRPr="00456B55" w:rsidRDefault="00F539A9" w:rsidP="00F539A9">
                        <w:pPr>
                          <w:autoSpaceDE/>
                          <w:autoSpaceDN/>
                          <w:spacing w:before="12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456B55">
                          <w:rPr>
                            <w:sz w:val="20"/>
                            <w:szCs w:val="20"/>
                          </w:rPr>
                          <w:t xml:space="preserve">„Členské štáty na účely prvého </w:t>
                        </w:r>
                        <w:proofErr w:type="spellStart"/>
                        <w:r w:rsidRPr="00456B55">
                          <w:rPr>
                            <w:sz w:val="20"/>
                            <w:szCs w:val="20"/>
                          </w:rPr>
                          <w:t>pododseku</w:t>
                        </w:r>
                        <w:proofErr w:type="spellEnd"/>
                        <w:r w:rsidRPr="00456B55">
                          <w:rPr>
                            <w:sz w:val="20"/>
                            <w:szCs w:val="20"/>
                          </w:rPr>
                          <w:t xml:space="preserve"> písmena e) zabezpečia, aby riadiaci orgán vypracoval osobitné plány a kvantifikovateľné ciele v súlade s </w:t>
                        </w:r>
                        <w:r w:rsidRPr="00BE60CA">
                          <w:rPr>
                            <w:sz w:val="20"/>
                            <w:szCs w:val="20"/>
                          </w:rPr>
                          <w:t>požiadavkami stanovenými v článku 7a nariadenia (EÚ) č. 648/2012 na monitorovanie a riešenie rizika koncentrácie vyplývajúceho z expozícií</w:t>
                        </w:r>
                        <w:r w:rsidRPr="00456B55">
                          <w:rPr>
                            <w:sz w:val="20"/>
                            <w:szCs w:val="20"/>
                          </w:rPr>
                          <w:t xml:space="preserve"> voči centrálnym protistranám ponúkajúcim služby podstatného systémového významu pre Úniu alebo jeden či viaceré jej členské štáty.“</w:t>
                        </w:r>
                      </w:p>
                    </w:tc>
                  </w:tr>
                </w:tbl>
                <w:p w14:paraId="461ECBC8" w14:textId="77777777" w:rsidR="00F539A9" w:rsidRPr="00456B55" w:rsidRDefault="00F539A9" w:rsidP="00F539A9">
                  <w:pPr>
                    <w:autoSpaceDE/>
                    <w:autoSpaceDN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7EA739F1" w14:textId="77777777" w:rsidR="00F539A9" w:rsidRPr="00D148C0" w:rsidRDefault="00F539A9" w:rsidP="00F539A9">
            <w:pPr>
              <w:pStyle w:val="oj-normal"/>
              <w:shd w:val="clear" w:color="auto" w:fill="FFFFFF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04DE6E3" w14:textId="77777777" w:rsidR="00F539A9" w:rsidRDefault="00F539A9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535F4AD4" w14:textId="77777777" w:rsidR="00F539A9" w:rsidRDefault="00F539A9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1E1F30AF" w14:textId="77777777" w:rsidR="00F539A9" w:rsidRDefault="00F539A9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</w:p>
          <w:p w14:paraId="3D3942CA" w14:textId="77777777" w:rsidR="00F539A9" w:rsidRDefault="00F539A9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7710E57A" w14:textId="77777777" w:rsidR="00F539A9" w:rsidRDefault="00F539A9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6B1E1471" w14:textId="77777777" w:rsidR="00F539A9" w:rsidRDefault="00F539A9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1E31A00F" w14:textId="77777777" w:rsidR="00F539A9" w:rsidRDefault="00F539A9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6394B23F" w14:textId="77777777" w:rsidR="00F539A9" w:rsidRDefault="00F539A9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076FC959" w14:textId="77777777" w:rsidR="00F539A9" w:rsidRDefault="00F539A9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26BC25E4" w14:textId="77777777" w:rsidR="00F539A9" w:rsidRDefault="00F539A9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7066D60C" w14:textId="1B065680" w:rsidR="00F539A9" w:rsidRPr="00D148C0" w:rsidRDefault="00F539A9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45BFFF5" w14:textId="77777777" w:rsidR="008D465B" w:rsidRDefault="008D465B" w:rsidP="008D465B">
            <w:pPr>
              <w:jc w:val="center"/>
              <w:rPr>
                <w:b/>
                <w:sz w:val="20"/>
                <w:szCs w:val="20"/>
              </w:rPr>
            </w:pPr>
          </w:p>
          <w:p w14:paraId="6CAA29B3" w14:textId="61F58E2B" w:rsidR="008D465B" w:rsidRPr="0088344F" w:rsidRDefault="008D465B" w:rsidP="008D465B">
            <w:pPr>
              <w:jc w:val="center"/>
              <w:rPr>
                <w:b/>
                <w:sz w:val="20"/>
                <w:szCs w:val="20"/>
              </w:rPr>
            </w:pPr>
            <w:r w:rsidRPr="0088344F">
              <w:rPr>
                <w:b/>
                <w:sz w:val="20"/>
                <w:szCs w:val="20"/>
              </w:rPr>
              <w:t>návrh zákona</w:t>
            </w:r>
          </w:p>
          <w:p w14:paraId="570EAFD6" w14:textId="77777777" w:rsidR="008D465B" w:rsidRPr="0088344F" w:rsidRDefault="008D465B" w:rsidP="008D465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8344F">
              <w:rPr>
                <w:b/>
                <w:sz w:val="20"/>
                <w:szCs w:val="20"/>
              </w:rPr>
              <w:t>čl.I</w:t>
            </w:r>
            <w:proofErr w:type="spellEnd"/>
          </w:p>
          <w:p w14:paraId="7B7B4C4D" w14:textId="7B74D297" w:rsidR="008D465B" w:rsidRPr="0088344F" w:rsidRDefault="008D465B" w:rsidP="008D46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Bod </w:t>
            </w:r>
            <w:r w:rsidR="00DA0E86">
              <w:rPr>
                <w:b/>
                <w:sz w:val="20"/>
                <w:szCs w:val="20"/>
              </w:rPr>
              <w:t>9</w:t>
            </w:r>
          </w:p>
          <w:p w14:paraId="4007E6F1" w14:textId="697C8FAA" w:rsidR="0088344F" w:rsidRPr="0088344F" w:rsidRDefault="0088344F" w:rsidP="008D465B">
            <w:pPr>
              <w:rPr>
                <w:sz w:val="20"/>
                <w:szCs w:val="20"/>
              </w:rPr>
            </w:pPr>
          </w:p>
          <w:p w14:paraId="729A4124" w14:textId="77777777" w:rsidR="0088344F" w:rsidRPr="0088344F" w:rsidRDefault="0088344F" w:rsidP="00F539A9">
            <w:pPr>
              <w:rPr>
                <w:sz w:val="20"/>
                <w:szCs w:val="20"/>
              </w:rPr>
            </w:pPr>
          </w:p>
          <w:p w14:paraId="041E411A" w14:textId="351D7633" w:rsidR="0088344F" w:rsidRPr="0088344F" w:rsidRDefault="0088344F" w:rsidP="00F539A9">
            <w:pPr>
              <w:rPr>
                <w:sz w:val="20"/>
                <w:szCs w:val="20"/>
              </w:rPr>
            </w:pPr>
          </w:p>
          <w:p w14:paraId="464C6522" w14:textId="77777777" w:rsidR="0088344F" w:rsidRPr="0088344F" w:rsidRDefault="0088344F" w:rsidP="00F539A9">
            <w:pPr>
              <w:rPr>
                <w:sz w:val="20"/>
                <w:szCs w:val="20"/>
              </w:rPr>
            </w:pPr>
          </w:p>
          <w:p w14:paraId="59878DE6" w14:textId="77777777" w:rsidR="007D206B" w:rsidRDefault="007D206B" w:rsidP="008D465B">
            <w:pPr>
              <w:jc w:val="center"/>
              <w:rPr>
                <w:b/>
                <w:sz w:val="20"/>
                <w:szCs w:val="20"/>
              </w:rPr>
            </w:pPr>
          </w:p>
          <w:p w14:paraId="750FB59A" w14:textId="6C06BCD8" w:rsidR="008D465B" w:rsidRPr="0088344F" w:rsidRDefault="008D465B" w:rsidP="008D465B">
            <w:pPr>
              <w:jc w:val="center"/>
              <w:rPr>
                <w:b/>
                <w:sz w:val="20"/>
                <w:szCs w:val="20"/>
              </w:rPr>
            </w:pPr>
            <w:r w:rsidRPr="0088344F">
              <w:rPr>
                <w:b/>
                <w:sz w:val="20"/>
                <w:szCs w:val="20"/>
              </w:rPr>
              <w:t>návrh zákona</w:t>
            </w:r>
          </w:p>
          <w:p w14:paraId="76B6CC9A" w14:textId="77777777" w:rsidR="008D465B" w:rsidRPr="0088344F" w:rsidRDefault="008D465B" w:rsidP="008D465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8344F">
              <w:rPr>
                <w:b/>
                <w:sz w:val="20"/>
                <w:szCs w:val="20"/>
              </w:rPr>
              <w:t>čl.I</w:t>
            </w:r>
            <w:proofErr w:type="spellEnd"/>
          </w:p>
          <w:p w14:paraId="5DD4334B" w14:textId="5A9B078D" w:rsidR="008D465B" w:rsidRDefault="008D465B" w:rsidP="008D46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Bod </w:t>
            </w:r>
            <w:r w:rsidR="00DA0E86">
              <w:rPr>
                <w:b/>
                <w:sz w:val="20"/>
                <w:szCs w:val="20"/>
              </w:rPr>
              <w:t>10</w:t>
            </w:r>
          </w:p>
          <w:p w14:paraId="342E822C" w14:textId="040902A7" w:rsidR="0088344F" w:rsidRPr="0088344F" w:rsidRDefault="0088344F" w:rsidP="00F539A9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A9BF" w14:textId="77777777" w:rsidR="0088344F" w:rsidRDefault="0088344F" w:rsidP="0088344F">
            <w:pPr>
              <w:jc w:val="center"/>
              <w:rPr>
                <w:sz w:val="20"/>
                <w:szCs w:val="20"/>
              </w:rPr>
            </w:pPr>
          </w:p>
          <w:p w14:paraId="76DCA2F4" w14:textId="77777777" w:rsidR="008D465B" w:rsidRPr="00BE60CA" w:rsidRDefault="008D465B" w:rsidP="008D465B">
            <w:pPr>
              <w:rPr>
                <w:sz w:val="20"/>
                <w:szCs w:val="20"/>
              </w:rPr>
            </w:pPr>
            <w:r w:rsidRPr="0088344F">
              <w:rPr>
                <w:sz w:val="20"/>
                <w:szCs w:val="20"/>
              </w:rPr>
              <w:t xml:space="preserve">§ </w:t>
            </w:r>
            <w:r w:rsidRPr="00BE60CA">
              <w:rPr>
                <w:sz w:val="20"/>
                <w:szCs w:val="20"/>
              </w:rPr>
              <w:t>71c</w:t>
            </w:r>
          </w:p>
          <w:p w14:paraId="2509A41A" w14:textId="3C5C6CEC" w:rsidR="008D465B" w:rsidRPr="00BE60CA" w:rsidRDefault="008D465B" w:rsidP="008D465B">
            <w:pPr>
              <w:rPr>
                <w:sz w:val="20"/>
                <w:szCs w:val="20"/>
              </w:rPr>
            </w:pPr>
            <w:r w:rsidRPr="00BE60CA">
              <w:rPr>
                <w:sz w:val="20"/>
                <w:szCs w:val="20"/>
              </w:rPr>
              <w:t xml:space="preserve"> O: 2 </w:t>
            </w:r>
          </w:p>
          <w:p w14:paraId="40CB7AB1" w14:textId="788AC084" w:rsidR="008D465B" w:rsidRPr="00BE60CA" w:rsidRDefault="008D465B" w:rsidP="008D465B">
            <w:pPr>
              <w:rPr>
                <w:sz w:val="20"/>
                <w:szCs w:val="20"/>
              </w:rPr>
            </w:pPr>
            <w:r w:rsidRPr="00BE60CA">
              <w:rPr>
                <w:sz w:val="20"/>
                <w:szCs w:val="20"/>
              </w:rPr>
              <w:t xml:space="preserve"> P: e)</w:t>
            </w:r>
          </w:p>
          <w:p w14:paraId="14C3C306" w14:textId="77777777" w:rsidR="0088344F" w:rsidRPr="00BE60CA" w:rsidRDefault="0088344F" w:rsidP="0088344F">
            <w:pPr>
              <w:jc w:val="center"/>
              <w:rPr>
                <w:sz w:val="20"/>
                <w:szCs w:val="20"/>
              </w:rPr>
            </w:pPr>
          </w:p>
          <w:p w14:paraId="60C372D6" w14:textId="77777777" w:rsidR="0088344F" w:rsidRPr="00BE60CA" w:rsidRDefault="0088344F" w:rsidP="0088344F">
            <w:pPr>
              <w:jc w:val="center"/>
              <w:rPr>
                <w:b/>
                <w:sz w:val="20"/>
                <w:szCs w:val="20"/>
              </w:rPr>
            </w:pPr>
          </w:p>
          <w:p w14:paraId="7A172E3A" w14:textId="77777777" w:rsidR="0088344F" w:rsidRPr="00BE60CA" w:rsidRDefault="0088344F" w:rsidP="0088344F">
            <w:pPr>
              <w:jc w:val="center"/>
              <w:rPr>
                <w:b/>
                <w:sz w:val="20"/>
                <w:szCs w:val="20"/>
              </w:rPr>
            </w:pPr>
          </w:p>
          <w:p w14:paraId="5C8B0B8B" w14:textId="77777777" w:rsidR="008D465B" w:rsidRPr="00BE60CA" w:rsidRDefault="008D465B" w:rsidP="0088344F">
            <w:pPr>
              <w:jc w:val="center"/>
              <w:rPr>
                <w:sz w:val="20"/>
                <w:szCs w:val="20"/>
              </w:rPr>
            </w:pPr>
          </w:p>
          <w:p w14:paraId="6CCAB44C" w14:textId="77777777" w:rsidR="008D465B" w:rsidRPr="00BE60CA" w:rsidRDefault="008D465B" w:rsidP="0088344F">
            <w:pPr>
              <w:jc w:val="center"/>
              <w:rPr>
                <w:sz w:val="20"/>
                <w:szCs w:val="20"/>
              </w:rPr>
            </w:pPr>
          </w:p>
          <w:p w14:paraId="230ADB5C" w14:textId="77777777" w:rsidR="007D206B" w:rsidRPr="00BE60CA" w:rsidRDefault="007D206B" w:rsidP="0088344F">
            <w:pPr>
              <w:jc w:val="center"/>
              <w:rPr>
                <w:sz w:val="20"/>
                <w:szCs w:val="20"/>
              </w:rPr>
            </w:pPr>
          </w:p>
          <w:p w14:paraId="6ACD799A" w14:textId="3F39AF67" w:rsidR="008D465B" w:rsidRPr="00BE60CA" w:rsidRDefault="008D465B" w:rsidP="0088344F">
            <w:pPr>
              <w:jc w:val="center"/>
              <w:rPr>
                <w:sz w:val="20"/>
                <w:szCs w:val="20"/>
              </w:rPr>
            </w:pPr>
            <w:r w:rsidRPr="00BE60CA">
              <w:rPr>
                <w:sz w:val="20"/>
                <w:szCs w:val="20"/>
              </w:rPr>
              <w:t xml:space="preserve">§ 71c </w:t>
            </w:r>
          </w:p>
          <w:p w14:paraId="7744968A" w14:textId="0AAEB11E" w:rsidR="0088344F" w:rsidRPr="0088344F" w:rsidRDefault="008D465B" w:rsidP="0088344F">
            <w:pPr>
              <w:jc w:val="center"/>
              <w:rPr>
                <w:b/>
                <w:sz w:val="20"/>
                <w:szCs w:val="20"/>
              </w:rPr>
            </w:pPr>
            <w:r w:rsidRPr="00BE60CA">
              <w:rPr>
                <w:sz w:val="20"/>
                <w:szCs w:val="20"/>
              </w:rPr>
              <w:t>O: 7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D5CD" w14:textId="77777777" w:rsidR="0088344F" w:rsidRPr="007D206B" w:rsidRDefault="0088344F" w:rsidP="00F539A9">
            <w:pPr>
              <w:jc w:val="both"/>
              <w:rPr>
                <w:b/>
                <w:color w:val="0070C0"/>
                <w:sz w:val="20"/>
                <w:szCs w:val="20"/>
              </w:rPr>
            </w:pPr>
          </w:p>
          <w:p w14:paraId="6EFE9522" w14:textId="72EF1374" w:rsidR="00F539A9" w:rsidRPr="007D206B" w:rsidRDefault="00F539A9" w:rsidP="00F539A9">
            <w:pPr>
              <w:jc w:val="both"/>
              <w:rPr>
                <w:b/>
                <w:sz w:val="20"/>
                <w:szCs w:val="20"/>
              </w:rPr>
            </w:pPr>
            <w:r w:rsidRPr="007D206B">
              <w:rPr>
                <w:b/>
                <w:sz w:val="20"/>
                <w:szCs w:val="20"/>
              </w:rPr>
              <w:t>e) významných zdrojov a účinkov rizika koncentrácie vyplývajúceho z expozícií voči centrálnym protistranám a akéhokoľvek významného vplyvu na vlastné zdroje</w:t>
            </w:r>
            <w:r w:rsidR="0088344F" w:rsidRPr="007D206B">
              <w:rPr>
                <w:b/>
                <w:sz w:val="20"/>
                <w:szCs w:val="20"/>
              </w:rPr>
              <w:t>.</w:t>
            </w:r>
          </w:p>
          <w:p w14:paraId="62AAAB0B" w14:textId="77777777" w:rsidR="0088344F" w:rsidRDefault="0088344F" w:rsidP="00F539A9">
            <w:pPr>
              <w:jc w:val="both"/>
              <w:rPr>
                <w:b/>
                <w:color w:val="0070C0"/>
                <w:sz w:val="20"/>
                <w:szCs w:val="20"/>
              </w:rPr>
            </w:pPr>
          </w:p>
          <w:p w14:paraId="4979F639" w14:textId="77777777" w:rsidR="00A8090C" w:rsidRPr="007D206B" w:rsidRDefault="00A8090C" w:rsidP="00F539A9">
            <w:pPr>
              <w:jc w:val="both"/>
              <w:rPr>
                <w:b/>
                <w:color w:val="0070C0"/>
                <w:sz w:val="20"/>
                <w:szCs w:val="20"/>
              </w:rPr>
            </w:pPr>
          </w:p>
          <w:p w14:paraId="23A42841" w14:textId="77777777" w:rsidR="0088344F" w:rsidRPr="007D206B" w:rsidRDefault="0088344F" w:rsidP="00F539A9">
            <w:pPr>
              <w:jc w:val="both"/>
              <w:rPr>
                <w:b/>
                <w:color w:val="0070C0"/>
                <w:sz w:val="20"/>
                <w:szCs w:val="20"/>
              </w:rPr>
            </w:pPr>
          </w:p>
          <w:p w14:paraId="6BA8F9E9" w14:textId="2AB241E9" w:rsidR="0088344F" w:rsidRDefault="0088344F" w:rsidP="0088344F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7D206B">
              <w:rPr>
                <w:b/>
                <w:sz w:val="20"/>
                <w:szCs w:val="20"/>
              </w:rPr>
              <w:t xml:space="preserve">(7) </w:t>
            </w:r>
            <w:bookmarkStart w:id="4" w:name="_Hlk196460616"/>
            <w:r w:rsidR="00596658" w:rsidRPr="00596658">
              <w:rPr>
                <w:b/>
                <w:bCs/>
                <w:noProof/>
                <w:sz w:val="20"/>
                <w:szCs w:val="20"/>
              </w:rPr>
              <w:t>Riadiaci orgán o</w:t>
            </w:r>
            <w:r w:rsidR="00596658" w:rsidRPr="00596658">
              <w:rPr>
                <w:b/>
                <w:bCs/>
                <w:noProof/>
                <w:sz w:val="20"/>
                <w:szCs w:val="20"/>
                <w:shd w:val="clear" w:color="auto" w:fill="FFFFFF"/>
              </w:rPr>
              <w:t>bchodníka s cennými papiermi je povinný</w:t>
            </w:r>
            <w:r w:rsidR="00596658" w:rsidRPr="00596658">
              <w:rPr>
                <w:b/>
                <w:bCs/>
                <w:noProof/>
                <w:sz w:val="20"/>
                <w:szCs w:val="20"/>
              </w:rPr>
              <w:t xml:space="preserve"> na účel odseku 2 písm. e) vypracovať osobitné plány a kvantifikovateľné ciele v súlade s požiadavkami ustanovenými osobitným predpisom</w:t>
            </w:r>
            <w:r w:rsidR="00596658" w:rsidRPr="00596658">
              <w:rPr>
                <w:b/>
                <w:bCs/>
                <w:noProof/>
                <w:sz w:val="20"/>
                <w:szCs w:val="20"/>
                <w:vertAlign w:val="superscript"/>
              </w:rPr>
              <w:t>56acaba</w:t>
            </w:r>
            <w:r w:rsidR="00596658" w:rsidRPr="00596658">
              <w:rPr>
                <w:b/>
                <w:bCs/>
                <w:noProof/>
                <w:sz w:val="20"/>
                <w:szCs w:val="20"/>
              </w:rPr>
              <w:t>) na monitorovanie a riadenie rizika koncentrácie vyplývajúceho z expozícií voči centrálnym protistranám ponúkajúcim služby podstatného systémového významu pre Európsku úniu alebo jeden členský štát alebo viaceré členské štáty</w:t>
            </w:r>
            <w:bookmarkEnd w:id="4"/>
            <w:r w:rsidRPr="00A8090C">
              <w:rPr>
                <w:b/>
                <w:bCs/>
                <w:sz w:val="20"/>
                <w:szCs w:val="20"/>
              </w:rPr>
              <w:t>.</w:t>
            </w:r>
          </w:p>
          <w:p w14:paraId="25EA7A21" w14:textId="77777777" w:rsidR="0090796E" w:rsidRDefault="0090796E" w:rsidP="0088344F">
            <w:pPr>
              <w:spacing w:before="120"/>
              <w:jc w:val="both"/>
              <w:rPr>
                <w:b/>
                <w:sz w:val="20"/>
                <w:szCs w:val="20"/>
              </w:rPr>
            </w:pPr>
          </w:p>
          <w:p w14:paraId="1D50340E" w14:textId="52DAA0C7" w:rsidR="0088344F" w:rsidRPr="007D206B" w:rsidRDefault="0090796E" w:rsidP="00F539A9">
            <w:pPr>
              <w:jc w:val="both"/>
              <w:rPr>
                <w:b/>
                <w:sz w:val="20"/>
                <w:szCs w:val="20"/>
                <w:highlight w:val="yellow"/>
              </w:rPr>
            </w:pPr>
            <w:r w:rsidRPr="0090796E">
              <w:rPr>
                <w:b/>
                <w:bCs/>
                <w:noProof/>
                <w:sz w:val="20"/>
                <w:szCs w:val="20"/>
                <w:shd w:val="clear" w:color="auto" w:fill="FFFFFF"/>
                <w:vertAlign w:val="superscript"/>
              </w:rPr>
              <w:t>56acaba</w:t>
            </w:r>
            <w:r w:rsidRPr="0090796E">
              <w:rPr>
                <w:b/>
                <w:bCs/>
                <w:noProof/>
                <w:sz w:val="20"/>
                <w:szCs w:val="20"/>
                <w:shd w:val="clear" w:color="auto" w:fill="FFFFFF"/>
              </w:rPr>
              <w:t xml:space="preserve">) </w:t>
            </w:r>
            <w:r w:rsidRPr="0012006E">
              <w:rPr>
                <w:b/>
                <w:bCs/>
                <w:noProof/>
                <w:sz w:val="20"/>
                <w:szCs w:val="20"/>
                <w:shd w:val="clear" w:color="auto" w:fill="FFFFFF"/>
              </w:rPr>
              <w:t>Čl. 7a nariadenia (EÚ) č. </w:t>
            </w:r>
            <w:hyperlink r:id="rId21" w:tooltip="Nariadenie Európskeho parlamentu a Rady (EÚ) č. 648/2012 zo 4. júla 2012 o mimoburzových derivátoch, centrálnych protistranách a archívoch obchodných údajov Text s významom pre EHP" w:history="1">
              <w:r w:rsidRPr="0012006E">
                <w:rPr>
                  <w:rStyle w:val="Hypertextovprepojenie"/>
                  <w:b/>
                  <w:bCs/>
                  <w:noProof/>
                  <w:color w:val="auto"/>
                  <w:sz w:val="20"/>
                  <w:szCs w:val="20"/>
                  <w:u w:val="none"/>
                  <w:shd w:val="clear" w:color="auto" w:fill="FFFFFF"/>
                </w:rPr>
                <w:t>648/2012</w:t>
              </w:r>
            </w:hyperlink>
            <w:r w:rsidRPr="0012006E">
              <w:rPr>
                <w:b/>
                <w:bCs/>
                <w:noProof/>
                <w:sz w:val="20"/>
                <w:szCs w:val="20"/>
                <w:shd w:val="clear" w:color="auto" w:fill="FFFFFF"/>
              </w:rPr>
              <w:t> v platnom znení</w:t>
            </w:r>
            <w:r w:rsidRPr="0012006E">
              <w:rPr>
                <w:noProof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F1C9F" w14:textId="77777777" w:rsidR="00F539A9" w:rsidRDefault="00F539A9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148C0">
              <w:rPr>
                <w:color w:val="000000"/>
                <w:sz w:val="20"/>
                <w:szCs w:val="20"/>
              </w:rPr>
              <w:t>Ú</w:t>
            </w:r>
          </w:p>
          <w:p w14:paraId="177432CE" w14:textId="77777777" w:rsidR="00F539A9" w:rsidRDefault="00F539A9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732E35B0" w14:textId="77777777" w:rsidR="00F539A9" w:rsidRDefault="00F539A9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52900B66" w14:textId="77777777" w:rsidR="00F539A9" w:rsidRDefault="00F539A9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05A4B216" w14:textId="77777777" w:rsidR="00F539A9" w:rsidRDefault="00F539A9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2348B4DB" w14:textId="77777777" w:rsidR="00F539A9" w:rsidRDefault="00F539A9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6A1806E3" w14:textId="77777777" w:rsidR="00F539A9" w:rsidRDefault="00F539A9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760FBEF7" w14:textId="77777777" w:rsidR="00F539A9" w:rsidRDefault="00F539A9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7DA099DC" w14:textId="77777777" w:rsidR="00F539A9" w:rsidRDefault="00F539A9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2762C4A7" w14:textId="77777777" w:rsidR="00F539A9" w:rsidRDefault="00F539A9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28E9C3BF" w14:textId="153B84CF" w:rsidR="00F539A9" w:rsidRPr="00D148C0" w:rsidRDefault="00F539A9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734E1" w14:textId="77777777" w:rsidR="00F539A9" w:rsidRPr="00D148C0" w:rsidRDefault="00F539A9" w:rsidP="00F539A9">
            <w:pPr>
              <w:spacing w:before="75" w:after="75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E8461F2" w14:textId="3927835C" w:rsidR="00F539A9" w:rsidRPr="00D148C0" w:rsidRDefault="00F539A9" w:rsidP="00F539A9">
            <w:pPr>
              <w:spacing w:before="75" w:after="75"/>
              <w:rPr>
                <w:color w:val="000000"/>
                <w:sz w:val="20"/>
                <w:szCs w:val="20"/>
              </w:rPr>
            </w:pPr>
            <w:r w:rsidRPr="00D148C0">
              <w:rPr>
                <w:color w:val="000000"/>
                <w:sz w:val="20"/>
                <w:szCs w:val="20"/>
              </w:rPr>
              <w:t>GP - 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7AE6252" w14:textId="77777777" w:rsidR="00F539A9" w:rsidRPr="00D148C0" w:rsidRDefault="00F539A9" w:rsidP="00F539A9">
            <w:pPr>
              <w:spacing w:before="75" w:after="75"/>
              <w:rPr>
                <w:sz w:val="20"/>
                <w:szCs w:val="20"/>
              </w:rPr>
            </w:pPr>
          </w:p>
        </w:tc>
      </w:tr>
      <w:tr w:rsidR="00F539A9" w:rsidRPr="00D148C0" w14:paraId="3E1BE7EB" w14:textId="77777777" w:rsidTr="00FF4B29">
        <w:tc>
          <w:tcPr>
            <w:tcW w:w="68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528B9621" w14:textId="77777777" w:rsidR="00F539A9" w:rsidRPr="00D148C0" w:rsidRDefault="00F539A9" w:rsidP="00F539A9">
            <w:pPr>
              <w:jc w:val="center"/>
              <w:rPr>
                <w:sz w:val="20"/>
                <w:szCs w:val="20"/>
              </w:rPr>
            </w:pPr>
            <w:r w:rsidRPr="00D148C0">
              <w:rPr>
                <w:sz w:val="20"/>
                <w:szCs w:val="20"/>
              </w:rPr>
              <w:lastRenderedPageBreak/>
              <w:t>Č:3</w:t>
            </w:r>
          </w:p>
          <w:p w14:paraId="500B41BC" w14:textId="37AA5C23" w:rsidR="00F539A9" w:rsidRPr="00D148C0" w:rsidRDefault="00F539A9" w:rsidP="00F539A9">
            <w:pPr>
              <w:jc w:val="center"/>
              <w:rPr>
                <w:sz w:val="20"/>
                <w:szCs w:val="20"/>
              </w:rPr>
            </w:pPr>
            <w:r w:rsidRPr="00D148C0">
              <w:rPr>
                <w:sz w:val="20"/>
                <w:szCs w:val="20"/>
              </w:rPr>
              <w:t>O:</w:t>
            </w:r>
            <w:r>
              <w:rPr>
                <w:sz w:val="20"/>
                <w:szCs w:val="20"/>
              </w:rPr>
              <w:t>4</w:t>
            </w:r>
          </w:p>
          <w:p w14:paraId="4E51B832" w14:textId="77777777" w:rsidR="00F539A9" w:rsidRPr="00D148C0" w:rsidRDefault="00F539A9" w:rsidP="00F53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9"/>
              <w:gridCol w:w="4205"/>
            </w:tblGrid>
            <w:tr w:rsidR="00F539A9" w:rsidRPr="00456B55" w14:paraId="1EECC1EE" w14:textId="77777777" w:rsidTr="00456B55">
              <w:tc>
                <w:tcPr>
                  <w:tcW w:w="329" w:type="dxa"/>
                  <w:shd w:val="clear" w:color="auto" w:fill="FFFFFF"/>
                  <w:hideMark/>
                </w:tcPr>
                <w:p w14:paraId="11CEF335" w14:textId="77777777" w:rsidR="00F539A9" w:rsidRPr="00456B55" w:rsidRDefault="00F539A9" w:rsidP="00F539A9">
                  <w:pPr>
                    <w:autoSpaceDE/>
                    <w:autoSpaceDN/>
                    <w:spacing w:before="12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456B55">
                    <w:rPr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4205" w:type="dxa"/>
                  <w:shd w:val="clear" w:color="auto" w:fill="FFFFFF"/>
                  <w:hideMark/>
                </w:tcPr>
                <w:p w14:paraId="4B54FEC3" w14:textId="77777777" w:rsidR="00F539A9" w:rsidRPr="00456B55" w:rsidRDefault="00F539A9" w:rsidP="00F539A9">
                  <w:pPr>
                    <w:autoSpaceDE/>
                    <w:autoSpaceDN/>
                    <w:spacing w:before="12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456B55">
                    <w:rPr>
                      <w:color w:val="000000"/>
                      <w:sz w:val="20"/>
                      <w:szCs w:val="20"/>
                    </w:rPr>
                    <w:t xml:space="preserve">V článku 36 ods. 1 sa dopĺňa tento </w:t>
                  </w:r>
                  <w:proofErr w:type="spellStart"/>
                  <w:r w:rsidRPr="00456B55">
                    <w:rPr>
                      <w:color w:val="000000"/>
                      <w:sz w:val="20"/>
                      <w:szCs w:val="20"/>
                    </w:rPr>
                    <w:t>pododsek</w:t>
                  </w:r>
                  <w:proofErr w:type="spellEnd"/>
                  <w:r w:rsidRPr="00456B55">
                    <w:rPr>
                      <w:color w:val="000000"/>
                      <w:sz w:val="20"/>
                      <w:szCs w:val="20"/>
                    </w:rPr>
                    <w:t>:</w:t>
                  </w:r>
                </w:p>
                <w:p w14:paraId="16BE55C2" w14:textId="77777777" w:rsidR="00F539A9" w:rsidRPr="00456B55" w:rsidRDefault="00F539A9" w:rsidP="00F539A9">
                  <w:pPr>
                    <w:autoSpaceDE/>
                    <w:autoSpaceDN/>
                    <w:spacing w:before="12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456B55">
                    <w:rPr>
                      <w:color w:val="000000"/>
                      <w:sz w:val="20"/>
                      <w:szCs w:val="20"/>
                    </w:rPr>
                    <w:t xml:space="preserve">„Na účely prvého </w:t>
                  </w:r>
                  <w:proofErr w:type="spellStart"/>
                  <w:r w:rsidRPr="00456B55">
                    <w:rPr>
                      <w:color w:val="000000"/>
                      <w:sz w:val="20"/>
                      <w:szCs w:val="20"/>
                    </w:rPr>
                    <w:t>pododseku</w:t>
                  </w:r>
                  <w:proofErr w:type="spellEnd"/>
                  <w:r w:rsidRPr="00456B55">
                    <w:rPr>
                      <w:color w:val="000000"/>
                      <w:sz w:val="20"/>
                      <w:szCs w:val="20"/>
                    </w:rPr>
                    <w:t xml:space="preserve"> písmena a) príslušné orgány posudzujú a monitorujú vývoj postupov investičných spoločností týkajúcich sa riadenia ich rizika koncentrácie vyplývajúceho z expozícií voči centrálnym protistranám vrátane plánov vypracovaných v súlade s článkom 29 ods. 1 tejto smernice, ako aj pokrok dosiahnutý pri prispôsobovaní ich obchodných modelov požiadavkám stanoveným v článku 7a nariadenia (EÚ) č. 648/2012.“</w:t>
                  </w:r>
                </w:p>
              </w:tc>
            </w:tr>
          </w:tbl>
          <w:p w14:paraId="3014279D" w14:textId="77777777" w:rsidR="00F539A9" w:rsidRPr="00D148C0" w:rsidRDefault="00F539A9" w:rsidP="00F539A9">
            <w:pPr>
              <w:pStyle w:val="oj-normal"/>
              <w:shd w:val="clear" w:color="auto" w:fill="FFFFFF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0407686" w14:textId="65FBDC9B" w:rsidR="00F539A9" w:rsidRPr="00D148C0" w:rsidRDefault="00F539A9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7F76F1A" w14:textId="77777777" w:rsidR="007D206B" w:rsidRPr="00F9397B" w:rsidRDefault="007D206B" w:rsidP="007D206B">
            <w:pPr>
              <w:jc w:val="center"/>
              <w:rPr>
                <w:b/>
                <w:sz w:val="20"/>
                <w:szCs w:val="20"/>
              </w:rPr>
            </w:pPr>
            <w:r w:rsidRPr="00F9397B">
              <w:rPr>
                <w:b/>
                <w:sz w:val="20"/>
                <w:szCs w:val="20"/>
              </w:rPr>
              <w:t>návrh zákona</w:t>
            </w:r>
          </w:p>
          <w:p w14:paraId="2A6E1BA7" w14:textId="77777777" w:rsidR="007D206B" w:rsidRPr="00F9397B" w:rsidRDefault="007D206B" w:rsidP="007D206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9397B">
              <w:rPr>
                <w:b/>
                <w:sz w:val="20"/>
                <w:szCs w:val="20"/>
              </w:rPr>
              <w:t>čl.I</w:t>
            </w:r>
            <w:proofErr w:type="spellEnd"/>
          </w:p>
          <w:p w14:paraId="140FA6E8" w14:textId="405AE7A3" w:rsidR="00F539A9" w:rsidRPr="00F9397B" w:rsidRDefault="007D206B" w:rsidP="007D206B">
            <w:pPr>
              <w:rPr>
                <w:sz w:val="20"/>
                <w:szCs w:val="20"/>
                <w:highlight w:val="yellow"/>
              </w:rPr>
            </w:pPr>
            <w:r w:rsidRPr="00F9397B">
              <w:rPr>
                <w:b/>
                <w:sz w:val="20"/>
                <w:szCs w:val="20"/>
              </w:rPr>
              <w:t xml:space="preserve"> </w:t>
            </w:r>
            <w:r w:rsidR="00245E37" w:rsidRPr="00F9397B">
              <w:rPr>
                <w:b/>
                <w:sz w:val="20"/>
                <w:szCs w:val="20"/>
              </w:rPr>
              <w:t xml:space="preserve"> </w:t>
            </w:r>
            <w:r w:rsidRPr="00F9397B">
              <w:rPr>
                <w:b/>
                <w:sz w:val="20"/>
                <w:szCs w:val="20"/>
              </w:rPr>
              <w:t xml:space="preserve">Bod </w:t>
            </w:r>
            <w:r w:rsidR="00BE60CA" w:rsidRPr="00F9397B">
              <w:rPr>
                <w:b/>
                <w:sz w:val="20"/>
                <w:szCs w:val="20"/>
              </w:rPr>
              <w:t>2</w:t>
            </w:r>
            <w:r w:rsidR="00A8090C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B904" w14:textId="77777777" w:rsidR="00245E37" w:rsidRPr="00F9397B" w:rsidRDefault="007D206B" w:rsidP="007D206B">
            <w:pPr>
              <w:jc w:val="center"/>
              <w:rPr>
                <w:sz w:val="20"/>
                <w:szCs w:val="20"/>
              </w:rPr>
            </w:pPr>
            <w:r w:rsidRPr="00F9397B">
              <w:rPr>
                <w:sz w:val="20"/>
                <w:szCs w:val="20"/>
              </w:rPr>
              <w:t xml:space="preserve">§ 135 </w:t>
            </w:r>
          </w:p>
          <w:p w14:paraId="560FDFFE" w14:textId="0BD94715" w:rsidR="007D206B" w:rsidRPr="00F9397B" w:rsidRDefault="00245E37" w:rsidP="007D206B">
            <w:pPr>
              <w:jc w:val="center"/>
              <w:rPr>
                <w:sz w:val="20"/>
                <w:szCs w:val="20"/>
              </w:rPr>
            </w:pPr>
            <w:r w:rsidRPr="00F9397B">
              <w:rPr>
                <w:sz w:val="20"/>
                <w:szCs w:val="20"/>
              </w:rPr>
              <w:t>O:</w:t>
            </w:r>
            <w:r w:rsidR="007D206B" w:rsidRPr="00F9397B">
              <w:rPr>
                <w:sz w:val="20"/>
                <w:szCs w:val="20"/>
              </w:rPr>
              <w:t xml:space="preserve"> 9</w:t>
            </w:r>
          </w:p>
          <w:p w14:paraId="3782DCE9" w14:textId="29FF7250" w:rsidR="00F539A9" w:rsidRPr="00F9397B" w:rsidRDefault="00F539A9" w:rsidP="00F539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71C7" w14:textId="16BA61A1" w:rsidR="00BD11BF" w:rsidRPr="00F9397B" w:rsidRDefault="00BD11BF" w:rsidP="00BD11BF">
            <w:pPr>
              <w:spacing w:before="120"/>
              <w:jc w:val="both"/>
              <w:rPr>
                <w:b/>
                <w:color w:val="0070C0"/>
                <w:sz w:val="20"/>
                <w:szCs w:val="20"/>
              </w:rPr>
            </w:pPr>
            <w:r w:rsidRPr="00F9397B">
              <w:rPr>
                <w:b/>
                <w:sz w:val="20"/>
                <w:szCs w:val="20"/>
              </w:rPr>
              <w:t xml:space="preserve">(9) </w:t>
            </w:r>
            <w:bookmarkStart w:id="5" w:name="_Hlk196461397"/>
            <w:r w:rsidR="00A8090C" w:rsidRPr="00A8090C">
              <w:rPr>
                <w:b/>
                <w:bCs/>
                <w:noProof/>
                <w:sz w:val="20"/>
                <w:szCs w:val="20"/>
              </w:rPr>
              <w:t>Národná banka Slovenska posudzuje a monitoruje vývoj postupov obchodníka s cennými papiermi, ktoré sa týkajú riadenia jeho rizika koncentrácie vyplývajúceho z expozícií voči centrálnym protistranám, vrátane plánov vypracovaných v súlade s § 71c ods. 2 písm. e), ako aj pokrok dosiahnutý prispôsobovaním jeho obchodných modelov požiadavkám ustanoveným osobitným predpisom</w:t>
            </w:r>
            <w:bookmarkEnd w:id="5"/>
            <w:r w:rsidRPr="00F9397B">
              <w:rPr>
                <w:b/>
                <w:sz w:val="20"/>
                <w:szCs w:val="20"/>
              </w:rPr>
              <w:t>.</w:t>
            </w:r>
            <w:r w:rsidRPr="00F9397B">
              <w:rPr>
                <w:b/>
                <w:sz w:val="20"/>
                <w:szCs w:val="20"/>
                <w:vertAlign w:val="superscript"/>
              </w:rPr>
              <w:t>56ac</w:t>
            </w:r>
            <w:r w:rsidR="004C7B89" w:rsidRPr="00F9397B">
              <w:rPr>
                <w:b/>
                <w:sz w:val="20"/>
                <w:szCs w:val="20"/>
                <w:vertAlign w:val="superscript"/>
              </w:rPr>
              <w:t>a</w:t>
            </w:r>
            <w:r w:rsidRPr="00F9397B">
              <w:rPr>
                <w:b/>
                <w:sz w:val="20"/>
                <w:szCs w:val="20"/>
                <w:vertAlign w:val="superscript"/>
              </w:rPr>
              <w:t>b</w:t>
            </w:r>
            <w:r w:rsidR="004C7B89" w:rsidRPr="00F9397B">
              <w:rPr>
                <w:b/>
                <w:sz w:val="20"/>
                <w:szCs w:val="20"/>
                <w:vertAlign w:val="superscript"/>
              </w:rPr>
              <w:t>a</w:t>
            </w:r>
            <w:r w:rsidRPr="00F9397B">
              <w:rPr>
                <w:b/>
                <w:sz w:val="20"/>
                <w:szCs w:val="20"/>
              </w:rPr>
              <w:t xml:space="preserve">) </w:t>
            </w:r>
          </w:p>
          <w:p w14:paraId="36B6B263" w14:textId="77777777" w:rsidR="00F539A9" w:rsidRDefault="00F539A9" w:rsidP="00F539A9">
            <w:pPr>
              <w:jc w:val="both"/>
              <w:rPr>
                <w:b/>
                <w:sz w:val="20"/>
                <w:szCs w:val="20"/>
                <w:highlight w:val="yellow"/>
              </w:rPr>
            </w:pPr>
          </w:p>
          <w:p w14:paraId="3261AD30" w14:textId="19E64D2E" w:rsidR="0090796E" w:rsidRPr="0090796E" w:rsidRDefault="0090796E" w:rsidP="00F539A9">
            <w:pPr>
              <w:jc w:val="both"/>
              <w:rPr>
                <w:b/>
                <w:sz w:val="20"/>
                <w:szCs w:val="20"/>
                <w:highlight w:val="yellow"/>
              </w:rPr>
            </w:pPr>
            <w:r w:rsidRPr="0090796E">
              <w:rPr>
                <w:b/>
                <w:bCs/>
                <w:noProof/>
                <w:sz w:val="20"/>
                <w:szCs w:val="20"/>
                <w:shd w:val="clear" w:color="auto" w:fill="FFFFFF"/>
                <w:vertAlign w:val="superscript"/>
              </w:rPr>
              <w:t>56acaba</w:t>
            </w:r>
            <w:r w:rsidRPr="0090796E">
              <w:rPr>
                <w:b/>
                <w:bCs/>
                <w:noProof/>
                <w:sz w:val="20"/>
                <w:szCs w:val="20"/>
                <w:shd w:val="clear" w:color="auto" w:fill="FFFFFF"/>
              </w:rPr>
              <w:t>) Čl. 7a nariadenia (EÚ) č. </w:t>
            </w:r>
            <w:hyperlink r:id="rId22" w:tooltip="Nariadenie Európskeho parlamentu a Rady (EÚ) č. 648/2012 zo 4. júla 2012 o mimoburzových derivátoch, centrálnych protistranách a archívoch obchodných údajov Text s významom pre EHP" w:history="1">
              <w:r w:rsidRPr="0090796E">
                <w:rPr>
                  <w:rStyle w:val="Hypertextovprepojenie"/>
                  <w:b/>
                  <w:bCs/>
                  <w:noProof/>
                  <w:color w:val="auto"/>
                  <w:sz w:val="20"/>
                  <w:szCs w:val="20"/>
                  <w:u w:val="none"/>
                  <w:shd w:val="clear" w:color="auto" w:fill="FFFFFF"/>
                </w:rPr>
                <w:t>648/2012</w:t>
              </w:r>
            </w:hyperlink>
            <w:r w:rsidRPr="0090796E">
              <w:rPr>
                <w:b/>
                <w:bCs/>
                <w:noProof/>
                <w:sz w:val="20"/>
                <w:szCs w:val="20"/>
                <w:shd w:val="clear" w:color="auto" w:fill="FFFFFF"/>
              </w:rPr>
              <w:t> v platnom znení</w:t>
            </w:r>
            <w:r w:rsidRPr="0090796E">
              <w:rPr>
                <w:noProof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DDC68" w14:textId="2CEFA821" w:rsidR="00F539A9" w:rsidRPr="00F9397B" w:rsidRDefault="00F539A9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9397B">
              <w:rPr>
                <w:color w:val="000000"/>
                <w:sz w:val="20"/>
                <w:szCs w:val="20"/>
              </w:rPr>
              <w:t>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D770C" w14:textId="77777777" w:rsidR="00F539A9" w:rsidRPr="00F9397B" w:rsidRDefault="00F539A9" w:rsidP="00F539A9">
            <w:pPr>
              <w:spacing w:before="75" w:after="75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90CC519" w14:textId="0111D22F" w:rsidR="00F539A9" w:rsidRPr="00F9397B" w:rsidRDefault="00F539A9" w:rsidP="00F539A9">
            <w:pPr>
              <w:spacing w:before="75" w:after="75"/>
              <w:rPr>
                <w:color w:val="000000"/>
                <w:sz w:val="20"/>
                <w:szCs w:val="20"/>
              </w:rPr>
            </w:pPr>
            <w:r w:rsidRPr="00F9397B">
              <w:rPr>
                <w:color w:val="000000"/>
                <w:sz w:val="20"/>
                <w:szCs w:val="20"/>
              </w:rPr>
              <w:t>GP - 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9F243B2" w14:textId="77777777" w:rsidR="00F539A9" w:rsidRPr="00D148C0" w:rsidRDefault="00F539A9" w:rsidP="00F539A9">
            <w:pPr>
              <w:spacing w:before="75" w:after="75"/>
              <w:rPr>
                <w:sz w:val="20"/>
                <w:szCs w:val="20"/>
              </w:rPr>
            </w:pPr>
          </w:p>
        </w:tc>
      </w:tr>
      <w:tr w:rsidR="00F539A9" w:rsidRPr="00D148C0" w14:paraId="1C5D5753" w14:textId="77777777" w:rsidTr="00FF4B29">
        <w:tc>
          <w:tcPr>
            <w:tcW w:w="68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D9D76D8" w14:textId="77777777" w:rsidR="00F539A9" w:rsidRPr="00D148C0" w:rsidRDefault="00F539A9" w:rsidP="00F539A9">
            <w:pPr>
              <w:jc w:val="center"/>
              <w:rPr>
                <w:sz w:val="20"/>
                <w:szCs w:val="20"/>
              </w:rPr>
            </w:pPr>
            <w:r w:rsidRPr="00D148C0">
              <w:rPr>
                <w:sz w:val="20"/>
                <w:szCs w:val="20"/>
              </w:rPr>
              <w:t>Č:3</w:t>
            </w:r>
          </w:p>
          <w:p w14:paraId="3CE504ED" w14:textId="074C6D45" w:rsidR="00F539A9" w:rsidRPr="00D148C0" w:rsidRDefault="00F539A9" w:rsidP="00F539A9">
            <w:pPr>
              <w:jc w:val="center"/>
              <w:rPr>
                <w:sz w:val="20"/>
                <w:szCs w:val="20"/>
              </w:rPr>
            </w:pPr>
            <w:r w:rsidRPr="00D148C0">
              <w:rPr>
                <w:sz w:val="20"/>
                <w:szCs w:val="20"/>
              </w:rPr>
              <w:t>O:</w:t>
            </w:r>
            <w:r>
              <w:rPr>
                <w:sz w:val="20"/>
                <w:szCs w:val="20"/>
              </w:rPr>
              <w:t>5</w:t>
            </w:r>
          </w:p>
          <w:p w14:paraId="231A4119" w14:textId="77777777" w:rsidR="00F539A9" w:rsidRPr="00D148C0" w:rsidRDefault="00F539A9" w:rsidP="00F53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9"/>
              <w:gridCol w:w="4205"/>
            </w:tblGrid>
            <w:tr w:rsidR="00F539A9" w:rsidRPr="00456B55" w14:paraId="1EAE3EEE" w14:textId="77777777" w:rsidTr="00456B55">
              <w:tc>
                <w:tcPr>
                  <w:tcW w:w="329" w:type="dxa"/>
                  <w:shd w:val="clear" w:color="auto" w:fill="FFFFFF"/>
                  <w:hideMark/>
                </w:tcPr>
                <w:p w14:paraId="5B90B671" w14:textId="77777777" w:rsidR="00F539A9" w:rsidRPr="00456B55" w:rsidRDefault="00F539A9" w:rsidP="00F539A9">
                  <w:pPr>
                    <w:autoSpaceDE/>
                    <w:autoSpaceDN/>
                    <w:spacing w:before="12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456B55">
                    <w:rPr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4205" w:type="dxa"/>
                  <w:shd w:val="clear" w:color="auto" w:fill="FFFFFF"/>
                  <w:hideMark/>
                </w:tcPr>
                <w:p w14:paraId="59B40622" w14:textId="77777777" w:rsidR="00F539A9" w:rsidRPr="00456B55" w:rsidRDefault="00F539A9" w:rsidP="00F539A9">
                  <w:pPr>
                    <w:autoSpaceDE/>
                    <w:autoSpaceDN/>
                    <w:spacing w:before="12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456B55">
                    <w:rPr>
                      <w:color w:val="000000"/>
                      <w:sz w:val="20"/>
                      <w:szCs w:val="20"/>
                    </w:rPr>
                    <w:t>V článku 39 sa odsek 2 mení takto:</w:t>
                  </w:r>
                </w:p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7"/>
                    <w:gridCol w:w="3918"/>
                  </w:tblGrid>
                  <w:tr w:rsidR="00F539A9" w:rsidRPr="00456B55" w14:paraId="480601F1" w14:textId="77777777" w:rsidTr="00456B55">
                    <w:tc>
                      <w:tcPr>
                        <w:tcW w:w="287" w:type="dxa"/>
                        <w:shd w:val="clear" w:color="auto" w:fill="auto"/>
                        <w:hideMark/>
                      </w:tcPr>
                      <w:p w14:paraId="6A5C3492" w14:textId="77777777" w:rsidR="00F539A9" w:rsidRPr="00456B55" w:rsidRDefault="00F539A9" w:rsidP="00F539A9">
                        <w:pPr>
                          <w:autoSpaceDE/>
                          <w:autoSpaceDN/>
                          <w:spacing w:before="12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456B55">
                          <w:rPr>
                            <w:sz w:val="20"/>
                            <w:szCs w:val="20"/>
                          </w:rPr>
                          <w:t>a)</w:t>
                        </w:r>
                      </w:p>
                    </w:tc>
                    <w:tc>
                      <w:tcPr>
                        <w:tcW w:w="3918" w:type="dxa"/>
                        <w:shd w:val="clear" w:color="auto" w:fill="auto"/>
                        <w:hideMark/>
                      </w:tcPr>
                      <w:p w14:paraId="6E59A64B" w14:textId="77777777" w:rsidR="00F539A9" w:rsidRPr="00456B55" w:rsidRDefault="00F539A9" w:rsidP="00F539A9">
                        <w:pPr>
                          <w:autoSpaceDE/>
                          <w:autoSpaceDN/>
                          <w:spacing w:before="12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456B55">
                          <w:rPr>
                            <w:sz w:val="20"/>
                            <w:szCs w:val="20"/>
                          </w:rPr>
                          <w:t>úvodné slová sa nahrádzajú takto:</w:t>
                        </w:r>
                      </w:p>
                      <w:p w14:paraId="38985BC9" w14:textId="76A1B301" w:rsidR="00F539A9" w:rsidRPr="00456B55" w:rsidRDefault="00F539A9" w:rsidP="00F539A9">
                        <w:pPr>
                          <w:autoSpaceDE/>
                          <w:autoSpaceDN/>
                          <w:spacing w:before="12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456B55">
                          <w:rPr>
                            <w:sz w:val="20"/>
                            <w:szCs w:val="20"/>
                          </w:rPr>
                          <w:t>„Príslušné orgány majú na účely článku 29, článku 36, článku 37 ods. 3 a článku 38 tejto smernice a na účely uplatňovania nariadenia (EÚ) 2019/2033 aspoň tieto právomoci:“;</w:t>
                        </w:r>
                      </w:p>
                    </w:tc>
                  </w:tr>
                </w:tbl>
                <w:p w14:paraId="29854D33" w14:textId="77777777" w:rsidR="00F539A9" w:rsidRPr="00456B55" w:rsidRDefault="00F539A9" w:rsidP="00F539A9">
                  <w:pPr>
                    <w:autoSpaceDE/>
                    <w:autoSpaceDN/>
                    <w:rPr>
                      <w:vanish/>
                      <w:color w:val="000000"/>
                      <w:sz w:val="20"/>
                      <w:szCs w:val="20"/>
                    </w:rPr>
                  </w:pPr>
                </w:p>
                <w:p w14:paraId="290E2500" w14:textId="77777777" w:rsidR="00F539A9" w:rsidRPr="00456B55" w:rsidRDefault="00F539A9" w:rsidP="00F539A9">
                  <w:pPr>
                    <w:autoSpaceDE/>
                    <w:autoSpaceDN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59DC7DB" w14:textId="77777777" w:rsidR="00F539A9" w:rsidRDefault="00F539A9" w:rsidP="00F539A9">
            <w:pPr>
              <w:pStyle w:val="oj-normal"/>
              <w:shd w:val="clear" w:color="auto" w:fill="FFFFFF"/>
              <w:rPr>
                <w:b/>
                <w:sz w:val="20"/>
                <w:szCs w:val="20"/>
                <w:shd w:val="clear" w:color="auto" w:fill="FFFFFF"/>
              </w:rPr>
            </w:pPr>
          </w:p>
          <w:p w14:paraId="16C01F7E" w14:textId="77777777" w:rsidR="00D31DCE" w:rsidRDefault="00D31DCE" w:rsidP="00F539A9">
            <w:pPr>
              <w:pStyle w:val="oj-normal"/>
              <w:shd w:val="clear" w:color="auto" w:fill="FFFFFF"/>
              <w:rPr>
                <w:b/>
                <w:sz w:val="20"/>
                <w:szCs w:val="20"/>
                <w:shd w:val="clear" w:color="auto" w:fill="FFFFFF"/>
              </w:rPr>
            </w:pPr>
          </w:p>
          <w:p w14:paraId="7319E64F" w14:textId="77777777" w:rsidR="00D31DCE" w:rsidRDefault="00D31DCE" w:rsidP="00F539A9">
            <w:pPr>
              <w:pStyle w:val="oj-normal"/>
              <w:shd w:val="clear" w:color="auto" w:fill="FFFFFF"/>
              <w:rPr>
                <w:b/>
                <w:sz w:val="20"/>
                <w:szCs w:val="20"/>
                <w:shd w:val="clear" w:color="auto" w:fill="FFFFFF"/>
              </w:rPr>
            </w:pPr>
          </w:p>
          <w:p w14:paraId="138FEEB7" w14:textId="77777777" w:rsidR="00D31DCE" w:rsidRDefault="00D31DCE" w:rsidP="00F539A9">
            <w:pPr>
              <w:pStyle w:val="oj-normal"/>
              <w:shd w:val="clear" w:color="auto" w:fill="FFFFFF"/>
              <w:rPr>
                <w:b/>
                <w:sz w:val="20"/>
                <w:szCs w:val="20"/>
                <w:shd w:val="clear" w:color="auto" w:fill="FFFFFF"/>
              </w:rPr>
            </w:pPr>
          </w:p>
          <w:p w14:paraId="790053FC" w14:textId="77777777" w:rsidR="00D31DCE" w:rsidRDefault="00D31DCE" w:rsidP="00F539A9">
            <w:pPr>
              <w:pStyle w:val="oj-normal"/>
              <w:shd w:val="clear" w:color="auto" w:fill="FFFFFF"/>
              <w:rPr>
                <w:b/>
                <w:sz w:val="20"/>
                <w:szCs w:val="20"/>
                <w:shd w:val="clear" w:color="auto" w:fill="FFFFFF"/>
              </w:rPr>
            </w:pPr>
          </w:p>
          <w:p w14:paraId="40D96B7E" w14:textId="77777777" w:rsidR="00D31DCE" w:rsidRDefault="00D31DCE" w:rsidP="00F539A9">
            <w:pPr>
              <w:pStyle w:val="oj-normal"/>
              <w:shd w:val="clear" w:color="auto" w:fill="FFFFFF"/>
              <w:rPr>
                <w:b/>
                <w:sz w:val="20"/>
                <w:szCs w:val="20"/>
                <w:shd w:val="clear" w:color="auto" w:fill="FFFFFF"/>
              </w:rPr>
            </w:pPr>
          </w:p>
          <w:p w14:paraId="714B0192" w14:textId="77777777" w:rsidR="00D31DCE" w:rsidRDefault="00D31DCE" w:rsidP="00F539A9">
            <w:pPr>
              <w:pStyle w:val="oj-normal"/>
              <w:shd w:val="clear" w:color="auto" w:fill="FFFFFF"/>
              <w:rPr>
                <w:b/>
                <w:sz w:val="20"/>
                <w:szCs w:val="20"/>
                <w:shd w:val="clear" w:color="auto" w:fill="FFFFFF"/>
              </w:rPr>
            </w:pPr>
          </w:p>
          <w:p w14:paraId="5E8C5456" w14:textId="07D06C13" w:rsidR="00D31DCE" w:rsidRDefault="00D31DCE" w:rsidP="00F539A9">
            <w:pPr>
              <w:pStyle w:val="oj-normal"/>
              <w:shd w:val="clear" w:color="auto" w:fill="FFFFFF"/>
              <w:rPr>
                <w:b/>
                <w:sz w:val="20"/>
                <w:szCs w:val="20"/>
                <w:shd w:val="clear" w:color="auto" w:fill="FFFFFF"/>
              </w:rPr>
            </w:pPr>
          </w:p>
          <w:p w14:paraId="61CEBF89" w14:textId="77777777" w:rsidR="00D31DCE" w:rsidRDefault="00D31DCE" w:rsidP="00F539A9">
            <w:pPr>
              <w:pStyle w:val="oj-normal"/>
              <w:shd w:val="clear" w:color="auto" w:fill="FFFFFF"/>
              <w:rPr>
                <w:b/>
                <w:sz w:val="20"/>
                <w:szCs w:val="20"/>
                <w:shd w:val="clear" w:color="auto" w:fill="FFFFFF"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9"/>
              <w:gridCol w:w="4225"/>
            </w:tblGrid>
            <w:tr w:rsidR="00D31DCE" w:rsidRPr="00456B55" w14:paraId="749361CC" w14:textId="77777777" w:rsidTr="005E3A1F">
              <w:tc>
                <w:tcPr>
                  <w:tcW w:w="287" w:type="dxa"/>
                  <w:shd w:val="clear" w:color="auto" w:fill="auto"/>
                  <w:hideMark/>
                </w:tcPr>
                <w:p w14:paraId="7C3E516A" w14:textId="77777777" w:rsidR="00D31DCE" w:rsidRPr="00456B55" w:rsidRDefault="00D31DCE" w:rsidP="00D31DCE">
                  <w:pPr>
                    <w:autoSpaceDE/>
                    <w:autoSpaceDN/>
                    <w:spacing w:before="120"/>
                    <w:jc w:val="both"/>
                    <w:rPr>
                      <w:sz w:val="20"/>
                      <w:szCs w:val="20"/>
                    </w:rPr>
                  </w:pPr>
                  <w:r w:rsidRPr="00456B55">
                    <w:rPr>
                      <w:sz w:val="20"/>
                      <w:szCs w:val="20"/>
                    </w:rPr>
                    <w:lastRenderedPageBreak/>
                    <w:t>b)</w:t>
                  </w:r>
                </w:p>
              </w:tc>
              <w:tc>
                <w:tcPr>
                  <w:tcW w:w="3918" w:type="dxa"/>
                  <w:shd w:val="clear" w:color="auto" w:fill="auto"/>
                  <w:hideMark/>
                </w:tcPr>
                <w:p w14:paraId="7DC647EA" w14:textId="77777777" w:rsidR="00D31DCE" w:rsidRPr="00456B55" w:rsidRDefault="00D31DCE" w:rsidP="00D31DCE">
                  <w:pPr>
                    <w:autoSpaceDE/>
                    <w:autoSpaceDN/>
                    <w:spacing w:before="120"/>
                    <w:jc w:val="both"/>
                    <w:rPr>
                      <w:sz w:val="20"/>
                      <w:szCs w:val="20"/>
                    </w:rPr>
                  </w:pPr>
                  <w:r w:rsidRPr="00456B55">
                    <w:rPr>
                      <w:sz w:val="20"/>
                      <w:szCs w:val="20"/>
                    </w:rPr>
                    <w:t>dopĺňa sa toto písmeno:</w:t>
                  </w:r>
                </w:p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7"/>
                    <w:gridCol w:w="3768"/>
                  </w:tblGrid>
                  <w:tr w:rsidR="00D31DCE" w:rsidRPr="00456B55" w14:paraId="0B9DAED5" w14:textId="77777777" w:rsidTr="005E3A1F">
                    <w:tc>
                      <w:tcPr>
                        <w:tcW w:w="424" w:type="dxa"/>
                        <w:shd w:val="clear" w:color="auto" w:fill="auto"/>
                        <w:hideMark/>
                      </w:tcPr>
                      <w:p w14:paraId="3AC1D851" w14:textId="77777777" w:rsidR="00D31DCE" w:rsidRPr="00456B55" w:rsidRDefault="00D31DCE" w:rsidP="00D31DCE">
                        <w:pPr>
                          <w:autoSpaceDE/>
                          <w:autoSpaceDN/>
                          <w:spacing w:before="12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456B55">
                          <w:rPr>
                            <w:sz w:val="20"/>
                            <w:szCs w:val="20"/>
                          </w:rPr>
                          <w:t>„n)</w:t>
                        </w:r>
                      </w:p>
                    </w:tc>
                    <w:tc>
                      <w:tcPr>
                        <w:tcW w:w="3494" w:type="dxa"/>
                        <w:shd w:val="clear" w:color="auto" w:fill="auto"/>
                        <w:hideMark/>
                      </w:tcPr>
                      <w:p w14:paraId="39945C17" w14:textId="77777777" w:rsidR="00D31DCE" w:rsidRPr="00456B55" w:rsidRDefault="00D31DCE" w:rsidP="00D31DCE">
                        <w:pPr>
                          <w:autoSpaceDE/>
                          <w:autoSpaceDN/>
                          <w:spacing w:before="12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456B55">
                          <w:rPr>
                            <w:sz w:val="20"/>
                            <w:szCs w:val="20"/>
                          </w:rPr>
                          <w:t>„požadovať od investičných spoločností, aby znížili expozície voči centrálnej protistrane alebo aby opätovne preskupili expozície na všetkých svojich zúčtovacích účtoch v súlade s článkom 7a nariadenia (EÚ) č. 648/2012, ak sa príslušný orgán domnieva, že existuje nadmerné riziko koncentrácie vyplývajúce z expozícií voči tejto centrálnej protistrane.“</w:t>
                        </w:r>
                      </w:p>
                    </w:tc>
                  </w:tr>
                </w:tbl>
                <w:p w14:paraId="3B48D801" w14:textId="77777777" w:rsidR="00D31DCE" w:rsidRPr="00456B55" w:rsidRDefault="00D31DCE" w:rsidP="00D31DCE">
                  <w:pPr>
                    <w:autoSpaceDE/>
                    <w:autoSpaceDN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A82B8BD" w14:textId="77777777" w:rsidR="00D31DCE" w:rsidRDefault="00D31DCE" w:rsidP="00F539A9">
            <w:pPr>
              <w:pStyle w:val="oj-normal"/>
              <w:shd w:val="clear" w:color="auto" w:fill="FFFFFF"/>
              <w:rPr>
                <w:b/>
                <w:sz w:val="20"/>
                <w:szCs w:val="20"/>
                <w:shd w:val="clear" w:color="auto" w:fill="FFFFFF"/>
              </w:rPr>
            </w:pPr>
          </w:p>
          <w:p w14:paraId="414020DE" w14:textId="25932F1A" w:rsidR="00D31DCE" w:rsidRPr="00D148C0" w:rsidRDefault="00D31DCE" w:rsidP="00F539A9">
            <w:pPr>
              <w:pStyle w:val="oj-normal"/>
              <w:shd w:val="clear" w:color="auto" w:fill="FFFFFF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439B4BF" w14:textId="7AD2044C" w:rsidR="00F539A9" w:rsidRPr="00D148C0" w:rsidRDefault="00F539A9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854E09A" w14:textId="77777777" w:rsidR="00BD11BF" w:rsidRPr="00F9397B" w:rsidRDefault="00BD11BF" w:rsidP="00F539A9">
            <w:pPr>
              <w:rPr>
                <w:sz w:val="20"/>
                <w:szCs w:val="20"/>
                <w:highlight w:val="yellow"/>
              </w:rPr>
            </w:pPr>
          </w:p>
          <w:p w14:paraId="18B0DB70" w14:textId="77777777" w:rsidR="00245E37" w:rsidRPr="00F9397B" w:rsidRDefault="00245E37" w:rsidP="00245E37">
            <w:pPr>
              <w:jc w:val="center"/>
              <w:rPr>
                <w:sz w:val="20"/>
                <w:szCs w:val="20"/>
              </w:rPr>
            </w:pPr>
          </w:p>
          <w:p w14:paraId="438168D2" w14:textId="77777777" w:rsidR="00245E37" w:rsidRPr="00F9397B" w:rsidRDefault="00245E37" w:rsidP="00245E37">
            <w:pPr>
              <w:jc w:val="center"/>
              <w:rPr>
                <w:sz w:val="20"/>
                <w:szCs w:val="20"/>
              </w:rPr>
            </w:pPr>
          </w:p>
          <w:p w14:paraId="0085A43F" w14:textId="77777777" w:rsidR="00245E37" w:rsidRPr="00F9397B" w:rsidRDefault="00245E37" w:rsidP="00245E37">
            <w:pPr>
              <w:jc w:val="center"/>
              <w:rPr>
                <w:sz w:val="20"/>
                <w:szCs w:val="20"/>
              </w:rPr>
            </w:pPr>
          </w:p>
          <w:p w14:paraId="47FAEB27" w14:textId="501CEB8F" w:rsidR="00245E37" w:rsidRPr="00F9397B" w:rsidRDefault="00245E37" w:rsidP="00245E37">
            <w:pPr>
              <w:jc w:val="center"/>
              <w:rPr>
                <w:sz w:val="20"/>
                <w:szCs w:val="20"/>
              </w:rPr>
            </w:pPr>
            <w:r w:rsidRPr="00F9397B">
              <w:rPr>
                <w:sz w:val="20"/>
                <w:szCs w:val="20"/>
              </w:rPr>
              <w:t>566/2001</w:t>
            </w:r>
          </w:p>
          <w:p w14:paraId="001C09BE" w14:textId="77777777" w:rsidR="00245E37" w:rsidRPr="00F9397B" w:rsidRDefault="00245E37" w:rsidP="00245E37">
            <w:pPr>
              <w:jc w:val="center"/>
              <w:rPr>
                <w:sz w:val="20"/>
                <w:szCs w:val="20"/>
              </w:rPr>
            </w:pPr>
            <w:r w:rsidRPr="00F9397B">
              <w:rPr>
                <w:sz w:val="20"/>
                <w:szCs w:val="20"/>
              </w:rPr>
              <w:t>a</w:t>
            </w:r>
          </w:p>
          <w:p w14:paraId="4EAE77F1" w14:textId="77777777" w:rsidR="00245E37" w:rsidRPr="00F9397B" w:rsidRDefault="00245E37" w:rsidP="00245E37">
            <w:pPr>
              <w:jc w:val="center"/>
              <w:rPr>
                <w:b/>
                <w:sz w:val="20"/>
                <w:szCs w:val="20"/>
              </w:rPr>
            </w:pPr>
            <w:r w:rsidRPr="00F9397B">
              <w:rPr>
                <w:b/>
                <w:sz w:val="20"/>
                <w:szCs w:val="20"/>
              </w:rPr>
              <w:t>návrh zákona</w:t>
            </w:r>
          </w:p>
          <w:p w14:paraId="163C420E" w14:textId="77777777" w:rsidR="00245E37" w:rsidRPr="00F9397B" w:rsidRDefault="00245E37" w:rsidP="00245E3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9397B">
              <w:rPr>
                <w:b/>
                <w:sz w:val="20"/>
                <w:szCs w:val="20"/>
              </w:rPr>
              <w:t>čl.I</w:t>
            </w:r>
            <w:proofErr w:type="spellEnd"/>
          </w:p>
          <w:p w14:paraId="20BECB5C" w14:textId="7B6787C4" w:rsidR="00245E37" w:rsidRPr="00F9397B" w:rsidRDefault="00245E37" w:rsidP="00245E37">
            <w:pPr>
              <w:jc w:val="center"/>
              <w:rPr>
                <w:b/>
                <w:sz w:val="20"/>
                <w:szCs w:val="20"/>
              </w:rPr>
            </w:pPr>
            <w:r w:rsidRPr="00F9397B">
              <w:rPr>
                <w:b/>
                <w:sz w:val="20"/>
                <w:szCs w:val="20"/>
              </w:rPr>
              <w:t xml:space="preserve">Bod </w:t>
            </w:r>
            <w:r w:rsidR="00DA0E86">
              <w:rPr>
                <w:b/>
                <w:sz w:val="20"/>
                <w:szCs w:val="20"/>
              </w:rPr>
              <w:t>3</w:t>
            </w:r>
            <w:r w:rsidR="00A8090C">
              <w:rPr>
                <w:b/>
                <w:sz w:val="20"/>
                <w:szCs w:val="20"/>
              </w:rPr>
              <w:t>9</w:t>
            </w:r>
          </w:p>
          <w:p w14:paraId="5FFF8E7A" w14:textId="77777777" w:rsidR="00BD11BF" w:rsidRPr="00F9397B" w:rsidRDefault="00BD11BF" w:rsidP="00F539A9">
            <w:pPr>
              <w:rPr>
                <w:sz w:val="20"/>
                <w:szCs w:val="20"/>
                <w:highlight w:val="yellow"/>
              </w:rPr>
            </w:pPr>
          </w:p>
          <w:p w14:paraId="11B710E6" w14:textId="77777777" w:rsidR="00BD11BF" w:rsidRPr="00F9397B" w:rsidRDefault="00BD11BF" w:rsidP="00F539A9">
            <w:pPr>
              <w:rPr>
                <w:sz w:val="20"/>
                <w:szCs w:val="20"/>
                <w:highlight w:val="yellow"/>
              </w:rPr>
            </w:pPr>
          </w:p>
          <w:p w14:paraId="7AAB38BF" w14:textId="0D47B219" w:rsidR="00BD11BF" w:rsidRPr="00F9397B" w:rsidRDefault="00BD11BF" w:rsidP="00F539A9">
            <w:pPr>
              <w:rPr>
                <w:sz w:val="20"/>
                <w:szCs w:val="20"/>
                <w:highlight w:val="yellow"/>
              </w:rPr>
            </w:pPr>
          </w:p>
          <w:p w14:paraId="12881478" w14:textId="0985F998" w:rsidR="00804BBD" w:rsidRPr="00F9397B" w:rsidRDefault="00804BBD" w:rsidP="00F539A9">
            <w:pPr>
              <w:rPr>
                <w:sz w:val="20"/>
                <w:szCs w:val="20"/>
                <w:highlight w:val="yellow"/>
              </w:rPr>
            </w:pPr>
          </w:p>
          <w:p w14:paraId="73C4DFF5" w14:textId="62D0AC7E" w:rsidR="00804BBD" w:rsidRPr="00F9397B" w:rsidRDefault="00804BBD" w:rsidP="00F539A9">
            <w:pPr>
              <w:rPr>
                <w:sz w:val="20"/>
                <w:szCs w:val="20"/>
                <w:highlight w:val="yellow"/>
              </w:rPr>
            </w:pPr>
          </w:p>
          <w:p w14:paraId="7A764C97" w14:textId="27652F7F" w:rsidR="00804BBD" w:rsidRPr="00F9397B" w:rsidRDefault="00804BBD" w:rsidP="00F539A9">
            <w:pPr>
              <w:rPr>
                <w:sz w:val="20"/>
                <w:szCs w:val="20"/>
                <w:highlight w:val="yellow"/>
              </w:rPr>
            </w:pPr>
          </w:p>
          <w:p w14:paraId="6FDBF1AD" w14:textId="63D3722E" w:rsidR="00804BBD" w:rsidRPr="00F9397B" w:rsidRDefault="00804BBD" w:rsidP="00F539A9">
            <w:pPr>
              <w:rPr>
                <w:sz w:val="20"/>
                <w:szCs w:val="20"/>
                <w:highlight w:val="yellow"/>
              </w:rPr>
            </w:pPr>
          </w:p>
          <w:p w14:paraId="41D04420" w14:textId="6DD24B4D" w:rsidR="00804BBD" w:rsidRPr="00F9397B" w:rsidRDefault="00804BBD" w:rsidP="00F539A9">
            <w:pPr>
              <w:rPr>
                <w:sz w:val="20"/>
                <w:szCs w:val="20"/>
                <w:highlight w:val="yellow"/>
              </w:rPr>
            </w:pPr>
          </w:p>
          <w:p w14:paraId="379FB459" w14:textId="04D6790D" w:rsidR="00804BBD" w:rsidRPr="00F9397B" w:rsidRDefault="00804BBD" w:rsidP="00F539A9">
            <w:pPr>
              <w:rPr>
                <w:sz w:val="20"/>
                <w:szCs w:val="20"/>
                <w:highlight w:val="yellow"/>
              </w:rPr>
            </w:pPr>
          </w:p>
          <w:p w14:paraId="32EE9C79" w14:textId="06F5A301" w:rsidR="00804BBD" w:rsidRPr="00F9397B" w:rsidRDefault="00804BBD" w:rsidP="00F539A9">
            <w:pPr>
              <w:rPr>
                <w:sz w:val="20"/>
                <w:szCs w:val="20"/>
                <w:highlight w:val="yellow"/>
              </w:rPr>
            </w:pPr>
          </w:p>
          <w:p w14:paraId="187B1710" w14:textId="45306F0B" w:rsidR="00804BBD" w:rsidRPr="00F9397B" w:rsidRDefault="00804BBD" w:rsidP="00F539A9">
            <w:pPr>
              <w:rPr>
                <w:sz w:val="20"/>
                <w:szCs w:val="20"/>
                <w:highlight w:val="yellow"/>
              </w:rPr>
            </w:pPr>
          </w:p>
          <w:p w14:paraId="6E20D59B" w14:textId="7CAF88A0" w:rsidR="00804BBD" w:rsidRPr="00F9397B" w:rsidRDefault="00804BBD" w:rsidP="00F539A9">
            <w:pPr>
              <w:rPr>
                <w:sz w:val="20"/>
                <w:szCs w:val="20"/>
                <w:highlight w:val="yellow"/>
              </w:rPr>
            </w:pPr>
          </w:p>
          <w:p w14:paraId="751962EC" w14:textId="69F5013A" w:rsidR="00804BBD" w:rsidRPr="00F9397B" w:rsidRDefault="00804BBD" w:rsidP="00F539A9">
            <w:pPr>
              <w:rPr>
                <w:sz w:val="20"/>
                <w:szCs w:val="20"/>
                <w:highlight w:val="yellow"/>
              </w:rPr>
            </w:pPr>
          </w:p>
          <w:p w14:paraId="773CF3E5" w14:textId="7865929F" w:rsidR="00804BBD" w:rsidRPr="00F9397B" w:rsidRDefault="00804BBD" w:rsidP="00F539A9">
            <w:pPr>
              <w:rPr>
                <w:sz w:val="20"/>
                <w:szCs w:val="20"/>
                <w:highlight w:val="yellow"/>
              </w:rPr>
            </w:pPr>
          </w:p>
          <w:p w14:paraId="6BB6D678" w14:textId="604EAB68" w:rsidR="00804BBD" w:rsidRPr="00F9397B" w:rsidRDefault="00804BBD" w:rsidP="00F539A9">
            <w:pPr>
              <w:rPr>
                <w:sz w:val="20"/>
                <w:szCs w:val="20"/>
                <w:highlight w:val="yellow"/>
              </w:rPr>
            </w:pPr>
          </w:p>
          <w:p w14:paraId="4512B1B0" w14:textId="79377EE8" w:rsidR="00804BBD" w:rsidRPr="00F9397B" w:rsidRDefault="00804BBD" w:rsidP="00F539A9">
            <w:pPr>
              <w:rPr>
                <w:sz w:val="20"/>
                <w:szCs w:val="20"/>
                <w:highlight w:val="yellow"/>
              </w:rPr>
            </w:pPr>
          </w:p>
          <w:p w14:paraId="4596E834" w14:textId="6358252E" w:rsidR="00804BBD" w:rsidRPr="00F9397B" w:rsidRDefault="00804BBD" w:rsidP="00F539A9">
            <w:pPr>
              <w:rPr>
                <w:sz w:val="20"/>
                <w:szCs w:val="20"/>
                <w:highlight w:val="yellow"/>
              </w:rPr>
            </w:pPr>
          </w:p>
          <w:p w14:paraId="1D58BC01" w14:textId="77777777" w:rsidR="00D31DCE" w:rsidRPr="00F9397B" w:rsidRDefault="00D31DCE" w:rsidP="00245E37">
            <w:pPr>
              <w:jc w:val="center"/>
              <w:rPr>
                <w:b/>
                <w:sz w:val="20"/>
                <w:szCs w:val="20"/>
              </w:rPr>
            </w:pPr>
          </w:p>
          <w:p w14:paraId="15F87ADD" w14:textId="77777777" w:rsidR="00D31DCE" w:rsidRPr="00F9397B" w:rsidRDefault="00D31DCE" w:rsidP="00245E37">
            <w:pPr>
              <w:jc w:val="center"/>
              <w:rPr>
                <w:b/>
                <w:sz w:val="20"/>
                <w:szCs w:val="20"/>
              </w:rPr>
            </w:pPr>
          </w:p>
          <w:p w14:paraId="7346B06F" w14:textId="77777777" w:rsidR="00D31DCE" w:rsidRPr="00F9397B" w:rsidRDefault="00D31DCE" w:rsidP="00245E37">
            <w:pPr>
              <w:jc w:val="center"/>
              <w:rPr>
                <w:b/>
                <w:sz w:val="20"/>
                <w:szCs w:val="20"/>
              </w:rPr>
            </w:pPr>
          </w:p>
          <w:p w14:paraId="3FD6D316" w14:textId="04DF82D3" w:rsidR="00245E37" w:rsidRPr="00F9397B" w:rsidRDefault="0025200C" w:rsidP="00245E37">
            <w:pPr>
              <w:jc w:val="center"/>
              <w:rPr>
                <w:b/>
                <w:sz w:val="20"/>
                <w:szCs w:val="20"/>
              </w:rPr>
            </w:pPr>
            <w:r w:rsidRPr="00F9397B">
              <w:rPr>
                <w:b/>
                <w:sz w:val="20"/>
                <w:szCs w:val="20"/>
              </w:rPr>
              <w:t>N</w:t>
            </w:r>
            <w:r w:rsidR="00245E37" w:rsidRPr="00F9397B">
              <w:rPr>
                <w:b/>
                <w:sz w:val="20"/>
                <w:szCs w:val="20"/>
              </w:rPr>
              <w:t>ávrh zákona</w:t>
            </w:r>
          </w:p>
          <w:p w14:paraId="2F6CD539" w14:textId="77777777" w:rsidR="00245E37" w:rsidRPr="00F9397B" w:rsidRDefault="00245E37" w:rsidP="00245E3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9397B">
              <w:rPr>
                <w:b/>
                <w:sz w:val="20"/>
                <w:szCs w:val="20"/>
              </w:rPr>
              <w:t>čl.I</w:t>
            </w:r>
            <w:proofErr w:type="spellEnd"/>
          </w:p>
          <w:p w14:paraId="7D3CCA90" w14:textId="4E4CF803" w:rsidR="00245E37" w:rsidRPr="00F9397B" w:rsidRDefault="00245E37" w:rsidP="00245E37">
            <w:pPr>
              <w:jc w:val="center"/>
              <w:rPr>
                <w:b/>
                <w:sz w:val="20"/>
                <w:szCs w:val="20"/>
              </w:rPr>
            </w:pPr>
            <w:r w:rsidRPr="00F9397B">
              <w:rPr>
                <w:b/>
                <w:sz w:val="20"/>
                <w:szCs w:val="20"/>
              </w:rPr>
              <w:t xml:space="preserve">Bod </w:t>
            </w:r>
            <w:r w:rsidR="0012006E">
              <w:rPr>
                <w:b/>
                <w:sz w:val="20"/>
                <w:szCs w:val="20"/>
              </w:rPr>
              <w:t>4</w:t>
            </w:r>
            <w:r w:rsidR="00A8090C">
              <w:rPr>
                <w:b/>
                <w:sz w:val="20"/>
                <w:szCs w:val="20"/>
              </w:rPr>
              <w:t>1</w:t>
            </w:r>
          </w:p>
          <w:p w14:paraId="28B5DD3C" w14:textId="77777777" w:rsidR="00804BBD" w:rsidRPr="00F9397B" w:rsidRDefault="00804BBD" w:rsidP="00F539A9">
            <w:pPr>
              <w:rPr>
                <w:sz w:val="20"/>
                <w:szCs w:val="20"/>
                <w:highlight w:val="yellow"/>
              </w:rPr>
            </w:pPr>
          </w:p>
          <w:p w14:paraId="7F1B0CF7" w14:textId="4BCD61BB" w:rsidR="00804BBD" w:rsidRPr="00F9397B" w:rsidRDefault="00804BBD" w:rsidP="00F539A9">
            <w:pPr>
              <w:rPr>
                <w:sz w:val="20"/>
                <w:szCs w:val="20"/>
              </w:rPr>
            </w:pPr>
          </w:p>
          <w:p w14:paraId="52AF1285" w14:textId="77777777" w:rsidR="00804BBD" w:rsidRPr="00F9397B" w:rsidRDefault="00804BBD" w:rsidP="00F539A9">
            <w:pPr>
              <w:rPr>
                <w:sz w:val="20"/>
                <w:szCs w:val="20"/>
              </w:rPr>
            </w:pPr>
          </w:p>
          <w:p w14:paraId="44D7E3E5" w14:textId="02139762" w:rsidR="00BD11BF" w:rsidRPr="00F9397B" w:rsidRDefault="00BD11BF" w:rsidP="00F539A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0053" w14:textId="77777777" w:rsidR="00804BBD" w:rsidRPr="00F9397B" w:rsidRDefault="00804BBD" w:rsidP="00F539A9">
            <w:pPr>
              <w:jc w:val="center"/>
              <w:rPr>
                <w:b/>
                <w:sz w:val="20"/>
                <w:szCs w:val="20"/>
              </w:rPr>
            </w:pPr>
          </w:p>
          <w:p w14:paraId="131699B3" w14:textId="77777777" w:rsidR="00804BBD" w:rsidRPr="00F9397B" w:rsidRDefault="00804BBD" w:rsidP="00F539A9">
            <w:pPr>
              <w:jc w:val="center"/>
              <w:rPr>
                <w:b/>
                <w:sz w:val="20"/>
                <w:szCs w:val="20"/>
              </w:rPr>
            </w:pPr>
          </w:p>
          <w:p w14:paraId="2C51B029" w14:textId="77777777" w:rsidR="00804BBD" w:rsidRPr="00F9397B" w:rsidRDefault="00804BBD" w:rsidP="00F539A9">
            <w:pPr>
              <w:jc w:val="center"/>
              <w:rPr>
                <w:b/>
                <w:sz w:val="20"/>
                <w:szCs w:val="20"/>
              </w:rPr>
            </w:pPr>
          </w:p>
          <w:p w14:paraId="2D8317B8" w14:textId="77777777" w:rsidR="00804BBD" w:rsidRPr="00F9397B" w:rsidRDefault="00804BBD" w:rsidP="00F539A9">
            <w:pPr>
              <w:jc w:val="center"/>
              <w:rPr>
                <w:b/>
                <w:sz w:val="20"/>
                <w:szCs w:val="20"/>
              </w:rPr>
            </w:pPr>
          </w:p>
          <w:p w14:paraId="5721480F" w14:textId="77777777" w:rsidR="00245E37" w:rsidRPr="00F9397B" w:rsidRDefault="00245E37" w:rsidP="00245E37">
            <w:pPr>
              <w:rPr>
                <w:sz w:val="20"/>
                <w:szCs w:val="20"/>
              </w:rPr>
            </w:pPr>
            <w:r w:rsidRPr="00F9397B">
              <w:rPr>
                <w:sz w:val="20"/>
                <w:szCs w:val="20"/>
              </w:rPr>
              <w:t xml:space="preserve">§ 144 </w:t>
            </w:r>
          </w:p>
          <w:p w14:paraId="32D64350" w14:textId="77777777" w:rsidR="00245E37" w:rsidRPr="00F9397B" w:rsidRDefault="00245E37" w:rsidP="00245E37">
            <w:pPr>
              <w:rPr>
                <w:sz w:val="20"/>
                <w:szCs w:val="20"/>
              </w:rPr>
            </w:pPr>
            <w:r w:rsidRPr="00F9397B">
              <w:rPr>
                <w:sz w:val="20"/>
                <w:szCs w:val="20"/>
              </w:rPr>
              <w:t xml:space="preserve">O: 1, </w:t>
            </w:r>
          </w:p>
          <w:p w14:paraId="60E12210" w14:textId="77777777" w:rsidR="00245E37" w:rsidRPr="00F9397B" w:rsidRDefault="00245E37" w:rsidP="00245E37">
            <w:pPr>
              <w:rPr>
                <w:sz w:val="20"/>
                <w:szCs w:val="20"/>
              </w:rPr>
            </w:pPr>
            <w:r w:rsidRPr="00F9397B">
              <w:rPr>
                <w:sz w:val="20"/>
                <w:szCs w:val="20"/>
              </w:rPr>
              <w:t>V: úvodná veta</w:t>
            </w:r>
          </w:p>
          <w:p w14:paraId="265EAF65" w14:textId="77777777" w:rsidR="00804BBD" w:rsidRPr="00F9397B" w:rsidRDefault="00804BBD" w:rsidP="00F539A9">
            <w:pPr>
              <w:jc w:val="center"/>
              <w:rPr>
                <w:b/>
                <w:sz w:val="20"/>
                <w:szCs w:val="20"/>
              </w:rPr>
            </w:pPr>
          </w:p>
          <w:p w14:paraId="303074C4" w14:textId="77777777" w:rsidR="00804BBD" w:rsidRPr="00F9397B" w:rsidRDefault="00804BBD" w:rsidP="00F539A9">
            <w:pPr>
              <w:jc w:val="center"/>
              <w:rPr>
                <w:b/>
                <w:sz w:val="20"/>
                <w:szCs w:val="20"/>
              </w:rPr>
            </w:pPr>
          </w:p>
          <w:p w14:paraId="6434300E" w14:textId="77777777" w:rsidR="00804BBD" w:rsidRPr="00F9397B" w:rsidRDefault="00804BBD" w:rsidP="00F539A9">
            <w:pPr>
              <w:jc w:val="center"/>
              <w:rPr>
                <w:b/>
                <w:sz w:val="20"/>
                <w:szCs w:val="20"/>
              </w:rPr>
            </w:pPr>
          </w:p>
          <w:p w14:paraId="30635CB0" w14:textId="77777777" w:rsidR="00804BBD" w:rsidRPr="00F9397B" w:rsidRDefault="00804BBD" w:rsidP="00F539A9">
            <w:pPr>
              <w:jc w:val="center"/>
              <w:rPr>
                <w:b/>
                <w:sz w:val="20"/>
                <w:szCs w:val="20"/>
              </w:rPr>
            </w:pPr>
          </w:p>
          <w:p w14:paraId="45431252" w14:textId="77777777" w:rsidR="00804BBD" w:rsidRPr="00F9397B" w:rsidRDefault="00804BBD" w:rsidP="00F539A9">
            <w:pPr>
              <w:jc w:val="center"/>
              <w:rPr>
                <w:b/>
                <w:sz w:val="20"/>
                <w:szCs w:val="20"/>
              </w:rPr>
            </w:pPr>
          </w:p>
          <w:p w14:paraId="0493B255" w14:textId="77777777" w:rsidR="00804BBD" w:rsidRPr="00F9397B" w:rsidRDefault="00804BBD" w:rsidP="00F539A9">
            <w:pPr>
              <w:jc w:val="center"/>
              <w:rPr>
                <w:b/>
                <w:sz w:val="20"/>
                <w:szCs w:val="20"/>
              </w:rPr>
            </w:pPr>
          </w:p>
          <w:p w14:paraId="2C6F8EAD" w14:textId="77777777" w:rsidR="00804BBD" w:rsidRPr="00F9397B" w:rsidRDefault="00804BBD" w:rsidP="00F539A9">
            <w:pPr>
              <w:jc w:val="center"/>
              <w:rPr>
                <w:b/>
                <w:sz w:val="20"/>
                <w:szCs w:val="20"/>
              </w:rPr>
            </w:pPr>
          </w:p>
          <w:p w14:paraId="6B191D17" w14:textId="77777777" w:rsidR="00804BBD" w:rsidRPr="00F9397B" w:rsidRDefault="00804BBD" w:rsidP="00F539A9">
            <w:pPr>
              <w:jc w:val="center"/>
              <w:rPr>
                <w:b/>
                <w:sz w:val="20"/>
                <w:szCs w:val="20"/>
              </w:rPr>
            </w:pPr>
          </w:p>
          <w:p w14:paraId="229ECBED" w14:textId="77777777" w:rsidR="00804BBD" w:rsidRPr="00F9397B" w:rsidRDefault="00804BBD" w:rsidP="00F539A9">
            <w:pPr>
              <w:jc w:val="center"/>
              <w:rPr>
                <w:b/>
                <w:sz w:val="20"/>
                <w:szCs w:val="20"/>
              </w:rPr>
            </w:pPr>
          </w:p>
          <w:p w14:paraId="05EF7976" w14:textId="77777777" w:rsidR="00804BBD" w:rsidRPr="00F9397B" w:rsidRDefault="00804BBD" w:rsidP="00F539A9">
            <w:pPr>
              <w:jc w:val="center"/>
              <w:rPr>
                <w:b/>
                <w:sz w:val="20"/>
                <w:szCs w:val="20"/>
              </w:rPr>
            </w:pPr>
          </w:p>
          <w:p w14:paraId="3646A2E8" w14:textId="77777777" w:rsidR="00804BBD" w:rsidRPr="00F9397B" w:rsidRDefault="00804BBD" w:rsidP="00F539A9">
            <w:pPr>
              <w:jc w:val="center"/>
              <w:rPr>
                <w:b/>
                <w:sz w:val="20"/>
                <w:szCs w:val="20"/>
              </w:rPr>
            </w:pPr>
          </w:p>
          <w:p w14:paraId="2BA508AC" w14:textId="77777777" w:rsidR="00804BBD" w:rsidRPr="00F9397B" w:rsidRDefault="00804BBD" w:rsidP="00F539A9">
            <w:pPr>
              <w:jc w:val="center"/>
              <w:rPr>
                <w:b/>
                <w:sz w:val="20"/>
                <w:szCs w:val="20"/>
              </w:rPr>
            </w:pPr>
          </w:p>
          <w:p w14:paraId="43B673DB" w14:textId="77777777" w:rsidR="00804BBD" w:rsidRPr="00F9397B" w:rsidRDefault="00804BBD" w:rsidP="00F539A9">
            <w:pPr>
              <w:jc w:val="center"/>
              <w:rPr>
                <w:b/>
                <w:sz w:val="20"/>
                <w:szCs w:val="20"/>
              </w:rPr>
            </w:pPr>
          </w:p>
          <w:p w14:paraId="6BACCB31" w14:textId="77777777" w:rsidR="00804BBD" w:rsidRPr="00F9397B" w:rsidRDefault="00804BBD" w:rsidP="00F539A9">
            <w:pPr>
              <w:jc w:val="center"/>
              <w:rPr>
                <w:b/>
                <w:sz w:val="20"/>
                <w:szCs w:val="20"/>
              </w:rPr>
            </w:pPr>
          </w:p>
          <w:p w14:paraId="045C7D88" w14:textId="77777777" w:rsidR="00804BBD" w:rsidRPr="00F9397B" w:rsidRDefault="00804BBD" w:rsidP="00F539A9">
            <w:pPr>
              <w:jc w:val="center"/>
              <w:rPr>
                <w:b/>
                <w:sz w:val="20"/>
                <w:szCs w:val="20"/>
              </w:rPr>
            </w:pPr>
          </w:p>
          <w:p w14:paraId="59651E00" w14:textId="77777777" w:rsidR="00804BBD" w:rsidRPr="00F9397B" w:rsidRDefault="00804BBD" w:rsidP="00F539A9">
            <w:pPr>
              <w:jc w:val="center"/>
              <w:rPr>
                <w:b/>
                <w:sz w:val="20"/>
                <w:szCs w:val="20"/>
              </w:rPr>
            </w:pPr>
          </w:p>
          <w:p w14:paraId="14EDFADC" w14:textId="77777777" w:rsidR="00804BBD" w:rsidRPr="00F9397B" w:rsidRDefault="00804BBD" w:rsidP="00F539A9">
            <w:pPr>
              <w:jc w:val="center"/>
              <w:rPr>
                <w:b/>
                <w:sz w:val="20"/>
                <w:szCs w:val="20"/>
              </w:rPr>
            </w:pPr>
          </w:p>
          <w:p w14:paraId="6B82E111" w14:textId="77777777" w:rsidR="00804BBD" w:rsidRPr="00F9397B" w:rsidRDefault="00804BBD" w:rsidP="00F539A9">
            <w:pPr>
              <w:jc w:val="center"/>
              <w:rPr>
                <w:b/>
                <w:sz w:val="20"/>
                <w:szCs w:val="20"/>
              </w:rPr>
            </w:pPr>
          </w:p>
          <w:p w14:paraId="22CE5503" w14:textId="77777777" w:rsidR="00804BBD" w:rsidRPr="00F9397B" w:rsidRDefault="00804BBD" w:rsidP="00F539A9">
            <w:pPr>
              <w:jc w:val="center"/>
              <w:rPr>
                <w:b/>
                <w:sz w:val="20"/>
                <w:szCs w:val="20"/>
              </w:rPr>
            </w:pPr>
          </w:p>
          <w:p w14:paraId="7788693F" w14:textId="77777777" w:rsidR="00804BBD" w:rsidRPr="00F9397B" w:rsidRDefault="00804BBD" w:rsidP="00F539A9">
            <w:pPr>
              <w:jc w:val="center"/>
              <w:rPr>
                <w:b/>
                <w:sz w:val="20"/>
                <w:szCs w:val="20"/>
              </w:rPr>
            </w:pPr>
          </w:p>
          <w:p w14:paraId="3CC83E37" w14:textId="77777777" w:rsidR="00245E37" w:rsidRPr="00F9397B" w:rsidRDefault="00245E37" w:rsidP="00F539A9">
            <w:pPr>
              <w:jc w:val="center"/>
              <w:rPr>
                <w:b/>
                <w:sz w:val="20"/>
                <w:szCs w:val="20"/>
              </w:rPr>
            </w:pPr>
          </w:p>
          <w:p w14:paraId="6F7A3720" w14:textId="77777777" w:rsidR="00245E37" w:rsidRPr="00F9397B" w:rsidRDefault="00245E37" w:rsidP="00F539A9">
            <w:pPr>
              <w:jc w:val="center"/>
              <w:rPr>
                <w:sz w:val="20"/>
                <w:szCs w:val="20"/>
              </w:rPr>
            </w:pPr>
            <w:r w:rsidRPr="00F9397B">
              <w:rPr>
                <w:sz w:val="20"/>
                <w:szCs w:val="20"/>
              </w:rPr>
              <w:t xml:space="preserve">§ 144 </w:t>
            </w:r>
          </w:p>
          <w:p w14:paraId="6ED6356D" w14:textId="77777777" w:rsidR="00245E37" w:rsidRPr="00F9397B" w:rsidRDefault="00245E37" w:rsidP="00F539A9">
            <w:pPr>
              <w:jc w:val="center"/>
              <w:rPr>
                <w:sz w:val="20"/>
                <w:szCs w:val="20"/>
              </w:rPr>
            </w:pPr>
            <w:r w:rsidRPr="00F9397B">
              <w:rPr>
                <w:sz w:val="20"/>
                <w:szCs w:val="20"/>
              </w:rPr>
              <w:t xml:space="preserve">O:  1, </w:t>
            </w:r>
          </w:p>
          <w:p w14:paraId="294EA03C" w14:textId="0E09BFDB" w:rsidR="00804BBD" w:rsidRPr="00F9397B" w:rsidRDefault="00245E37" w:rsidP="00F539A9">
            <w:pPr>
              <w:jc w:val="center"/>
              <w:rPr>
                <w:b/>
                <w:sz w:val="20"/>
                <w:szCs w:val="20"/>
              </w:rPr>
            </w:pPr>
            <w:r w:rsidRPr="00F9397B">
              <w:rPr>
                <w:sz w:val="20"/>
                <w:szCs w:val="20"/>
              </w:rPr>
              <w:t>P: ah)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488A" w14:textId="6DD08E03" w:rsidR="00BD11BF" w:rsidRPr="00F9397B" w:rsidRDefault="00804BBD" w:rsidP="00F539A9">
            <w:pPr>
              <w:jc w:val="both"/>
              <w:rPr>
                <w:b/>
                <w:sz w:val="20"/>
                <w:szCs w:val="20"/>
                <w:highlight w:val="yellow"/>
              </w:rPr>
            </w:pPr>
            <w:r w:rsidRPr="00F9397B">
              <w:rPr>
                <w:rStyle w:val="PremennHTML"/>
                <w:rFonts w:eastAsiaTheme="majorEastAsia"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lastRenderedPageBreak/>
              <w:t>(1)</w:t>
            </w:r>
            <w:r w:rsidRPr="00F9397B">
              <w:rPr>
                <w:color w:val="000000"/>
                <w:sz w:val="20"/>
                <w:szCs w:val="20"/>
                <w:shd w:val="clear" w:color="auto" w:fill="FFFFFF"/>
              </w:rPr>
              <w:t xml:space="preserve"> Ak Národná banka Slovenska zistí nedostatky v činnosti obchodníka s cennými papiermi alebo pobočky zahraničného obchodníka s cennými papiermi spočívajúce v nedodržiavaní podmienok určených v povolení podľa § 55 alebo § 56 alebo v rozhodnutí o predchádzajúcom súhlase, v nedodržiavaní podmienok alebo povinností vyplývajúcich z iných rozhodnutí Národnej banky Slovenska uložených obchodníkovi s cennými papiermi alebo pobočke zahraničného obchodníka s cennými papiermi, v nedodržiavaní podmienok podľa § 55 ods. 2 a 6 a § 56 ods. 2 a 9, </w:t>
            </w:r>
            <w:r w:rsidRPr="00F9397B">
              <w:rPr>
                <w:b/>
                <w:bCs/>
                <w:sz w:val="20"/>
                <w:szCs w:val="20"/>
              </w:rPr>
              <w:t xml:space="preserve">v nedodržiavaní podmienok podľa § 71c, § 135, </w:t>
            </w:r>
            <w:r w:rsidR="0012006E">
              <w:rPr>
                <w:b/>
                <w:bCs/>
                <w:sz w:val="20"/>
                <w:szCs w:val="20"/>
              </w:rPr>
              <w:t>tohto paragrafu</w:t>
            </w:r>
            <w:r w:rsidRPr="00F9397B">
              <w:rPr>
                <w:b/>
                <w:bCs/>
                <w:sz w:val="20"/>
                <w:szCs w:val="20"/>
              </w:rPr>
              <w:t xml:space="preserve"> a </w:t>
            </w:r>
            <w:r w:rsidR="0012006E">
              <w:rPr>
                <w:b/>
                <w:bCs/>
                <w:sz w:val="20"/>
                <w:szCs w:val="20"/>
              </w:rPr>
              <w:t xml:space="preserve">§ </w:t>
            </w:r>
            <w:r w:rsidRPr="00F9397B">
              <w:rPr>
                <w:b/>
                <w:bCs/>
                <w:sz w:val="20"/>
                <w:szCs w:val="20"/>
              </w:rPr>
              <w:t>157</w:t>
            </w:r>
            <w:r w:rsidRPr="00F9397B">
              <w:rPr>
                <w:sz w:val="20"/>
                <w:szCs w:val="20"/>
              </w:rPr>
              <w:t xml:space="preserve"> </w:t>
            </w:r>
            <w:r w:rsidRPr="00F9397B">
              <w:rPr>
                <w:color w:val="000000"/>
                <w:sz w:val="20"/>
                <w:szCs w:val="20"/>
                <w:shd w:val="clear" w:color="auto" w:fill="FFFFFF"/>
              </w:rPr>
              <w:t>alebo v nedodržiavaní alebo v obchádzaní iných ustanovení tohto zákona, osobitných zákonov</w:t>
            </w:r>
            <w:hyperlink r:id="rId23" w:anchor="f2705535" w:history="1">
              <w:r w:rsidRPr="00DA0E86">
                <w:rPr>
                  <w:rStyle w:val="Hypertextovprepojenie"/>
                  <w:rFonts w:eastAsiaTheme="minorEastAsi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  <w:vertAlign w:val="superscript"/>
                </w:rPr>
                <w:t>110e</w:t>
              </w:r>
              <w:r w:rsidRPr="00DA0E86">
                <w:rPr>
                  <w:rStyle w:val="Hypertextovprepojenie"/>
                  <w:rFonts w:eastAsiaTheme="minorEastAsi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)</w:t>
              </w:r>
            </w:hyperlink>
            <w:r w:rsidRPr="00F9397B">
              <w:rPr>
                <w:color w:val="000000"/>
                <w:sz w:val="20"/>
                <w:szCs w:val="20"/>
                <w:shd w:val="clear" w:color="auto" w:fill="FFFFFF"/>
              </w:rPr>
              <w:t> alebo iných všeobecne záväzných právnych predpisov, ktoré sa vzťahujú na výkon činností obchodníka s cennými papiermi, alebo, ak je preukázané, že obchodník s cennými papiermi počas 12 po sebe nasledujúcich kalendárnych mesiacov pravdepodobne nedodrží ustanovenia tohto zákona alebo osobitného predpisu,</w:t>
            </w:r>
            <w:r w:rsidRPr="00F9397B">
              <w:rPr>
                <w:color w:val="000000"/>
                <w:sz w:val="20"/>
                <w:szCs w:val="20"/>
                <w:shd w:val="clear" w:color="auto" w:fill="FFFFFF"/>
                <w:vertAlign w:val="superscript"/>
              </w:rPr>
              <w:t>50cb</w:t>
            </w:r>
            <w:r w:rsidRPr="00F9397B">
              <w:rPr>
                <w:color w:val="000000"/>
                <w:sz w:val="20"/>
                <w:szCs w:val="20"/>
                <w:shd w:val="clear" w:color="auto" w:fill="FFFFFF"/>
              </w:rPr>
              <w:t>) môže Národná banka Slovenska</w:t>
            </w:r>
          </w:p>
          <w:p w14:paraId="4AC02E78" w14:textId="77777777" w:rsidR="00BD11BF" w:rsidRPr="00F9397B" w:rsidRDefault="00BD11BF" w:rsidP="00F539A9">
            <w:pPr>
              <w:jc w:val="both"/>
              <w:rPr>
                <w:b/>
                <w:sz w:val="20"/>
                <w:szCs w:val="20"/>
                <w:highlight w:val="yellow"/>
              </w:rPr>
            </w:pPr>
          </w:p>
          <w:p w14:paraId="614CE44B" w14:textId="0A094902" w:rsidR="00BD11BF" w:rsidRPr="00F9397B" w:rsidRDefault="00804BBD" w:rsidP="00BD11BF">
            <w:pPr>
              <w:jc w:val="both"/>
              <w:rPr>
                <w:b/>
                <w:sz w:val="20"/>
                <w:szCs w:val="20"/>
              </w:rPr>
            </w:pPr>
            <w:r w:rsidRPr="00F9397B">
              <w:rPr>
                <w:b/>
                <w:sz w:val="20"/>
                <w:szCs w:val="20"/>
              </w:rPr>
              <w:t>a</w:t>
            </w:r>
            <w:r w:rsidR="00BD11BF" w:rsidRPr="00F9397B">
              <w:rPr>
                <w:b/>
                <w:sz w:val="20"/>
                <w:szCs w:val="20"/>
              </w:rPr>
              <w:t xml:space="preserve">h) </w:t>
            </w:r>
            <w:bookmarkStart w:id="6" w:name="_Hlk192778651"/>
            <w:r w:rsidR="00A8090C" w:rsidRPr="00A8090C">
              <w:rPr>
                <w:b/>
                <w:bCs/>
                <w:noProof/>
                <w:sz w:val="20"/>
                <w:szCs w:val="20"/>
              </w:rPr>
              <w:t>uložiť obchodníkovi s cennými papiermi povinnosť znížiť expozície voči centrálnej protistrane alebo opätovne preskupiť expozície na všetkých svojich zúčtovacích účtoch v súlade s osobitným predpisom,</w:t>
            </w:r>
            <w:r w:rsidR="00A8090C" w:rsidRPr="00A8090C">
              <w:rPr>
                <w:b/>
                <w:bCs/>
                <w:noProof/>
                <w:sz w:val="20"/>
                <w:szCs w:val="20"/>
                <w:vertAlign w:val="superscript"/>
              </w:rPr>
              <w:t>56acaba</w:t>
            </w:r>
            <w:r w:rsidR="00A8090C" w:rsidRPr="00A8090C">
              <w:rPr>
                <w:b/>
                <w:bCs/>
                <w:noProof/>
                <w:sz w:val="20"/>
                <w:szCs w:val="20"/>
              </w:rPr>
              <w:t>) ak podľa Národnej banky Slovenska existuje nadmerné riziko koncentrácie vyplývajúce z expozícií voči tejto centrálnej protistrane</w:t>
            </w:r>
            <w:bookmarkEnd w:id="6"/>
            <w:r w:rsidR="00BD11BF" w:rsidRPr="00F9397B">
              <w:rPr>
                <w:b/>
                <w:sz w:val="20"/>
                <w:szCs w:val="20"/>
              </w:rPr>
              <w:t>.</w:t>
            </w:r>
          </w:p>
          <w:p w14:paraId="5DDF04EF" w14:textId="77777777" w:rsidR="00BD11BF" w:rsidRPr="00F9397B" w:rsidRDefault="00BD11BF" w:rsidP="00BD11BF">
            <w:pPr>
              <w:pStyle w:val="Bezriadkovani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B9136E" w14:textId="421F3C2A" w:rsidR="00BD11BF" w:rsidRPr="00F9397B" w:rsidRDefault="004C7B89" w:rsidP="00546BC5">
            <w:pPr>
              <w:shd w:val="clear" w:color="auto" w:fill="FFFFFF"/>
              <w:jc w:val="both"/>
              <w:rPr>
                <w:b/>
                <w:i/>
                <w:iCs/>
                <w:sz w:val="20"/>
                <w:szCs w:val="20"/>
              </w:rPr>
            </w:pPr>
            <w:r w:rsidRPr="00F9397B">
              <w:rPr>
                <w:b/>
                <w:sz w:val="20"/>
                <w:szCs w:val="20"/>
                <w:vertAlign w:val="superscript"/>
              </w:rPr>
              <w:t>56acaba</w:t>
            </w:r>
            <w:r w:rsidR="00BD11BF" w:rsidRPr="00F9397B">
              <w:rPr>
                <w:b/>
                <w:sz w:val="20"/>
                <w:szCs w:val="20"/>
              </w:rPr>
              <w:t>) Čl. 7a nariadenia (EÚ) č. 648/2012 v platnom znení.</w:t>
            </w:r>
          </w:p>
          <w:p w14:paraId="2CA56CD5" w14:textId="77777777" w:rsidR="00BD11BF" w:rsidRPr="00F9397B" w:rsidRDefault="00BD11BF" w:rsidP="00F539A9">
            <w:pPr>
              <w:jc w:val="both"/>
              <w:rPr>
                <w:b/>
                <w:sz w:val="20"/>
                <w:szCs w:val="20"/>
                <w:highlight w:val="yellow"/>
              </w:rPr>
            </w:pPr>
          </w:p>
          <w:p w14:paraId="4865E1AF" w14:textId="0CC64082" w:rsidR="00BD11BF" w:rsidRPr="00F9397B" w:rsidRDefault="00BD11BF" w:rsidP="00F539A9">
            <w:pPr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8FBFC8" w14:textId="29ADD0F4" w:rsidR="00F539A9" w:rsidRPr="00F9397B" w:rsidRDefault="00F539A9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9397B">
              <w:rPr>
                <w:color w:val="000000"/>
                <w:sz w:val="20"/>
                <w:szCs w:val="20"/>
              </w:rPr>
              <w:lastRenderedPageBreak/>
              <w:t>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D20E4" w14:textId="77777777" w:rsidR="00F539A9" w:rsidRPr="00F9397B" w:rsidRDefault="00F539A9" w:rsidP="00F539A9">
            <w:pPr>
              <w:spacing w:before="75" w:after="75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2A39E5F" w14:textId="0C35D88A" w:rsidR="00F539A9" w:rsidRPr="00F9397B" w:rsidRDefault="00F539A9" w:rsidP="00F539A9">
            <w:pPr>
              <w:spacing w:before="75" w:after="75"/>
              <w:rPr>
                <w:color w:val="000000"/>
                <w:sz w:val="20"/>
                <w:szCs w:val="20"/>
              </w:rPr>
            </w:pPr>
            <w:r w:rsidRPr="00F9397B">
              <w:rPr>
                <w:color w:val="000000"/>
                <w:sz w:val="20"/>
                <w:szCs w:val="20"/>
              </w:rPr>
              <w:t>GP - 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9FF90A8" w14:textId="77777777" w:rsidR="00F539A9" w:rsidRPr="00D148C0" w:rsidRDefault="00F539A9" w:rsidP="00F539A9">
            <w:pPr>
              <w:spacing w:before="75" w:after="75"/>
              <w:rPr>
                <w:sz w:val="20"/>
                <w:szCs w:val="20"/>
              </w:rPr>
            </w:pPr>
          </w:p>
        </w:tc>
      </w:tr>
      <w:tr w:rsidR="00F539A9" w:rsidRPr="00D148C0" w14:paraId="5EDEAA20" w14:textId="77777777" w:rsidTr="00FF4B29">
        <w:tc>
          <w:tcPr>
            <w:tcW w:w="68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56892442" w14:textId="77777777" w:rsidR="00F539A9" w:rsidRPr="00D148C0" w:rsidRDefault="00F539A9" w:rsidP="00F539A9">
            <w:pPr>
              <w:jc w:val="center"/>
              <w:rPr>
                <w:sz w:val="20"/>
                <w:szCs w:val="20"/>
              </w:rPr>
            </w:pPr>
            <w:r w:rsidRPr="00D148C0">
              <w:rPr>
                <w:sz w:val="20"/>
                <w:szCs w:val="20"/>
              </w:rPr>
              <w:t>Č: 4</w:t>
            </w:r>
          </w:p>
          <w:p w14:paraId="6640CD18" w14:textId="77777777" w:rsidR="00F539A9" w:rsidRPr="00D148C0" w:rsidRDefault="00F539A9" w:rsidP="00F539A9">
            <w:pPr>
              <w:jc w:val="center"/>
              <w:rPr>
                <w:sz w:val="20"/>
                <w:szCs w:val="20"/>
              </w:rPr>
            </w:pPr>
            <w:r w:rsidRPr="00D148C0">
              <w:rPr>
                <w:sz w:val="20"/>
                <w:szCs w:val="20"/>
              </w:rPr>
              <w:t>O:1</w:t>
            </w:r>
            <w:r w:rsidRPr="00D148C0">
              <w:rPr>
                <w:sz w:val="20"/>
                <w:szCs w:val="20"/>
                <w:highlight w:val="red"/>
              </w:rPr>
              <w:t xml:space="preserve"> </w:t>
            </w:r>
          </w:p>
          <w:p w14:paraId="5F08F8BE" w14:textId="77777777" w:rsidR="00F539A9" w:rsidRPr="00D148C0" w:rsidRDefault="00F539A9" w:rsidP="00F539A9">
            <w:pPr>
              <w:jc w:val="center"/>
              <w:rPr>
                <w:sz w:val="20"/>
                <w:szCs w:val="20"/>
              </w:rPr>
            </w:pPr>
          </w:p>
          <w:p w14:paraId="763B87DB" w14:textId="77777777" w:rsidR="00F539A9" w:rsidRPr="00D148C0" w:rsidRDefault="00F539A9" w:rsidP="00F539A9">
            <w:pPr>
              <w:jc w:val="center"/>
              <w:rPr>
                <w:sz w:val="20"/>
                <w:szCs w:val="20"/>
              </w:rPr>
            </w:pPr>
          </w:p>
          <w:p w14:paraId="64D7DFE8" w14:textId="77777777" w:rsidR="00F539A9" w:rsidRPr="00D148C0" w:rsidRDefault="00F539A9" w:rsidP="00F539A9">
            <w:pPr>
              <w:jc w:val="center"/>
              <w:rPr>
                <w:sz w:val="20"/>
                <w:szCs w:val="20"/>
              </w:rPr>
            </w:pPr>
          </w:p>
          <w:p w14:paraId="48B5B128" w14:textId="77777777" w:rsidR="00F539A9" w:rsidRPr="00D148C0" w:rsidRDefault="00F539A9" w:rsidP="00F539A9">
            <w:pPr>
              <w:jc w:val="center"/>
              <w:rPr>
                <w:sz w:val="20"/>
                <w:szCs w:val="20"/>
              </w:rPr>
            </w:pPr>
          </w:p>
          <w:p w14:paraId="65A93A92" w14:textId="77777777" w:rsidR="00F539A9" w:rsidRPr="00D148C0" w:rsidRDefault="00F539A9" w:rsidP="00F539A9">
            <w:pPr>
              <w:jc w:val="center"/>
              <w:rPr>
                <w:sz w:val="20"/>
                <w:szCs w:val="20"/>
              </w:rPr>
            </w:pPr>
          </w:p>
          <w:p w14:paraId="2838E588" w14:textId="1EE6CA47" w:rsidR="00F539A9" w:rsidRDefault="00F539A9" w:rsidP="00F539A9">
            <w:pPr>
              <w:jc w:val="center"/>
              <w:rPr>
                <w:sz w:val="20"/>
                <w:szCs w:val="20"/>
              </w:rPr>
            </w:pPr>
          </w:p>
          <w:p w14:paraId="16EACE40" w14:textId="48F73987" w:rsidR="0088344F" w:rsidRDefault="0088344F" w:rsidP="00F539A9">
            <w:pPr>
              <w:jc w:val="center"/>
              <w:rPr>
                <w:sz w:val="20"/>
                <w:szCs w:val="20"/>
              </w:rPr>
            </w:pPr>
          </w:p>
          <w:p w14:paraId="4F66C66F" w14:textId="34D77AB9" w:rsidR="0088344F" w:rsidRDefault="0088344F" w:rsidP="00F539A9">
            <w:pPr>
              <w:jc w:val="center"/>
              <w:rPr>
                <w:sz w:val="20"/>
                <w:szCs w:val="20"/>
              </w:rPr>
            </w:pPr>
          </w:p>
          <w:p w14:paraId="498BE259" w14:textId="167753B1" w:rsidR="0088344F" w:rsidRDefault="0088344F" w:rsidP="00F539A9">
            <w:pPr>
              <w:jc w:val="center"/>
              <w:rPr>
                <w:sz w:val="20"/>
                <w:szCs w:val="20"/>
              </w:rPr>
            </w:pPr>
          </w:p>
          <w:p w14:paraId="7AD25B3B" w14:textId="7302CD88" w:rsidR="0088344F" w:rsidRDefault="0088344F" w:rsidP="00F539A9">
            <w:pPr>
              <w:jc w:val="center"/>
              <w:rPr>
                <w:sz w:val="20"/>
                <w:szCs w:val="20"/>
              </w:rPr>
            </w:pPr>
          </w:p>
          <w:p w14:paraId="4D93D836" w14:textId="3BDA688F" w:rsidR="0088344F" w:rsidRDefault="0088344F" w:rsidP="00F539A9">
            <w:pPr>
              <w:jc w:val="center"/>
              <w:rPr>
                <w:sz w:val="20"/>
                <w:szCs w:val="20"/>
              </w:rPr>
            </w:pPr>
          </w:p>
          <w:p w14:paraId="44EA00BA" w14:textId="602AC40C" w:rsidR="0088344F" w:rsidRDefault="0088344F" w:rsidP="00F539A9">
            <w:pPr>
              <w:jc w:val="center"/>
              <w:rPr>
                <w:sz w:val="20"/>
                <w:szCs w:val="20"/>
              </w:rPr>
            </w:pPr>
          </w:p>
          <w:p w14:paraId="63AFF073" w14:textId="6FA861C9" w:rsidR="0088344F" w:rsidRDefault="0088344F" w:rsidP="00F539A9">
            <w:pPr>
              <w:jc w:val="center"/>
              <w:rPr>
                <w:sz w:val="20"/>
                <w:szCs w:val="20"/>
              </w:rPr>
            </w:pPr>
          </w:p>
          <w:p w14:paraId="29BC5F72" w14:textId="3AA662F8" w:rsidR="0088344F" w:rsidRDefault="0088344F" w:rsidP="00F539A9">
            <w:pPr>
              <w:jc w:val="center"/>
              <w:rPr>
                <w:sz w:val="20"/>
                <w:szCs w:val="20"/>
              </w:rPr>
            </w:pPr>
          </w:p>
          <w:p w14:paraId="1C2F93AC" w14:textId="6840DD36" w:rsidR="0088344F" w:rsidRDefault="0088344F" w:rsidP="00F539A9">
            <w:pPr>
              <w:jc w:val="center"/>
              <w:rPr>
                <w:sz w:val="20"/>
                <w:szCs w:val="20"/>
              </w:rPr>
            </w:pPr>
          </w:p>
          <w:p w14:paraId="1B735582" w14:textId="32A41D7E" w:rsidR="0088344F" w:rsidRDefault="0088344F" w:rsidP="00F539A9">
            <w:pPr>
              <w:jc w:val="center"/>
              <w:rPr>
                <w:sz w:val="20"/>
                <w:szCs w:val="20"/>
              </w:rPr>
            </w:pPr>
          </w:p>
          <w:p w14:paraId="5D0C2644" w14:textId="3624E116" w:rsidR="0088344F" w:rsidRDefault="0088344F" w:rsidP="00F539A9">
            <w:pPr>
              <w:jc w:val="center"/>
              <w:rPr>
                <w:sz w:val="20"/>
                <w:szCs w:val="20"/>
              </w:rPr>
            </w:pPr>
          </w:p>
          <w:p w14:paraId="3FDBCF6D" w14:textId="6EB1588B" w:rsidR="0088344F" w:rsidRDefault="0088344F" w:rsidP="00F539A9">
            <w:pPr>
              <w:jc w:val="center"/>
              <w:rPr>
                <w:sz w:val="20"/>
                <w:szCs w:val="20"/>
              </w:rPr>
            </w:pPr>
          </w:p>
          <w:p w14:paraId="249EC56F" w14:textId="7A08ED64" w:rsidR="0088344F" w:rsidRDefault="0088344F" w:rsidP="00F539A9">
            <w:pPr>
              <w:jc w:val="center"/>
              <w:rPr>
                <w:sz w:val="20"/>
                <w:szCs w:val="20"/>
              </w:rPr>
            </w:pPr>
          </w:p>
          <w:p w14:paraId="43880CC4" w14:textId="555E835C" w:rsidR="0088344F" w:rsidRDefault="0088344F" w:rsidP="00F539A9">
            <w:pPr>
              <w:jc w:val="center"/>
              <w:rPr>
                <w:sz w:val="20"/>
                <w:szCs w:val="20"/>
              </w:rPr>
            </w:pPr>
          </w:p>
          <w:p w14:paraId="25E23731" w14:textId="726C1350" w:rsidR="0088344F" w:rsidRDefault="0088344F" w:rsidP="00F539A9">
            <w:pPr>
              <w:jc w:val="center"/>
              <w:rPr>
                <w:sz w:val="20"/>
                <w:szCs w:val="20"/>
              </w:rPr>
            </w:pPr>
          </w:p>
          <w:p w14:paraId="372DCCF7" w14:textId="731CDE98" w:rsidR="0088344F" w:rsidRDefault="0088344F" w:rsidP="00F539A9">
            <w:pPr>
              <w:jc w:val="center"/>
              <w:rPr>
                <w:sz w:val="20"/>
                <w:szCs w:val="20"/>
              </w:rPr>
            </w:pPr>
          </w:p>
          <w:p w14:paraId="35945645" w14:textId="16BE6205" w:rsidR="0088344F" w:rsidRDefault="0088344F" w:rsidP="00F539A9">
            <w:pPr>
              <w:jc w:val="center"/>
              <w:rPr>
                <w:sz w:val="20"/>
                <w:szCs w:val="20"/>
              </w:rPr>
            </w:pPr>
          </w:p>
          <w:p w14:paraId="20C32233" w14:textId="7903C3D5" w:rsidR="0088344F" w:rsidRDefault="0088344F" w:rsidP="00F539A9">
            <w:pPr>
              <w:jc w:val="center"/>
              <w:rPr>
                <w:sz w:val="20"/>
                <w:szCs w:val="20"/>
              </w:rPr>
            </w:pPr>
          </w:p>
          <w:p w14:paraId="530C9C90" w14:textId="21E6F097" w:rsidR="00F539A9" w:rsidRPr="00D148C0" w:rsidRDefault="00F539A9" w:rsidP="00D34B3B">
            <w:pPr>
              <w:rPr>
                <w:sz w:val="20"/>
                <w:szCs w:val="20"/>
              </w:rPr>
            </w:pPr>
          </w:p>
          <w:p w14:paraId="69D1941C" w14:textId="77777777" w:rsidR="00D34B3B" w:rsidRDefault="00D34B3B" w:rsidP="00F539A9">
            <w:pPr>
              <w:jc w:val="center"/>
              <w:rPr>
                <w:sz w:val="20"/>
                <w:szCs w:val="20"/>
              </w:rPr>
            </w:pPr>
          </w:p>
          <w:p w14:paraId="43C13142" w14:textId="77777777" w:rsidR="00D34B3B" w:rsidRDefault="00D34B3B" w:rsidP="00F539A9">
            <w:pPr>
              <w:jc w:val="center"/>
              <w:rPr>
                <w:sz w:val="20"/>
                <w:szCs w:val="20"/>
              </w:rPr>
            </w:pPr>
          </w:p>
          <w:p w14:paraId="79B4DFA6" w14:textId="77777777" w:rsidR="00D34B3B" w:rsidRDefault="00D34B3B" w:rsidP="00F539A9">
            <w:pPr>
              <w:jc w:val="center"/>
              <w:rPr>
                <w:sz w:val="20"/>
                <w:szCs w:val="20"/>
              </w:rPr>
            </w:pPr>
          </w:p>
          <w:p w14:paraId="61F3763F" w14:textId="77777777" w:rsidR="00D34B3B" w:rsidRDefault="00D34B3B" w:rsidP="00F539A9">
            <w:pPr>
              <w:jc w:val="center"/>
              <w:rPr>
                <w:sz w:val="20"/>
                <w:szCs w:val="20"/>
              </w:rPr>
            </w:pPr>
          </w:p>
          <w:p w14:paraId="6EC20BED" w14:textId="77777777" w:rsidR="00D34B3B" w:rsidRDefault="00D34B3B" w:rsidP="00F539A9">
            <w:pPr>
              <w:jc w:val="center"/>
              <w:rPr>
                <w:sz w:val="20"/>
                <w:szCs w:val="20"/>
              </w:rPr>
            </w:pPr>
          </w:p>
          <w:p w14:paraId="18674634" w14:textId="77777777" w:rsidR="00D34B3B" w:rsidRDefault="00D34B3B" w:rsidP="00F539A9">
            <w:pPr>
              <w:jc w:val="center"/>
              <w:rPr>
                <w:sz w:val="20"/>
                <w:szCs w:val="20"/>
              </w:rPr>
            </w:pPr>
          </w:p>
          <w:p w14:paraId="5898E77F" w14:textId="77777777" w:rsidR="00D34B3B" w:rsidRDefault="00D34B3B" w:rsidP="00F539A9">
            <w:pPr>
              <w:jc w:val="center"/>
              <w:rPr>
                <w:sz w:val="20"/>
                <w:szCs w:val="20"/>
              </w:rPr>
            </w:pPr>
          </w:p>
          <w:p w14:paraId="61594A79" w14:textId="77777777" w:rsidR="00D34B3B" w:rsidRDefault="00D34B3B" w:rsidP="00F539A9">
            <w:pPr>
              <w:jc w:val="center"/>
              <w:rPr>
                <w:sz w:val="20"/>
                <w:szCs w:val="20"/>
              </w:rPr>
            </w:pPr>
          </w:p>
          <w:p w14:paraId="1E148805" w14:textId="77777777" w:rsidR="00D34B3B" w:rsidRDefault="00D34B3B" w:rsidP="00F539A9">
            <w:pPr>
              <w:jc w:val="center"/>
              <w:rPr>
                <w:sz w:val="20"/>
                <w:szCs w:val="20"/>
              </w:rPr>
            </w:pPr>
          </w:p>
          <w:p w14:paraId="25DF16B5" w14:textId="52E7B4EB" w:rsidR="00F539A9" w:rsidRPr="00D148C0" w:rsidRDefault="00F539A9" w:rsidP="00F539A9">
            <w:pPr>
              <w:jc w:val="center"/>
              <w:rPr>
                <w:sz w:val="20"/>
                <w:szCs w:val="20"/>
              </w:rPr>
            </w:pPr>
            <w:r w:rsidRPr="00D148C0">
              <w:rPr>
                <w:sz w:val="20"/>
                <w:szCs w:val="20"/>
              </w:rPr>
              <w:t>Č: 4</w:t>
            </w:r>
          </w:p>
          <w:p w14:paraId="7A76E1C9" w14:textId="77777777" w:rsidR="00F539A9" w:rsidRPr="00D148C0" w:rsidRDefault="00F539A9" w:rsidP="00F539A9">
            <w:pPr>
              <w:jc w:val="center"/>
              <w:rPr>
                <w:sz w:val="20"/>
                <w:szCs w:val="20"/>
              </w:rPr>
            </w:pPr>
            <w:r w:rsidRPr="00D148C0">
              <w:rPr>
                <w:sz w:val="20"/>
                <w:szCs w:val="20"/>
              </w:rPr>
              <w:t>O:2</w:t>
            </w:r>
            <w:r w:rsidRPr="00D148C0">
              <w:rPr>
                <w:sz w:val="20"/>
                <w:szCs w:val="20"/>
                <w:highlight w:val="red"/>
              </w:rPr>
              <w:t xml:space="preserve"> </w:t>
            </w:r>
          </w:p>
          <w:p w14:paraId="3DC0D986" w14:textId="77777777" w:rsidR="00F539A9" w:rsidRPr="00D148C0" w:rsidRDefault="00F539A9" w:rsidP="00F53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A2FF3" w14:textId="77777777" w:rsidR="00F539A9" w:rsidRPr="004603D9" w:rsidRDefault="00F539A9" w:rsidP="00F539A9">
            <w:pPr>
              <w:pStyle w:val="oj-sti-art"/>
              <w:shd w:val="clear" w:color="auto" w:fill="FFFFFF"/>
              <w:spacing w:before="60" w:beforeAutospacing="0" w:after="12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03D9">
              <w:rPr>
                <w:b/>
                <w:bCs/>
                <w:color w:val="000000"/>
                <w:sz w:val="20"/>
                <w:szCs w:val="20"/>
              </w:rPr>
              <w:lastRenderedPageBreak/>
              <w:t>Transpozícia</w:t>
            </w:r>
          </w:p>
          <w:p w14:paraId="1E3E7923" w14:textId="77777777" w:rsidR="00F539A9" w:rsidRPr="004603D9" w:rsidRDefault="00F539A9" w:rsidP="00F539A9">
            <w:pPr>
              <w:pStyle w:val="oj-normal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603D9">
              <w:rPr>
                <w:color w:val="000000"/>
                <w:sz w:val="20"/>
                <w:szCs w:val="20"/>
              </w:rPr>
              <w:t>1.   Členské štáty uvedú do účinnosti zákony, iné právne predpisy a správne opatrenia potrebné na dosiahnutie súladu s touto smernicou do 25. júna 2026. Bezodkladne o tom informujú Komisiu.</w:t>
            </w:r>
          </w:p>
          <w:p w14:paraId="1C27EAC8" w14:textId="77777777" w:rsidR="0088344F" w:rsidRDefault="0088344F" w:rsidP="00F539A9">
            <w:pPr>
              <w:pStyle w:val="oj-normal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14:paraId="7A2D0942" w14:textId="77777777" w:rsidR="0088344F" w:rsidRDefault="0088344F" w:rsidP="00F539A9">
            <w:pPr>
              <w:pStyle w:val="oj-normal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14:paraId="3CB65607" w14:textId="77777777" w:rsidR="0088344F" w:rsidRDefault="0088344F" w:rsidP="00F539A9">
            <w:pPr>
              <w:pStyle w:val="oj-normal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14:paraId="6FFC8BE7" w14:textId="77777777" w:rsidR="0088344F" w:rsidRDefault="0088344F" w:rsidP="00F539A9">
            <w:pPr>
              <w:pStyle w:val="oj-normal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14:paraId="2080AE2F" w14:textId="77777777" w:rsidR="0088344F" w:rsidRDefault="0088344F" w:rsidP="00F539A9">
            <w:pPr>
              <w:pStyle w:val="oj-normal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14:paraId="3759B2E3" w14:textId="77777777" w:rsidR="0088344F" w:rsidRDefault="0088344F" w:rsidP="00F539A9">
            <w:pPr>
              <w:pStyle w:val="oj-normal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14:paraId="6E7546DE" w14:textId="77777777" w:rsidR="004C7B89" w:rsidRDefault="004C7B89" w:rsidP="00F539A9">
            <w:pPr>
              <w:pStyle w:val="oj-normal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14:paraId="6D7EAFD9" w14:textId="77777777" w:rsidR="006F67D1" w:rsidRPr="004603D9" w:rsidRDefault="006F67D1" w:rsidP="006F67D1">
            <w:pPr>
              <w:pStyle w:val="oj-normal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603D9">
              <w:rPr>
                <w:color w:val="000000"/>
                <w:sz w:val="20"/>
                <w:szCs w:val="20"/>
              </w:rPr>
              <w:t>Členské štáty uvedú priamo v prijatých opatreniach alebo pri ich úradnom uverejnení odkaz na túto smernicu. Podrobnosti o odkaze upravia členské štáty.</w:t>
            </w:r>
          </w:p>
          <w:p w14:paraId="302D1078" w14:textId="77777777" w:rsidR="006F67D1" w:rsidRDefault="006F67D1" w:rsidP="006F67D1">
            <w:pPr>
              <w:pStyle w:val="oj-normal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14:paraId="69F2E0A3" w14:textId="77777777" w:rsidR="0088344F" w:rsidRDefault="0088344F" w:rsidP="00F539A9">
            <w:pPr>
              <w:pStyle w:val="oj-normal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14:paraId="23BC01A4" w14:textId="77777777" w:rsidR="0088344F" w:rsidRDefault="0088344F" w:rsidP="00F539A9">
            <w:pPr>
              <w:pStyle w:val="oj-normal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14:paraId="1E7FB097" w14:textId="77777777" w:rsidR="0088344F" w:rsidRDefault="0088344F" w:rsidP="00F539A9">
            <w:pPr>
              <w:pStyle w:val="oj-normal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14:paraId="47B08E97" w14:textId="721B288C" w:rsidR="0088344F" w:rsidRDefault="0088344F" w:rsidP="00F539A9">
            <w:pPr>
              <w:pStyle w:val="oj-normal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14:paraId="64F96938" w14:textId="77777777" w:rsidR="00D34B3B" w:rsidRDefault="00D34B3B" w:rsidP="00F539A9">
            <w:pPr>
              <w:pStyle w:val="oj-normal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14:paraId="26A9384A" w14:textId="77777777" w:rsidR="00D34B3B" w:rsidRDefault="00D34B3B" w:rsidP="00F539A9">
            <w:pPr>
              <w:pStyle w:val="oj-normal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14:paraId="75F77B83" w14:textId="77777777" w:rsidR="00D34B3B" w:rsidRDefault="00D34B3B" w:rsidP="00F539A9">
            <w:pPr>
              <w:pStyle w:val="oj-normal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14:paraId="1A252E50" w14:textId="77777777" w:rsidR="00D34B3B" w:rsidRDefault="00D34B3B" w:rsidP="00F539A9">
            <w:pPr>
              <w:pStyle w:val="oj-normal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14:paraId="784DC47C" w14:textId="77777777" w:rsidR="00D34B3B" w:rsidRDefault="00D34B3B" w:rsidP="00F539A9">
            <w:pPr>
              <w:pStyle w:val="oj-normal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14:paraId="1677B7D9" w14:textId="77777777" w:rsidR="00D34B3B" w:rsidRDefault="00D34B3B" w:rsidP="00F539A9">
            <w:pPr>
              <w:pStyle w:val="oj-normal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14:paraId="44F023C5" w14:textId="77777777" w:rsidR="004C7B89" w:rsidRDefault="004C7B89" w:rsidP="00F539A9">
            <w:pPr>
              <w:pStyle w:val="oj-normal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14:paraId="49F7D139" w14:textId="77777777" w:rsidR="004C7B89" w:rsidRDefault="004C7B89" w:rsidP="00F539A9">
            <w:pPr>
              <w:pStyle w:val="oj-normal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14:paraId="4159E3CA" w14:textId="3BA7265E" w:rsidR="00F539A9" w:rsidRPr="004603D9" w:rsidRDefault="00F539A9" w:rsidP="00F539A9">
            <w:pPr>
              <w:pStyle w:val="oj-normal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603D9">
              <w:rPr>
                <w:color w:val="000000"/>
                <w:sz w:val="20"/>
                <w:szCs w:val="20"/>
              </w:rPr>
              <w:t>2.   Členské štáty oznámia Komisii znenie hlavných opatrení vnútroštátneho práva, ktoré prijmú v oblasti pôsobnosti tejto smernice.</w:t>
            </w:r>
          </w:p>
          <w:p w14:paraId="2A9F2083" w14:textId="77777777" w:rsidR="00F539A9" w:rsidRPr="004603D9" w:rsidRDefault="00F539A9" w:rsidP="00F539A9">
            <w:pPr>
              <w:pStyle w:val="Normlny0"/>
              <w:jc w:val="both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DC98F30" w14:textId="77777777" w:rsidR="00F539A9" w:rsidRDefault="00F539A9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148C0">
              <w:rPr>
                <w:color w:val="000000"/>
                <w:sz w:val="20"/>
                <w:szCs w:val="20"/>
              </w:rPr>
              <w:lastRenderedPageBreak/>
              <w:t>N</w:t>
            </w:r>
          </w:p>
          <w:p w14:paraId="49830D41" w14:textId="77777777" w:rsidR="00F539A9" w:rsidRDefault="00F539A9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7A380CEB" w14:textId="77777777" w:rsidR="00F539A9" w:rsidRDefault="00F539A9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6E88E1E7" w14:textId="77777777" w:rsidR="00F539A9" w:rsidRDefault="00F539A9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41F4B6C4" w14:textId="77777777" w:rsidR="00F539A9" w:rsidRDefault="00F539A9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7C8FA4D4" w14:textId="77777777" w:rsidR="00F539A9" w:rsidRDefault="00F539A9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518A0C83" w14:textId="77777777" w:rsidR="00F539A9" w:rsidRDefault="00F539A9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2B54952E" w14:textId="77777777" w:rsidR="00F539A9" w:rsidRDefault="00F539A9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7E84FD14" w14:textId="5B5B11D1" w:rsidR="00F539A9" w:rsidRDefault="00F539A9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4FC76C65" w14:textId="309646FE" w:rsidR="0088344F" w:rsidRDefault="0088344F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102E521F" w14:textId="5C112C8D" w:rsidR="0088344F" w:rsidRDefault="0088344F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19E70D65" w14:textId="4FF98BF2" w:rsidR="0088344F" w:rsidRDefault="0088344F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337A9BDB" w14:textId="01B9EB57" w:rsidR="0088344F" w:rsidRDefault="0088344F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548626B8" w14:textId="398850F1" w:rsidR="0088344F" w:rsidRDefault="0088344F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3D95EDD7" w14:textId="3BD2251A" w:rsidR="0088344F" w:rsidRDefault="0088344F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07E621AD" w14:textId="22A6AB69" w:rsidR="0088344F" w:rsidRDefault="0088344F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6F0AB282" w14:textId="086F1D7D" w:rsidR="0088344F" w:rsidRDefault="0088344F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29CB0C6B" w14:textId="6DA82DB3" w:rsidR="0088344F" w:rsidRDefault="0088344F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67EE1B25" w14:textId="349442AB" w:rsidR="0088344F" w:rsidRDefault="0088344F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36CE6700" w14:textId="27522C6A" w:rsidR="0088344F" w:rsidRDefault="0088344F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167EA7F1" w14:textId="13FD7C54" w:rsidR="0088344F" w:rsidRDefault="0088344F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7E9769B2" w14:textId="11BEC0F0" w:rsidR="0088344F" w:rsidRDefault="0088344F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5DFC609F" w14:textId="36139EC3" w:rsidR="0088344F" w:rsidRDefault="0088344F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29BE6101" w14:textId="079C25C1" w:rsidR="0088344F" w:rsidRDefault="0088344F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0C610E0C" w14:textId="026486EE" w:rsidR="0088344F" w:rsidRDefault="0088344F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6598FE26" w14:textId="395ADFA9" w:rsidR="0088344F" w:rsidRDefault="0088344F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6E43176E" w14:textId="5DDE2EC1" w:rsidR="0088344F" w:rsidRDefault="0088344F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2FB489AA" w14:textId="3C1219A5" w:rsidR="0088344F" w:rsidRDefault="0088344F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1D6EB572" w14:textId="3B339C79" w:rsidR="0088344F" w:rsidRDefault="0088344F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4606A16D" w14:textId="076BB9C7" w:rsidR="0088344F" w:rsidRDefault="0088344F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4AC2BF57" w14:textId="2C33415A" w:rsidR="0088344F" w:rsidRDefault="0088344F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455EDDE1" w14:textId="6372E5D1" w:rsidR="0088344F" w:rsidRDefault="0088344F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1552D412" w14:textId="77777777" w:rsidR="00F539A9" w:rsidRDefault="00F539A9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35AF1729" w14:textId="578FD8F6" w:rsidR="00F539A9" w:rsidRPr="00D148C0" w:rsidRDefault="00F539A9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BAA797F" w14:textId="77777777" w:rsidR="0088344F" w:rsidRPr="00F9397B" w:rsidRDefault="0088344F" w:rsidP="00F539A9">
            <w:pPr>
              <w:rPr>
                <w:bCs/>
                <w:sz w:val="20"/>
                <w:szCs w:val="20"/>
                <w:highlight w:val="yellow"/>
              </w:rPr>
            </w:pPr>
          </w:p>
          <w:p w14:paraId="0DBF8186" w14:textId="5DFBD652" w:rsidR="0088344F" w:rsidRPr="00F9397B" w:rsidRDefault="0088344F" w:rsidP="00F539A9">
            <w:pPr>
              <w:rPr>
                <w:bCs/>
                <w:sz w:val="20"/>
                <w:szCs w:val="20"/>
              </w:rPr>
            </w:pPr>
          </w:p>
          <w:p w14:paraId="43ABBA04" w14:textId="65CDE7AC" w:rsidR="0088344F" w:rsidRPr="00F9397B" w:rsidRDefault="0088344F" w:rsidP="0088344F">
            <w:pPr>
              <w:jc w:val="center"/>
              <w:rPr>
                <w:b/>
                <w:sz w:val="20"/>
                <w:szCs w:val="20"/>
              </w:rPr>
            </w:pPr>
            <w:r w:rsidRPr="00F9397B">
              <w:rPr>
                <w:b/>
                <w:sz w:val="20"/>
                <w:szCs w:val="20"/>
              </w:rPr>
              <w:t>Návrh zákona</w:t>
            </w:r>
          </w:p>
          <w:p w14:paraId="3807DECD" w14:textId="07F099AE" w:rsidR="00E57679" w:rsidRPr="00F9397B" w:rsidRDefault="00E57679" w:rsidP="00E57679">
            <w:pPr>
              <w:jc w:val="center"/>
              <w:rPr>
                <w:b/>
                <w:sz w:val="20"/>
                <w:szCs w:val="20"/>
              </w:rPr>
            </w:pPr>
            <w:r w:rsidRPr="00F9397B">
              <w:rPr>
                <w:b/>
                <w:sz w:val="20"/>
                <w:szCs w:val="20"/>
              </w:rPr>
              <w:t>Čl. II</w:t>
            </w:r>
            <w:r w:rsidR="001A6925">
              <w:rPr>
                <w:b/>
                <w:sz w:val="20"/>
                <w:szCs w:val="20"/>
              </w:rPr>
              <w:t>I</w:t>
            </w:r>
          </w:p>
          <w:p w14:paraId="273DA374" w14:textId="02B4572F" w:rsidR="0088344F" w:rsidRPr="00F9397B" w:rsidRDefault="0088344F" w:rsidP="0088344F">
            <w:pPr>
              <w:jc w:val="center"/>
              <w:rPr>
                <w:sz w:val="20"/>
                <w:szCs w:val="20"/>
              </w:rPr>
            </w:pPr>
          </w:p>
          <w:p w14:paraId="5B8168D5" w14:textId="0E9FAD85" w:rsidR="0088344F" w:rsidRPr="00F9397B" w:rsidRDefault="0088344F" w:rsidP="0088344F">
            <w:pPr>
              <w:jc w:val="center"/>
              <w:rPr>
                <w:sz w:val="20"/>
                <w:szCs w:val="20"/>
              </w:rPr>
            </w:pPr>
          </w:p>
          <w:p w14:paraId="1ED06E48" w14:textId="36090CFA" w:rsidR="0088344F" w:rsidRPr="00F9397B" w:rsidRDefault="0088344F" w:rsidP="0088344F">
            <w:pPr>
              <w:jc w:val="center"/>
              <w:rPr>
                <w:sz w:val="20"/>
                <w:szCs w:val="20"/>
              </w:rPr>
            </w:pPr>
          </w:p>
          <w:p w14:paraId="45AB1B98" w14:textId="77777777" w:rsidR="004C7B89" w:rsidRDefault="004C7B89" w:rsidP="0088344F">
            <w:pPr>
              <w:jc w:val="center"/>
              <w:rPr>
                <w:sz w:val="20"/>
                <w:szCs w:val="20"/>
              </w:rPr>
            </w:pPr>
          </w:p>
          <w:p w14:paraId="43B89847" w14:textId="77777777" w:rsidR="00A8090C" w:rsidRDefault="00A8090C" w:rsidP="0088344F">
            <w:pPr>
              <w:jc w:val="center"/>
              <w:rPr>
                <w:sz w:val="20"/>
                <w:szCs w:val="20"/>
              </w:rPr>
            </w:pPr>
          </w:p>
          <w:p w14:paraId="4938127C" w14:textId="77777777" w:rsidR="00A8090C" w:rsidRPr="00F9397B" w:rsidRDefault="00A8090C" w:rsidP="0088344F">
            <w:pPr>
              <w:jc w:val="center"/>
              <w:rPr>
                <w:sz w:val="20"/>
                <w:szCs w:val="20"/>
              </w:rPr>
            </w:pPr>
          </w:p>
          <w:p w14:paraId="1443A8C4" w14:textId="02AE27CC" w:rsidR="0001597E" w:rsidRPr="00F9397B" w:rsidRDefault="0001597E" w:rsidP="0088344F">
            <w:pPr>
              <w:jc w:val="center"/>
              <w:rPr>
                <w:sz w:val="20"/>
                <w:szCs w:val="20"/>
              </w:rPr>
            </w:pPr>
          </w:p>
          <w:p w14:paraId="647D9001" w14:textId="550C610F" w:rsidR="00E57679" w:rsidRPr="00F9397B" w:rsidRDefault="00E57679" w:rsidP="00E57679">
            <w:pPr>
              <w:rPr>
                <w:bCs/>
                <w:sz w:val="20"/>
                <w:szCs w:val="20"/>
              </w:rPr>
            </w:pPr>
            <w:r w:rsidRPr="00F9397B">
              <w:rPr>
                <w:bCs/>
                <w:sz w:val="20"/>
                <w:szCs w:val="20"/>
              </w:rPr>
              <w:t>575/2001</w:t>
            </w:r>
          </w:p>
          <w:p w14:paraId="1B1D8707" w14:textId="77777777" w:rsidR="00E57679" w:rsidRPr="00F9397B" w:rsidRDefault="00E57679" w:rsidP="00E57679">
            <w:pPr>
              <w:rPr>
                <w:bCs/>
                <w:sz w:val="20"/>
                <w:szCs w:val="20"/>
              </w:rPr>
            </w:pPr>
          </w:p>
          <w:p w14:paraId="34E8F475" w14:textId="77777777" w:rsidR="00E57679" w:rsidRPr="00F9397B" w:rsidRDefault="00E57679" w:rsidP="00E57679">
            <w:pPr>
              <w:rPr>
                <w:bCs/>
                <w:sz w:val="20"/>
                <w:szCs w:val="20"/>
              </w:rPr>
            </w:pPr>
          </w:p>
          <w:p w14:paraId="74B98FA9" w14:textId="77777777" w:rsidR="00E57679" w:rsidRPr="00F9397B" w:rsidRDefault="00E57679" w:rsidP="00E57679">
            <w:pPr>
              <w:rPr>
                <w:bCs/>
                <w:sz w:val="20"/>
                <w:szCs w:val="20"/>
              </w:rPr>
            </w:pPr>
          </w:p>
          <w:p w14:paraId="2A618091" w14:textId="77777777" w:rsidR="00E57679" w:rsidRPr="00F9397B" w:rsidRDefault="00E57679" w:rsidP="00E57679">
            <w:pPr>
              <w:rPr>
                <w:bCs/>
                <w:sz w:val="20"/>
                <w:szCs w:val="20"/>
              </w:rPr>
            </w:pPr>
          </w:p>
          <w:p w14:paraId="3EE302F5" w14:textId="77777777" w:rsidR="00E57679" w:rsidRPr="00F9397B" w:rsidRDefault="00E57679" w:rsidP="00E57679">
            <w:pPr>
              <w:rPr>
                <w:bCs/>
                <w:sz w:val="20"/>
                <w:szCs w:val="20"/>
              </w:rPr>
            </w:pPr>
          </w:p>
          <w:p w14:paraId="5D21BD0E" w14:textId="77777777" w:rsidR="004C7B89" w:rsidRPr="00F9397B" w:rsidRDefault="004C7B89" w:rsidP="00E57679">
            <w:pPr>
              <w:rPr>
                <w:bCs/>
                <w:sz w:val="20"/>
                <w:szCs w:val="20"/>
              </w:rPr>
            </w:pPr>
          </w:p>
          <w:p w14:paraId="4F009B8F" w14:textId="435E7B26" w:rsidR="0001597E" w:rsidRPr="00F9397B" w:rsidRDefault="0001597E" w:rsidP="006F67D1">
            <w:pPr>
              <w:rPr>
                <w:sz w:val="20"/>
                <w:szCs w:val="20"/>
              </w:rPr>
            </w:pPr>
          </w:p>
          <w:p w14:paraId="5D041684" w14:textId="77777777" w:rsidR="006F67D1" w:rsidRPr="00F9397B" w:rsidRDefault="006F67D1" w:rsidP="006F67D1">
            <w:pPr>
              <w:jc w:val="center"/>
              <w:rPr>
                <w:sz w:val="20"/>
                <w:szCs w:val="20"/>
              </w:rPr>
            </w:pPr>
            <w:r w:rsidRPr="00F9397B">
              <w:rPr>
                <w:sz w:val="20"/>
                <w:szCs w:val="20"/>
              </w:rPr>
              <w:t>566/2001</w:t>
            </w:r>
          </w:p>
          <w:p w14:paraId="22E6EAF5" w14:textId="77777777" w:rsidR="006F67D1" w:rsidRPr="00F9397B" w:rsidRDefault="006F67D1" w:rsidP="006F67D1">
            <w:pPr>
              <w:jc w:val="center"/>
              <w:rPr>
                <w:sz w:val="20"/>
                <w:szCs w:val="20"/>
              </w:rPr>
            </w:pPr>
          </w:p>
          <w:p w14:paraId="00E0A9D6" w14:textId="74BB82AC" w:rsidR="006F67D1" w:rsidRPr="00F9397B" w:rsidRDefault="006F67D1" w:rsidP="006F67D1">
            <w:pPr>
              <w:jc w:val="center"/>
              <w:rPr>
                <w:sz w:val="20"/>
                <w:szCs w:val="20"/>
              </w:rPr>
            </w:pPr>
          </w:p>
          <w:p w14:paraId="45E02F17" w14:textId="77777777" w:rsidR="006F67D1" w:rsidRPr="00F9397B" w:rsidRDefault="006F67D1" w:rsidP="006F67D1">
            <w:pPr>
              <w:jc w:val="center"/>
              <w:rPr>
                <w:b/>
                <w:sz w:val="20"/>
                <w:szCs w:val="20"/>
              </w:rPr>
            </w:pPr>
          </w:p>
          <w:p w14:paraId="0454C2FD" w14:textId="77777777" w:rsidR="004C7B89" w:rsidRPr="00F9397B" w:rsidRDefault="004C7B89" w:rsidP="006F67D1">
            <w:pPr>
              <w:jc w:val="center"/>
              <w:rPr>
                <w:b/>
                <w:sz w:val="20"/>
                <w:szCs w:val="20"/>
              </w:rPr>
            </w:pPr>
          </w:p>
          <w:p w14:paraId="38A4165A" w14:textId="77777777" w:rsidR="004C7B89" w:rsidRPr="00F9397B" w:rsidRDefault="004C7B89" w:rsidP="006F67D1">
            <w:pPr>
              <w:jc w:val="center"/>
              <w:rPr>
                <w:b/>
                <w:sz w:val="20"/>
                <w:szCs w:val="20"/>
              </w:rPr>
            </w:pPr>
          </w:p>
          <w:p w14:paraId="79764C0E" w14:textId="77777777" w:rsidR="0025200C" w:rsidRPr="00F9397B" w:rsidRDefault="0025200C" w:rsidP="0025200C">
            <w:pPr>
              <w:jc w:val="center"/>
              <w:rPr>
                <w:sz w:val="20"/>
                <w:szCs w:val="20"/>
              </w:rPr>
            </w:pPr>
            <w:r w:rsidRPr="00F9397B">
              <w:rPr>
                <w:sz w:val="20"/>
                <w:szCs w:val="20"/>
              </w:rPr>
              <w:t>566/2001</w:t>
            </w:r>
          </w:p>
          <w:p w14:paraId="5A106ABF" w14:textId="6D124935" w:rsidR="006F67D1" w:rsidRPr="00F9397B" w:rsidRDefault="0025200C" w:rsidP="006F67D1">
            <w:pPr>
              <w:jc w:val="center"/>
              <w:rPr>
                <w:b/>
                <w:sz w:val="20"/>
                <w:szCs w:val="20"/>
              </w:rPr>
            </w:pPr>
            <w:r w:rsidRPr="00F9397B">
              <w:rPr>
                <w:b/>
                <w:sz w:val="20"/>
                <w:szCs w:val="20"/>
              </w:rPr>
              <w:t>a</w:t>
            </w:r>
          </w:p>
          <w:p w14:paraId="447B4F9C" w14:textId="36D7B4EA" w:rsidR="006F67D1" w:rsidRPr="00F9397B" w:rsidRDefault="0025200C" w:rsidP="006F67D1">
            <w:pPr>
              <w:jc w:val="center"/>
              <w:rPr>
                <w:b/>
                <w:sz w:val="20"/>
                <w:szCs w:val="20"/>
              </w:rPr>
            </w:pPr>
            <w:r w:rsidRPr="00F9397B">
              <w:rPr>
                <w:b/>
                <w:sz w:val="20"/>
                <w:szCs w:val="20"/>
              </w:rPr>
              <w:lastRenderedPageBreak/>
              <w:t>N</w:t>
            </w:r>
            <w:r w:rsidR="006F67D1" w:rsidRPr="00F9397B">
              <w:rPr>
                <w:b/>
                <w:sz w:val="20"/>
                <w:szCs w:val="20"/>
              </w:rPr>
              <w:t>ávrh zákona</w:t>
            </w:r>
          </w:p>
          <w:p w14:paraId="49A9F933" w14:textId="2B020BFB" w:rsidR="006F67D1" w:rsidRPr="00F9397B" w:rsidRDefault="006F67D1" w:rsidP="006F67D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9397B">
              <w:rPr>
                <w:b/>
                <w:sz w:val="20"/>
                <w:szCs w:val="20"/>
              </w:rPr>
              <w:t>čl.I</w:t>
            </w:r>
            <w:proofErr w:type="spellEnd"/>
          </w:p>
          <w:p w14:paraId="089263AC" w14:textId="5C5AA6FF" w:rsidR="006F67D1" w:rsidRPr="00F9397B" w:rsidRDefault="006F67D1" w:rsidP="006F67D1">
            <w:pPr>
              <w:jc w:val="center"/>
              <w:rPr>
                <w:b/>
                <w:sz w:val="20"/>
                <w:szCs w:val="20"/>
              </w:rPr>
            </w:pPr>
            <w:r w:rsidRPr="00F9397B">
              <w:rPr>
                <w:b/>
                <w:sz w:val="20"/>
                <w:szCs w:val="20"/>
              </w:rPr>
              <w:t xml:space="preserve">B </w:t>
            </w:r>
            <w:r w:rsidR="001A6925">
              <w:rPr>
                <w:b/>
                <w:sz w:val="20"/>
                <w:szCs w:val="20"/>
              </w:rPr>
              <w:t>4</w:t>
            </w:r>
            <w:r w:rsidR="001D15F7">
              <w:rPr>
                <w:b/>
                <w:sz w:val="20"/>
                <w:szCs w:val="20"/>
              </w:rPr>
              <w:t>7</w:t>
            </w:r>
          </w:p>
          <w:p w14:paraId="78B3AD5A" w14:textId="50A582B4" w:rsidR="00D34B3B" w:rsidRPr="00F9397B" w:rsidRDefault="00D34B3B" w:rsidP="0088344F">
            <w:pPr>
              <w:jc w:val="center"/>
              <w:rPr>
                <w:sz w:val="20"/>
                <w:szCs w:val="20"/>
              </w:rPr>
            </w:pPr>
          </w:p>
          <w:p w14:paraId="78941458" w14:textId="67EE1CB5" w:rsidR="00D34B3B" w:rsidRPr="00F9397B" w:rsidRDefault="00D34B3B" w:rsidP="0088344F">
            <w:pPr>
              <w:jc w:val="center"/>
              <w:rPr>
                <w:sz w:val="20"/>
                <w:szCs w:val="20"/>
              </w:rPr>
            </w:pPr>
          </w:p>
          <w:p w14:paraId="34D02E10" w14:textId="07691BC4" w:rsidR="00D34B3B" w:rsidRPr="00F9397B" w:rsidRDefault="00D34B3B" w:rsidP="0088344F">
            <w:pPr>
              <w:jc w:val="center"/>
              <w:rPr>
                <w:sz w:val="20"/>
                <w:szCs w:val="20"/>
              </w:rPr>
            </w:pPr>
          </w:p>
          <w:p w14:paraId="665AEF8A" w14:textId="350DA302" w:rsidR="00D34B3B" w:rsidRPr="00F9397B" w:rsidRDefault="00D34B3B" w:rsidP="0088344F">
            <w:pPr>
              <w:jc w:val="center"/>
              <w:rPr>
                <w:sz w:val="20"/>
                <w:szCs w:val="20"/>
              </w:rPr>
            </w:pPr>
          </w:p>
          <w:p w14:paraId="67335A0B" w14:textId="7BF43744" w:rsidR="00D34B3B" w:rsidRPr="00F9397B" w:rsidRDefault="00D34B3B" w:rsidP="0088344F">
            <w:pPr>
              <w:jc w:val="center"/>
              <w:rPr>
                <w:sz w:val="20"/>
                <w:szCs w:val="20"/>
              </w:rPr>
            </w:pPr>
          </w:p>
          <w:p w14:paraId="62F938B7" w14:textId="2C8544AE" w:rsidR="00D34B3B" w:rsidRPr="00F9397B" w:rsidRDefault="00D34B3B" w:rsidP="0088344F">
            <w:pPr>
              <w:jc w:val="center"/>
              <w:rPr>
                <w:sz w:val="20"/>
                <w:szCs w:val="20"/>
              </w:rPr>
            </w:pPr>
          </w:p>
          <w:p w14:paraId="0FA895E4" w14:textId="3256B326" w:rsidR="00D34B3B" w:rsidRPr="00F9397B" w:rsidRDefault="00D34B3B" w:rsidP="0088344F">
            <w:pPr>
              <w:jc w:val="center"/>
              <w:rPr>
                <w:sz w:val="20"/>
                <w:szCs w:val="20"/>
              </w:rPr>
            </w:pPr>
          </w:p>
          <w:p w14:paraId="43238455" w14:textId="398946CA" w:rsidR="00D34B3B" w:rsidRPr="00F9397B" w:rsidRDefault="00D34B3B" w:rsidP="0088344F">
            <w:pPr>
              <w:jc w:val="center"/>
              <w:rPr>
                <w:sz w:val="20"/>
                <w:szCs w:val="20"/>
              </w:rPr>
            </w:pPr>
          </w:p>
          <w:p w14:paraId="626D8414" w14:textId="782D18ED" w:rsidR="00D34B3B" w:rsidRPr="00F9397B" w:rsidRDefault="00D34B3B" w:rsidP="0088344F">
            <w:pPr>
              <w:jc w:val="center"/>
              <w:rPr>
                <w:sz w:val="20"/>
                <w:szCs w:val="20"/>
              </w:rPr>
            </w:pPr>
          </w:p>
          <w:p w14:paraId="63861B19" w14:textId="6962BCA9" w:rsidR="00D34B3B" w:rsidRPr="00F9397B" w:rsidRDefault="00D34B3B" w:rsidP="006F67D1">
            <w:pPr>
              <w:rPr>
                <w:sz w:val="20"/>
                <w:szCs w:val="20"/>
              </w:rPr>
            </w:pPr>
          </w:p>
          <w:p w14:paraId="0B3D9B69" w14:textId="4E93B9B5" w:rsidR="00D34B3B" w:rsidRPr="00F9397B" w:rsidRDefault="00D34B3B" w:rsidP="0088344F">
            <w:pPr>
              <w:jc w:val="center"/>
              <w:rPr>
                <w:sz w:val="20"/>
                <w:szCs w:val="20"/>
              </w:rPr>
            </w:pPr>
          </w:p>
          <w:p w14:paraId="648CDBAA" w14:textId="77777777" w:rsidR="00D34B3B" w:rsidRPr="00F9397B" w:rsidRDefault="00D34B3B" w:rsidP="00D34B3B">
            <w:pPr>
              <w:rPr>
                <w:bCs/>
                <w:sz w:val="20"/>
                <w:szCs w:val="20"/>
              </w:rPr>
            </w:pPr>
            <w:r w:rsidRPr="00F9397B">
              <w:rPr>
                <w:bCs/>
                <w:sz w:val="20"/>
                <w:szCs w:val="20"/>
              </w:rPr>
              <w:t>575/2001</w:t>
            </w:r>
          </w:p>
          <w:p w14:paraId="144840BB" w14:textId="77777777" w:rsidR="00D34B3B" w:rsidRPr="00F9397B" w:rsidRDefault="00D34B3B" w:rsidP="0088344F">
            <w:pPr>
              <w:jc w:val="center"/>
              <w:rPr>
                <w:sz w:val="20"/>
                <w:szCs w:val="20"/>
              </w:rPr>
            </w:pPr>
          </w:p>
          <w:p w14:paraId="19184402" w14:textId="61297021" w:rsidR="0088344F" w:rsidRPr="00F9397B" w:rsidRDefault="0088344F" w:rsidP="00F539A9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DE20" w14:textId="42942F0F" w:rsidR="0088344F" w:rsidRPr="00F9397B" w:rsidRDefault="0088344F" w:rsidP="0088344F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14:paraId="06F926E7" w14:textId="77777777" w:rsidR="0088344F" w:rsidRPr="00F9397B" w:rsidRDefault="0088344F" w:rsidP="0088344F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F9397B">
              <w:rPr>
                <w:sz w:val="20"/>
                <w:szCs w:val="20"/>
              </w:rPr>
              <w:t> </w:t>
            </w:r>
          </w:p>
          <w:p w14:paraId="1F562504" w14:textId="77777777" w:rsidR="0088344F" w:rsidRPr="00F9397B" w:rsidRDefault="0088344F" w:rsidP="0088344F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F9397B">
              <w:rPr>
                <w:sz w:val="20"/>
                <w:szCs w:val="20"/>
              </w:rPr>
              <w:t> </w:t>
            </w:r>
          </w:p>
          <w:p w14:paraId="46D6CDAA" w14:textId="77777777" w:rsidR="0088344F" w:rsidRPr="00F9397B" w:rsidRDefault="0088344F" w:rsidP="0088344F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F9397B">
              <w:rPr>
                <w:sz w:val="20"/>
                <w:szCs w:val="20"/>
              </w:rPr>
              <w:t> </w:t>
            </w:r>
          </w:p>
          <w:p w14:paraId="6484ABD4" w14:textId="24F45209" w:rsidR="0088344F" w:rsidRPr="00F9397B" w:rsidRDefault="0088344F" w:rsidP="0088344F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F9397B">
              <w:rPr>
                <w:sz w:val="20"/>
                <w:szCs w:val="20"/>
              </w:rPr>
              <w:t> </w:t>
            </w:r>
          </w:p>
          <w:p w14:paraId="50C0CB7E" w14:textId="77777777" w:rsidR="0088344F" w:rsidRPr="00F9397B" w:rsidRDefault="0088344F" w:rsidP="0088344F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F9397B">
              <w:rPr>
                <w:sz w:val="20"/>
                <w:szCs w:val="20"/>
              </w:rPr>
              <w:t> </w:t>
            </w:r>
          </w:p>
          <w:p w14:paraId="0F4B74B2" w14:textId="77777777" w:rsidR="0088344F" w:rsidRPr="00F9397B" w:rsidRDefault="0088344F" w:rsidP="0088344F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14:paraId="49E2E850" w14:textId="77777777" w:rsidR="004C7B89" w:rsidRPr="00F9397B" w:rsidRDefault="004C7B89" w:rsidP="0088344F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14:paraId="5CC894EC" w14:textId="257D1031" w:rsidR="0088344F" w:rsidRDefault="0088344F" w:rsidP="0088344F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F9397B">
              <w:rPr>
                <w:sz w:val="20"/>
                <w:szCs w:val="20"/>
              </w:rPr>
              <w:t> </w:t>
            </w:r>
          </w:p>
          <w:p w14:paraId="0E31DC10" w14:textId="77777777" w:rsidR="00A8090C" w:rsidRDefault="00A8090C" w:rsidP="0088344F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14:paraId="45FB5822" w14:textId="77777777" w:rsidR="00A8090C" w:rsidRPr="00F9397B" w:rsidRDefault="00A8090C" w:rsidP="0088344F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14:paraId="014B88A7" w14:textId="77777777" w:rsidR="0088344F" w:rsidRPr="00F9397B" w:rsidRDefault="0088344F" w:rsidP="0088344F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F9397B">
              <w:rPr>
                <w:sz w:val="20"/>
                <w:szCs w:val="20"/>
              </w:rPr>
              <w:t> </w:t>
            </w:r>
          </w:p>
          <w:p w14:paraId="3E05DEC2" w14:textId="63ED741F" w:rsidR="00E57679" w:rsidRPr="00F9397B" w:rsidRDefault="00E57679" w:rsidP="00E57679">
            <w:pPr>
              <w:autoSpaceDE/>
              <w:autoSpaceDN/>
              <w:rPr>
                <w:sz w:val="20"/>
                <w:szCs w:val="20"/>
              </w:rPr>
            </w:pPr>
            <w:r w:rsidRPr="00F9397B">
              <w:rPr>
                <w:sz w:val="20"/>
                <w:szCs w:val="20"/>
              </w:rPr>
              <w:t>§ : 35</w:t>
            </w:r>
          </w:p>
          <w:p w14:paraId="023F9983" w14:textId="77777777" w:rsidR="00E57679" w:rsidRPr="00F9397B" w:rsidRDefault="00E57679" w:rsidP="00E57679">
            <w:pPr>
              <w:autoSpaceDE/>
              <w:autoSpaceDN/>
              <w:rPr>
                <w:sz w:val="20"/>
                <w:szCs w:val="20"/>
              </w:rPr>
            </w:pPr>
            <w:r w:rsidRPr="00F9397B">
              <w:rPr>
                <w:sz w:val="20"/>
                <w:szCs w:val="20"/>
              </w:rPr>
              <w:t xml:space="preserve"> O : 7</w:t>
            </w:r>
          </w:p>
          <w:p w14:paraId="3514D863" w14:textId="77777777" w:rsidR="0088344F" w:rsidRPr="00F9397B" w:rsidRDefault="0088344F" w:rsidP="0088344F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14:paraId="463B3BD7" w14:textId="77777777" w:rsidR="0088344F" w:rsidRPr="00F9397B" w:rsidRDefault="0088344F" w:rsidP="0088344F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14:paraId="39C8C01B" w14:textId="77777777" w:rsidR="0088344F" w:rsidRPr="00F9397B" w:rsidRDefault="0088344F" w:rsidP="0088344F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14:paraId="2A9BCCB5" w14:textId="530787CB" w:rsidR="0001597E" w:rsidRPr="00F9397B" w:rsidRDefault="006F67D1" w:rsidP="006F67D1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F9397B">
              <w:rPr>
                <w:sz w:val="20"/>
                <w:szCs w:val="20"/>
              </w:rPr>
              <w:t> </w:t>
            </w:r>
          </w:p>
          <w:p w14:paraId="62F162DE" w14:textId="077E1911" w:rsidR="006F67D1" w:rsidRPr="00F9397B" w:rsidRDefault="006F67D1" w:rsidP="006F67D1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14:paraId="67B218F5" w14:textId="77777777" w:rsidR="0025200C" w:rsidRPr="00F9397B" w:rsidRDefault="0025200C" w:rsidP="0025200C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F9397B">
              <w:rPr>
                <w:sz w:val="20"/>
                <w:szCs w:val="20"/>
              </w:rPr>
              <w:t> </w:t>
            </w:r>
          </w:p>
          <w:p w14:paraId="0B945362" w14:textId="4486AF31" w:rsidR="0025200C" w:rsidRPr="00F9397B" w:rsidRDefault="0025200C" w:rsidP="0025200C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F9397B">
              <w:rPr>
                <w:sz w:val="20"/>
                <w:szCs w:val="20"/>
              </w:rPr>
              <w:t>§ 158a</w:t>
            </w:r>
          </w:p>
          <w:p w14:paraId="5C69232E" w14:textId="30C10882" w:rsidR="0025200C" w:rsidRPr="00F9397B" w:rsidRDefault="0025200C" w:rsidP="006F67D1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14:paraId="787038B7" w14:textId="77777777" w:rsidR="0025200C" w:rsidRPr="00F9397B" w:rsidRDefault="0025200C" w:rsidP="006F67D1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14:paraId="2CE26657" w14:textId="09F2D165" w:rsidR="00F539A9" w:rsidRPr="00F9397B" w:rsidRDefault="00F539A9" w:rsidP="00F539A9">
            <w:pPr>
              <w:jc w:val="center"/>
              <w:rPr>
                <w:b/>
                <w:sz w:val="20"/>
                <w:szCs w:val="20"/>
              </w:rPr>
            </w:pPr>
          </w:p>
          <w:p w14:paraId="1F6DE99B" w14:textId="77777777" w:rsidR="004C7B89" w:rsidRPr="00F9397B" w:rsidRDefault="004C7B89" w:rsidP="00F539A9">
            <w:pPr>
              <w:jc w:val="center"/>
              <w:rPr>
                <w:b/>
                <w:sz w:val="20"/>
                <w:szCs w:val="20"/>
              </w:rPr>
            </w:pPr>
          </w:p>
          <w:p w14:paraId="7A37A6D4" w14:textId="77777777" w:rsidR="004C7B89" w:rsidRPr="00F9397B" w:rsidRDefault="004C7B89" w:rsidP="00F539A9">
            <w:pPr>
              <w:jc w:val="center"/>
              <w:rPr>
                <w:b/>
                <w:sz w:val="20"/>
                <w:szCs w:val="20"/>
              </w:rPr>
            </w:pPr>
          </w:p>
          <w:p w14:paraId="20C081F5" w14:textId="77777777" w:rsidR="0025200C" w:rsidRPr="00F9397B" w:rsidRDefault="0025200C" w:rsidP="0025200C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F9397B">
              <w:rPr>
                <w:sz w:val="20"/>
                <w:szCs w:val="20"/>
              </w:rPr>
              <w:t xml:space="preserve">Príloha </w:t>
            </w:r>
          </w:p>
          <w:p w14:paraId="14466288" w14:textId="6B295F3E" w:rsidR="0025200C" w:rsidRPr="00F9397B" w:rsidRDefault="0025200C" w:rsidP="0025200C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F9397B">
              <w:rPr>
                <w:sz w:val="20"/>
                <w:szCs w:val="20"/>
              </w:rPr>
              <w:t>Bod 3</w:t>
            </w:r>
            <w:r w:rsidR="000C0E27">
              <w:rPr>
                <w:iCs/>
                <w:sz w:val="20"/>
                <w:szCs w:val="20"/>
              </w:rPr>
              <w:t>3</w:t>
            </w:r>
          </w:p>
          <w:p w14:paraId="4357C7F6" w14:textId="77777777" w:rsidR="0025200C" w:rsidRPr="00F9397B" w:rsidRDefault="0025200C" w:rsidP="00F539A9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  <w:p w14:paraId="789D7840" w14:textId="77777777" w:rsidR="00D34B3B" w:rsidRPr="00F9397B" w:rsidRDefault="00D34B3B" w:rsidP="00F539A9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  <w:p w14:paraId="1D816A20" w14:textId="77777777" w:rsidR="00D34B3B" w:rsidRPr="00F9397B" w:rsidRDefault="00D34B3B" w:rsidP="00F539A9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  <w:p w14:paraId="64F58348" w14:textId="77777777" w:rsidR="00D34B3B" w:rsidRPr="00F9397B" w:rsidRDefault="00D34B3B" w:rsidP="00F539A9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  <w:p w14:paraId="798DB113" w14:textId="77777777" w:rsidR="00D34B3B" w:rsidRPr="00F9397B" w:rsidRDefault="00D34B3B" w:rsidP="00F539A9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  <w:p w14:paraId="3B33861E" w14:textId="77777777" w:rsidR="00D34B3B" w:rsidRPr="00F9397B" w:rsidRDefault="00D34B3B" w:rsidP="00F539A9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  <w:p w14:paraId="78B09980" w14:textId="239D454E" w:rsidR="00D34B3B" w:rsidRPr="00F9397B" w:rsidRDefault="00D34B3B" w:rsidP="00F539A9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  <w:p w14:paraId="63787D20" w14:textId="054A8814" w:rsidR="00D34B3B" w:rsidRPr="00F9397B" w:rsidRDefault="00D34B3B" w:rsidP="00F539A9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  <w:p w14:paraId="17530816" w14:textId="23092DA0" w:rsidR="00D34B3B" w:rsidRPr="00F9397B" w:rsidRDefault="00D34B3B" w:rsidP="00F539A9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  <w:p w14:paraId="32281237" w14:textId="3F115F17" w:rsidR="00D34B3B" w:rsidRPr="00F9397B" w:rsidRDefault="00D34B3B" w:rsidP="00F539A9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  <w:p w14:paraId="1879D2F2" w14:textId="41DD5E9E" w:rsidR="00D34B3B" w:rsidRPr="00F9397B" w:rsidRDefault="00D34B3B" w:rsidP="00F539A9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  <w:p w14:paraId="0D377973" w14:textId="77777777" w:rsidR="00D34B3B" w:rsidRPr="00F9397B" w:rsidRDefault="00D34B3B" w:rsidP="00F539A9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  <w:p w14:paraId="5B59DC48" w14:textId="52D51FF9" w:rsidR="00D34B3B" w:rsidRPr="00F9397B" w:rsidRDefault="00D34B3B" w:rsidP="0025200C">
            <w:pPr>
              <w:rPr>
                <w:b/>
                <w:sz w:val="20"/>
                <w:szCs w:val="20"/>
                <w:highlight w:val="yellow"/>
              </w:rPr>
            </w:pPr>
          </w:p>
          <w:p w14:paraId="624ACBCB" w14:textId="77777777" w:rsidR="004C7B89" w:rsidRPr="00F9397B" w:rsidRDefault="004C7B89" w:rsidP="0025200C">
            <w:pPr>
              <w:rPr>
                <w:b/>
                <w:sz w:val="20"/>
                <w:szCs w:val="20"/>
                <w:highlight w:val="yellow"/>
              </w:rPr>
            </w:pPr>
          </w:p>
          <w:p w14:paraId="4AE5268B" w14:textId="77777777" w:rsidR="00D34B3B" w:rsidRPr="00F9397B" w:rsidRDefault="00D34B3B" w:rsidP="00D34B3B">
            <w:pPr>
              <w:autoSpaceDE/>
              <w:autoSpaceDN/>
              <w:rPr>
                <w:sz w:val="20"/>
                <w:szCs w:val="20"/>
              </w:rPr>
            </w:pPr>
            <w:r w:rsidRPr="00F9397B">
              <w:rPr>
                <w:sz w:val="20"/>
                <w:szCs w:val="20"/>
              </w:rPr>
              <w:t>§ : 35</w:t>
            </w:r>
          </w:p>
          <w:p w14:paraId="54048D6B" w14:textId="77777777" w:rsidR="00D34B3B" w:rsidRPr="00F9397B" w:rsidRDefault="00D34B3B" w:rsidP="00D34B3B">
            <w:pPr>
              <w:autoSpaceDE/>
              <w:autoSpaceDN/>
              <w:rPr>
                <w:sz w:val="20"/>
                <w:szCs w:val="20"/>
              </w:rPr>
            </w:pPr>
            <w:r w:rsidRPr="00F9397B">
              <w:rPr>
                <w:sz w:val="20"/>
                <w:szCs w:val="20"/>
              </w:rPr>
              <w:t xml:space="preserve"> O : 7</w:t>
            </w:r>
          </w:p>
          <w:p w14:paraId="57F2E893" w14:textId="77777777" w:rsidR="00D34B3B" w:rsidRPr="00F9397B" w:rsidRDefault="00D34B3B" w:rsidP="00D34B3B">
            <w:pPr>
              <w:rPr>
                <w:b/>
                <w:sz w:val="20"/>
                <w:szCs w:val="20"/>
                <w:highlight w:val="yellow"/>
              </w:rPr>
            </w:pPr>
          </w:p>
          <w:p w14:paraId="0CE07C85" w14:textId="77777777" w:rsidR="00D34B3B" w:rsidRPr="00F9397B" w:rsidRDefault="00D34B3B" w:rsidP="00F539A9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  <w:p w14:paraId="5FDB97D9" w14:textId="77777777" w:rsidR="00D34B3B" w:rsidRPr="00F9397B" w:rsidRDefault="00D34B3B" w:rsidP="00F539A9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  <w:p w14:paraId="204D2863" w14:textId="77777777" w:rsidR="00D34B3B" w:rsidRPr="00F9397B" w:rsidRDefault="00D34B3B" w:rsidP="00F539A9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  <w:p w14:paraId="52F5B879" w14:textId="6C8E0B1C" w:rsidR="00D34B3B" w:rsidRPr="00F9397B" w:rsidRDefault="00D34B3B" w:rsidP="00D34B3B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7009" w14:textId="77777777" w:rsidR="00F866F6" w:rsidRPr="00173CB0" w:rsidRDefault="00F866F6" w:rsidP="00F866F6">
            <w:pPr>
              <w:pStyle w:val="Bezriadkovania"/>
              <w:jc w:val="both"/>
              <w:rPr>
                <w:b/>
                <w:bCs/>
                <w:sz w:val="20"/>
                <w:szCs w:val="20"/>
              </w:rPr>
            </w:pPr>
            <w:r w:rsidRPr="00173CB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lastRenderedPageBreak/>
              <w:t>Tento zákon nadobúda účinnosť 1. novembra 2025 okrem čl. I bodov 19, 20, 23 až 25, 29, 32, 34, 36, 39 a 41, ktoré  nadobúdajú účinnosť 5. júna 2026, čl. I bodov 14, 15, 35 a 46 a čl. II bodov 3 až 5, 7 až 20, 24, 26 až 29, 41 až 43 a 46, ktoré nadobúdajú účinnosť 6. júna 2026 a čl. I bodov 2, 9 až 11, 22 a 47, ktoré nadobúdajú účinnosť 25. júna 2026  a čl. I bodu 44 a čl. II bodu 44, ktoré nadobúdajú účinnosť 5. decembra 2026</w:t>
            </w:r>
            <w:r w:rsidRPr="00173C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4AAE62DF" w14:textId="58E3CBBF" w:rsidR="0001597E" w:rsidRPr="00F9397B" w:rsidRDefault="00E57679" w:rsidP="0001597E">
            <w:pPr>
              <w:pStyle w:val="Normlnywebov"/>
              <w:spacing w:before="0" w:after="120"/>
              <w:jc w:val="both"/>
              <w:rPr>
                <w:sz w:val="20"/>
                <w:szCs w:val="20"/>
              </w:rPr>
            </w:pPr>
            <w:r w:rsidRPr="00F9397B">
              <w:rPr>
                <w:sz w:val="20"/>
                <w:szCs w:val="20"/>
              </w:rPr>
              <w:t>Ministerstvá a ostatné ústredné orgány štátnej správy v rozsahu vymedzenej pôsobnosti plnia voči orgánom Európskej únie informačnú a oznamovaciu povinnosť, ktorá im vyplýva z právne záväzných aktov týchto orgánov.</w:t>
            </w:r>
          </w:p>
          <w:p w14:paraId="241388B6" w14:textId="77777777" w:rsidR="004C7B89" w:rsidRPr="00F9397B" w:rsidRDefault="0088344F" w:rsidP="004C7B89">
            <w:pPr>
              <w:pStyle w:val="Normlnywebov"/>
              <w:spacing w:before="0" w:after="120"/>
              <w:jc w:val="both"/>
              <w:rPr>
                <w:sz w:val="20"/>
                <w:szCs w:val="20"/>
              </w:rPr>
            </w:pPr>
            <w:r w:rsidRPr="00F9397B">
              <w:rPr>
                <w:sz w:val="20"/>
                <w:szCs w:val="20"/>
              </w:rPr>
              <w:t>Týmto zákonom sa preberajú právne záväzné akty Európ</w:t>
            </w:r>
            <w:r w:rsidR="00A8228D" w:rsidRPr="00F9397B">
              <w:rPr>
                <w:sz w:val="20"/>
                <w:szCs w:val="20"/>
              </w:rPr>
              <w:t>skej únie uvedené v prí</w:t>
            </w:r>
            <w:r w:rsidR="004C7B89" w:rsidRPr="00F9397B">
              <w:rPr>
                <w:sz w:val="20"/>
                <w:szCs w:val="20"/>
              </w:rPr>
              <w:t>l</w:t>
            </w:r>
            <w:r w:rsidR="00A8228D" w:rsidRPr="00F9397B">
              <w:rPr>
                <w:sz w:val="20"/>
                <w:szCs w:val="20"/>
              </w:rPr>
              <w:t>ohe</w:t>
            </w:r>
            <w:r w:rsidRPr="00F9397B">
              <w:rPr>
                <w:sz w:val="20"/>
                <w:szCs w:val="20"/>
              </w:rPr>
              <w:t>.</w:t>
            </w:r>
          </w:p>
          <w:p w14:paraId="3EF9291A" w14:textId="18E4FEE6" w:rsidR="0088344F" w:rsidRPr="00F9397B" w:rsidRDefault="0088344F" w:rsidP="004C7B89">
            <w:pPr>
              <w:pStyle w:val="Normlnywebov"/>
              <w:spacing w:before="0" w:after="120"/>
              <w:jc w:val="both"/>
              <w:rPr>
                <w:sz w:val="20"/>
                <w:szCs w:val="20"/>
              </w:rPr>
            </w:pPr>
            <w:r w:rsidRPr="00F9397B">
              <w:rPr>
                <w:sz w:val="20"/>
                <w:szCs w:val="20"/>
              </w:rPr>
              <w:t>ZOZNAM PREBERANÝCH PRÁVNE ZÁVÄZNÝCH AKTOV EURÓPSKEJ ÚNIE</w:t>
            </w:r>
          </w:p>
          <w:p w14:paraId="3D4F7A9E" w14:textId="099EE196" w:rsidR="00D34B3B" w:rsidRPr="00F9397B" w:rsidRDefault="0088344F" w:rsidP="0088344F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 w:rsidRPr="00F9397B">
              <w:rPr>
                <w:b/>
                <w:iCs/>
                <w:sz w:val="20"/>
                <w:szCs w:val="20"/>
              </w:rPr>
              <w:lastRenderedPageBreak/>
              <w:t>3</w:t>
            </w:r>
            <w:r w:rsidR="000C0E27">
              <w:rPr>
                <w:b/>
                <w:iCs/>
                <w:sz w:val="20"/>
                <w:szCs w:val="20"/>
              </w:rPr>
              <w:t>3</w:t>
            </w:r>
            <w:r w:rsidRPr="00F9397B">
              <w:rPr>
                <w:b/>
                <w:iCs/>
                <w:sz w:val="20"/>
                <w:szCs w:val="20"/>
              </w:rPr>
              <w:t xml:space="preserve">. Smernica Európskeho </w:t>
            </w:r>
            <w:r w:rsidR="0025200C" w:rsidRPr="00F9397B">
              <w:rPr>
                <w:b/>
                <w:iCs/>
                <w:sz w:val="20"/>
                <w:szCs w:val="20"/>
              </w:rPr>
              <w:t>p</w:t>
            </w:r>
            <w:r w:rsidRPr="00F9397B">
              <w:rPr>
                <w:b/>
                <w:iCs/>
                <w:sz w:val="20"/>
                <w:szCs w:val="20"/>
              </w:rPr>
              <w:t xml:space="preserve">arlamentu a Rady </w:t>
            </w:r>
            <w:r w:rsidRPr="00F9397B">
              <w:rPr>
                <w:b/>
                <w:sz w:val="20"/>
                <w:szCs w:val="20"/>
              </w:rPr>
              <w:t xml:space="preserve">(EÚ) </w:t>
            </w:r>
            <w:r w:rsidRPr="00F9397B">
              <w:rPr>
                <w:b/>
                <w:bCs/>
                <w:sz w:val="20"/>
                <w:szCs w:val="20"/>
              </w:rPr>
              <w:t>2024/2994</w:t>
            </w:r>
            <w:r w:rsidR="0025200C" w:rsidRPr="00F9397B">
              <w:rPr>
                <w:sz w:val="20"/>
                <w:szCs w:val="20"/>
              </w:rPr>
              <w:t xml:space="preserve"> </w:t>
            </w:r>
            <w:r w:rsidR="0025200C" w:rsidRPr="00F9397B">
              <w:rPr>
                <w:b/>
                <w:bCs/>
                <w:sz w:val="20"/>
                <w:szCs w:val="20"/>
              </w:rPr>
              <w:t>z 27. novembra 2024</w:t>
            </w:r>
            <w:r w:rsidRPr="00F9397B">
              <w:rPr>
                <w:b/>
                <w:bCs/>
                <w:sz w:val="20"/>
                <w:szCs w:val="20"/>
              </w:rPr>
              <w:t>, ktorou sa menia smernice 2009/65/ES, 2013/36/EÚ a (EÚ)</w:t>
            </w:r>
          </w:p>
          <w:p w14:paraId="09500EF2" w14:textId="1C95E3C3" w:rsidR="0088344F" w:rsidRPr="00F9397B" w:rsidRDefault="0088344F" w:rsidP="0088344F">
            <w:pPr>
              <w:shd w:val="clear" w:color="auto" w:fill="FFFFFF"/>
              <w:jc w:val="both"/>
              <w:rPr>
                <w:b/>
                <w:iCs/>
                <w:sz w:val="20"/>
                <w:szCs w:val="20"/>
              </w:rPr>
            </w:pPr>
            <w:r w:rsidRPr="00F9397B">
              <w:rPr>
                <w:b/>
                <w:bCs/>
                <w:sz w:val="20"/>
                <w:szCs w:val="20"/>
              </w:rPr>
              <w:t xml:space="preserve"> 2019/2034, pokiaľ ide o zaobchádzanie s rizikom koncentrácie vyplývajúcim z expozícií voči centrálnym protistranám a s rizikom protistrany pri centrálne zúčtovávaných transakciách s derivátmi</w:t>
            </w:r>
            <w:r w:rsidRPr="00F9397B">
              <w:rPr>
                <w:b/>
                <w:sz w:val="20"/>
                <w:szCs w:val="20"/>
              </w:rPr>
              <w:t xml:space="preserve"> </w:t>
            </w:r>
            <w:r w:rsidRPr="00F9397B">
              <w:rPr>
                <w:b/>
                <w:iCs/>
                <w:sz w:val="20"/>
                <w:szCs w:val="20"/>
              </w:rPr>
              <w:t>(Ú. v. EÚ L, 2024/2994, 4.12.2024).</w:t>
            </w:r>
          </w:p>
          <w:p w14:paraId="047E0696" w14:textId="77777777" w:rsidR="0088344F" w:rsidRPr="00F9397B" w:rsidRDefault="0088344F" w:rsidP="00F539A9">
            <w:pPr>
              <w:jc w:val="both"/>
              <w:rPr>
                <w:b/>
                <w:sz w:val="20"/>
                <w:szCs w:val="20"/>
                <w:highlight w:val="yellow"/>
              </w:rPr>
            </w:pPr>
          </w:p>
          <w:p w14:paraId="0AD5974D" w14:textId="77777777" w:rsidR="00D34B3B" w:rsidRPr="00F9397B" w:rsidRDefault="00D34B3B" w:rsidP="00D34B3B">
            <w:pPr>
              <w:pStyle w:val="Normlnywebov"/>
              <w:spacing w:before="0" w:after="120"/>
              <w:jc w:val="both"/>
              <w:rPr>
                <w:sz w:val="20"/>
                <w:szCs w:val="20"/>
              </w:rPr>
            </w:pPr>
            <w:r w:rsidRPr="00F9397B">
              <w:rPr>
                <w:sz w:val="20"/>
                <w:szCs w:val="20"/>
              </w:rPr>
              <w:t>Ministerstvá a ostatné ústredné orgány štátnej správy v rozsahu vymedzenej pôsobnosti plnia voči orgánom Európskej únie informačnú a oznamovaciu povinnosť, ktorá im vyplýva z právne záväzných aktov týchto orgánov.</w:t>
            </w:r>
          </w:p>
          <w:p w14:paraId="37B2D931" w14:textId="3E6A8E4F" w:rsidR="00D34B3B" w:rsidRPr="00F9397B" w:rsidRDefault="00D34B3B" w:rsidP="00F539A9">
            <w:pPr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7B0C9" w14:textId="77777777" w:rsidR="00F539A9" w:rsidRPr="00F9397B" w:rsidRDefault="00F539A9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9397B">
              <w:rPr>
                <w:color w:val="000000"/>
                <w:sz w:val="20"/>
                <w:szCs w:val="20"/>
              </w:rPr>
              <w:lastRenderedPageBreak/>
              <w:t>Ú</w:t>
            </w:r>
          </w:p>
          <w:p w14:paraId="07B59632" w14:textId="77777777" w:rsidR="00F539A9" w:rsidRPr="00F9397B" w:rsidRDefault="00F539A9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7A4DFE83" w14:textId="77777777" w:rsidR="00F539A9" w:rsidRPr="00F9397B" w:rsidRDefault="00F539A9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69722227" w14:textId="77777777" w:rsidR="00F539A9" w:rsidRPr="00F9397B" w:rsidRDefault="00F539A9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25140237" w14:textId="77777777" w:rsidR="00F539A9" w:rsidRPr="00F9397B" w:rsidRDefault="00F539A9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72DC9D8E" w14:textId="77777777" w:rsidR="00F539A9" w:rsidRPr="00F9397B" w:rsidRDefault="00F539A9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3C386A83" w14:textId="77777777" w:rsidR="00F539A9" w:rsidRPr="00F9397B" w:rsidRDefault="00F539A9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4ADEEBF9" w14:textId="77777777" w:rsidR="00F539A9" w:rsidRPr="00F9397B" w:rsidRDefault="00F539A9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63430178" w14:textId="11560A94" w:rsidR="00F539A9" w:rsidRPr="00F9397B" w:rsidRDefault="00F539A9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C3C2D" w14:textId="77777777" w:rsidR="00F539A9" w:rsidRPr="00F9397B" w:rsidRDefault="00F539A9" w:rsidP="00F539A9">
            <w:pPr>
              <w:spacing w:before="75" w:after="75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0BD4D2F" w14:textId="77777777" w:rsidR="00F539A9" w:rsidRPr="00F9397B" w:rsidRDefault="00F539A9" w:rsidP="00F539A9">
            <w:pPr>
              <w:spacing w:before="75" w:after="75"/>
              <w:rPr>
                <w:sz w:val="20"/>
                <w:szCs w:val="20"/>
              </w:rPr>
            </w:pPr>
            <w:r w:rsidRPr="00F9397B">
              <w:rPr>
                <w:color w:val="000000"/>
                <w:sz w:val="20"/>
                <w:szCs w:val="20"/>
              </w:rPr>
              <w:t>GP - 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946DECF" w14:textId="77777777" w:rsidR="00F539A9" w:rsidRPr="00D148C0" w:rsidRDefault="00F539A9" w:rsidP="00F539A9">
            <w:pPr>
              <w:spacing w:before="75" w:after="75"/>
              <w:rPr>
                <w:sz w:val="20"/>
                <w:szCs w:val="20"/>
              </w:rPr>
            </w:pPr>
          </w:p>
        </w:tc>
      </w:tr>
      <w:tr w:rsidR="00F539A9" w:rsidRPr="00D148C0" w14:paraId="732D9DCD" w14:textId="77777777" w:rsidTr="00FF4B29"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31824A" w14:textId="77777777" w:rsidR="00F539A9" w:rsidRPr="00D148C0" w:rsidRDefault="00F539A9" w:rsidP="00F539A9">
            <w:pPr>
              <w:jc w:val="center"/>
              <w:rPr>
                <w:sz w:val="20"/>
                <w:szCs w:val="20"/>
              </w:rPr>
            </w:pPr>
            <w:r w:rsidRPr="00D148C0">
              <w:rPr>
                <w:sz w:val="20"/>
                <w:szCs w:val="20"/>
              </w:rPr>
              <w:t>Č: 5</w:t>
            </w:r>
          </w:p>
          <w:p w14:paraId="4960239A" w14:textId="77777777" w:rsidR="00F539A9" w:rsidRPr="00D148C0" w:rsidRDefault="00F539A9" w:rsidP="00F53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B92B" w14:textId="77777777" w:rsidR="00F539A9" w:rsidRPr="00D148C0" w:rsidRDefault="00F539A9" w:rsidP="00F539A9">
            <w:pPr>
              <w:pStyle w:val="Normlnywebov"/>
              <w:shd w:val="clear" w:color="auto" w:fill="FFFFFF"/>
              <w:rPr>
                <w:b/>
                <w:sz w:val="20"/>
                <w:szCs w:val="20"/>
              </w:rPr>
            </w:pPr>
            <w:r w:rsidRPr="00D148C0">
              <w:rPr>
                <w:b/>
                <w:sz w:val="20"/>
                <w:szCs w:val="20"/>
              </w:rPr>
              <w:t>Nadobudnutie účinnosti</w:t>
            </w:r>
          </w:p>
          <w:p w14:paraId="02C66185" w14:textId="77777777" w:rsidR="00F539A9" w:rsidRPr="00D148C0" w:rsidRDefault="00F539A9" w:rsidP="00F539A9">
            <w:pPr>
              <w:pStyle w:val="Normlnywebov"/>
              <w:shd w:val="clear" w:color="auto" w:fill="FFFFFF"/>
              <w:rPr>
                <w:sz w:val="20"/>
                <w:szCs w:val="20"/>
              </w:rPr>
            </w:pPr>
            <w:r w:rsidRPr="00D148C0">
              <w:rPr>
                <w:sz w:val="20"/>
                <w:szCs w:val="20"/>
              </w:rPr>
              <w:t>Táto smernica nadobúda účinnosť dvadsiatym dňom nasledujúcim po jej uverejnení v </w:t>
            </w:r>
            <w:r w:rsidRPr="00D148C0">
              <w:rPr>
                <w:rStyle w:val="italic"/>
                <w:rFonts w:eastAsiaTheme="minorEastAsia"/>
                <w:i/>
                <w:iCs/>
                <w:sz w:val="20"/>
                <w:szCs w:val="20"/>
              </w:rPr>
              <w:t>Úradnom vestníku Európskej únie</w:t>
            </w:r>
            <w:r w:rsidRPr="00D148C0">
              <w:rPr>
                <w:sz w:val="20"/>
                <w:szCs w:val="20"/>
              </w:rPr>
              <w:t>.</w:t>
            </w:r>
          </w:p>
          <w:p w14:paraId="0F97D5F4" w14:textId="77777777" w:rsidR="00F539A9" w:rsidRPr="00D148C0" w:rsidRDefault="00F539A9" w:rsidP="00F539A9">
            <w:pPr>
              <w:pStyle w:val="Normlny0"/>
              <w:jc w:val="both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F7B2AE" w14:textId="77777777" w:rsidR="00F539A9" w:rsidRPr="00D148C0" w:rsidRDefault="00F539A9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148C0">
              <w:rPr>
                <w:color w:val="000000"/>
                <w:sz w:val="20"/>
                <w:szCs w:val="20"/>
              </w:rPr>
              <w:t>n.a</w:t>
            </w:r>
            <w:proofErr w:type="spellEnd"/>
            <w:r w:rsidRPr="00D148C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8EA12B" w14:textId="77777777" w:rsidR="00F539A9" w:rsidRPr="00D148C0" w:rsidRDefault="00F539A9" w:rsidP="00F539A9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ADEF" w14:textId="77777777" w:rsidR="00F539A9" w:rsidRPr="00D148C0" w:rsidRDefault="00F539A9" w:rsidP="00F539A9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  <w:p w14:paraId="6D229651" w14:textId="77777777" w:rsidR="00F539A9" w:rsidRPr="00D148C0" w:rsidRDefault="00F539A9" w:rsidP="00F539A9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  <w:p w14:paraId="62EDA23A" w14:textId="77777777" w:rsidR="00F539A9" w:rsidRPr="00D148C0" w:rsidRDefault="00F539A9" w:rsidP="00F539A9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  <w:p w14:paraId="51756E33" w14:textId="77777777" w:rsidR="00F539A9" w:rsidRPr="00D148C0" w:rsidRDefault="00F539A9" w:rsidP="00F539A9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  <w:p w14:paraId="21118048" w14:textId="77777777" w:rsidR="00F539A9" w:rsidRPr="00D148C0" w:rsidRDefault="00F539A9" w:rsidP="00F539A9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  <w:p w14:paraId="37731742" w14:textId="77777777" w:rsidR="00F539A9" w:rsidRPr="00D148C0" w:rsidRDefault="00F539A9" w:rsidP="00F539A9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  <w:p w14:paraId="5550154B" w14:textId="77777777" w:rsidR="00F539A9" w:rsidRPr="00D148C0" w:rsidRDefault="00F539A9" w:rsidP="00F539A9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C1AC" w14:textId="77777777" w:rsidR="00F539A9" w:rsidRPr="00D148C0" w:rsidRDefault="00F539A9" w:rsidP="00F539A9">
            <w:pPr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E51C" w14:textId="77777777" w:rsidR="00F539A9" w:rsidRPr="00D148C0" w:rsidRDefault="00F539A9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148C0">
              <w:rPr>
                <w:color w:val="000000"/>
                <w:sz w:val="20"/>
                <w:szCs w:val="20"/>
              </w:rPr>
              <w:t>n.a</w:t>
            </w:r>
            <w:proofErr w:type="spellEnd"/>
            <w:r w:rsidRPr="00D148C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464D" w14:textId="77777777" w:rsidR="00F539A9" w:rsidRPr="00D148C0" w:rsidRDefault="00F539A9" w:rsidP="00F539A9">
            <w:pPr>
              <w:spacing w:before="75" w:after="75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D2DDB9" w14:textId="6244C126" w:rsidR="00F539A9" w:rsidRPr="00D148C0" w:rsidRDefault="00F539A9" w:rsidP="00F539A9">
            <w:pPr>
              <w:spacing w:before="75" w:after="75"/>
              <w:rPr>
                <w:sz w:val="20"/>
                <w:szCs w:val="20"/>
              </w:rPr>
            </w:pPr>
            <w:r w:rsidRPr="00D148C0">
              <w:rPr>
                <w:color w:val="000000"/>
                <w:sz w:val="20"/>
                <w:szCs w:val="20"/>
              </w:rPr>
              <w:t>GP - 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90F5AC" w14:textId="77777777" w:rsidR="00F539A9" w:rsidRPr="00D148C0" w:rsidRDefault="00F539A9" w:rsidP="00F539A9">
            <w:pPr>
              <w:spacing w:before="75" w:after="75"/>
              <w:rPr>
                <w:sz w:val="20"/>
                <w:szCs w:val="20"/>
              </w:rPr>
            </w:pPr>
          </w:p>
        </w:tc>
      </w:tr>
      <w:tr w:rsidR="00F539A9" w:rsidRPr="00D148C0" w14:paraId="7AA5E473" w14:textId="77777777" w:rsidTr="00FF4B29">
        <w:tc>
          <w:tcPr>
            <w:tcW w:w="68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80BA4E7" w14:textId="77777777" w:rsidR="00F539A9" w:rsidRPr="00D148C0" w:rsidRDefault="00F539A9" w:rsidP="00F539A9">
            <w:pPr>
              <w:jc w:val="center"/>
              <w:rPr>
                <w:sz w:val="20"/>
                <w:szCs w:val="20"/>
              </w:rPr>
            </w:pPr>
            <w:r w:rsidRPr="00D148C0">
              <w:rPr>
                <w:sz w:val="20"/>
                <w:szCs w:val="20"/>
              </w:rPr>
              <w:t>Č. 6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20D42" w14:textId="77777777" w:rsidR="00F539A9" w:rsidRPr="00D148C0" w:rsidRDefault="00F539A9" w:rsidP="00F539A9">
            <w:pPr>
              <w:shd w:val="clear" w:color="auto" w:fill="FFFFFF"/>
              <w:autoSpaceDE/>
              <w:autoSpaceDN/>
              <w:spacing w:before="60" w:after="120"/>
              <w:rPr>
                <w:b/>
                <w:bCs/>
                <w:color w:val="000000"/>
                <w:sz w:val="20"/>
                <w:szCs w:val="20"/>
              </w:rPr>
            </w:pPr>
            <w:r w:rsidRPr="00D148C0">
              <w:rPr>
                <w:b/>
                <w:bCs/>
                <w:color w:val="000000"/>
                <w:sz w:val="20"/>
                <w:szCs w:val="20"/>
              </w:rPr>
              <w:t>Adresáti</w:t>
            </w:r>
          </w:p>
          <w:p w14:paraId="6982B6E2" w14:textId="77777777" w:rsidR="00F539A9" w:rsidRPr="00BE60CA" w:rsidRDefault="00F539A9" w:rsidP="00F539A9">
            <w:pPr>
              <w:shd w:val="clear" w:color="auto" w:fill="FFFFFF"/>
              <w:autoSpaceDE/>
              <w:autoSpaceDN/>
              <w:spacing w:before="60" w:after="120"/>
              <w:rPr>
                <w:bCs/>
                <w:color w:val="000000"/>
                <w:sz w:val="20"/>
                <w:szCs w:val="20"/>
              </w:rPr>
            </w:pPr>
            <w:r w:rsidRPr="00D148C0">
              <w:rPr>
                <w:bCs/>
                <w:color w:val="000000"/>
                <w:sz w:val="20"/>
                <w:szCs w:val="20"/>
              </w:rPr>
              <w:t xml:space="preserve">Táto smernica je </w:t>
            </w:r>
            <w:r w:rsidRPr="00BE60CA">
              <w:rPr>
                <w:bCs/>
                <w:color w:val="000000"/>
                <w:sz w:val="20"/>
                <w:szCs w:val="20"/>
              </w:rPr>
              <w:t>určená členským štátom.</w:t>
            </w:r>
          </w:p>
          <w:p w14:paraId="4C92E057" w14:textId="77777777" w:rsidR="003F20A6" w:rsidRPr="00BE60CA" w:rsidRDefault="003F20A6" w:rsidP="003F20A6">
            <w:pPr>
              <w:shd w:val="clear" w:color="auto" w:fill="FFFFFF"/>
              <w:autoSpaceDE/>
              <w:autoSpaceDN/>
              <w:spacing w:before="60" w:after="120"/>
              <w:rPr>
                <w:bCs/>
                <w:color w:val="000000"/>
                <w:sz w:val="20"/>
                <w:szCs w:val="20"/>
              </w:rPr>
            </w:pPr>
            <w:r w:rsidRPr="00BE60CA">
              <w:rPr>
                <w:bCs/>
                <w:color w:val="000000"/>
                <w:sz w:val="20"/>
                <w:szCs w:val="20"/>
              </w:rPr>
              <w:t>V Štrasburgu 27. novembra 2024</w:t>
            </w:r>
          </w:p>
          <w:p w14:paraId="39B555A7" w14:textId="77777777" w:rsidR="003F20A6" w:rsidRPr="00BE60CA" w:rsidRDefault="003F20A6" w:rsidP="003F20A6">
            <w:pPr>
              <w:shd w:val="clear" w:color="auto" w:fill="FFFFFF"/>
              <w:autoSpaceDE/>
              <w:autoSpaceDN/>
              <w:spacing w:before="60" w:after="120"/>
              <w:rPr>
                <w:bCs/>
                <w:color w:val="000000"/>
                <w:sz w:val="20"/>
                <w:szCs w:val="20"/>
              </w:rPr>
            </w:pPr>
            <w:r w:rsidRPr="00BE60CA">
              <w:rPr>
                <w:bCs/>
                <w:color w:val="000000"/>
                <w:sz w:val="20"/>
                <w:szCs w:val="20"/>
              </w:rPr>
              <w:t>Za Európsky parlament</w:t>
            </w:r>
          </w:p>
          <w:p w14:paraId="7CA3BEA8" w14:textId="77777777" w:rsidR="003F20A6" w:rsidRPr="00BE60CA" w:rsidRDefault="003F20A6" w:rsidP="003F20A6">
            <w:pPr>
              <w:shd w:val="clear" w:color="auto" w:fill="FFFFFF"/>
              <w:autoSpaceDE/>
              <w:autoSpaceDN/>
              <w:spacing w:before="60" w:after="120"/>
              <w:rPr>
                <w:bCs/>
                <w:color w:val="000000"/>
                <w:sz w:val="20"/>
                <w:szCs w:val="20"/>
              </w:rPr>
            </w:pPr>
            <w:r w:rsidRPr="00BE60CA">
              <w:rPr>
                <w:bCs/>
                <w:color w:val="000000"/>
                <w:sz w:val="20"/>
                <w:szCs w:val="20"/>
              </w:rPr>
              <w:t>predsedníčka</w:t>
            </w:r>
          </w:p>
          <w:p w14:paraId="30D62ED0" w14:textId="77777777" w:rsidR="003F20A6" w:rsidRPr="00BE60CA" w:rsidRDefault="003F20A6" w:rsidP="003F20A6">
            <w:pPr>
              <w:shd w:val="clear" w:color="auto" w:fill="FFFFFF"/>
              <w:autoSpaceDE/>
              <w:autoSpaceDN/>
              <w:spacing w:before="60" w:after="120"/>
              <w:rPr>
                <w:bCs/>
                <w:color w:val="000000"/>
                <w:sz w:val="20"/>
                <w:szCs w:val="20"/>
              </w:rPr>
            </w:pPr>
            <w:r w:rsidRPr="00BE60CA">
              <w:rPr>
                <w:bCs/>
                <w:color w:val="000000"/>
                <w:sz w:val="20"/>
                <w:szCs w:val="20"/>
              </w:rPr>
              <w:t>R. METSOLA</w:t>
            </w:r>
          </w:p>
          <w:p w14:paraId="23CEBE1A" w14:textId="77777777" w:rsidR="003F20A6" w:rsidRPr="00BE60CA" w:rsidRDefault="003F20A6" w:rsidP="003F20A6">
            <w:pPr>
              <w:shd w:val="clear" w:color="auto" w:fill="FFFFFF"/>
              <w:autoSpaceDE/>
              <w:autoSpaceDN/>
              <w:spacing w:before="60" w:after="120"/>
              <w:rPr>
                <w:bCs/>
                <w:color w:val="000000"/>
                <w:sz w:val="20"/>
                <w:szCs w:val="20"/>
              </w:rPr>
            </w:pPr>
            <w:r w:rsidRPr="00BE60CA">
              <w:rPr>
                <w:bCs/>
                <w:color w:val="000000"/>
                <w:sz w:val="20"/>
                <w:szCs w:val="20"/>
              </w:rPr>
              <w:t>Za Radu</w:t>
            </w:r>
          </w:p>
          <w:p w14:paraId="38F03559" w14:textId="77777777" w:rsidR="003F20A6" w:rsidRPr="00BE60CA" w:rsidRDefault="003F20A6" w:rsidP="003F20A6">
            <w:pPr>
              <w:shd w:val="clear" w:color="auto" w:fill="FFFFFF"/>
              <w:autoSpaceDE/>
              <w:autoSpaceDN/>
              <w:spacing w:before="60" w:after="120"/>
              <w:rPr>
                <w:bCs/>
                <w:color w:val="000000"/>
                <w:sz w:val="20"/>
                <w:szCs w:val="20"/>
              </w:rPr>
            </w:pPr>
            <w:r w:rsidRPr="00BE60CA">
              <w:rPr>
                <w:bCs/>
                <w:color w:val="000000"/>
                <w:sz w:val="20"/>
                <w:szCs w:val="20"/>
              </w:rPr>
              <w:t>predseda</w:t>
            </w:r>
          </w:p>
          <w:p w14:paraId="7C83608F" w14:textId="6A343CEF" w:rsidR="003F20A6" w:rsidRPr="00D148C0" w:rsidRDefault="003F20A6" w:rsidP="003F20A6">
            <w:pPr>
              <w:shd w:val="clear" w:color="auto" w:fill="FFFFFF"/>
              <w:autoSpaceDE/>
              <w:autoSpaceDN/>
              <w:spacing w:before="60" w:after="120"/>
              <w:rPr>
                <w:bCs/>
                <w:color w:val="000000"/>
                <w:sz w:val="20"/>
                <w:szCs w:val="20"/>
              </w:rPr>
            </w:pPr>
            <w:r w:rsidRPr="00BE60CA">
              <w:rPr>
                <w:bCs/>
                <w:color w:val="000000"/>
                <w:sz w:val="20"/>
                <w:szCs w:val="20"/>
              </w:rPr>
              <w:t>BÓKA J.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71C4802" w14:textId="77777777" w:rsidR="00F539A9" w:rsidRPr="00D148C0" w:rsidRDefault="00F539A9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148C0">
              <w:rPr>
                <w:color w:val="000000"/>
                <w:sz w:val="20"/>
                <w:szCs w:val="20"/>
              </w:rPr>
              <w:t>n.a</w:t>
            </w:r>
            <w:proofErr w:type="spellEnd"/>
            <w:r w:rsidRPr="00D148C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3034A84" w14:textId="77777777" w:rsidR="00F539A9" w:rsidRPr="00D148C0" w:rsidRDefault="00F539A9" w:rsidP="00F539A9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A954" w14:textId="77777777" w:rsidR="00F539A9" w:rsidRPr="00D148C0" w:rsidRDefault="00F539A9" w:rsidP="00F539A9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F3A0" w14:textId="77777777" w:rsidR="00F539A9" w:rsidRPr="00D148C0" w:rsidRDefault="00F539A9" w:rsidP="00F539A9">
            <w:pPr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9217D" w14:textId="77777777" w:rsidR="00F539A9" w:rsidRPr="00D148C0" w:rsidRDefault="00F539A9" w:rsidP="00F539A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148C0">
              <w:rPr>
                <w:color w:val="000000"/>
                <w:sz w:val="20"/>
                <w:szCs w:val="20"/>
              </w:rPr>
              <w:t>n.a</w:t>
            </w:r>
            <w:proofErr w:type="spellEnd"/>
            <w:r w:rsidRPr="00D148C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65C27" w14:textId="77777777" w:rsidR="00F539A9" w:rsidRPr="00D148C0" w:rsidRDefault="00F539A9" w:rsidP="00F539A9">
            <w:pPr>
              <w:spacing w:before="75" w:after="75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71A104C" w14:textId="02B2C113" w:rsidR="00F539A9" w:rsidRPr="00D148C0" w:rsidRDefault="00F539A9" w:rsidP="00F539A9">
            <w:pPr>
              <w:spacing w:before="75" w:after="75"/>
              <w:rPr>
                <w:sz w:val="20"/>
                <w:szCs w:val="20"/>
              </w:rPr>
            </w:pPr>
            <w:r w:rsidRPr="00D148C0">
              <w:rPr>
                <w:color w:val="000000"/>
                <w:sz w:val="20"/>
                <w:szCs w:val="20"/>
              </w:rPr>
              <w:t>GP - 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DEFFC10" w14:textId="77777777" w:rsidR="00F539A9" w:rsidRPr="00D148C0" w:rsidRDefault="00F539A9" w:rsidP="00F539A9">
            <w:pPr>
              <w:spacing w:before="75" w:after="75"/>
              <w:rPr>
                <w:sz w:val="20"/>
                <w:szCs w:val="20"/>
              </w:rPr>
            </w:pPr>
          </w:p>
        </w:tc>
      </w:tr>
    </w:tbl>
    <w:p w14:paraId="493A0CAF" w14:textId="77777777" w:rsidR="008C54C3" w:rsidRPr="0066733C" w:rsidRDefault="008C54C3">
      <w:pPr>
        <w:autoSpaceDE/>
        <w:autoSpaceDN/>
        <w:rPr>
          <w:rFonts w:ascii="Arial Narrow" w:hAnsi="Arial Narrow"/>
          <w:sz w:val="22"/>
          <w:szCs w:val="22"/>
        </w:rPr>
      </w:pPr>
      <w:r w:rsidRPr="0066733C">
        <w:rPr>
          <w:rFonts w:ascii="Arial Narrow" w:hAnsi="Arial Narrow"/>
          <w:sz w:val="22"/>
          <w:szCs w:val="22"/>
        </w:rPr>
        <w:t>LEGENDA:</w:t>
      </w:r>
    </w:p>
    <w:tbl>
      <w:tblPr>
        <w:tblW w:w="157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780"/>
        <w:gridCol w:w="1960"/>
        <w:gridCol w:w="7580"/>
      </w:tblGrid>
      <w:tr w:rsidR="008C54C3" w:rsidRPr="00D74E1A" w14:paraId="7AD15105" w14:textId="77777777" w:rsidTr="00360DD3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305679F" w14:textId="77777777" w:rsidR="008C54C3" w:rsidRPr="0066733C" w:rsidRDefault="008C54C3">
            <w:pPr>
              <w:pStyle w:val="Normlny0"/>
              <w:autoSpaceDE/>
              <w:autoSpaceDN/>
              <w:spacing w:after="60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66733C">
              <w:rPr>
                <w:rFonts w:ascii="Arial Narrow" w:hAnsi="Arial Narrow"/>
                <w:sz w:val="22"/>
                <w:szCs w:val="22"/>
                <w:lang w:eastAsia="sk-SK"/>
              </w:rPr>
              <w:lastRenderedPageBreak/>
              <w:t>V stĺpci (1):</w:t>
            </w:r>
          </w:p>
          <w:p w14:paraId="116514A2" w14:textId="77777777" w:rsidR="008C54C3" w:rsidRPr="0066733C" w:rsidRDefault="008C54C3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  <w:r w:rsidRPr="0066733C">
              <w:rPr>
                <w:rFonts w:ascii="Arial Narrow" w:hAnsi="Arial Narrow"/>
                <w:sz w:val="22"/>
                <w:szCs w:val="22"/>
              </w:rPr>
              <w:t>Č – článok</w:t>
            </w:r>
          </w:p>
          <w:p w14:paraId="6DD54478" w14:textId="77777777" w:rsidR="008C54C3" w:rsidRPr="0066733C" w:rsidRDefault="008C54C3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  <w:r w:rsidRPr="0066733C">
              <w:rPr>
                <w:rFonts w:ascii="Arial Narrow" w:hAnsi="Arial Narrow"/>
                <w:sz w:val="22"/>
                <w:szCs w:val="22"/>
              </w:rPr>
              <w:t>O – odsek</w:t>
            </w:r>
          </w:p>
          <w:p w14:paraId="29B0A396" w14:textId="77777777" w:rsidR="008C54C3" w:rsidRPr="0066733C" w:rsidRDefault="008C54C3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  <w:r w:rsidRPr="0066733C">
              <w:rPr>
                <w:rFonts w:ascii="Arial Narrow" w:hAnsi="Arial Narrow"/>
                <w:sz w:val="22"/>
                <w:szCs w:val="22"/>
              </w:rPr>
              <w:t>V – veta</w:t>
            </w:r>
          </w:p>
          <w:p w14:paraId="78806BDC" w14:textId="77777777" w:rsidR="008C54C3" w:rsidRPr="0066733C" w:rsidRDefault="008C54C3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  <w:r w:rsidRPr="0066733C">
              <w:rPr>
                <w:rFonts w:ascii="Arial Narrow" w:hAnsi="Arial Narrow"/>
                <w:sz w:val="22"/>
                <w:szCs w:val="22"/>
              </w:rPr>
              <w:t xml:space="preserve">P – </w:t>
            </w:r>
            <w:r w:rsidR="00DA0F6C" w:rsidRPr="0066733C">
              <w:rPr>
                <w:rFonts w:ascii="Arial Narrow" w:hAnsi="Arial Narrow"/>
                <w:sz w:val="22"/>
                <w:szCs w:val="22"/>
              </w:rPr>
              <w:t>číslo</w:t>
            </w:r>
            <w:r w:rsidRPr="0066733C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="00DA0F6C" w:rsidRPr="0066733C">
              <w:rPr>
                <w:rFonts w:ascii="Arial Narrow" w:hAnsi="Arial Narrow"/>
                <w:sz w:val="22"/>
                <w:szCs w:val="22"/>
              </w:rPr>
              <w:t>písmeno</w:t>
            </w:r>
            <w:r w:rsidRPr="0066733C">
              <w:rPr>
                <w:rFonts w:ascii="Arial Narrow" w:hAnsi="Arial Narrow"/>
                <w:sz w:val="22"/>
                <w:szCs w:val="22"/>
              </w:rPr>
              <w:t>)</w:t>
            </w:r>
          </w:p>
          <w:p w14:paraId="71B6C3DD" w14:textId="77777777" w:rsidR="008C54C3" w:rsidRPr="0066733C" w:rsidRDefault="008C54C3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B84F9B0" w14:textId="77777777" w:rsidR="008C54C3" w:rsidRPr="0066733C" w:rsidRDefault="008C54C3">
            <w:pPr>
              <w:pStyle w:val="Normlny0"/>
              <w:autoSpaceDE/>
              <w:autoSpaceDN/>
              <w:spacing w:after="60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66733C">
              <w:rPr>
                <w:rFonts w:ascii="Arial Narrow" w:hAnsi="Arial Narrow"/>
                <w:sz w:val="22"/>
                <w:szCs w:val="22"/>
                <w:lang w:eastAsia="sk-SK"/>
              </w:rPr>
              <w:t>V stĺpci (3):</w:t>
            </w:r>
          </w:p>
          <w:p w14:paraId="076B86EB" w14:textId="77777777" w:rsidR="008C54C3" w:rsidRPr="0066733C" w:rsidRDefault="008C54C3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  <w:r w:rsidRPr="0066733C">
              <w:rPr>
                <w:rFonts w:ascii="Arial Narrow" w:hAnsi="Arial Narrow"/>
                <w:sz w:val="22"/>
                <w:szCs w:val="22"/>
              </w:rPr>
              <w:t>N – bežná transpozícia</w:t>
            </w:r>
          </w:p>
          <w:p w14:paraId="43239EC4" w14:textId="77777777" w:rsidR="008C54C3" w:rsidRPr="0066733C" w:rsidRDefault="008C54C3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  <w:r w:rsidRPr="0066733C">
              <w:rPr>
                <w:rFonts w:ascii="Arial Narrow" w:hAnsi="Arial Narrow"/>
                <w:sz w:val="22"/>
                <w:szCs w:val="22"/>
              </w:rPr>
              <w:t>O – transpozícia s možnosťou voľby</w:t>
            </w:r>
          </w:p>
          <w:p w14:paraId="488EA449" w14:textId="77777777" w:rsidR="008C54C3" w:rsidRPr="0066733C" w:rsidRDefault="008C54C3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  <w:r w:rsidRPr="0066733C">
              <w:rPr>
                <w:rFonts w:ascii="Arial Narrow" w:hAnsi="Arial Narrow"/>
                <w:sz w:val="22"/>
                <w:szCs w:val="22"/>
              </w:rPr>
              <w:t>D – transpozícia podľa úvahy (dobrovoľná)</w:t>
            </w:r>
          </w:p>
          <w:p w14:paraId="2341719E" w14:textId="77777777" w:rsidR="008C54C3" w:rsidRPr="0066733C" w:rsidRDefault="008C54C3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6733C">
              <w:rPr>
                <w:rFonts w:ascii="Arial Narrow" w:hAnsi="Arial Narrow"/>
                <w:sz w:val="22"/>
                <w:szCs w:val="22"/>
              </w:rPr>
              <w:t>n.a</w:t>
            </w:r>
            <w:proofErr w:type="spellEnd"/>
            <w:r w:rsidRPr="0066733C">
              <w:rPr>
                <w:rFonts w:ascii="Arial Narrow" w:hAnsi="Arial Narrow"/>
                <w:sz w:val="22"/>
                <w:szCs w:val="22"/>
              </w:rPr>
              <w:t>. – transpozícia sa neuskutočňuje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20B07FDC" w14:textId="77777777" w:rsidR="008C54C3" w:rsidRPr="0066733C" w:rsidRDefault="008C54C3">
            <w:pPr>
              <w:pStyle w:val="Normlny0"/>
              <w:autoSpaceDE/>
              <w:autoSpaceDN/>
              <w:spacing w:after="60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66733C">
              <w:rPr>
                <w:rFonts w:ascii="Arial Narrow" w:hAnsi="Arial Narrow"/>
                <w:sz w:val="22"/>
                <w:szCs w:val="22"/>
                <w:lang w:eastAsia="sk-SK"/>
              </w:rPr>
              <w:t>V stĺpci (5):</w:t>
            </w:r>
          </w:p>
          <w:p w14:paraId="2E25DD03" w14:textId="77777777" w:rsidR="008C54C3" w:rsidRPr="0066733C" w:rsidRDefault="008C54C3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  <w:r w:rsidRPr="0066733C">
              <w:rPr>
                <w:rFonts w:ascii="Arial Narrow" w:hAnsi="Arial Narrow"/>
                <w:sz w:val="22"/>
                <w:szCs w:val="22"/>
              </w:rPr>
              <w:t>Č – článok</w:t>
            </w:r>
          </w:p>
          <w:p w14:paraId="7D9C7781" w14:textId="77777777" w:rsidR="008C54C3" w:rsidRPr="0066733C" w:rsidRDefault="008C54C3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  <w:r w:rsidRPr="0066733C">
              <w:rPr>
                <w:rFonts w:ascii="Arial Narrow" w:hAnsi="Arial Narrow"/>
                <w:sz w:val="22"/>
                <w:szCs w:val="22"/>
              </w:rPr>
              <w:t>§ – paragraf</w:t>
            </w:r>
          </w:p>
          <w:p w14:paraId="76A191A3" w14:textId="77777777" w:rsidR="008C54C3" w:rsidRPr="0066733C" w:rsidRDefault="008C54C3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  <w:r w:rsidRPr="0066733C">
              <w:rPr>
                <w:rFonts w:ascii="Arial Narrow" w:hAnsi="Arial Narrow"/>
                <w:sz w:val="22"/>
                <w:szCs w:val="22"/>
              </w:rPr>
              <w:t>O – odsek</w:t>
            </w:r>
          </w:p>
          <w:p w14:paraId="2F5D0B22" w14:textId="77777777" w:rsidR="008C54C3" w:rsidRPr="0066733C" w:rsidRDefault="008C54C3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  <w:r w:rsidRPr="0066733C">
              <w:rPr>
                <w:rFonts w:ascii="Arial Narrow" w:hAnsi="Arial Narrow"/>
                <w:sz w:val="22"/>
                <w:szCs w:val="22"/>
              </w:rPr>
              <w:t>V – veta</w:t>
            </w:r>
          </w:p>
          <w:p w14:paraId="1F80E701" w14:textId="77777777" w:rsidR="008C54C3" w:rsidRPr="0066733C" w:rsidRDefault="008C54C3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  <w:r w:rsidRPr="0066733C">
              <w:rPr>
                <w:rFonts w:ascii="Arial Narrow" w:hAnsi="Arial Narrow"/>
                <w:sz w:val="22"/>
                <w:szCs w:val="22"/>
              </w:rPr>
              <w:t>P – písmeno (číslo)</w:t>
            </w:r>
          </w:p>
        </w:tc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</w:tcPr>
          <w:p w14:paraId="2F2AC810" w14:textId="77777777" w:rsidR="008C54C3" w:rsidRPr="0066733C" w:rsidRDefault="008C54C3">
            <w:pPr>
              <w:pStyle w:val="Normlny0"/>
              <w:autoSpaceDE/>
              <w:autoSpaceDN/>
              <w:spacing w:after="60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66733C">
              <w:rPr>
                <w:rFonts w:ascii="Arial Narrow" w:hAnsi="Arial Narrow"/>
                <w:sz w:val="22"/>
                <w:szCs w:val="22"/>
                <w:lang w:eastAsia="sk-SK"/>
              </w:rPr>
              <w:t>V stĺpci (7):</w:t>
            </w:r>
          </w:p>
          <w:p w14:paraId="1749D838" w14:textId="77777777" w:rsidR="008C54C3" w:rsidRPr="0066733C" w:rsidRDefault="008C54C3" w:rsidP="008C54C3">
            <w:pPr>
              <w:autoSpaceDE/>
              <w:autoSpaceDN/>
              <w:ind w:left="290" w:hanging="290"/>
              <w:rPr>
                <w:rFonts w:ascii="Arial Narrow" w:hAnsi="Arial Narrow"/>
                <w:sz w:val="22"/>
                <w:szCs w:val="22"/>
              </w:rPr>
            </w:pPr>
            <w:r w:rsidRPr="0066733C">
              <w:rPr>
                <w:rFonts w:ascii="Arial Narrow" w:hAnsi="Arial Narrow"/>
                <w:sz w:val="22"/>
                <w:szCs w:val="22"/>
              </w:rPr>
              <w:t>Ú – úplná zhoda (ak bolo ustanovenie smernice prebraté v celom rozsahu, správne, v príslušnej form</w:t>
            </w:r>
            <w:r w:rsidR="00391DC5" w:rsidRPr="0066733C">
              <w:rPr>
                <w:rFonts w:ascii="Arial Narrow" w:hAnsi="Arial Narrow"/>
                <w:sz w:val="22"/>
                <w:szCs w:val="22"/>
              </w:rPr>
              <w:t>e</w:t>
            </w:r>
            <w:r w:rsidRPr="0066733C">
              <w:rPr>
                <w:rFonts w:ascii="Arial Narrow" w:hAnsi="Arial Narrow"/>
                <w:sz w:val="22"/>
                <w:szCs w:val="22"/>
              </w:rPr>
              <w:t>, so zabezpečenou inštitucionálnou</w:t>
            </w:r>
            <w:r w:rsidR="000C2E53" w:rsidRPr="0066733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6733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C2E53" w:rsidRPr="0066733C">
              <w:rPr>
                <w:rFonts w:ascii="Arial Narrow" w:hAnsi="Arial Narrow"/>
                <w:sz w:val="22"/>
                <w:szCs w:val="22"/>
              </w:rPr>
              <w:t>i</w:t>
            </w:r>
            <w:r w:rsidRPr="0066733C">
              <w:rPr>
                <w:rFonts w:ascii="Arial Narrow" w:hAnsi="Arial Narrow"/>
                <w:sz w:val="22"/>
                <w:szCs w:val="22"/>
              </w:rPr>
              <w:t>nfraštruktúrou, s príslušnými sankciami a vo vzájomnej súvislosti)</w:t>
            </w:r>
          </w:p>
          <w:p w14:paraId="06F89DFC" w14:textId="77777777" w:rsidR="008C54C3" w:rsidRPr="0066733C" w:rsidRDefault="008C54C3">
            <w:pPr>
              <w:autoSpaceDE/>
              <w:autoSpaceDN/>
              <w:rPr>
                <w:rFonts w:ascii="Arial Narrow" w:hAnsi="Arial Narrow"/>
                <w:sz w:val="22"/>
                <w:szCs w:val="22"/>
              </w:rPr>
            </w:pPr>
            <w:r w:rsidRPr="0066733C">
              <w:rPr>
                <w:rFonts w:ascii="Arial Narrow" w:hAnsi="Arial Narrow"/>
                <w:sz w:val="22"/>
                <w:szCs w:val="22"/>
              </w:rPr>
              <w:t>Č – čiastočná zhoda (ak minimálne jedna z podmienok úplnej zhody nie je splnená)</w:t>
            </w:r>
          </w:p>
          <w:p w14:paraId="0AD18486" w14:textId="77777777" w:rsidR="008C54C3" w:rsidRPr="0066733C" w:rsidRDefault="008C54C3">
            <w:pPr>
              <w:pStyle w:val="Zarkazkladnhotextu2"/>
              <w:rPr>
                <w:rFonts w:ascii="Arial Narrow" w:hAnsi="Arial Narrow"/>
                <w:sz w:val="22"/>
                <w:szCs w:val="22"/>
              </w:rPr>
            </w:pPr>
            <w:r w:rsidRPr="0066733C">
              <w:rPr>
                <w:rFonts w:ascii="Arial Narrow" w:hAnsi="Arial Narrow"/>
                <w:sz w:val="22"/>
                <w:szCs w:val="22"/>
              </w:rPr>
              <w:t xml:space="preserve">Ž – žiadna zhoda (ak nebola dosiahnutá ani úplná ani </w:t>
            </w:r>
            <w:proofErr w:type="spellStart"/>
            <w:r w:rsidRPr="0066733C">
              <w:rPr>
                <w:rFonts w:ascii="Arial Narrow" w:hAnsi="Arial Narrow"/>
                <w:sz w:val="22"/>
                <w:szCs w:val="22"/>
              </w:rPr>
              <w:t>čiast</w:t>
            </w:r>
            <w:proofErr w:type="spellEnd"/>
            <w:r w:rsidRPr="0066733C">
              <w:rPr>
                <w:rFonts w:ascii="Arial Narrow" w:hAnsi="Arial Narrow"/>
                <w:sz w:val="22"/>
                <w:szCs w:val="22"/>
              </w:rPr>
              <w:t>. zhoda alebo k prebratiu dôjde v budúcnosti)</w:t>
            </w:r>
          </w:p>
          <w:p w14:paraId="22D5B018" w14:textId="77777777" w:rsidR="008C54C3" w:rsidRPr="00D74E1A" w:rsidRDefault="008C54C3">
            <w:pPr>
              <w:autoSpaceDE/>
              <w:autoSpaceDN/>
              <w:ind w:left="290" w:hanging="29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6733C">
              <w:rPr>
                <w:rFonts w:ascii="Arial Narrow" w:hAnsi="Arial Narrow"/>
                <w:sz w:val="22"/>
                <w:szCs w:val="22"/>
              </w:rPr>
              <w:t>n.a</w:t>
            </w:r>
            <w:proofErr w:type="spellEnd"/>
            <w:r w:rsidRPr="0066733C">
              <w:rPr>
                <w:rFonts w:ascii="Arial Narrow" w:hAnsi="Arial Narrow"/>
                <w:sz w:val="22"/>
                <w:szCs w:val="22"/>
              </w:rPr>
              <w:t>. – neaplikovateľnosť (ak sa ustanovenie smernice netýka SR alebo nie je potrebné ho prebrať)</w:t>
            </w:r>
          </w:p>
        </w:tc>
      </w:tr>
    </w:tbl>
    <w:p w14:paraId="4B1E37E2" w14:textId="77777777" w:rsidR="008C54C3" w:rsidRDefault="008C54C3" w:rsidP="00360DD3">
      <w:pPr>
        <w:pStyle w:val="Hlavika"/>
        <w:tabs>
          <w:tab w:val="clear" w:pos="4536"/>
          <w:tab w:val="clear" w:pos="9072"/>
        </w:tabs>
        <w:autoSpaceDE/>
        <w:autoSpaceDN/>
        <w:rPr>
          <w:rFonts w:ascii="Arial Narrow" w:hAnsi="Arial Narrow"/>
          <w:sz w:val="22"/>
          <w:szCs w:val="22"/>
        </w:rPr>
      </w:pPr>
    </w:p>
    <w:p w14:paraId="6152B7BC" w14:textId="77777777" w:rsidR="001A6D92" w:rsidRDefault="001A6D92" w:rsidP="00360DD3">
      <w:pPr>
        <w:pStyle w:val="Hlavika"/>
        <w:tabs>
          <w:tab w:val="clear" w:pos="4536"/>
          <w:tab w:val="clear" w:pos="9072"/>
        </w:tabs>
        <w:autoSpaceDE/>
        <w:autoSpaceDN/>
        <w:rPr>
          <w:rFonts w:ascii="Arial Narrow" w:hAnsi="Arial Narrow"/>
          <w:sz w:val="22"/>
          <w:szCs w:val="22"/>
        </w:rPr>
      </w:pPr>
    </w:p>
    <w:p w14:paraId="3D5F90F2" w14:textId="77777777" w:rsidR="001A6D92" w:rsidRDefault="001A6D92" w:rsidP="00360DD3">
      <w:pPr>
        <w:pStyle w:val="Hlavika"/>
        <w:tabs>
          <w:tab w:val="clear" w:pos="4536"/>
          <w:tab w:val="clear" w:pos="9072"/>
        </w:tabs>
        <w:autoSpaceDE/>
        <w:autoSpaceDN/>
        <w:rPr>
          <w:rFonts w:ascii="Arial Narrow" w:hAnsi="Arial Narrow"/>
          <w:sz w:val="22"/>
          <w:szCs w:val="22"/>
        </w:rPr>
      </w:pPr>
    </w:p>
    <w:p w14:paraId="1648721A" w14:textId="77777777" w:rsidR="001A6D92" w:rsidRDefault="001A6D92" w:rsidP="00360DD3">
      <w:pPr>
        <w:pStyle w:val="Hlavika"/>
        <w:tabs>
          <w:tab w:val="clear" w:pos="4536"/>
          <w:tab w:val="clear" w:pos="9072"/>
        </w:tabs>
        <w:autoSpaceDE/>
        <w:autoSpaceDN/>
        <w:rPr>
          <w:rFonts w:ascii="Arial Narrow" w:hAnsi="Arial Narrow"/>
          <w:sz w:val="22"/>
          <w:szCs w:val="22"/>
        </w:rPr>
      </w:pPr>
    </w:p>
    <w:p w14:paraId="5AEA2C37" w14:textId="77777777" w:rsidR="001A6D92" w:rsidRDefault="001A6D92" w:rsidP="00360DD3">
      <w:pPr>
        <w:pStyle w:val="Hlavika"/>
        <w:tabs>
          <w:tab w:val="clear" w:pos="4536"/>
          <w:tab w:val="clear" w:pos="9072"/>
        </w:tabs>
        <w:autoSpaceDE/>
        <w:autoSpaceDN/>
        <w:rPr>
          <w:rFonts w:ascii="Arial Narrow" w:hAnsi="Arial Narrow"/>
          <w:sz w:val="22"/>
          <w:szCs w:val="22"/>
        </w:rPr>
      </w:pPr>
    </w:p>
    <w:p w14:paraId="64AF1ADC" w14:textId="77777777" w:rsidR="001A6D92" w:rsidRDefault="001A6D92" w:rsidP="00360DD3">
      <w:pPr>
        <w:pStyle w:val="Hlavika"/>
        <w:tabs>
          <w:tab w:val="clear" w:pos="4536"/>
          <w:tab w:val="clear" w:pos="9072"/>
        </w:tabs>
        <w:autoSpaceDE/>
        <w:autoSpaceDN/>
        <w:rPr>
          <w:rFonts w:ascii="Arial Narrow" w:hAnsi="Arial Narrow"/>
          <w:sz w:val="22"/>
          <w:szCs w:val="22"/>
        </w:rPr>
      </w:pPr>
    </w:p>
    <w:p w14:paraId="2CA664CE" w14:textId="77777777" w:rsidR="001A6D92" w:rsidRDefault="001A6D92" w:rsidP="00360DD3">
      <w:pPr>
        <w:pStyle w:val="Hlavika"/>
        <w:tabs>
          <w:tab w:val="clear" w:pos="4536"/>
          <w:tab w:val="clear" w:pos="9072"/>
        </w:tabs>
        <w:autoSpaceDE/>
        <w:autoSpaceDN/>
        <w:rPr>
          <w:rFonts w:ascii="Arial Narrow" w:hAnsi="Arial Narrow"/>
          <w:sz w:val="22"/>
          <w:szCs w:val="22"/>
        </w:rPr>
      </w:pPr>
    </w:p>
    <w:p w14:paraId="0676087C" w14:textId="77777777" w:rsidR="001A6D92" w:rsidRPr="00D74E1A" w:rsidRDefault="001A6D92" w:rsidP="00360DD3">
      <w:pPr>
        <w:pStyle w:val="Hlavika"/>
        <w:tabs>
          <w:tab w:val="clear" w:pos="4536"/>
          <w:tab w:val="clear" w:pos="9072"/>
        </w:tabs>
        <w:autoSpaceDE/>
        <w:autoSpaceDN/>
        <w:rPr>
          <w:rFonts w:ascii="Arial Narrow" w:hAnsi="Arial Narrow"/>
          <w:sz w:val="22"/>
          <w:szCs w:val="22"/>
        </w:rPr>
      </w:pPr>
    </w:p>
    <w:sectPr w:rsidR="001A6D92" w:rsidRPr="00D74E1A" w:rsidSect="006B721E">
      <w:footerReference w:type="default" r:id="rId24"/>
      <w:pgSz w:w="16838" w:h="11906" w:orient="landscape" w:code="9"/>
      <w:pgMar w:top="720" w:right="680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CEBAA" w14:textId="77777777" w:rsidR="00A958AF" w:rsidRDefault="00A958AF">
      <w:r>
        <w:separator/>
      </w:r>
    </w:p>
  </w:endnote>
  <w:endnote w:type="continuationSeparator" w:id="0">
    <w:p w14:paraId="254A8D69" w14:textId="77777777" w:rsidR="00A958AF" w:rsidRDefault="00A95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842AF" w14:textId="6EB1E7C3" w:rsidR="00D34B3B" w:rsidRDefault="00D34B3B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D1FEA">
      <w:rPr>
        <w:rStyle w:val="slostrany"/>
        <w:noProof/>
      </w:rPr>
      <w:t>1</w:t>
    </w:r>
    <w:r>
      <w:rPr>
        <w:rStyle w:val="slostrany"/>
      </w:rPr>
      <w:fldChar w:fldCharType="end"/>
    </w:r>
  </w:p>
  <w:p w14:paraId="7AA2E95F" w14:textId="77777777" w:rsidR="00D34B3B" w:rsidRDefault="00D34B3B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7FB0C" w14:textId="77777777" w:rsidR="00A958AF" w:rsidRDefault="00A958AF">
      <w:r>
        <w:separator/>
      </w:r>
    </w:p>
  </w:footnote>
  <w:footnote w:type="continuationSeparator" w:id="0">
    <w:p w14:paraId="551175AA" w14:textId="77777777" w:rsidR="00A958AF" w:rsidRDefault="00A95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37BD"/>
    <w:multiLevelType w:val="hybridMultilevel"/>
    <w:tmpl w:val="A66055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CC264B"/>
    <w:multiLevelType w:val="hybridMultilevel"/>
    <w:tmpl w:val="99943D44"/>
    <w:lvl w:ilvl="0" w:tplc="041B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05E3175C"/>
    <w:multiLevelType w:val="hybridMultilevel"/>
    <w:tmpl w:val="BFEC55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F52313"/>
    <w:multiLevelType w:val="hybridMultilevel"/>
    <w:tmpl w:val="C8E21F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80A62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714A5A"/>
    <w:multiLevelType w:val="hybridMultilevel"/>
    <w:tmpl w:val="377AB118"/>
    <w:lvl w:ilvl="0" w:tplc="193A097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3E00AF"/>
    <w:multiLevelType w:val="hybridMultilevel"/>
    <w:tmpl w:val="D61EDC9A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05569"/>
    <w:multiLevelType w:val="hybridMultilevel"/>
    <w:tmpl w:val="E85EE886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7103C0"/>
    <w:multiLevelType w:val="hybridMultilevel"/>
    <w:tmpl w:val="EBD84E2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E43D89"/>
    <w:multiLevelType w:val="hybridMultilevel"/>
    <w:tmpl w:val="E4401AF2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10" w15:restartNumberingAfterBreak="0">
    <w:nsid w:val="11842152"/>
    <w:multiLevelType w:val="hybridMultilevel"/>
    <w:tmpl w:val="EFCAC5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B2E03"/>
    <w:multiLevelType w:val="hybridMultilevel"/>
    <w:tmpl w:val="8982C11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A5D0512"/>
    <w:multiLevelType w:val="hybridMultilevel"/>
    <w:tmpl w:val="89BA437E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B85049F"/>
    <w:multiLevelType w:val="singleLevel"/>
    <w:tmpl w:val="568ED72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</w:abstractNum>
  <w:abstractNum w:abstractNumId="14" w15:restartNumberingAfterBreak="0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1C5D5E3E"/>
    <w:multiLevelType w:val="singleLevel"/>
    <w:tmpl w:val="568ED72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</w:abstractNum>
  <w:abstractNum w:abstractNumId="16" w15:restartNumberingAfterBreak="0">
    <w:nsid w:val="220E1992"/>
    <w:multiLevelType w:val="hybridMultilevel"/>
    <w:tmpl w:val="132A9B00"/>
    <w:lvl w:ilvl="0" w:tplc="041B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AFA6959"/>
    <w:multiLevelType w:val="hybridMultilevel"/>
    <w:tmpl w:val="5246DD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523C5E"/>
    <w:multiLevelType w:val="hybridMultilevel"/>
    <w:tmpl w:val="BA34F36C"/>
    <w:lvl w:ilvl="0" w:tplc="A472322E">
      <w:start w:val="1"/>
      <w:numFmt w:val="lowerLetter"/>
      <w:lvlText w:val="%1)"/>
      <w:lvlJc w:val="left"/>
      <w:pPr>
        <w:ind w:left="217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937" w:hanging="360"/>
      </w:pPr>
    </w:lvl>
    <w:lvl w:ilvl="2" w:tplc="041B001B" w:tentative="1">
      <w:start w:val="1"/>
      <w:numFmt w:val="lowerRoman"/>
      <w:lvlText w:val="%3."/>
      <w:lvlJc w:val="right"/>
      <w:pPr>
        <w:ind w:left="1657" w:hanging="180"/>
      </w:pPr>
    </w:lvl>
    <w:lvl w:ilvl="3" w:tplc="041B000F" w:tentative="1">
      <w:start w:val="1"/>
      <w:numFmt w:val="decimal"/>
      <w:lvlText w:val="%4."/>
      <w:lvlJc w:val="left"/>
      <w:pPr>
        <w:ind w:left="2377" w:hanging="360"/>
      </w:pPr>
    </w:lvl>
    <w:lvl w:ilvl="4" w:tplc="041B0019" w:tentative="1">
      <w:start w:val="1"/>
      <w:numFmt w:val="lowerLetter"/>
      <w:lvlText w:val="%5."/>
      <w:lvlJc w:val="left"/>
      <w:pPr>
        <w:ind w:left="3097" w:hanging="360"/>
      </w:pPr>
    </w:lvl>
    <w:lvl w:ilvl="5" w:tplc="041B001B" w:tentative="1">
      <w:start w:val="1"/>
      <w:numFmt w:val="lowerRoman"/>
      <w:lvlText w:val="%6."/>
      <w:lvlJc w:val="right"/>
      <w:pPr>
        <w:ind w:left="3817" w:hanging="180"/>
      </w:pPr>
    </w:lvl>
    <w:lvl w:ilvl="6" w:tplc="041B000F" w:tentative="1">
      <w:start w:val="1"/>
      <w:numFmt w:val="decimal"/>
      <w:lvlText w:val="%7."/>
      <w:lvlJc w:val="left"/>
      <w:pPr>
        <w:ind w:left="4537" w:hanging="360"/>
      </w:pPr>
    </w:lvl>
    <w:lvl w:ilvl="7" w:tplc="041B0019" w:tentative="1">
      <w:start w:val="1"/>
      <w:numFmt w:val="lowerLetter"/>
      <w:lvlText w:val="%8."/>
      <w:lvlJc w:val="left"/>
      <w:pPr>
        <w:ind w:left="5257" w:hanging="360"/>
      </w:pPr>
    </w:lvl>
    <w:lvl w:ilvl="8" w:tplc="041B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9" w15:restartNumberingAfterBreak="0">
    <w:nsid w:val="36E77358"/>
    <w:multiLevelType w:val="hybridMultilevel"/>
    <w:tmpl w:val="19C03F34"/>
    <w:lvl w:ilvl="0" w:tplc="FDB6C70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613B07"/>
    <w:multiLevelType w:val="hybridMultilevel"/>
    <w:tmpl w:val="8ECCAEA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/>
      </w:rPr>
    </w:lvl>
  </w:abstractNum>
  <w:abstractNum w:abstractNumId="22" w15:restartNumberingAfterBreak="0">
    <w:nsid w:val="45312AD4"/>
    <w:multiLevelType w:val="hybridMultilevel"/>
    <w:tmpl w:val="5BECDB56"/>
    <w:lvl w:ilvl="0" w:tplc="041B0017">
      <w:start w:val="1"/>
      <w:numFmt w:val="lowerLetter"/>
      <w:lvlText w:val="%1)"/>
      <w:lvlJc w:val="left"/>
      <w:pPr>
        <w:ind w:left="757" w:hanging="360"/>
      </w:pPr>
    </w:lvl>
    <w:lvl w:ilvl="1" w:tplc="041B0019" w:tentative="1">
      <w:start w:val="1"/>
      <w:numFmt w:val="lowerLetter"/>
      <w:lvlText w:val="%2."/>
      <w:lvlJc w:val="left"/>
      <w:pPr>
        <w:ind w:left="1477" w:hanging="360"/>
      </w:pPr>
    </w:lvl>
    <w:lvl w:ilvl="2" w:tplc="041B001B" w:tentative="1">
      <w:start w:val="1"/>
      <w:numFmt w:val="lowerRoman"/>
      <w:lvlText w:val="%3."/>
      <w:lvlJc w:val="right"/>
      <w:pPr>
        <w:ind w:left="2197" w:hanging="180"/>
      </w:pPr>
    </w:lvl>
    <w:lvl w:ilvl="3" w:tplc="041B000F" w:tentative="1">
      <w:start w:val="1"/>
      <w:numFmt w:val="decimal"/>
      <w:lvlText w:val="%4."/>
      <w:lvlJc w:val="left"/>
      <w:pPr>
        <w:ind w:left="2917" w:hanging="360"/>
      </w:pPr>
    </w:lvl>
    <w:lvl w:ilvl="4" w:tplc="041B0019" w:tentative="1">
      <w:start w:val="1"/>
      <w:numFmt w:val="lowerLetter"/>
      <w:lvlText w:val="%5."/>
      <w:lvlJc w:val="left"/>
      <w:pPr>
        <w:ind w:left="3637" w:hanging="360"/>
      </w:pPr>
    </w:lvl>
    <w:lvl w:ilvl="5" w:tplc="041B001B" w:tentative="1">
      <w:start w:val="1"/>
      <w:numFmt w:val="lowerRoman"/>
      <w:lvlText w:val="%6."/>
      <w:lvlJc w:val="right"/>
      <w:pPr>
        <w:ind w:left="4357" w:hanging="180"/>
      </w:pPr>
    </w:lvl>
    <w:lvl w:ilvl="6" w:tplc="041B000F" w:tentative="1">
      <w:start w:val="1"/>
      <w:numFmt w:val="decimal"/>
      <w:lvlText w:val="%7."/>
      <w:lvlJc w:val="left"/>
      <w:pPr>
        <w:ind w:left="5077" w:hanging="360"/>
      </w:pPr>
    </w:lvl>
    <w:lvl w:ilvl="7" w:tplc="041B0019" w:tentative="1">
      <w:start w:val="1"/>
      <w:numFmt w:val="lowerLetter"/>
      <w:lvlText w:val="%8."/>
      <w:lvlJc w:val="left"/>
      <w:pPr>
        <w:ind w:left="5797" w:hanging="360"/>
      </w:pPr>
    </w:lvl>
    <w:lvl w:ilvl="8" w:tplc="041B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 w15:restartNumberingAfterBreak="0">
    <w:nsid w:val="464D2C99"/>
    <w:multiLevelType w:val="hybridMultilevel"/>
    <w:tmpl w:val="EB245254"/>
    <w:lvl w:ilvl="0" w:tplc="4C76CD54">
      <w:start w:val="1"/>
      <w:numFmt w:val="decimal"/>
      <w:pStyle w:val="odsekCharChar"/>
      <w:lvlText w:val="(%1)"/>
      <w:lvlJc w:val="left"/>
      <w:pPr>
        <w:tabs>
          <w:tab w:val="num" w:pos="680"/>
        </w:tabs>
        <w:ind w:left="0" w:firstLine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1" w:tplc="E488D188">
      <w:start w:val="1"/>
      <w:numFmt w:val="lowerLetter"/>
      <w:lvlText w:val="%2)"/>
      <w:lvlJc w:val="left"/>
      <w:pPr>
        <w:tabs>
          <w:tab w:val="num" w:pos="797"/>
        </w:tabs>
        <w:ind w:left="797" w:hanging="360"/>
      </w:pPr>
      <w:rPr>
        <w:rFonts w:ascii="Times New Roman" w:eastAsia="Times New Roman" w:hAnsi="Times New Roman" w:cs="Times New Roman" w:hint="default"/>
        <w:i w:val="0"/>
        <w:strike w:val="0"/>
        <w:color w:val="auto"/>
      </w:rPr>
    </w:lvl>
    <w:lvl w:ilvl="2" w:tplc="5D24CBFA">
      <w:start w:val="1"/>
      <w:numFmt w:val="decimal"/>
      <w:lvlText w:val="%3."/>
      <w:lvlJc w:val="left"/>
      <w:pPr>
        <w:tabs>
          <w:tab w:val="num" w:pos="1877"/>
        </w:tabs>
        <w:ind w:left="1877" w:hanging="360"/>
      </w:pPr>
      <w:rPr>
        <w:rFonts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  <w:rPr>
        <w:rFonts w:cs="Times New Roman"/>
      </w:rPr>
    </w:lvl>
  </w:abstractNum>
  <w:abstractNum w:abstractNumId="24" w15:restartNumberingAfterBreak="0">
    <w:nsid w:val="484128E3"/>
    <w:multiLevelType w:val="hybridMultilevel"/>
    <w:tmpl w:val="BA2244C0"/>
    <w:lvl w:ilvl="0" w:tplc="F5B600AA">
      <w:start w:val="1"/>
      <w:numFmt w:val="lowerLetter"/>
      <w:lvlText w:val="%1)"/>
      <w:lvlJc w:val="left"/>
      <w:pPr>
        <w:ind w:left="1146" w:hanging="360"/>
      </w:pPr>
      <w:rPr>
        <w:rFonts w:ascii="Arial Narrow" w:hAnsi="Arial Narrow" w:cs="Times New Roman" w:hint="default"/>
        <w:strike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5" w15:restartNumberingAfterBreak="0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B4E3C4D"/>
    <w:multiLevelType w:val="hybridMultilevel"/>
    <w:tmpl w:val="3222ABB4"/>
    <w:lvl w:ilvl="0" w:tplc="0DC23668">
      <w:start w:val="1"/>
      <w:numFmt w:val="decimal"/>
      <w:lvlText w:val="(%1)"/>
      <w:lvlJc w:val="left"/>
      <w:pPr>
        <w:ind w:left="207" w:hanging="207"/>
      </w:pPr>
      <w:rPr>
        <w:rFonts w:cs="Times New Roman" w:hint="default"/>
        <w:b w:val="0"/>
        <w:strike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CB049B2"/>
    <w:multiLevelType w:val="hybridMultilevel"/>
    <w:tmpl w:val="CB224EA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80696D"/>
    <w:multiLevelType w:val="hybridMultilevel"/>
    <w:tmpl w:val="7F204AD4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345B59"/>
    <w:multiLevelType w:val="singleLevel"/>
    <w:tmpl w:val="041B000F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</w:abstractNum>
  <w:abstractNum w:abstractNumId="30" w15:restartNumberingAfterBreak="0">
    <w:nsid w:val="523E6170"/>
    <w:multiLevelType w:val="hybridMultilevel"/>
    <w:tmpl w:val="E6CE0522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2A6016"/>
    <w:multiLevelType w:val="hybridMultilevel"/>
    <w:tmpl w:val="36DCF5EE"/>
    <w:lvl w:ilvl="0" w:tplc="92E28B30">
      <w:start w:val="1"/>
      <w:numFmt w:val="lowerLetter"/>
      <w:lvlText w:val="%1)"/>
      <w:lvlJc w:val="left"/>
      <w:pPr>
        <w:ind w:left="360" w:hanging="360"/>
      </w:pPr>
      <w:rPr>
        <w:rFonts w:eastAsiaTheme="majorEastAsia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A85ABE"/>
    <w:multiLevelType w:val="hybridMultilevel"/>
    <w:tmpl w:val="0406BCC8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970BC7"/>
    <w:multiLevelType w:val="hybridMultilevel"/>
    <w:tmpl w:val="26C266C6"/>
    <w:lvl w:ilvl="0" w:tplc="041B000F">
      <w:start w:val="1"/>
      <w:numFmt w:val="decimal"/>
      <w:lvlText w:val="%1."/>
      <w:lvlJc w:val="left"/>
      <w:pPr>
        <w:ind w:left="1477" w:hanging="360"/>
      </w:pPr>
    </w:lvl>
    <w:lvl w:ilvl="1" w:tplc="041B0019" w:tentative="1">
      <w:start w:val="1"/>
      <w:numFmt w:val="lowerLetter"/>
      <w:lvlText w:val="%2."/>
      <w:lvlJc w:val="left"/>
      <w:pPr>
        <w:ind w:left="2197" w:hanging="360"/>
      </w:pPr>
    </w:lvl>
    <w:lvl w:ilvl="2" w:tplc="041B001B" w:tentative="1">
      <w:start w:val="1"/>
      <w:numFmt w:val="lowerRoman"/>
      <w:lvlText w:val="%3."/>
      <w:lvlJc w:val="right"/>
      <w:pPr>
        <w:ind w:left="2917" w:hanging="180"/>
      </w:pPr>
    </w:lvl>
    <w:lvl w:ilvl="3" w:tplc="041B000F" w:tentative="1">
      <w:start w:val="1"/>
      <w:numFmt w:val="decimal"/>
      <w:lvlText w:val="%4."/>
      <w:lvlJc w:val="left"/>
      <w:pPr>
        <w:ind w:left="3637" w:hanging="360"/>
      </w:pPr>
    </w:lvl>
    <w:lvl w:ilvl="4" w:tplc="041B0019" w:tentative="1">
      <w:start w:val="1"/>
      <w:numFmt w:val="lowerLetter"/>
      <w:lvlText w:val="%5."/>
      <w:lvlJc w:val="left"/>
      <w:pPr>
        <w:ind w:left="4357" w:hanging="360"/>
      </w:pPr>
    </w:lvl>
    <w:lvl w:ilvl="5" w:tplc="041B001B" w:tentative="1">
      <w:start w:val="1"/>
      <w:numFmt w:val="lowerRoman"/>
      <w:lvlText w:val="%6."/>
      <w:lvlJc w:val="right"/>
      <w:pPr>
        <w:ind w:left="5077" w:hanging="180"/>
      </w:pPr>
    </w:lvl>
    <w:lvl w:ilvl="6" w:tplc="041B000F" w:tentative="1">
      <w:start w:val="1"/>
      <w:numFmt w:val="decimal"/>
      <w:lvlText w:val="%7."/>
      <w:lvlJc w:val="left"/>
      <w:pPr>
        <w:ind w:left="5797" w:hanging="360"/>
      </w:pPr>
    </w:lvl>
    <w:lvl w:ilvl="7" w:tplc="041B0019" w:tentative="1">
      <w:start w:val="1"/>
      <w:numFmt w:val="lowerLetter"/>
      <w:lvlText w:val="%8."/>
      <w:lvlJc w:val="left"/>
      <w:pPr>
        <w:ind w:left="6517" w:hanging="360"/>
      </w:pPr>
    </w:lvl>
    <w:lvl w:ilvl="8" w:tplc="041B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34" w15:restartNumberingAfterBreak="0">
    <w:nsid w:val="5D747492"/>
    <w:multiLevelType w:val="hybridMultilevel"/>
    <w:tmpl w:val="58181D96"/>
    <w:lvl w:ilvl="0" w:tplc="48BA89E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 Narrow" w:hAnsi="Arial Narrow" w:cs="Arial Narrow" w:hint="default"/>
        <w:b w:val="0"/>
        <w:bCs w:val="0"/>
        <w:sz w:val="22"/>
        <w:szCs w:val="22"/>
      </w:rPr>
    </w:lvl>
    <w:lvl w:ilvl="1" w:tplc="03F8BEB4">
      <w:start w:val="1"/>
      <w:numFmt w:val="lowerRoman"/>
      <w:lvlText w:val="%2)"/>
      <w:lvlJc w:val="left"/>
      <w:pPr>
        <w:tabs>
          <w:tab w:val="num" w:pos="1866"/>
        </w:tabs>
        <w:ind w:left="1866" w:hanging="720"/>
      </w:pPr>
      <w:rPr>
        <w:rFonts w:cs="Times New Roman" w:hint="default"/>
        <w:b w:val="0"/>
        <w:bCs w:val="0"/>
        <w:sz w:val="16"/>
        <w:szCs w:val="16"/>
      </w:rPr>
    </w:lvl>
    <w:lvl w:ilvl="2" w:tplc="041B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2612F200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 w:hint="default"/>
        <w:b w:val="0"/>
        <w:bCs w:val="0"/>
        <w:sz w:val="22"/>
        <w:szCs w:val="22"/>
      </w:rPr>
    </w:lvl>
    <w:lvl w:ilvl="4" w:tplc="041B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5" w15:restartNumberingAfterBreak="0">
    <w:nsid w:val="5F853F49"/>
    <w:multiLevelType w:val="hybridMultilevel"/>
    <w:tmpl w:val="0B3EB760"/>
    <w:lvl w:ilvl="0" w:tplc="B23E6234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7A4289"/>
    <w:multiLevelType w:val="hybridMultilevel"/>
    <w:tmpl w:val="9238FF28"/>
    <w:lvl w:ilvl="0" w:tplc="0120757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7503B51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67796CD1"/>
    <w:multiLevelType w:val="hybridMultilevel"/>
    <w:tmpl w:val="5BC88BE0"/>
    <w:lvl w:ilvl="0" w:tplc="041B0017">
      <w:start w:val="1"/>
      <w:numFmt w:val="lowerLetter"/>
      <w:lvlText w:val="%1)"/>
      <w:lvlJc w:val="left"/>
      <w:pPr>
        <w:ind w:left="512" w:hanging="360"/>
      </w:pPr>
    </w:lvl>
    <w:lvl w:ilvl="1" w:tplc="041B000F">
      <w:start w:val="1"/>
      <w:numFmt w:val="decimal"/>
      <w:lvlText w:val="%2."/>
      <w:lvlJc w:val="left"/>
      <w:pPr>
        <w:ind w:left="1232" w:hanging="360"/>
      </w:pPr>
    </w:lvl>
    <w:lvl w:ilvl="2" w:tplc="041B001B" w:tentative="1">
      <w:start w:val="1"/>
      <w:numFmt w:val="lowerRoman"/>
      <w:lvlText w:val="%3."/>
      <w:lvlJc w:val="right"/>
      <w:pPr>
        <w:ind w:left="1952" w:hanging="180"/>
      </w:pPr>
    </w:lvl>
    <w:lvl w:ilvl="3" w:tplc="041B000F" w:tentative="1">
      <w:start w:val="1"/>
      <w:numFmt w:val="decimal"/>
      <w:lvlText w:val="%4."/>
      <w:lvlJc w:val="left"/>
      <w:pPr>
        <w:ind w:left="2672" w:hanging="360"/>
      </w:pPr>
    </w:lvl>
    <w:lvl w:ilvl="4" w:tplc="041B0019" w:tentative="1">
      <w:start w:val="1"/>
      <w:numFmt w:val="lowerLetter"/>
      <w:lvlText w:val="%5."/>
      <w:lvlJc w:val="left"/>
      <w:pPr>
        <w:ind w:left="3392" w:hanging="360"/>
      </w:pPr>
    </w:lvl>
    <w:lvl w:ilvl="5" w:tplc="041B001B" w:tentative="1">
      <w:start w:val="1"/>
      <w:numFmt w:val="lowerRoman"/>
      <w:lvlText w:val="%6."/>
      <w:lvlJc w:val="right"/>
      <w:pPr>
        <w:ind w:left="4112" w:hanging="180"/>
      </w:pPr>
    </w:lvl>
    <w:lvl w:ilvl="6" w:tplc="041B000F" w:tentative="1">
      <w:start w:val="1"/>
      <w:numFmt w:val="decimal"/>
      <w:lvlText w:val="%7."/>
      <w:lvlJc w:val="left"/>
      <w:pPr>
        <w:ind w:left="4832" w:hanging="360"/>
      </w:pPr>
    </w:lvl>
    <w:lvl w:ilvl="7" w:tplc="041B0019" w:tentative="1">
      <w:start w:val="1"/>
      <w:numFmt w:val="lowerLetter"/>
      <w:lvlText w:val="%8."/>
      <w:lvlJc w:val="left"/>
      <w:pPr>
        <w:ind w:left="5552" w:hanging="360"/>
      </w:pPr>
    </w:lvl>
    <w:lvl w:ilvl="8" w:tplc="041B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9" w15:restartNumberingAfterBreak="0">
    <w:nsid w:val="70A40DB1"/>
    <w:multiLevelType w:val="hybridMultilevel"/>
    <w:tmpl w:val="913E94D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B75307"/>
    <w:multiLevelType w:val="hybridMultilevel"/>
    <w:tmpl w:val="D098F2F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6A6C06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707FEE"/>
    <w:multiLevelType w:val="hybridMultilevel"/>
    <w:tmpl w:val="E85EE886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FBF1B7F"/>
    <w:multiLevelType w:val="hybridMultilevel"/>
    <w:tmpl w:val="C28894FE"/>
    <w:lvl w:ilvl="0" w:tplc="041B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FC91C11"/>
    <w:multiLevelType w:val="hybridMultilevel"/>
    <w:tmpl w:val="BE0EB4C6"/>
    <w:lvl w:ilvl="0" w:tplc="822C5B1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933429">
    <w:abstractNumId w:val="9"/>
  </w:num>
  <w:num w:numId="2" w16cid:durableId="923799397">
    <w:abstractNumId w:val="9"/>
    <w:lvlOverride w:ilvl="0">
      <w:startOverride w:val="3"/>
    </w:lvlOverride>
  </w:num>
  <w:num w:numId="3" w16cid:durableId="1458715914">
    <w:abstractNumId w:val="21"/>
  </w:num>
  <w:num w:numId="4" w16cid:durableId="1579708966">
    <w:abstractNumId w:val="21"/>
    <w:lvlOverride w:ilvl="0">
      <w:startOverride w:val="2"/>
    </w:lvlOverride>
  </w:num>
  <w:num w:numId="5" w16cid:durableId="1124078851">
    <w:abstractNumId w:val="14"/>
  </w:num>
  <w:num w:numId="6" w16cid:durableId="821846238">
    <w:abstractNumId w:val="14"/>
    <w:lvlOverride w:ilvl="0">
      <w:startOverride w:val="1"/>
    </w:lvlOverride>
  </w:num>
  <w:num w:numId="7" w16cid:durableId="1952662698">
    <w:abstractNumId w:val="25"/>
  </w:num>
  <w:num w:numId="8" w16cid:durableId="13156492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3183399">
    <w:abstractNumId w:val="19"/>
  </w:num>
  <w:num w:numId="10" w16cid:durableId="1276982882">
    <w:abstractNumId w:val="2"/>
  </w:num>
  <w:num w:numId="11" w16cid:durableId="1118066881">
    <w:abstractNumId w:val="32"/>
  </w:num>
  <w:num w:numId="12" w16cid:durableId="231551234">
    <w:abstractNumId w:val="8"/>
  </w:num>
  <w:num w:numId="13" w16cid:durableId="1051613046">
    <w:abstractNumId w:val="28"/>
  </w:num>
  <w:num w:numId="14" w16cid:durableId="222527118">
    <w:abstractNumId w:val="5"/>
  </w:num>
  <w:num w:numId="15" w16cid:durableId="1594976933">
    <w:abstractNumId w:val="26"/>
  </w:num>
  <w:num w:numId="16" w16cid:durableId="424154160">
    <w:abstractNumId w:val="37"/>
  </w:num>
  <w:num w:numId="17" w16cid:durableId="1169561321">
    <w:abstractNumId w:val="13"/>
  </w:num>
  <w:num w:numId="18" w16cid:durableId="1588733751">
    <w:abstractNumId w:val="15"/>
  </w:num>
  <w:num w:numId="19" w16cid:durableId="326325789">
    <w:abstractNumId w:val="29"/>
  </w:num>
  <w:num w:numId="20" w16cid:durableId="1056663215">
    <w:abstractNumId w:val="42"/>
  </w:num>
  <w:num w:numId="21" w16cid:durableId="1390348226">
    <w:abstractNumId w:val="4"/>
  </w:num>
  <w:num w:numId="22" w16cid:durableId="1474592325">
    <w:abstractNumId w:val="34"/>
  </w:num>
  <w:num w:numId="23" w16cid:durableId="3223960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1683792">
    <w:abstractNumId w:val="16"/>
  </w:num>
  <w:num w:numId="25" w16cid:durableId="1775176464">
    <w:abstractNumId w:val="3"/>
  </w:num>
  <w:num w:numId="26" w16cid:durableId="1290937333">
    <w:abstractNumId w:val="36"/>
  </w:num>
  <w:num w:numId="27" w16cid:durableId="1838810422">
    <w:abstractNumId w:val="30"/>
  </w:num>
  <w:num w:numId="28" w16cid:durableId="38870226">
    <w:abstractNumId w:val="6"/>
  </w:num>
  <w:num w:numId="29" w16cid:durableId="990328991">
    <w:abstractNumId w:val="41"/>
  </w:num>
  <w:num w:numId="30" w16cid:durableId="889731316">
    <w:abstractNumId w:val="24"/>
  </w:num>
  <w:num w:numId="31" w16cid:durableId="250816798">
    <w:abstractNumId w:val="0"/>
  </w:num>
  <w:num w:numId="32" w16cid:durableId="1128668204">
    <w:abstractNumId w:val="1"/>
  </w:num>
  <w:num w:numId="33" w16cid:durableId="435835068">
    <w:abstractNumId w:val="11"/>
  </w:num>
  <w:num w:numId="34" w16cid:durableId="116923126">
    <w:abstractNumId w:val="22"/>
  </w:num>
  <w:num w:numId="35" w16cid:durableId="1202743672">
    <w:abstractNumId w:val="33"/>
  </w:num>
  <w:num w:numId="36" w16cid:durableId="300506304">
    <w:abstractNumId w:val="38"/>
  </w:num>
  <w:num w:numId="37" w16cid:durableId="1787382374">
    <w:abstractNumId w:val="18"/>
  </w:num>
  <w:num w:numId="38" w16cid:durableId="284696228">
    <w:abstractNumId w:val="35"/>
  </w:num>
  <w:num w:numId="39" w16cid:durableId="738787914">
    <w:abstractNumId w:val="20"/>
  </w:num>
  <w:num w:numId="40" w16cid:durableId="218977248">
    <w:abstractNumId w:val="23"/>
  </w:num>
  <w:num w:numId="41" w16cid:durableId="2044556215">
    <w:abstractNumId w:val="12"/>
  </w:num>
  <w:num w:numId="42" w16cid:durableId="1406151555">
    <w:abstractNumId w:val="40"/>
  </w:num>
  <w:num w:numId="43" w16cid:durableId="1437629808">
    <w:abstractNumId w:val="10"/>
  </w:num>
  <w:num w:numId="44" w16cid:durableId="1882741826">
    <w:abstractNumId w:val="39"/>
  </w:num>
  <w:num w:numId="45" w16cid:durableId="1744066360">
    <w:abstractNumId w:val="7"/>
  </w:num>
  <w:num w:numId="46" w16cid:durableId="1906337211">
    <w:abstractNumId w:val="31"/>
  </w:num>
  <w:num w:numId="47" w16cid:durableId="725102800">
    <w:abstractNumId w:val="43"/>
  </w:num>
  <w:num w:numId="48" w16cid:durableId="59706107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63F"/>
    <w:rsid w:val="0000255B"/>
    <w:rsid w:val="00002C0C"/>
    <w:rsid w:val="0000346A"/>
    <w:rsid w:val="00003CE9"/>
    <w:rsid w:val="00003CFA"/>
    <w:rsid w:val="00012792"/>
    <w:rsid w:val="000135E5"/>
    <w:rsid w:val="0001597E"/>
    <w:rsid w:val="00020585"/>
    <w:rsid w:val="00021117"/>
    <w:rsid w:val="000231A1"/>
    <w:rsid w:val="00024D6F"/>
    <w:rsid w:val="00024D8B"/>
    <w:rsid w:val="00025920"/>
    <w:rsid w:val="00030772"/>
    <w:rsid w:val="000320A6"/>
    <w:rsid w:val="000340E5"/>
    <w:rsid w:val="0003471E"/>
    <w:rsid w:val="00035864"/>
    <w:rsid w:val="00037238"/>
    <w:rsid w:val="00047278"/>
    <w:rsid w:val="00055B37"/>
    <w:rsid w:val="000567A4"/>
    <w:rsid w:val="00063575"/>
    <w:rsid w:val="00067171"/>
    <w:rsid w:val="00073CD8"/>
    <w:rsid w:val="00074E8F"/>
    <w:rsid w:val="0007653C"/>
    <w:rsid w:val="00082255"/>
    <w:rsid w:val="00087068"/>
    <w:rsid w:val="0008713F"/>
    <w:rsid w:val="00090E78"/>
    <w:rsid w:val="0009232E"/>
    <w:rsid w:val="00095F84"/>
    <w:rsid w:val="00096ADB"/>
    <w:rsid w:val="00096E74"/>
    <w:rsid w:val="000A2A3B"/>
    <w:rsid w:val="000A30C9"/>
    <w:rsid w:val="000B0F0B"/>
    <w:rsid w:val="000B214D"/>
    <w:rsid w:val="000C0E27"/>
    <w:rsid w:val="000C2955"/>
    <w:rsid w:val="000C2E53"/>
    <w:rsid w:val="000C6C5C"/>
    <w:rsid w:val="000D041C"/>
    <w:rsid w:val="000D73F6"/>
    <w:rsid w:val="000E03CB"/>
    <w:rsid w:val="000E0D2B"/>
    <w:rsid w:val="000E2257"/>
    <w:rsid w:val="000E4886"/>
    <w:rsid w:val="000E4AB0"/>
    <w:rsid w:val="000E4E15"/>
    <w:rsid w:val="000E5D3F"/>
    <w:rsid w:val="000F0F63"/>
    <w:rsid w:val="000F26D9"/>
    <w:rsid w:val="000F27EB"/>
    <w:rsid w:val="000F3430"/>
    <w:rsid w:val="000F393B"/>
    <w:rsid w:val="001039E2"/>
    <w:rsid w:val="001054D0"/>
    <w:rsid w:val="00107C21"/>
    <w:rsid w:val="001139B0"/>
    <w:rsid w:val="0012006E"/>
    <w:rsid w:val="00121720"/>
    <w:rsid w:val="00121E12"/>
    <w:rsid w:val="001237C8"/>
    <w:rsid w:val="0012394B"/>
    <w:rsid w:val="00124B5C"/>
    <w:rsid w:val="001253E2"/>
    <w:rsid w:val="0012640D"/>
    <w:rsid w:val="00126BF2"/>
    <w:rsid w:val="00126D23"/>
    <w:rsid w:val="00127033"/>
    <w:rsid w:val="00127B0E"/>
    <w:rsid w:val="00127E46"/>
    <w:rsid w:val="00131937"/>
    <w:rsid w:val="00132CD6"/>
    <w:rsid w:val="001344CE"/>
    <w:rsid w:val="001353C3"/>
    <w:rsid w:val="0014248F"/>
    <w:rsid w:val="0014501B"/>
    <w:rsid w:val="00146FE9"/>
    <w:rsid w:val="0015019E"/>
    <w:rsid w:val="00153B33"/>
    <w:rsid w:val="001655AD"/>
    <w:rsid w:val="0016730A"/>
    <w:rsid w:val="00173560"/>
    <w:rsid w:val="001741BE"/>
    <w:rsid w:val="00175106"/>
    <w:rsid w:val="001771B0"/>
    <w:rsid w:val="00177D71"/>
    <w:rsid w:val="00181C5B"/>
    <w:rsid w:val="00181CD6"/>
    <w:rsid w:val="001847B0"/>
    <w:rsid w:val="00186909"/>
    <w:rsid w:val="00194794"/>
    <w:rsid w:val="0019690F"/>
    <w:rsid w:val="00196BD1"/>
    <w:rsid w:val="00197548"/>
    <w:rsid w:val="001A1851"/>
    <w:rsid w:val="001A2DED"/>
    <w:rsid w:val="001A3637"/>
    <w:rsid w:val="001A628D"/>
    <w:rsid w:val="001A6925"/>
    <w:rsid w:val="001A6D92"/>
    <w:rsid w:val="001A7CFB"/>
    <w:rsid w:val="001B5416"/>
    <w:rsid w:val="001B70E2"/>
    <w:rsid w:val="001C2190"/>
    <w:rsid w:val="001C2D8C"/>
    <w:rsid w:val="001C5C9A"/>
    <w:rsid w:val="001D0AA4"/>
    <w:rsid w:val="001D12E6"/>
    <w:rsid w:val="001D15F7"/>
    <w:rsid w:val="001D1BB5"/>
    <w:rsid w:val="001D5124"/>
    <w:rsid w:val="001D5F56"/>
    <w:rsid w:val="001E2661"/>
    <w:rsid w:val="001E2837"/>
    <w:rsid w:val="001E28AA"/>
    <w:rsid w:val="001E7465"/>
    <w:rsid w:val="001F4809"/>
    <w:rsid w:val="001F5A7A"/>
    <w:rsid w:val="001F7D0F"/>
    <w:rsid w:val="00200CE9"/>
    <w:rsid w:val="00206138"/>
    <w:rsid w:val="00217748"/>
    <w:rsid w:val="00217BB3"/>
    <w:rsid w:val="00217BF4"/>
    <w:rsid w:val="00231A14"/>
    <w:rsid w:val="00232F7E"/>
    <w:rsid w:val="00240120"/>
    <w:rsid w:val="00245E37"/>
    <w:rsid w:val="0025200C"/>
    <w:rsid w:val="002523AA"/>
    <w:rsid w:val="00252653"/>
    <w:rsid w:val="00261E17"/>
    <w:rsid w:val="002622E9"/>
    <w:rsid w:val="002634AA"/>
    <w:rsid w:val="0026453A"/>
    <w:rsid w:val="002673BA"/>
    <w:rsid w:val="00270E65"/>
    <w:rsid w:val="002766F2"/>
    <w:rsid w:val="00277585"/>
    <w:rsid w:val="002844F5"/>
    <w:rsid w:val="002865FB"/>
    <w:rsid w:val="00287661"/>
    <w:rsid w:val="002921C9"/>
    <w:rsid w:val="00292FD6"/>
    <w:rsid w:val="00293DDF"/>
    <w:rsid w:val="00295CB2"/>
    <w:rsid w:val="002978CB"/>
    <w:rsid w:val="002B75FA"/>
    <w:rsid w:val="002C4B42"/>
    <w:rsid w:val="002C5F55"/>
    <w:rsid w:val="002C7D24"/>
    <w:rsid w:val="002D052B"/>
    <w:rsid w:val="002D1F26"/>
    <w:rsid w:val="002D3139"/>
    <w:rsid w:val="002D771C"/>
    <w:rsid w:val="002E11B0"/>
    <w:rsid w:val="002E1D16"/>
    <w:rsid w:val="002E21FB"/>
    <w:rsid w:val="002E3CEB"/>
    <w:rsid w:val="002E4E73"/>
    <w:rsid w:val="002F12CC"/>
    <w:rsid w:val="002F147A"/>
    <w:rsid w:val="002F5E57"/>
    <w:rsid w:val="002F651A"/>
    <w:rsid w:val="002F7501"/>
    <w:rsid w:val="00302875"/>
    <w:rsid w:val="003073B0"/>
    <w:rsid w:val="003107C0"/>
    <w:rsid w:val="00311ED3"/>
    <w:rsid w:val="0032032B"/>
    <w:rsid w:val="0032116E"/>
    <w:rsid w:val="00323555"/>
    <w:rsid w:val="00323645"/>
    <w:rsid w:val="00327430"/>
    <w:rsid w:val="00330066"/>
    <w:rsid w:val="003303CD"/>
    <w:rsid w:val="003362E2"/>
    <w:rsid w:val="00336D12"/>
    <w:rsid w:val="003444A5"/>
    <w:rsid w:val="00352F81"/>
    <w:rsid w:val="00353EEC"/>
    <w:rsid w:val="00355847"/>
    <w:rsid w:val="003607A5"/>
    <w:rsid w:val="00360DD3"/>
    <w:rsid w:val="00366F11"/>
    <w:rsid w:val="0037164D"/>
    <w:rsid w:val="00371ADA"/>
    <w:rsid w:val="003731B6"/>
    <w:rsid w:val="00373458"/>
    <w:rsid w:val="00373927"/>
    <w:rsid w:val="003742B8"/>
    <w:rsid w:val="0037495A"/>
    <w:rsid w:val="00374DAB"/>
    <w:rsid w:val="003807D7"/>
    <w:rsid w:val="003818BF"/>
    <w:rsid w:val="0038272A"/>
    <w:rsid w:val="00382CAE"/>
    <w:rsid w:val="0038383D"/>
    <w:rsid w:val="00391DC5"/>
    <w:rsid w:val="0039236B"/>
    <w:rsid w:val="00393CB5"/>
    <w:rsid w:val="003973BD"/>
    <w:rsid w:val="003A66DE"/>
    <w:rsid w:val="003A7955"/>
    <w:rsid w:val="003B04A2"/>
    <w:rsid w:val="003B0E6C"/>
    <w:rsid w:val="003C143F"/>
    <w:rsid w:val="003C18D2"/>
    <w:rsid w:val="003C4268"/>
    <w:rsid w:val="003D123E"/>
    <w:rsid w:val="003D2E06"/>
    <w:rsid w:val="003D339F"/>
    <w:rsid w:val="003E117F"/>
    <w:rsid w:val="003E50C0"/>
    <w:rsid w:val="003E6CDD"/>
    <w:rsid w:val="003E7B78"/>
    <w:rsid w:val="003E7F03"/>
    <w:rsid w:val="003F20A6"/>
    <w:rsid w:val="003F3A84"/>
    <w:rsid w:val="003F54E7"/>
    <w:rsid w:val="003F7211"/>
    <w:rsid w:val="00400B79"/>
    <w:rsid w:val="00401C2A"/>
    <w:rsid w:val="0040465E"/>
    <w:rsid w:val="00410550"/>
    <w:rsid w:val="00411E20"/>
    <w:rsid w:val="004132A4"/>
    <w:rsid w:val="00415A8E"/>
    <w:rsid w:val="00421C44"/>
    <w:rsid w:val="004238CA"/>
    <w:rsid w:val="00423FE5"/>
    <w:rsid w:val="00424270"/>
    <w:rsid w:val="004263FC"/>
    <w:rsid w:val="00431404"/>
    <w:rsid w:val="0043237A"/>
    <w:rsid w:val="00433BBB"/>
    <w:rsid w:val="004369B7"/>
    <w:rsid w:val="00440A2A"/>
    <w:rsid w:val="00440A96"/>
    <w:rsid w:val="004469F9"/>
    <w:rsid w:val="00450E8F"/>
    <w:rsid w:val="0045145F"/>
    <w:rsid w:val="00455D49"/>
    <w:rsid w:val="00456B55"/>
    <w:rsid w:val="004577EC"/>
    <w:rsid w:val="00457FF1"/>
    <w:rsid w:val="004603D9"/>
    <w:rsid w:val="00461419"/>
    <w:rsid w:val="00462ABD"/>
    <w:rsid w:val="00463370"/>
    <w:rsid w:val="00463463"/>
    <w:rsid w:val="00474BE1"/>
    <w:rsid w:val="00474F4B"/>
    <w:rsid w:val="00482084"/>
    <w:rsid w:val="00482AE9"/>
    <w:rsid w:val="004912D6"/>
    <w:rsid w:val="00496EB9"/>
    <w:rsid w:val="004A14B7"/>
    <w:rsid w:val="004A1EC0"/>
    <w:rsid w:val="004A37C8"/>
    <w:rsid w:val="004A6D30"/>
    <w:rsid w:val="004A787D"/>
    <w:rsid w:val="004B12A4"/>
    <w:rsid w:val="004B28F5"/>
    <w:rsid w:val="004B3427"/>
    <w:rsid w:val="004B38D5"/>
    <w:rsid w:val="004B4186"/>
    <w:rsid w:val="004B5528"/>
    <w:rsid w:val="004C0DA4"/>
    <w:rsid w:val="004C2B7C"/>
    <w:rsid w:val="004C7B89"/>
    <w:rsid w:val="004D0FCA"/>
    <w:rsid w:val="004D62CC"/>
    <w:rsid w:val="004E30E1"/>
    <w:rsid w:val="004E5596"/>
    <w:rsid w:val="004E5EE2"/>
    <w:rsid w:val="004E7385"/>
    <w:rsid w:val="004F0476"/>
    <w:rsid w:val="004F78C5"/>
    <w:rsid w:val="00500C2E"/>
    <w:rsid w:val="00503442"/>
    <w:rsid w:val="0050561A"/>
    <w:rsid w:val="00510D5F"/>
    <w:rsid w:val="005130F7"/>
    <w:rsid w:val="00513D1C"/>
    <w:rsid w:val="00514D8E"/>
    <w:rsid w:val="005170A9"/>
    <w:rsid w:val="0052036E"/>
    <w:rsid w:val="005204BA"/>
    <w:rsid w:val="00521CE7"/>
    <w:rsid w:val="00526431"/>
    <w:rsid w:val="00527941"/>
    <w:rsid w:val="005323F1"/>
    <w:rsid w:val="00535F1D"/>
    <w:rsid w:val="005412D6"/>
    <w:rsid w:val="005435B2"/>
    <w:rsid w:val="00544F8F"/>
    <w:rsid w:val="0054602A"/>
    <w:rsid w:val="00546BC5"/>
    <w:rsid w:val="00552C56"/>
    <w:rsid w:val="005610DB"/>
    <w:rsid w:val="005616E5"/>
    <w:rsid w:val="00561B2E"/>
    <w:rsid w:val="005732BC"/>
    <w:rsid w:val="00573821"/>
    <w:rsid w:val="005778F1"/>
    <w:rsid w:val="005919EC"/>
    <w:rsid w:val="005947B8"/>
    <w:rsid w:val="00596658"/>
    <w:rsid w:val="005A2AE4"/>
    <w:rsid w:val="005A7792"/>
    <w:rsid w:val="005B5E49"/>
    <w:rsid w:val="005C0BCC"/>
    <w:rsid w:val="005C4EBB"/>
    <w:rsid w:val="005D2056"/>
    <w:rsid w:val="005D27CC"/>
    <w:rsid w:val="005D36FC"/>
    <w:rsid w:val="005D5248"/>
    <w:rsid w:val="005E08D4"/>
    <w:rsid w:val="005E0B20"/>
    <w:rsid w:val="005E147F"/>
    <w:rsid w:val="005E64A1"/>
    <w:rsid w:val="005F67C3"/>
    <w:rsid w:val="00611DAA"/>
    <w:rsid w:val="00612873"/>
    <w:rsid w:val="00622967"/>
    <w:rsid w:val="006232C4"/>
    <w:rsid w:val="006261AB"/>
    <w:rsid w:val="00626BBE"/>
    <w:rsid w:val="0063136C"/>
    <w:rsid w:val="00633CEF"/>
    <w:rsid w:val="006342A4"/>
    <w:rsid w:val="00640148"/>
    <w:rsid w:val="00640FA8"/>
    <w:rsid w:val="00641164"/>
    <w:rsid w:val="0064290B"/>
    <w:rsid w:val="00642D4C"/>
    <w:rsid w:val="0064397E"/>
    <w:rsid w:val="00651021"/>
    <w:rsid w:val="0065524E"/>
    <w:rsid w:val="00655A28"/>
    <w:rsid w:val="00665870"/>
    <w:rsid w:val="00666F49"/>
    <w:rsid w:val="0066733C"/>
    <w:rsid w:val="006706D8"/>
    <w:rsid w:val="006725C3"/>
    <w:rsid w:val="00680683"/>
    <w:rsid w:val="00683A6B"/>
    <w:rsid w:val="00690311"/>
    <w:rsid w:val="006903C3"/>
    <w:rsid w:val="00693ABA"/>
    <w:rsid w:val="0069525F"/>
    <w:rsid w:val="00697D85"/>
    <w:rsid w:val="006A0237"/>
    <w:rsid w:val="006A3C9E"/>
    <w:rsid w:val="006A58CB"/>
    <w:rsid w:val="006B20CC"/>
    <w:rsid w:val="006B31A5"/>
    <w:rsid w:val="006B3989"/>
    <w:rsid w:val="006B721E"/>
    <w:rsid w:val="006B7B08"/>
    <w:rsid w:val="006C3EB1"/>
    <w:rsid w:val="006C72A8"/>
    <w:rsid w:val="006C7A77"/>
    <w:rsid w:val="006D0585"/>
    <w:rsid w:val="006D0F47"/>
    <w:rsid w:val="006D179C"/>
    <w:rsid w:val="006D1FEA"/>
    <w:rsid w:val="006D2CC2"/>
    <w:rsid w:val="006D5629"/>
    <w:rsid w:val="006D7B34"/>
    <w:rsid w:val="006E1DD0"/>
    <w:rsid w:val="006E2CA3"/>
    <w:rsid w:val="006E50F0"/>
    <w:rsid w:val="006E63A1"/>
    <w:rsid w:val="006E689D"/>
    <w:rsid w:val="006E7EBD"/>
    <w:rsid w:val="006F1121"/>
    <w:rsid w:val="006F14E0"/>
    <w:rsid w:val="006F263A"/>
    <w:rsid w:val="006F2A44"/>
    <w:rsid w:val="006F2A62"/>
    <w:rsid w:val="006F67D1"/>
    <w:rsid w:val="00700075"/>
    <w:rsid w:val="00701CDB"/>
    <w:rsid w:val="00710FB0"/>
    <w:rsid w:val="00714776"/>
    <w:rsid w:val="00716C11"/>
    <w:rsid w:val="007207ED"/>
    <w:rsid w:val="00723A4F"/>
    <w:rsid w:val="00723D39"/>
    <w:rsid w:val="00725858"/>
    <w:rsid w:val="007265AE"/>
    <w:rsid w:val="00727F9D"/>
    <w:rsid w:val="0073034B"/>
    <w:rsid w:val="0073310F"/>
    <w:rsid w:val="00733A2B"/>
    <w:rsid w:val="0073777C"/>
    <w:rsid w:val="00737D73"/>
    <w:rsid w:val="0074134C"/>
    <w:rsid w:val="00742501"/>
    <w:rsid w:val="00752008"/>
    <w:rsid w:val="007532EB"/>
    <w:rsid w:val="00756853"/>
    <w:rsid w:val="00756FDC"/>
    <w:rsid w:val="00757F02"/>
    <w:rsid w:val="007609AB"/>
    <w:rsid w:val="007619E7"/>
    <w:rsid w:val="0076520A"/>
    <w:rsid w:val="00767A66"/>
    <w:rsid w:val="00770C2A"/>
    <w:rsid w:val="007710EE"/>
    <w:rsid w:val="00776F5E"/>
    <w:rsid w:val="00781C76"/>
    <w:rsid w:val="0078217F"/>
    <w:rsid w:val="0078287E"/>
    <w:rsid w:val="007843DE"/>
    <w:rsid w:val="007934D3"/>
    <w:rsid w:val="007945F9"/>
    <w:rsid w:val="00794F43"/>
    <w:rsid w:val="00795241"/>
    <w:rsid w:val="007A175E"/>
    <w:rsid w:val="007B0DA8"/>
    <w:rsid w:val="007B4F52"/>
    <w:rsid w:val="007B5E61"/>
    <w:rsid w:val="007B6B0E"/>
    <w:rsid w:val="007B7151"/>
    <w:rsid w:val="007C7865"/>
    <w:rsid w:val="007D061D"/>
    <w:rsid w:val="007D0A14"/>
    <w:rsid w:val="007D206B"/>
    <w:rsid w:val="007D4F22"/>
    <w:rsid w:val="007D7290"/>
    <w:rsid w:val="007D79B4"/>
    <w:rsid w:val="007E0008"/>
    <w:rsid w:val="007E09C6"/>
    <w:rsid w:val="007E09F8"/>
    <w:rsid w:val="007E14AC"/>
    <w:rsid w:val="007E4FDD"/>
    <w:rsid w:val="007F2EDA"/>
    <w:rsid w:val="007F4273"/>
    <w:rsid w:val="007F60AF"/>
    <w:rsid w:val="00801B29"/>
    <w:rsid w:val="00804423"/>
    <w:rsid w:val="00804BBD"/>
    <w:rsid w:val="00805A04"/>
    <w:rsid w:val="00806CC2"/>
    <w:rsid w:val="00807A98"/>
    <w:rsid w:val="008113BC"/>
    <w:rsid w:val="00813B43"/>
    <w:rsid w:val="00814E7B"/>
    <w:rsid w:val="00815FAC"/>
    <w:rsid w:val="0081692C"/>
    <w:rsid w:val="00816AA1"/>
    <w:rsid w:val="00816B2C"/>
    <w:rsid w:val="00817F71"/>
    <w:rsid w:val="0082147A"/>
    <w:rsid w:val="008218D4"/>
    <w:rsid w:val="00823B31"/>
    <w:rsid w:val="00824153"/>
    <w:rsid w:val="0082536D"/>
    <w:rsid w:val="00827C3F"/>
    <w:rsid w:val="00835EF8"/>
    <w:rsid w:val="00840D76"/>
    <w:rsid w:val="00842A30"/>
    <w:rsid w:val="008459FC"/>
    <w:rsid w:val="00846881"/>
    <w:rsid w:val="0085071D"/>
    <w:rsid w:val="00854BEA"/>
    <w:rsid w:val="0085794F"/>
    <w:rsid w:val="00857EA6"/>
    <w:rsid w:val="0086031E"/>
    <w:rsid w:val="008666BE"/>
    <w:rsid w:val="0086686A"/>
    <w:rsid w:val="008703CD"/>
    <w:rsid w:val="00874BB9"/>
    <w:rsid w:val="00877358"/>
    <w:rsid w:val="00882AFC"/>
    <w:rsid w:val="0088344F"/>
    <w:rsid w:val="00884F0E"/>
    <w:rsid w:val="00886450"/>
    <w:rsid w:val="00886FC6"/>
    <w:rsid w:val="00891716"/>
    <w:rsid w:val="00891EEF"/>
    <w:rsid w:val="00892601"/>
    <w:rsid w:val="00893F74"/>
    <w:rsid w:val="008A2E2C"/>
    <w:rsid w:val="008A5161"/>
    <w:rsid w:val="008A7118"/>
    <w:rsid w:val="008B0935"/>
    <w:rsid w:val="008B0CB6"/>
    <w:rsid w:val="008B1FE3"/>
    <w:rsid w:val="008B4F42"/>
    <w:rsid w:val="008B7210"/>
    <w:rsid w:val="008B7D71"/>
    <w:rsid w:val="008C2D66"/>
    <w:rsid w:val="008C54C3"/>
    <w:rsid w:val="008C652A"/>
    <w:rsid w:val="008C7921"/>
    <w:rsid w:val="008C7F80"/>
    <w:rsid w:val="008D2586"/>
    <w:rsid w:val="008D465B"/>
    <w:rsid w:val="008D505A"/>
    <w:rsid w:val="008E00FD"/>
    <w:rsid w:val="008E116C"/>
    <w:rsid w:val="008E154A"/>
    <w:rsid w:val="008E6E26"/>
    <w:rsid w:val="008E73BA"/>
    <w:rsid w:val="008F1714"/>
    <w:rsid w:val="00903497"/>
    <w:rsid w:val="00904D5F"/>
    <w:rsid w:val="0090796E"/>
    <w:rsid w:val="00910B4F"/>
    <w:rsid w:val="00910CF4"/>
    <w:rsid w:val="00912F27"/>
    <w:rsid w:val="00915BAC"/>
    <w:rsid w:val="0091636B"/>
    <w:rsid w:val="00917A0B"/>
    <w:rsid w:val="00923DF6"/>
    <w:rsid w:val="00925C46"/>
    <w:rsid w:val="009301E3"/>
    <w:rsid w:val="00930557"/>
    <w:rsid w:val="009317D6"/>
    <w:rsid w:val="009331CF"/>
    <w:rsid w:val="00933E1D"/>
    <w:rsid w:val="009402B6"/>
    <w:rsid w:val="00941FB5"/>
    <w:rsid w:val="00944855"/>
    <w:rsid w:val="0095017B"/>
    <w:rsid w:val="009533AE"/>
    <w:rsid w:val="00954AF3"/>
    <w:rsid w:val="009557B2"/>
    <w:rsid w:val="009612CE"/>
    <w:rsid w:val="009674F7"/>
    <w:rsid w:val="0097005C"/>
    <w:rsid w:val="00970A76"/>
    <w:rsid w:val="009725A5"/>
    <w:rsid w:val="00975223"/>
    <w:rsid w:val="009753B6"/>
    <w:rsid w:val="00976F6A"/>
    <w:rsid w:val="00980778"/>
    <w:rsid w:val="009826E3"/>
    <w:rsid w:val="0098594F"/>
    <w:rsid w:val="00987986"/>
    <w:rsid w:val="00996474"/>
    <w:rsid w:val="009A37FB"/>
    <w:rsid w:val="009B2EAD"/>
    <w:rsid w:val="009B3953"/>
    <w:rsid w:val="009C308A"/>
    <w:rsid w:val="009C5744"/>
    <w:rsid w:val="009C686D"/>
    <w:rsid w:val="009C6B0B"/>
    <w:rsid w:val="009D1948"/>
    <w:rsid w:val="009D440C"/>
    <w:rsid w:val="009D44C2"/>
    <w:rsid w:val="009D67A3"/>
    <w:rsid w:val="009E0D5B"/>
    <w:rsid w:val="009E62DB"/>
    <w:rsid w:val="009F0338"/>
    <w:rsid w:val="009F08C1"/>
    <w:rsid w:val="009F6E97"/>
    <w:rsid w:val="00A033F1"/>
    <w:rsid w:val="00A05DB7"/>
    <w:rsid w:val="00A10DF3"/>
    <w:rsid w:val="00A11FD9"/>
    <w:rsid w:val="00A12DF3"/>
    <w:rsid w:val="00A13F35"/>
    <w:rsid w:val="00A141ED"/>
    <w:rsid w:val="00A14E9A"/>
    <w:rsid w:val="00A15DA8"/>
    <w:rsid w:val="00A16ECF"/>
    <w:rsid w:val="00A262BE"/>
    <w:rsid w:val="00A270AE"/>
    <w:rsid w:val="00A4062B"/>
    <w:rsid w:val="00A4281E"/>
    <w:rsid w:val="00A43D3B"/>
    <w:rsid w:val="00A457FC"/>
    <w:rsid w:val="00A46A0E"/>
    <w:rsid w:val="00A503B7"/>
    <w:rsid w:val="00A53AE8"/>
    <w:rsid w:val="00A53C43"/>
    <w:rsid w:val="00A55A4D"/>
    <w:rsid w:val="00A671D7"/>
    <w:rsid w:val="00A71ABE"/>
    <w:rsid w:val="00A74DBF"/>
    <w:rsid w:val="00A76BB8"/>
    <w:rsid w:val="00A8090C"/>
    <w:rsid w:val="00A82188"/>
    <w:rsid w:val="00A8228D"/>
    <w:rsid w:val="00A847B4"/>
    <w:rsid w:val="00A9063F"/>
    <w:rsid w:val="00A90B1E"/>
    <w:rsid w:val="00A91B17"/>
    <w:rsid w:val="00A953B8"/>
    <w:rsid w:val="00A958AF"/>
    <w:rsid w:val="00A95F46"/>
    <w:rsid w:val="00AA11ED"/>
    <w:rsid w:val="00AA21B1"/>
    <w:rsid w:val="00AA2F43"/>
    <w:rsid w:val="00AB1034"/>
    <w:rsid w:val="00AB15A9"/>
    <w:rsid w:val="00AB1FE4"/>
    <w:rsid w:val="00AB3887"/>
    <w:rsid w:val="00AB4BF1"/>
    <w:rsid w:val="00AB6AF1"/>
    <w:rsid w:val="00AC15EF"/>
    <w:rsid w:val="00AC7D1C"/>
    <w:rsid w:val="00AD51FF"/>
    <w:rsid w:val="00AD56C3"/>
    <w:rsid w:val="00AE18F4"/>
    <w:rsid w:val="00AE3011"/>
    <w:rsid w:val="00AE6FE0"/>
    <w:rsid w:val="00AF1494"/>
    <w:rsid w:val="00AF3BEE"/>
    <w:rsid w:val="00B008D5"/>
    <w:rsid w:val="00B05FC7"/>
    <w:rsid w:val="00B11E70"/>
    <w:rsid w:val="00B16E6B"/>
    <w:rsid w:val="00B27498"/>
    <w:rsid w:val="00B329BA"/>
    <w:rsid w:val="00B362EF"/>
    <w:rsid w:val="00B36E98"/>
    <w:rsid w:val="00B406D3"/>
    <w:rsid w:val="00B46D40"/>
    <w:rsid w:val="00B47C0F"/>
    <w:rsid w:val="00B47CF6"/>
    <w:rsid w:val="00B52C3C"/>
    <w:rsid w:val="00B62653"/>
    <w:rsid w:val="00B6267E"/>
    <w:rsid w:val="00B64B09"/>
    <w:rsid w:val="00B7066E"/>
    <w:rsid w:val="00B732A3"/>
    <w:rsid w:val="00B732ED"/>
    <w:rsid w:val="00B73815"/>
    <w:rsid w:val="00B82D67"/>
    <w:rsid w:val="00B87DE9"/>
    <w:rsid w:val="00B940E8"/>
    <w:rsid w:val="00B9674C"/>
    <w:rsid w:val="00B97973"/>
    <w:rsid w:val="00BB01F7"/>
    <w:rsid w:val="00BB1918"/>
    <w:rsid w:val="00BB1EB5"/>
    <w:rsid w:val="00BB2116"/>
    <w:rsid w:val="00BB403D"/>
    <w:rsid w:val="00BB47E1"/>
    <w:rsid w:val="00BB5299"/>
    <w:rsid w:val="00BC1443"/>
    <w:rsid w:val="00BC7AF7"/>
    <w:rsid w:val="00BD0C3F"/>
    <w:rsid w:val="00BD11BF"/>
    <w:rsid w:val="00BE030F"/>
    <w:rsid w:val="00BE1699"/>
    <w:rsid w:val="00BE31C6"/>
    <w:rsid w:val="00BE42C7"/>
    <w:rsid w:val="00BE49C3"/>
    <w:rsid w:val="00BE60CA"/>
    <w:rsid w:val="00BF3202"/>
    <w:rsid w:val="00BF3977"/>
    <w:rsid w:val="00BF4A2E"/>
    <w:rsid w:val="00BF7B25"/>
    <w:rsid w:val="00C0090B"/>
    <w:rsid w:val="00C046D4"/>
    <w:rsid w:val="00C060B0"/>
    <w:rsid w:val="00C07B6F"/>
    <w:rsid w:val="00C139A5"/>
    <w:rsid w:val="00C164CA"/>
    <w:rsid w:val="00C1775A"/>
    <w:rsid w:val="00C202C2"/>
    <w:rsid w:val="00C21CEF"/>
    <w:rsid w:val="00C22392"/>
    <w:rsid w:val="00C22B23"/>
    <w:rsid w:val="00C23B45"/>
    <w:rsid w:val="00C24965"/>
    <w:rsid w:val="00C2630F"/>
    <w:rsid w:val="00C34EF5"/>
    <w:rsid w:val="00C37146"/>
    <w:rsid w:val="00C41839"/>
    <w:rsid w:val="00C450D2"/>
    <w:rsid w:val="00C4773A"/>
    <w:rsid w:val="00C50849"/>
    <w:rsid w:val="00C50D55"/>
    <w:rsid w:val="00C545D3"/>
    <w:rsid w:val="00C558A3"/>
    <w:rsid w:val="00C56647"/>
    <w:rsid w:val="00C57FA0"/>
    <w:rsid w:val="00C60529"/>
    <w:rsid w:val="00C674DD"/>
    <w:rsid w:val="00C71ACA"/>
    <w:rsid w:val="00C7399C"/>
    <w:rsid w:val="00C74EA7"/>
    <w:rsid w:val="00C81CDE"/>
    <w:rsid w:val="00C830F9"/>
    <w:rsid w:val="00C835CD"/>
    <w:rsid w:val="00C83681"/>
    <w:rsid w:val="00C848C5"/>
    <w:rsid w:val="00C873AE"/>
    <w:rsid w:val="00C87AD9"/>
    <w:rsid w:val="00C905A4"/>
    <w:rsid w:val="00C9061D"/>
    <w:rsid w:val="00C91FC0"/>
    <w:rsid w:val="00C9780D"/>
    <w:rsid w:val="00CA3218"/>
    <w:rsid w:val="00CA41DB"/>
    <w:rsid w:val="00CB13E4"/>
    <w:rsid w:val="00CB1673"/>
    <w:rsid w:val="00CB1B0F"/>
    <w:rsid w:val="00CB2932"/>
    <w:rsid w:val="00CB2E5D"/>
    <w:rsid w:val="00CB57EF"/>
    <w:rsid w:val="00CB64E4"/>
    <w:rsid w:val="00CC09FD"/>
    <w:rsid w:val="00CC1262"/>
    <w:rsid w:val="00CC1E94"/>
    <w:rsid w:val="00CC1ECC"/>
    <w:rsid w:val="00CC22B5"/>
    <w:rsid w:val="00CC72CF"/>
    <w:rsid w:val="00CD0035"/>
    <w:rsid w:val="00CD2F4C"/>
    <w:rsid w:val="00CD4AD3"/>
    <w:rsid w:val="00CD6181"/>
    <w:rsid w:val="00CD6FDD"/>
    <w:rsid w:val="00CD70EA"/>
    <w:rsid w:val="00CE15EF"/>
    <w:rsid w:val="00CE3CD4"/>
    <w:rsid w:val="00CE4750"/>
    <w:rsid w:val="00CE7607"/>
    <w:rsid w:val="00CF0D7F"/>
    <w:rsid w:val="00CF44A6"/>
    <w:rsid w:val="00CF524A"/>
    <w:rsid w:val="00CF63F3"/>
    <w:rsid w:val="00CF6EE1"/>
    <w:rsid w:val="00D036AC"/>
    <w:rsid w:val="00D134F0"/>
    <w:rsid w:val="00D148C0"/>
    <w:rsid w:val="00D17337"/>
    <w:rsid w:val="00D21427"/>
    <w:rsid w:val="00D22A7B"/>
    <w:rsid w:val="00D263F1"/>
    <w:rsid w:val="00D27CC1"/>
    <w:rsid w:val="00D31DCE"/>
    <w:rsid w:val="00D327E4"/>
    <w:rsid w:val="00D34954"/>
    <w:rsid w:val="00D34B3B"/>
    <w:rsid w:val="00D427F6"/>
    <w:rsid w:val="00D443A0"/>
    <w:rsid w:val="00D45B1C"/>
    <w:rsid w:val="00D46E7D"/>
    <w:rsid w:val="00D47819"/>
    <w:rsid w:val="00D53D47"/>
    <w:rsid w:val="00D54B87"/>
    <w:rsid w:val="00D735BD"/>
    <w:rsid w:val="00D74E1A"/>
    <w:rsid w:val="00D75523"/>
    <w:rsid w:val="00D75EC9"/>
    <w:rsid w:val="00D76024"/>
    <w:rsid w:val="00D765BA"/>
    <w:rsid w:val="00D82A86"/>
    <w:rsid w:val="00D84BFC"/>
    <w:rsid w:val="00D862CC"/>
    <w:rsid w:val="00D9091A"/>
    <w:rsid w:val="00D93EDA"/>
    <w:rsid w:val="00D94A97"/>
    <w:rsid w:val="00D94E7A"/>
    <w:rsid w:val="00D96C12"/>
    <w:rsid w:val="00DA0E86"/>
    <w:rsid w:val="00DA0F6C"/>
    <w:rsid w:val="00DB1FB1"/>
    <w:rsid w:val="00DB343F"/>
    <w:rsid w:val="00DB5C7D"/>
    <w:rsid w:val="00DC58B2"/>
    <w:rsid w:val="00DC59DE"/>
    <w:rsid w:val="00DD4A1F"/>
    <w:rsid w:val="00DD786A"/>
    <w:rsid w:val="00DE03C0"/>
    <w:rsid w:val="00DE0F85"/>
    <w:rsid w:val="00DE20DC"/>
    <w:rsid w:val="00DE2313"/>
    <w:rsid w:val="00DE3459"/>
    <w:rsid w:val="00DE65B7"/>
    <w:rsid w:val="00DE7E47"/>
    <w:rsid w:val="00DF1EF9"/>
    <w:rsid w:val="00DF209A"/>
    <w:rsid w:val="00DF2DB3"/>
    <w:rsid w:val="00DF6487"/>
    <w:rsid w:val="00E01021"/>
    <w:rsid w:val="00E01CA4"/>
    <w:rsid w:val="00E06C93"/>
    <w:rsid w:val="00E14DEF"/>
    <w:rsid w:val="00E16DF4"/>
    <w:rsid w:val="00E216CD"/>
    <w:rsid w:val="00E2249D"/>
    <w:rsid w:val="00E320C6"/>
    <w:rsid w:val="00E35ACA"/>
    <w:rsid w:val="00E40670"/>
    <w:rsid w:val="00E45D76"/>
    <w:rsid w:val="00E51B36"/>
    <w:rsid w:val="00E521A0"/>
    <w:rsid w:val="00E53D69"/>
    <w:rsid w:val="00E57679"/>
    <w:rsid w:val="00E6322F"/>
    <w:rsid w:val="00E638DC"/>
    <w:rsid w:val="00E676D1"/>
    <w:rsid w:val="00E710A8"/>
    <w:rsid w:val="00E745B5"/>
    <w:rsid w:val="00E74A85"/>
    <w:rsid w:val="00E75E2F"/>
    <w:rsid w:val="00E77A41"/>
    <w:rsid w:val="00E814F9"/>
    <w:rsid w:val="00E869A4"/>
    <w:rsid w:val="00E87F8C"/>
    <w:rsid w:val="00E92CFA"/>
    <w:rsid w:val="00E93403"/>
    <w:rsid w:val="00E9406E"/>
    <w:rsid w:val="00EA0FD6"/>
    <w:rsid w:val="00EA30DC"/>
    <w:rsid w:val="00EA640D"/>
    <w:rsid w:val="00EB129B"/>
    <w:rsid w:val="00EB17B9"/>
    <w:rsid w:val="00EB2DB9"/>
    <w:rsid w:val="00EB3A0C"/>
    <w:rsid w:val="00EB6FCF"/>
    <w:rsid w:val="00EB7653"/>
    <w:rsid w:val="00EC2F17"/>
    <w:rsid w:val="00EC37C8"/>
    <w:rsid w:val="00EC6ACB"/>
    <w:rsid w:val="00EC7B64"/>
    <w:rsid w:val="00ED1E04"/>
    <w:rsid w:val="00ED6B9C"/>
    <w:rsid w:val="00EE000B"/>
    <w:rsid w:val="00EE06E8"/>
    <w:rsid w:val="00EE0837"/>
    <w:rsid w:val="00EE7DD6"/>
    <w:rsid w:val="00EF079B"/>
    <w:rsid w:val="00EF1094"/>
    <w:rsid w:val="00F02513"/>
    <w:rsid w:val="00F0263C"/>
    <w:rsid w:val="00F02685"/>
    <w:rsid w:val="00F02B9E"/>
    <w:rsid w:val="00F03A53"/>
    <w:rsid w:val="00F03E70"/>
    <w:rsid w:val="00F04679"/>
    <w:rsid w:val="00F047A8"/>
    <w:rsid w:val="00F05142"/>
    <w:rsid w:val="00F1639F"/>
    <w:rsid w:val="00F164D2"/>
    <w:rsid w:val="00F22EB5"/>
    <w:rsid w:val="00F243E7"/>
    <w:rsid w:val="00F248DB"/>
    <w:rsid w:val="00F3417D"/>
    <w:rsid w:val="00F373D2"/>
    <w:rsid w:val="00F3771A"/>
    <w:rsid w:val="00F4080C"/>
    <w:rsid w:val="00F41776"/>
    <w:rsid w:val="00F4367B"/>
    <w:rsid w:val="00F44006"/>
    <w:rsid w:val="00F47D24"/>
    <w:rsid w:val="00F539A9"/>
    <w:rsid w:val="00F61290"/>
    <w:rsid w:val="00F62361"/>
    <w:rsid w:val="00F636E0"/>
    <w:rsid w:val="00F702AD"/>
    <w:rsid w:val="00F71158"/>
    <w:rsid w:val="00F71B0B"/>
    <w:rsid w:val="00F73013"/>
    <w:rsid w:val="00F754EE"/>
    <w:rsid w:val="00F76588"/>
    <w:rsid w:val="00F7685B"/>
    <w:rsid w:val="00F80F1E"/>
    <w:rsid w:val="00F83B13"/>
    <w:rsid w:val="00F866F6"/>
    <w:rsid w:val="00F91657"/>
    <w:rsid w:val="00F9397B"/>
    <w:rsid w:val="00F9476B"/>
    <w:rsid w:val="00F95F46"/>
    <w:rsid w:val="00F96674"/>
    <w:rsid w:val="00FA085A"/>
    <w:rsid w:val="00FA113D"/>
    <w:rsid w:val="00FA2155"/>
    <w:rsid w:val="00FA2C04"/>
    <w:rsid w:val="00FB285E"/>
    <w:rsid w:val="00FB2FDD"/>
    <w:rsid w:val="00FB55DC"/>
    <w:rsid w:val="00FB7B11"/>
    <w:rsid w:val="00FC1177"/>
    <w:rsid w:val="00FD012C"/>
    <w:rsid w:val="00FF4B29"/>
    <w:rsid w:val="00FF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29A9A4"/>
  <w14:defaultImageDpi w14:val="0"/>
  <w15:docId w15:val="{6170F40A-EC66-4A49-BE9F-E3BD81E5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3" w:semiHidden="1"/>
    <w:lsdException w:name="Body Text Indent 2" w:semiHidden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kladntext3">
    <w:name w:val="Body Text 3"/>
    <w:basedOn w:val="Normlny"/>
    <w:link w:val="Zkladntext3Char"/>
    <w:uiPriority w:val="99"/>
    <w:pPr>
      <w:spacing w:line="240" w:lineRule="atLeast"/>
      <w:jc w:val="both"/>
    </w:p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  <w:szCs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customStyle="1" w:styleId="Normlny0">
    <w:name w:val="_Normálny"/>
    <w:basedOn w:val="Normlny"/>
    <w:uiPriority w:val="99"/>
    <w:rPr>
      <w:sz w:val="20"/>
      <w:szCs w:val="20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  <w:szCs w:val="20"/>
    </w:rPr>
  </w:style>
  <w:style w:type="paragraph" w:customStyle="1" w:styleId="PARA">
    <w:name w:val="PARA"/>
    <w:basedOn w:val="Normlny"/>
    <w:next w:val="Normlny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lny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Odkaznapoznmkupodiarou">
    <w:name w:val="footnote reference"/>
    <w:basedOn w:val="Predvolenpsmoodseku"/>
    <w:uiPriority w:val="99"/>
    <w:semiHidden/>
    <w:rPr>
      <w:rFonts w:cs="Times New Roman"/>
      <w:vertAlign w:val="superscript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autoSpaceDE/>
      <w:autoSpaceDN/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pPr>
      <w:autoSpaceDE/>
      <w:autoSpaceDN/>
      <w:ind w:left="290" w:hanging="290"/>
    </w:pPr>
    <w:rPr>
      <w:sz w:val="2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customStyle="1" w:styleId="Default">
    <w:name w:val="Default"/>
    <w:rsid w:val="00CB2E5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CB2E5D"/>
    <w:rPr>
      <w:rFonts w:cs="Times New Roman"/>
      <w:color w:val="auto"/>
    </w:rPr>
  </w:style>
  <w:style w:type="paragraph" w:customStyle="1" w:styleId="Zkladntext">
    <w:name w:val="Základní text"/>
    <w:aliases w:val="Základný text Char Char"/>
    <w:uiPriority w:val="99"/>
    <w:rsid w:val="00EE7DD6"/>
    <w:pPr>
      <w:widowControl w:val="0"/>
      <w:autoSpaceDE w:val="0"/>
      <w:autoSpaceDN w:val="0"/>
      <w:spacing w:after="0" w:line="240" w:lineRule="auto"/>
    </w:pPr>
    <w:rPr>
      <w:color w:val="000000"/>
      <w:sz w:val="24"/>
      <w:szCs w:val="24"/>
    </w:rPr>
  </w:style>
  <w:style w:type="paragraph" w:customStyle="1" w:styleId="CharChar">
    <w:name w:val="Char Char"/>
    <w:basedOn w:val="Normlny"/>
    <w:uiPriority w:val="99"/>
    <w:rsid w:val="0078287E"/>
    <w:pPr>
      <w:autoSpaceDE/>
      <w:autoSpaceDN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2E1D16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E1D16"/>
    <w:rPr>
      <w:rFonts w:cs="Times New Roman"/>
      <w:color w:val="auto"/>
    </w:rPr>
  </w:style>
  <w:style w:type="paragraph" w:styleId="Nzov">
    <w:name w:val="Title"/>
    <w:basedOn w:val="Normlny"/>
    <w:link w:val="NzovChar"/>
    <w:uiPriority w:val="99"/>
    <w:qFormat/>
    <w:rsid w:val="009557B2"/>
    <w:pPr>
      <w:autoSpaceDE/>
      <w:autoSpaceDN/>
      <w:jc w:val="center"/>
    </w:pPr>
    <w:rPr>
      <w:b/>
      <w:bCs/>
      <w:sz w:val="28"/>
      <w:szCs w:val="28"/>
      <w:lang w:eastAsia="cs-CZ"/>
    </w:rPr>
  </w:style>
  <w:style w:type="character" w:customStyle="1" w:styleId="NzovChar">
    <w:name w:val="Názov Char"/>
    <w:basedOn w:val="Predvolenpsmoodseku"/>
    <w:link w:val="Nzov"/>
    <w:uiPriority w:val="99"/>
    <w:locked/>
    <w:rsid w:val="009557B2"/>
    <w:rPr>
      <w:rFonts w:cs="Times New Roman"/>
      <w:b/>
      <w:bCs/>
      <w:sz w:val="28"/>
      <w:szCs w:val="28"/>
      <w:lang w:val="x-none" w:eastAsia="cs-CZ"/>
    </w:rPr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97005C"/>
    <w:pPr>
      <w:autoSpaceDE/>
      <w:autoSpaceDN/>
      <w:ind w:left="708"/>
    </w:pPr>
    <w:rPr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B72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B721E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link w:val="Odsekzoznamu"/>
    <w:uiPriority w:val="34"/>
    <w:qFormat/>
    <w:locked/>
    <w:rsid w:val="00A71ABE"/>
    <w:rPr>
      <w:sz w:val="20"/>
      <w:lang w:val="x-none" w:eastAsia="cs-CZ"/>
    </w:rPr>
  </w:style>
  <w:style w:type="character" w:styleId="Zstupntext">
    <w:name w:val="Placeholder Text"/>
    <w:basedOn w:val="Predvolenpsmoodseku"/>
    <w:uiPriority w:val="99"/>
    <w:semiHidden/>
    <w:rsid w:val="00930557"/>
    <w:rPr>
      <w:rFonts w:ascii="Times New Roman" w:hAnsi="Times New Roman" w:cs="Times New Roman"/>
      <w:color w:val="808080"/>
    </w:rPr>
  </w:style>
  <w:style w:type="character" w:styleId="Hypertextovprepojenie">
    <w:name w:val="Hyperlink"/>
    <w:basedOn w:val="Predvolenpsmoodseku"/>
    <w:uiPriority w:val="99"/>
    <w:unhideWhenUsed/>
    <w:rsid w:val="007945F9"/>
    <w:rPr>
      <w:rFonts w:cs="Times New Roman"/>
      <w:color w:val="0000FF"/>
      <w:u w:val="single"/>
    </w:rPr>
  </w:style>
  <w:style w:type="paragraph" w:customStyle="1" w:styleId="oj-sti-art">
    <w:name w:val="oj-sti-art"/>
    <w:basedOn w:val="Normlny"/>
    <w:rsid w:val="00F04679"/>
    <w:pPr>
      <w:autoSpaceDE/>
      <w:autoSpaceDN/>
      <w:spacing w:before="100" w:beforeAutospacing="1" w:after="100" w:afterAutospacing="1"/>
    </w:pPr>
  </w:style>
  <w:style w:type="paragraph" w:customStyle="1" w:styleId="oj-normal">
    <w:name w:val="oj-normal"/>
    <w:basedOn w:val="Normlny"/>
    <w:rsid w:val="00F04679"/>
    <w:pPr>
      <w:autoSpaceDE/>
      <w:autoSpaceDN/>
      <w:spacing w:before="100" w:beforeAutospacing="1" w:after="100" w:afterAutospacing="1"/>
    </w:pPr>
  </w:style>
  <w:style w:type="paragraph" w:customStyle="1" w:styleId="oj-signatory">
    <w:name w:val="oj-signatory"/>
    <w:basedOn w:val="Normlny"/>
    <w:rsid w:val="00F04679"/>
    <w:pPr>
      <w:autoSpaceDE/>
      <w:autoSpaceDN/>
      <w:spacing w:before="100" w:beforeAutospacing="1" w:after="100" w:afterAutospacing="1"/>
    </w:pPr>
  </w:style>
  <w:style w:type="character" w:customStyle="1" w:styleId="oj-italic">
    <w:name w:val="oj-italic"/>
    <w:basedOn w:val="Predvolenpsmoodseku"/>
    <w:rsid w:val="00F04679"/>
  </w:style>
  <w:style w:type="character" w:styleId="Odkaznakomentr">
    <w:name w:val="annotation reference"/>
    <w:basedOn w:val="Predvolenpsmoodseku"/>
    <w:uiPriority w:val="99"/>
    <w:unhideWhenUsed/>
    <w:rsid w:val="0048208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2084"/>
    <w:pPr>
      <w:autoSpaceDE/>
      <w:autoSpaceDN/>
      <w:spacing w:after="160"/>
    </w:pPr>
    <w:rPr>
      <w:rFonts w:eastAsiaTheme="minorHAnsi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82084"/>
    <w:rPr>
      <w:rFonts w:eastAsiaTheme="minorHAnsi" w:cstheme="minorBidi"/>
      <w:sz w:val="20"/>
      <w:szCs w:val="20"/>
      <w:lang w:eastAsia="en-US"/>
    </w:rPr>
  </w:style>
  <w:style w:type="paragraph" w:customStyle="1" w:styleId="vymenovanie">
    <w:name w:val="vymenovanie"/>
    <w:basedOn w:val="Normlny"/>
    <w:rsid w:val="00302875"/>
    <w:pPr>
      <w:tabs>
        <w:tab w:val="num" w:pos="1440"/>
      </w:tabs>
      <w:autoSpaceDE/>
      <w:autoSpaceDN/>
      <w:ind w:left="1440" w:hanging="360"/>
      <w:jc w:val="both"/>
    </w:pPr>
    <w:rPr>
      <w:rFonts w:ascii="Arial Narrow" w:eastAsia="SimSun" w:hAnsi="Arial Narrow"/>
      <w:sz w:val="22"/>
      <w:szCs w:val="22"/>
    </w:rPr>
  </w:style>
  <w:style w:type="paragraph" w:customStyle="1" w:styleId="odsek">
    <w:name w:val="odsek"/>
    <w:basedOn w:val="Normlny"/>
    <w:link w:val="odsekChar"/>
    <w:rsid w:val="00302875"/>
    <w:pPr>
      <w:tabs>
        <w:tab w:val="num" w:pos="360"/>
      </w:tabs>
      <w:autoSpaceDE/>
      <w:autoSpaceDN/>
      <w:spacing w:before="220"/>
      <w:jc w:val="both"/>
    </w:pPr>
    <w:rPr>
      <w:rFonts w:ascii="Arial Narrow" w:hAnsi="Arial Narrow"/>
      <w:sz w:val="22"/>
      <w:szCs w:val="22"/>
    </w:rPr>
  </w:style>
  <w:style w:type="character" w:customStyle="1" w:styleId="odsekChar">
    <w:name w:val="odsek Char"/>
    <w:link w:val="odsek"/>
    <w:locked/>
    <w:rsid w:val="00302875"/>
    <w:rPr>
      <w:rFonts w:ascii="Arial Narrow" w:hAnsi="Arial Narrow"/>
    </w:rPr>
  </w:style>
  <w:style w:type="paragraph" w:customStyle="1" w:styleId="CharChar1">
    <w:name w:val="Char Char1"/>
    <w:basedOn w:val="Normlny"/>
    <w:rsid w:val="00302875"/>
    <w:pPr>
      <w:autoSpaceDE/>
      <w:autoSpaceDN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Zkladntext0">
    <w:name w:val="Body Text"/>
    <w:basedOn w:val="Normlny"/>
    <w:link w:val="ZkladntextChar"/>
    <w:uiPriority w:val="99"/>
    <w:rsid w:val="00F02B9E"/>
    <w:pPr>
      <w:autoSpaceDE/>
      <w:autoSpaceDN/>
    </w:pPr>
    <w:rPr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0"/>
    <w:uiPriority w:val="99"/>
    <w:rsid w:val="00F02B9E"/>
    <w:rPr>
      <w:sz w:val="20"/>
      <w:szCs w:val="20"/>
      <w:lang w:eastAsia="cs-CZ"/>
    </w:rPr>
  </w:style>
  <w:style w:type="paragraph" w:customStyle="1" w:styleId="predslovie">
    <w:name w:val="predslovie"/>
    <w:basedOn w:val="Normlny"/>
    <w:rsid w:val="00F02B9E"/>
    <w:pPr>
      <w:autoSpaceDE/>
      <w:autoSpaceDN/>
      <w:spacing w:before="220"/>
      <w:ind w:firstLine="284"/>
      <w:jc w:val="both"/>
    </w:pPr>
    <w:rPr>
      <w:rFonts w:ascii="Arial Narrow" w:hAnsi="Arial Narrow"/>
      <w:sz w:val="22"/>
      <w:szCs w:val="22"/>
    </w:rPr>
  </w:style>
  <w:style w:type="paragraph" w:customStyle="1" w:styleId="odsekCharChar">
    <w:name w:val="odsek Char Char"/>
    <w:basedOn w:val="Normlny"/>
    <w:link w:val="odsekCharCharChar"/>
    <w:rsid w:val="005D36FC"/>
    <w:pPr>
      <w:numPr>
        <w:numId w:val="40"/>
      </w:numPr>
      <w:autoSpaceDE/>
      <w:autoSpaceDN/>
      <w:spacing w:before="220"/>
      <w:jc w:val="both"/>
    </w:pPr>
    <w:rPr>
      <w:rFonts w:ascii="Arial Narrow" w:hAnsi="Arial Narrow"/>
      <w:sz w:val="22"/>
      <w:szCs w:val="22"/>
    </w:rPr>
  </w:style>
  <w:style w:type="character" w:customStyle="1" w:styleId="odsekCharCharChar">
    <w:name w:val="odsek Char Char Char"/>
    <w:basedOn w:val="Predvolenpsmoodseku"/>
    <w:link w:val="odsekCharChar"/>
    <w:locked/>
    <w:rsid w:val="005D36FC"/>
    <w:rPr>
      <w:rFonts w:ascii="Arial Narrow" w:hAnsi="Arial Narrow"/>
    </w:rPr>
  </w:style>
  <w:style w:type="character" w:styleId="Vrazn">
    <w:name w:val="Strong"/>
    <w:basedOn w:val="Predvolenpsmoodseku"/>
    <w:uiPriority w:val="99"/>
    <w:qFormat/>
    <w:rsid w:val="007B7151"/>
    <w:rPr>
      <w:rFonts w:cs="Times New Roman"/>
      <w:b/>
      <w:bCs/>
    </w:rPr>
  </w:style>
  <w:style w:type="paragraph" w:customStyle="1" w:styleId="oj-doc-ti">
    <w:name w:val="oj-doc-ti"/>
    <w:basedOn w:val="Normlny"/>
    <w:rsid w:val="007B7151"/>
    <w:pPr>
      <w:autoSpaceDE/>
      <w:autoSpaceDN/>
      <w:spacing w:before="100" w:beforeAutospacing="1" w:after="100" w:afterAutospacing="1"/>
    </w:pPr>
  </w:style>
  <w:style w:type="character" w:customStyle="1" w:styleId="oj-super">
    <w:name w:val="oj-super"/>
    <w:basedOn w:val="Predvolenpsmoodseku"/>
    <w:rsid w:val="007B7151"/>
  </w:style>
  <w:style w:type="paragraph" w:customStyle="1" w:styleId="oj-note">
    <w:name w:val="oj-note"/>
    <w:basedOn w:val="Normlny"/>
    <w:rsid w:val="007B7151"/>
    <w:pPr>
      <w:autoSpaceDE/>
      <w:autoSpaceDN/>
      <w:spacing w:before="100" w:beforeAutospacing="1" w:after="100" w:afterAutospacing="1"/>
    </w:pPr>
  </w:style>
  <w:style w:type="paragraph" w:styleId="Bezriadkovania">
    <w:name w:val="No Spacing"/>
    <w:uiPriority w:val="1"/>
    <w:qFormat/>
    <w:rsid w:val="007B7151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oj-ti-art">
    <w:name w:val="oj-ti-art"/>
    <w:basedOn w:val="Normlny"/>
    <w:rsid w:val="007B7151"/>
    <w:pPr>
      <w:autoSpaceDE/>
      <w:autoSpaceDN/>
      <w:spacing w:before="360" w:after="120"/>
      <w:jc w:val="center"/>
    </w:pPr>
    <w:rPr>
      <w:i/>
      <w:iCs/>
    </w:rPr>
  </w:style>
  <w:style w:type="table" w:styleId="Mriekatabuky">
    <w:name w:val="Table Grid"/>
    <w:basedOn w:val="Normlnatabuka"/>
    <w:uiPriority w:val="59"/>
    <w:rsid w:val="001A6D9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emennHTML">
    <w:name w:val="HTML Variable"/>
    <w:basedOn w:val="Predvolenpsmoodseku"/>
    <w:uiPriority w:val="99"/>
    <w:unhideWhenUsed/>
    <w:rsid w:val="00F4367B"/>
    <w:rPr>
      <w:i/>
      <w:iCs/>
    </w:rPr>
  </w:style>
  <w:style w:type="character" w:customStyle="1" w:styleId="awspan">
    <w:name w:val="awspan"/>
    <w:basedOn w:val="Predvolenpsmoodseku"/>
    <w:rsid w:val="00E6322F"/>
  </w:style>
  <w:style w:type="paragraph" w:styleId="Normlnywebov">
    <w:name w:val="Normal (Web)"/>
    <w:basedOn w:val="Normlny"/>
    <w:uiPriority w:val="99"/>
    <w:unhideWhenUsed/>
    <w:rsid w:val="00776F5E"/>
    <w:pPr>
      <w:autoSpaceDE/>
      <w:autoSpaceDN/>
      <w:spacing w:before="100" w:beforeAutospacing="1" w:after="100" w:afterAutospacing="1"/>
    </w:pPr>
  </w:style>
  <w:style w:type="character" w:customStyle="1" w:styleId="sup">
    <w:name w:val="sup"/>
    <w:basedOn w:val="Predvolenpsmoodseku"/>
    <w:rsid w:val="00776F5E"/>
  </w:style>
  <w:style w:type="character" w:customStyle="1" w:styleId="italic">
    <w:name w:val="italic"/>
    <w:basedOn w:val="Predvolenpsmoodseku"/>
    <w:rsid w:val="00776F5E"/>
  </w:style>
  <w:style w:type="character" w:styleId="Nevyrieenzmienka">
    <w:name w:val="Unresolved Mention"/>
    <w:basedOn w:val="Predvolenpsmoodseku"/>
    <w:uiPriority w:val="99"/>
    <w:semiHidden/>
    <w:unhideWhenUsed/>
    <w:rsid w:val="0012006E"/>
    <w:rPr>
      <w:color w:val="605E5C"/>
      <w:shd w:val="clear" w:color="auto" w:fill="E1DFDD"/>
    </w:rPr>
  </w:style>
  <w:style w:type="character" w:customStyle="1" w:styleId="y2iqfc">
    <w:name w:val="y2iqfc"/>
    <w:basedOn w:val="Predvolenpsmoodseku"/>
    <w:rsid w:val="00A80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78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77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78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478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78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478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78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478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78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78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772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401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774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401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771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401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768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401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769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401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775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401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79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79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79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7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79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79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76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7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0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493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18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880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061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558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660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9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77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15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7936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9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025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124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9062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303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5622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3242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459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5208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32351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996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911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58460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2020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2736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83478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1898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56106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921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03338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220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27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42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88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4399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831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28626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9277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3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3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25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39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52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4252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6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15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622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692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259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686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2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182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4096">
          <w:marLeft w:val="810"/>
          <w:marRight w:val="81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4963">
              <w:marLeft w:val="4005"/>
              <w:marRight w:val="8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3140">
              <w:marLeft w:val="4005"/>
              <w:marRight w:val="8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1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484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6055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316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70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4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210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520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437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09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372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1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3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394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14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200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8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329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081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13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634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05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461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02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91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556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831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802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2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068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890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3080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241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74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402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393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59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278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49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786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154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508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0531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5464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0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68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095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5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1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6100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196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579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3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996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496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52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1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622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984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66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518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76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7917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090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3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231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851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889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90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65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95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136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0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872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264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6243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79680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0325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1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723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12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759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710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89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897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561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4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228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112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592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5679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02460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23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36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06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82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72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86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7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ur-lex.europa.eu/legal-content/SK/TXT/HTML/?uri=OJ:L_202402994" TargetMode="External"/><Relationship Id="rId18" Type="http://schemas.openxmlformats.org/officeDocument/2006/relationships/hyperlink" Target="http://www.epi.sk/eurlex-rule/32013R0575.htm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yperlink" Target="http://www.epi.sk/eurlex-rule/32012R0648.ht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eur-lex.europa.eu/legal-content/SK/TXT/HTML/?uri=OJ:L_202402994" TargetMode="External"/><Relationship Id="rId17" Type="http://schemas.openxmlformats.org/officeDocument/2006/relationships/hyperlink" Target="https://eur-lex.europa.eu/legal-content/SK/AUTO/?uri=OJ:L:2012:201:TOC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eur-lex.europa.eu/legal-content/SK/TXT/HTML/?uri=OJ:L_202402994" TargetMode="External"/><Relationship Id="rId20" Type="http://schemas.openxmlformats.org/officeDocument/2006/relationships/hyperlink" Target="http://www.epi.sk/eurlex-rule/32012R0648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ur-lex.europa.eu/legal-content/SK/AUTO/?uri=OJ:L:2012:201:TOC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eur-lex.europa.eu/legal-content/SK/TXT/HTML/?uri=OJ:L_202402994" TargetMode="External"/><Relationship Id="rId23" Type="http://schemas.openxmlformats.org/officeDocument/2006/relationships/hyperlink" Target="https://www.zakonypreludi.sk/zz/2001-566" TargetMode="External"/><Relationship Id="rId10" Type="http://schemas.openxmlformats.org/officeDocument/2006/relationships/hyperlink" Target="https://eur-lex.europa.eu/legal-content/SK/TXT/HTML/?uri=OJ:L_202402994" TargetMode="External"/><Relationship Id="rId19" Type="http://schemas.openxmlformats.org/officeDocument/2006/relationships/hyperlink" Target="http://www.epi.sk/eurlex-rule/32012R0648.htm" TargetMode="External"/><Relationship Id="rId4" Type="http://schemas.openxmlformats.org/officeDocument/2006/relationships/styles" Target="styles.xml"/><Relationship Id="rId9" Type="http://schemas.openxmlformats.org/officeDocument/2006/relationships/hyperlink" Target="https://eur-lex.europa.eu/legal-content/SK/TXT/HTML/?uri=OJ:L_202402994" TargetMode="External"/><Relationship Id="rId14" Type="http://schemas.openxmlformats.org/officeDocument/2006/relationships/hyperlink" Target="https://eur-lex.europa.eu/legal-content/SK/AUTO/?uri=OJ:L:2012:201:TOC" TargetMode="External"/><Relationship Id="rId22" Type="http://schemas.openxmlformats.org/officeDocument/2006/relationships/hyperlink" Target="http://www.epi.sk/eurlex-rule/32012R0648.ht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 ref="">
    <f:field ref="objname" par="" edit="true" text="09_4_TZ_2021_2101"/>
    <f:field ref="objsubject" par="" edit="true" text=""/>
    <f:field ref="objcreatedby" par="" text="Matulová, Silvia, Ing."/>
    <f:field ref="objcreatedat" par="" text="13.5.2022 11:45:39"/>
    <f:field ref="objchangedby" par="" text="Administrator, System"/>
    <f:field ref="objmodifiedat" par="" text="13.5.2022 11:45:4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08617D52-C5CC-480F-99BC-85B4C8403A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</Pages>
  <Words>3058</Words>
  <Characters>17432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 ZHODY</vt:lpstr>
    </vt:vector>
  </TitlesOfParts>
  <Company>ÚV SR</Company>
  <LinksUpToDate>false</LinksUpToDate>
  <CharactersWithSpaces>20450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subject/>
  <dc:creator>bodorova</dc:creator>
  <cp:keywords/>
  <dc:description/>
  <cp:lastModifiedBy>Vlkolinsky Robert</cp:lastModifiedBy>
  <cp:revision>24</cp:revision>
  <cp:lastPrinted>2025-02-17T10:59:00Z</cp:lastPrinted>
  <dcterms:created xsi:type="dcterms:W3CDTF">2025-02-18T10:54:00Z</dcterms:created>
  <dcterms:modified xsi:type="dcterms:W3CDTF">2025-06-10T09:41:00Z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&lt;table align="left" border="0" cellpadding="0" cellspacing="0" style="width:100.0%;" width="100%"&gt;	&lt;tbody&gt;		&lt;tr&gt;			&lt;td colspan="5" style="width:100.0%;height:27px;"&gt;			&lt;ol&gt;				&lt;li&gt;&lt;strong&gt;Správa o účasti verejnosti na tvorbe právneho predpisu&lt;/strong&gt;&lt;/li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Finančné právo_x000d_
Účtovníctvo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Ing. Silvia Matulová</vt:lpwstr>
  </property>
  <property fmtid="{D5CDD505-2E9C-101B-9397-08002B2CF9AE}" pid="12" name="FSC#SKEDITIONSLOVLEX@103.510:zodppredkladatel">
    <vt:lpwstr>Igor Matovič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431/2002 Z. z. o účtovníctve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financií Slovenskej republiky</vt:lpwstr>
  </property>
  <property fmtid="{D5CDD505-2E9C-101B-9397-08002B2CF9AE}" pid="20" name="FSC#SKEDITIONSLOVLEX@103.510:pripomienkovatelia">
    <vt:lpwstr>Ministerstvo financií Slovenskej republiky, Ministerstvo financií Slovenskej republiky, Ministerstvo financií Slovenskej republiky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SR na rok 2022</vt:lpwstr>
  </property>
  <property fmtid="{D5CDD505-2E9C-101B-9397-08002B2CF9AE}" pid="23" name="FSC#SKEDITIONSLOVLEX@103.510:plnynazovpredpis">
    <vt:lpwstr> Zákon, ktorým sa mení a dopĺňa zákon č. 431/2002 Z. z. o účtovníctve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MF/005491/2022-74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LP/2022/266</vt:lpwstr>
  </property>
  <property fmtid="{D5CDD505-2E9C-101B-9397-08002B2CF9AE}" pid="37" name="FSC#SKEDITIONSLOVLEX@103.510:typsprievdok">
    <vt:lpwstr>Tabuľka zhody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• čl. 4 ods. 2  Zmluvy o fungovaní Európskej únie (Ú. v. EÚ C 202, 7.6.2016) v platnom znení.</vt:lpwstr>
  </property>
  <property fmtid="{D5CDD505-2E9C-101B-9397-08002B2CF9AE}" pid="47" name="FSC#SKEDITIONSLOVLEX@103.510:AttrStrListDocPropSekundarneLegPravoPO">
    <vt:lpwstr>• smernica Európskeho parlamentu a Rady (EÚ) 2021/2101 z 24. novembra 2021, ktorou sa mení smernica 2013/34/EÚ, pokiaľ ide o zverejňovanie informácií o dani z príjmov určitými podnikmi a pobočkami (Ú. v. EÚ L 429, 1.12.2021), gestor: zatiaľ nebol určený,_x000d_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• rozhodnutie Súdneho dvora vo veci C - 306/1999, Banque internationale pour l'Afrique occidentale SA (BIAO) v. Finanzamt für Großunternehmen in Hamburg, [2003], Výrok rozhodnutia: 1. Otázky uvedené v druhej a tretej časti návrhu na začatie prejudiciálneh</vt:lpwstr>
  </property>
  <property fmtid="{D5CDD505-2E9C-101B-9397-08002B2CF9AE}" pid="52" name="FSC#SKEDITIONSLOVLEX@103.510:AttrStrListDocPropLehotaPrebratieSmernice">
    <vt:lpwstr>Lehota na prebratie smernice (EÚ) 2021/2101 bola určená do 22. júna 2023._x000d_
Lehota na prebratie smernice 2014/95/EÚ bola určená do 6. decembra 2016._x000d_
Lehota na prebratie smernice 2013/34/EÚ bola určená do 20. júla 2015._x000d_
Lehota na prebratie smernice 2004/2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Proti SR nebolo začaté konanie v rámci „EÚ Pilot“, ani nebol začatý postup EK ako aj  nebolo začaté konanie Súdneho dvora EÚ proti SR podľa čl. 258 až 260 Zmluvy o fungovaní Európskej únie.</vt:lpwstr>
  </property>
  <property fmtid="{D5CDD505-2E9C-101B-9397-08002B2CF9AE}" pid="55" name="FSC#SKEDITIONSLOVLEX@103.510:AttrStrListDocPropInfoUzPreberanePP">
    <vt:lpwstr>Smernica 2014/95/EÚ bola prebratá do:_x000d_
- zákona č. 431/2002 Z. z. o účtovníctve v znení neskorších predpisov, _x000d_
- zákona č. 530/2003 Z. z. o obchodnom registri a o zmene a doplnení niektorých zákonov v znení neskorších predpisov,_x000d_
- zákona č. 513/1991 Zb.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13. 4. 2022</vt:lpwstr>
  </property>
  <property fmtid="{D5CDD505-2E9C-101B-9397-08002B2CF9AE}" pid="59" name="FSC#SKEDITIONSLOVLEX@103.510:AttrDateDocPropUkonceniePKK">
    <vt:lpwstr>26. 4. 2022</vt:lpwstr>
  </property>
  <property fmtid="{D5CDD505-2E9C-101B-9397-08002B2CF9AE}" pid="60" name="FSC#SKEDITIONSLOVLEX@103.510:AttrStrDocPropVplyvRozpocetVS">
    <vt:lpwstr>Negatívne</vt:lpwstr>
  </property>
  <property fmtid="{D5CDD505-2E9C-101B-9397-08002B2CF9AE}" pid="61" name="FSC#SKEDITIONSLOVLEX@103.510:AttrStrDocPropVplyvPodnikatelskeProstr">
    <vt:lpwstr>Pozitívne_x000d_
Negatívne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Pozitívne</vt:lpwstr>
  </property>
  <property fmtid="{D5CDD505-2E9C-101B-9397-08002B2CF9AE}" pid="65" name="FSC#SKEDITIONSLOVLEX@103.510:AttrStrListDocPropPoznamkaVplyv">
    <vt:lpwstr>&lt;p&gt;Identifikované vplyvy v&amp;nbsp;rámci ich analýz indikujú negatívny vplyv návrhu zákona na rozpočet a&amp;nbsp;negatívny a&amp;nbsp;pozitívny vplyv na podnikateľské prostredie. Návrh zákona bude mať negatívny vplyv na podnikateľské prostredie v&amp;nbsp;dôsledku vzni</vt:lpwstr>
  </property>
  <property fmtid="{D5CDD505-2E9C-101B-9397-08002B2CF9AE}" pid="66" name="FSC#SKEDITIONSLOVLEX@103.510:AttrStrListDocPropAltRiesenia">
    <vt:lpwstr>V prípade nulového variantu by Slovenská republika nesplnila povinnosť transpozície smernice EÚ, ktorá musí byť transponovaná do 22. júna 2023.</vt:lpwstr>
  </property>
  <property fmtid="{D5CDD505-2E9C-101B-9397-08002B2CF9AE}" pid="67" name="FSC#SKEDITIONSLOVLEX@103.510:AttrStrListDocPropStanoviskoGest">
    <vt:lpwstr>Nesúhlasné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podpredseda vlády a minister financií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Igor Matovič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style="margin-left: 40px; text-align: justify;"&gt;Návrh zákona, ktorým sa mení a dopĺňa zákon č. 431/2002 Z. z. o&amp;nbsp;účtovníctve v&amp;nbsp;znení neskorších predpisov a&amp;nbsp;ktorým sa menia a&amp;nbsp;dopĺňajú niektoré zákony, sa predkladá na základe Plánu leg</vt:lpwstr>
  </property>
  <property fmtid="{D5CDD505-2E9C-101B-9397-08002B2CF9AE}" pid="150" name="FSC#SKEDITIONSLOVLEX@103.510:vytvorenedna">
    <vt:lpwstr>13. 5. 2022</vt:lpwstr>
  </property>
  <property fmtid="{D5CDD505-2E9C-101B-9397-08002B2CF9AE}" pid="151" name="FSC#COOSYSTEM@1.1:Container">
    <vt:lpwstr>COO.2145.1000.3.4954119</vt:lpwstr>
  </property>
  <property fmtid="{D5CDD505-2E9C-101B-9397-08002B2CF9AE}" pid="152" name="FSC#FSCFOLIO@1.1001:docpropproject">
    <vt:lpwstr/>
  </property>
</Properties>
</file>