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4620"/>
        <w:gridCol w:w="850"/>
        <w:gridCol w:w="993"/>
        <w:gridCol w:w="992"/>
        <w:gridCol w:w="3402"/>
        <w:gridCol w:w="709"/>
        <w:gridCol w:w="1077"/>
        <w:gridCol w:w="1332"/>
        <w:gridCol w:w="1418"/>
      </w:tblGrid>
      <w:tr w:rsidR="004B4186" w:rsidRPr="0066733C" w14:paraId="1B837332" w14:textId="77777777" w:rsidTr="004B4186">
        <w:tc>
          <w:tcPr>
            <w:tcW w:w="16075" w:type="dxa"/>
            <w:gridSpan w:val="10"/>
            <w:tcBorders>
              <w:top w:val="single" w:sz="12" w:space="0" w:color="auto"/>
              <w:left w:val="single" w:sz="12" w:space="0" w:color="auto"/>
              <w:bottom w:val="single" w:sz="4" w:space="0" w:color="auto"/>
              <w:right w:val="single" w:sz="12" w:space="0" w:color="auto"/>
            </w:tcBorders>
          </w:tcPr>
          <w:p w14:paraId="5E534FBD" w14:textId="77777777" w:rsidR="004B4186" w:rsidRPr="00D67DDC" w:rsidRDefault="004B4186" w:rsidP="00930557">
            <w:pPr>
              <w:pStyle w:val="Nadpis1"/>
              <w:rPr>
                <w:sz w:val="22"/>
                <w:szCs w:val="22"/>
              </w:rPr>
            </w:pPr>
            <w:r w:rsidRPr="00D67DDC">
              <w:rPr>
                <w:sz w:val="22"/>
                <w:szCs w:val="22"/>
              </w:rPr>
              <w:t>TABUĽKA  ZHODY</w:t>
            </w:r>
          </w:p>
          <w:p w14:paraId="3D26FB4C" w14:textId="77777777" w:rsidR="004B4186" w:rsidRPr="00D67DDC" w:rsidRDefault="004B4186" w:rsidP="00930557">
            <w:pPr>
              <w:pStyle w:val="Zkladntext"/>
              <w:jc w:val="center"/>
              <w:rPr>
                <w:b/>
                <w:bCs/>
                <w:sz w:val="22"/>
                <w:szCs w:val="22"/>
              </w:rPr>
            </w:pPr>
            <w:r w:rsidRPr="00D67DDC">
              <w:rPr>
                <w:b/>
                <w:bCs/>
                <w:sz w:val="22"/>
                <w:szCs w:val="22"/>
              </w:rPr>
              <w:t>návrhu právneho predpisu s právom Európskej únie</w:t>
            </w:r>
          </w:p>
        </w:tc>
      </w:tr>
      <w:tr w:rsidR="004B4186" w:rsidRPr="0066733C" w14:paraId="5EAEAFAE" w14:textId="77777777" w:rsidTr="004B4186">
        <w:trPr>
          <w:trHeight w:val="567"/>
        </w:trPr>
        <w:tc>
          <w:tcPr>
            <w:tcW w:w="6152" w:type="dxa"/>
            <w:gridSpan w:val="3"/>
            <w:tcBorders>
              <w:top w:val="single" w:sz="4" w:space="0" w:color="auto"/>
              <w:left w:val="single" w:sz="12" w:space="0" w:color="auto"/>
              <w:bottom w:val="single" w:sz="4" w:space="0" w:color="auto"/>
              <w:right w:val="single" w:sz="12" w:space="0" w:color="auto"/>
            </w:tcBorders>
          </w:tcPr>
          <w:p w14:paraId="1CE6FDD0" w14:textId="77777777" w:rsidR="00D67DDC" w:rsidRPr="004A4493" w:rsidRDefault="00D67DDC" w:rsidP="00D67DDC">
            <w:pPr>
              <w:pStyle w:val="Zkladntext3"/>
              <w:spacing w:line="240" w:lineRule="exact"/>
              <w:jc w:val="center"/>
              <w:rPr>
                <w:b/>
                <w:bCs/>
                <w:color w:val="000000"/>
                <w:sz w:val="22"/>
                <w:szCs w:val="22"/>
              </w:rPr>
            </w:pPr>
            <w:r w:rsidRPr="004A4493">
              <w:rPr>
                <w:b/>
                <w:bCs/>
                <w:color w:val="000000"/>
                <w:sz w:val="22"/>
                <w:szCs w:val="22"/>
              </w:rPr>
              <w:t>Smernica</w:t>
            </w:r>
          </w:p>
          <w:p w14:paraId="64A3D453" w14:textId="0FBEEFD4" w:rsidR="00001DEE" w:rsidRPr="004A4493" w:rsidRDefault="00D67DDC" w:rsidP="00D67DDC">
            <w:pPr>
              <w:pStyle w:val="Zkladntext3"/>
              <w:spacing w:line="240" w:lineRule="exact"/>
              <w:rPr>
                <w:b/>
                <w:bCs/>
                <w:color w:val="000000"/>
                <w:sz w:val="22"/>
                <w:szCs w:val="22"/>
              </w:rPr>
            </w:pPr>
            <w:r w:rsidRPr="004A4493">
              <w:rPr>
                <w:rStyle w:val="awspan"/>
                <w:rFonts w:eastAsiaTheme="majorEastAsia"/>
                <w:b/>
                <w:bCs/>
                <w:color w:val="000000"/>
                <w:sz w:val="22"/>
                <w:szCs w:val="22"/>
              </w:rPr>
              <w:t>Smernica</w:t>
            </w:r>
            <w:r w:rsidRPr="004A4493">
              <w:rPr>
                <w:rStyle w:val="awspan"/>
                <w:rFonts w:eastAsiaTheme="majorEastAsia"/>
                <w:b/>
                <w:bCs/>
                <w:color w:val="000000"/>
                <w:spacing w:val="21"/>
                <w:sz w:val="22"/>
                <w:szCs w:val="22"/>
              </w:rPr>
              <w:t xml:space="preserve"> </w:t>
            </w:r>
            <w:r w:rsidRPr="004A4493">
              <w:rPr>
                <w:rStyle w:val="awspan"/>
                <w:rFonts w:eastAsiaTheme="majorEastAsia"/>
                <w:b/>
                <w:bCs/>
                <w:color w:val="000000"/>
                <w:sz w:val="22"/>
                <w:szCs w:val="22"/>
              </w:rPr>
              <w:t>Európskeho</w:t>
            </w:r>
            <w:r w:rsidRPr="004A4493">
              <w:rPr>
                <w:rStyle w:val="awspan"/>
                <w:rFonts w:eastAsiaTheme="majorEastAsia"/>
                <w:b/>
                <w:bCs/>
                <w:color w:val="000000"/>
                <w:spacing w:val="21"/>
                <w:sz w:val="22"/>
                <w:szCs w:val="22"/>
              </w:rPr>
              <w:t xml:space="preserve"> </w:t>
            </w:r>
            <w:r w:rsidRPr="004A4493">
              <w:rPr>
                <w:rStyle w:val="awspan"/>
                <w:rFonts w:eastAsiaTheme="majorEastAsia"/>
                <w:b/>
                <w:bCs/>
                <w:color w:val="000000"/>
                <w:sz w:val="22"/>
                <w:szCs w:val="22"/>
              </w:rPr>
              <w:t>parlamentu</w:t>
            </w:r>
            <w:r w:rsidRPr="004A4493">
              <w:rPr>
                <w:rStyle w:val="awspan"/>
                <w:rFonts w:eastAsiaTheme="majorEastAsia"/>
                <w:b/>
                <w:bCs/>
                <w:color w:val="000000"/>
                <w:spacing w:val="21"/>
                <w:sz w:val="22"/>
                <w:szCs w:val="22"/>
              </w:rPr>
              <w:t xml:space="preserve"> </w:t>
            </w:r>
            <w:r w:rsidRPr="004A4493">
              <w:rPr>
                <w:rStyle w:val="awspan"/>
                <w:rFonts w:eastAsiaTheme="majorEastAsia"/>
                <w:b/>
                <w:bCs/>
                <w:color w:val="000000"/>
                <w:sz w:val="22"/>
                <w:szCs w:val="22"/>
              </w:rPr>
              <w:t>a</w:t>
            </w:r>
            <w:r w:rsidRPr="004A4493">
              <w:rPr>
                <w:rStyle w:val="awspan"/>
                <w:rFonts w:eastAsiaTheme="majorEastAsia"/>
                <w:b/>
                <w:bCs/>
                <w:color w:val="000000"/>
                <w:spacing w:val="21"/>
                <w:sz w:val="22"/>
                <w:szCs w:val="22"/>
              </w:rPr>
              <w:t xml:space="preserve"> </w:t>
            </w:r>
            <w:r w:rsidRPr="004A4493">
              <w:rPr>
                <w:rStyle w:val="awspan"/>
                <w:rFonts w:eastAsiaTheme="majorEastAsia"/>
                <w:b/>
                <w:bCs/>
                <w:color w:val="000000"/>
                <w:sz w:val="22"/>
                <w:szCs w:val="22"/>
              </w:rPr>
              <w:t>Rady</w:t>
            </w:r>
            <w:r w:rsidRPr="004A4493">
              <w:rPr>
                <w:rStyle w:val="awspan"/>
                <w:rFonts w:eastAsiaTheme="majorEastAsia"/>
                <w:b/>
                <w:bCs/>
                <w:color w:val="000000"/>
                <w:spacing w:val="21"/>
                <w:sz w:val="22"/>
                <w:szCs w:val="22"/>
              </w:rPr>
              <w:t xml:space="preserve"> </w:t>
            </w:r>
            <w:r w:rsidRPr="004A4493">
              <w:rPr>
                <w:rStyle w:val="awspan"/>
                <w:rFonts w:eastAsiaTheme="majorEastAsia"/>
                <w:b/>
                <w:bCs/>
                <w:color w:val="000000"/>
                <w:sz w:val="22"/>
                <w:szCs w:val="22"/>
              </w:rPr>
              <w:t>(EÚ)</w:t>
            </w:r>
            <w:r w:rsidRPr="004A4493">
              <w:rPr>
                <w:rStyle w:val="awspan"/>
                <w:rFonts w:eastAsiaTheme="majorEastAsia"/>
                <w:b/>
                <w:bCs/>
                <w:color w:val="000000"/>
                <w:spacing w:val="21"/>
                <w:sz w:val="22"/>
                <w:szCs w:val="22"/>
              </w:rPr>
              <w:t xml:space="preserve"> </w:t>
            </w:r>
            <w:r w:rsidR="00001DEE" w:rsidRPr="004A4493">
              <w:rPr>
                <w:b/>
                <w:bCs/>
                <w:color w:val="000000"/>
                <w:sz w:val="22"/>
                <w:szCs w:val="22"/>
              </w:rPr>
              <w:t>2024/790 z 28. februára 2024, ktorou sa mení smernica 2014/65/EÚ o trhoch s finančnými nástrojmi</w:t>
            </w:r>
            <w:r w:rsidRPr="004A4493">
              <w:rPr>
                <w:b/>
                <w:bCs/>
                <w:color w:val="000000"/>
                <w:sz w:val="22"/>
                <w:szCs w:val="22"/>
              </w:rPr>
              <w:t xml:space="preserve"> (Ú. v. </w:t>
            </w:r>
            <w:r w:rsidRPr="004A4493">
              <w:rPr>
                <w:b/>
                <w:bCs/>
                <w:sz w:val="22"/>
                <w:szCs w:val="22"/>
              </w:rPr>
              <w:t>EÚ L</w:t>
            </w:r>
            <w:r w:rsidR="00420266" w:rsidRPr="004A4493">
              <w:rPr>
                <w:b/>
                <w:bCs/>
                <w:sz w:val="22"/>
                <w:szCs w:val="22"/>
              </w:rPr>
              <w:t>,</w:t>
            </w:r>
            <w:r w:rsidR="003F0512" w:rsidRPr="004A4493">
              <w:rPr>
                <w:b/>
                <w:bCs/>
                <w:sz w:val="22"/>
                <w:szCs w:val="22"/>
              </w:rPr>
              <w:t xml:space="preserve"> 2024/790</w:t>
            </w:r>
            <w:r w:rsidRPr="004A4493">
              <w:rPr>
                <w:b/>
                <w:bCs/>
                <w:sz w:val="22"/>
                <w:szCs w:val="22"/>
              </w:rPr>
              <w:t>, 8.3.2024</w:t>
            </w:r>
            <w:r w:rsidRPr="004A4493">
              <w:rPr>
                <w:b/>
                <w:bCs/>
                <w:color w:val="000000"/>
                <w:sz w:val="22"/>
                <w:szCs w:val="22"/>
              </w:rPr>
              <w:t>)</w:t>
            </w:r>
          </w:p>
          <w:p w14:paraId="7C156418" w14:textId="77777777" w:rsidR="00001DEE" w:rsidRPr="004A4493" w:rsidRDefault="00001DEE" w:rsidP="00001DEE">
            <w:pPr>
              <w:pStyle w:val="oj-doc-ti"/>
              <w:shd w:val="clear" w:color="auto" w:fill="FFFFFF"/>
              <w:spacing w:before="240" w:beforeAutospacing="0" w:after="120" w:afterAutospacing="0"/>
              <w:jc w:val="center"/>
              <w:rPr>
                <w:b/>
                <w:bCs/>
                <w:color w:val="000000"/>
              </w:rPr>
            </w:pPr>
          </w:p>
          <w:p w14:paraId="5BADD4CB" w14:textId="77777777" w:rsidR="004B4186" w:rsidRPr="004A4493" w:rsidRDefault="004B4186" w:rsidP="00D917C0">
            <w:pPr>
              <w:pStyle w:val="oj-doc-ti"/>
              <w:shd w:val="clear" w:color="auto" w:fill="FFFFFF"/>
              <w:spacing w:before="240" w:beforeAutospacing="0" w:after="120" w:afterAutospacing="0"/>
              <w:jc w:val="both"/>
              <w:rPr>
                <w:sz w:val="22"/>
                <w:szCs w:val="22"/>
              </w:rPr>
            </w:pPr>
          </w:p>
        </w:tc>
        <w:tc>
          <w:tcPr>
            <w:tcW w:w="9923" w:type="dxa"/>
            <w:gridSpan w:val="7"/>
            <w:tcBorders>
              <w:top w:val="single" w:sz="4" w:space="0" w:color="auto"/>
              <w:left w:val="nil"/>
              <w:bottom w:val="single" w:sz="4" w:space="0" w:color="auto"/>
              <w:right w:val="single" w:sz="12" w:space="0" w:color="auto"/>
            </w:tcBorders>
          </w:tcPr>
          <w:p w14:paraId="36C95520" w14:textId="77777777" w:rsidR="004B4186" w:rsidRPr="004A4493" w:rsidRDefault="004B4186" w:rsidP="00E521A0">
            <w:pPr>
              <w:pStyle w:val="Nadpis4"/>
              <w:spacing w:before="120"/>
              <w:jc w:val="left"/>
            </w:pPr>
            <w:r w:rsidRPr="004A4493">
              <w:t>Právne predpisy Slovenskej republiky</w:t>
            </w:r>
          </w:p>
          <w:p w14:paraId="39FADF57" w14:textId="77777777" w:rsidR="00AB6075" w:rsidRPr="004A4493" w:rsidRDefault="00AB6075" w:rsidP="00AB6075">
            <w:pPr>
              <w:jc w:val="both"/>
              <w:rPr>
                <w:b/>
                <w:sz w:val="22"/>
                <w:szCs w:val="22"/>
              </w:rPr>
            </w:pPr>
            <w:r w:rsidRPr="004A4493">
              <w:rPr>
                <w:b/>
                <w:sz w:val="22"/>
                <w:szCs w:val="22"/>
              </w:rPr>
              <w:t xml:space="preserve">Návrh zákona, </w:t>
            </w:r>
            <w:bookmarkStart w:id="0" w:name="_Hlk190869702"/>
            <w:r w:rsidRPr="004A4493">
              <w:rPr>
                <w:b/>
                <w:bCs/>
                <w:noProof/>
                <w:sz w:val="22"/>
                <w:szCs w:val="22"/>
              </w:rPr>
              <w:t>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w:t>
            </w:r>
            <w:bookmarkEnd w:id="0"/>
            <w:r w:rsidRPr="004A4493">
              <w:rPr>
                <w:b/>
                <w:bCs/>
                <w:noProof/>
                <w:sz w:val="22"/>
                <w:szCs w:val="22"/>
              </w:rPr>
              <w:t xml:space="preserve"> </w:t>
            </w:r>
            <w:r w:rsidRPr="004A4493">
              <w:rPr>
                <w:b/>
                <w:sz w:val="22"/>
                <w:szCs w:val="22"/>
              </w:rPr>
              <w:t>(ďalej „návrh“).</w:t>
            </w:r>
          </w:p>
          <w:p w14:paraId="17A04627" w14:textId="77777777" w:rsidR="00A67016" w:rsidRPr="004A4493" w:rsidRDefault="00A67016" w:rsidP="00A67016">
            <w:pPr>
              <w:jc w:val="both"/>
              <w:rPr>
                <w:sz w:val="20"/>
                <w:szCs w:val="20"/>
              </w:rPr>
            </w:pPr>
            <w:r w:rsidRPr="004A4493">
              <w:rPr>
                <w:sz w:val="20"/>
                <w:szCs w:val="20"/>
              </w:rPr>
              <w:t>Zákon č. 566/2001 Z. z. o cenných papieroch a investičných službách a o zmene a doplnení niektorých zákonov (zákon o cenných papieroch) v znení neskorších predpisov (ďalej len „566/2001“).</w:t>
            </w:r>
          </w:p>
          <w:p w14:paraId="54231AC1" w14:textId="77777777" w:rsidR="00831DF6" w:rsidRPr="004A4493" w:rsidRDefault="00E2249D" w:rsidP="00831DF6">
            <w:pPr>
              <w:adjustRightInd w:val="0"/>
              <w:jc w:val="both"/>
              <w:rPr>
                <w:sz w:val="22"/>
                <w:szCs w:val="22"/>
              </w:rPr>
            </w:pPr>
            <w:r w:rsidRPr="004A4493">
              <w:rPr>
                <w:sz w:val="22"/>
                <w:szCs w:val="22"/>
              </w:rPr>
              <w:t>Zákon č. 4</w:t>
            </w:r>
            <w:r w:rsidR="00D94E7A" w:rsidRPr="004A4493">
              <w:rPr>
                <w:sz w:val="22"/>
                <w:szCs w:val="22"/>
              </w:rPr>
              <w:t>29</w:t>
            </w:r>
            <w:r w:rsidRPr="004A4493">
              <w:rPr>
                <w:sz w:val="22"/>
                <w:szCs w:val="22"/>
              </w:rPr>
              <w:t>/2002 Z. z. o burze cenných papierov v znení neskorších predpisov (ďalej len „42</w:t>
            </w:r>
            <w:r w:rsidR="00D94E7A" w:rsidRPr="004A4493">
              <w:rPr>
                <w:sz w:val="22"/>
                <w:szCs w:val="22"/>
              </w:rPr>
              <w:t>9/200</w:t>
            </w:r>
            <w:r w:rsidRPr="004A4493">
              <w:rPr>
                <w:sz w:val="22"/>
                <w:szCs w:val="22"/>
              </w:rPr>
              <w:t>2“).</w:t>
            </w:r>
            <w:r w:rsidR="00831DF6" w:rsidRPr="004A4493">
              <w:rPr>
                <w:sz w:val="22"/>
                <w:szCs w:val="22"/>
              </w:rPr>
              <w:t xml:space="preserve"> </w:t>
            </w:r>
          </w:p>
          <w:p w14:paraId="61C64AFB" w14:textId="77777777" w:rsidR="00D67DDC" w:rsidRPr="004A4493" w:rsidRDefault="00D67DDC" w:rsidP="00D94E7A">
            <w:pPr>
              <w:adjustRightInd w:val="0"/>
              <w:jc w:val="both"/>
              <w:rPr>
                <w:bCs/>
                <w:sz w:val="22"/>
                <w:szCs w:val="22"/>
                <w:shd w:val="clear" w:color="auto" w:fill="FFFFFF"/>
              </w:rPr>
            </w:pPr>
          </w:p>
          <w:p w14:paraId="0F377C78" w14:textId="77777777" w:rsidR="008459FC" w:rsidRPr="004A4493" w:rsidRDefault="008459FC" w:rsidP="00D94E7A">
            <w:pPr>
              <w:adjustRightInd w:val="0"/>
              <w:jc w:val="both"/>
              <w:rPr>
                <w:b/>
                <w:sz w:val="22"/>
                <w:szCs w:val="22"/>
              </w:rPr>
            </w:pPr>
            <w:r w:rsidRPr="004A4493">
              <w:rPr>
                <w:bCs/>
                <w:sz w:val="22"/>
                <w:szCs w:val="22"/>
                <w:shd w:val="clear" w:color="auto" w:fill="FFFFFF"/>
              </w:rPr>
              <w:t>Zákon č. 575/2001 Z. z. o organizácii činnosti vlády a organizácii ústrednej štátnej správy v znení neskorších predpisov (ďalej len „575/2001“).</w:t>
            </w:r>
          </w:p>
        </w:tc>
      </w:tr>
      <w:tr w:rsidR="004B4186" w:rsidRPr="0066733C" w14:paraId="677EB753" w14:textId="77777777" w:rsidTr="004B4186">
        <w:tc>
          <w:tcPr>
            <w:tcW w:w="682" w:type="dxa"/>
            <w:tcBorders>
              <w:top w:val="single" w:sz="4" w:space="0" w:color="auto"/>
              <w:left w:val="single" w:sz="12" w:space="0" w:color="auto"/>
              <w:bottom w:val="single" w:sz="4" w:space="0" w:color="auto"/>
              <w:right w:val="single" w:sz="4" w:space="0" w:color="auto"/>
            </w:tcBorders>
          </w:tcPr>
          <w:p w14:paraId="6E9686DE" w14:textId="77777777" w:rsidR="004B4186" w:rsidRPr="0066733C" w:rsidRDefault="004B4186">
            <w:pPr>
              <w:jc w:val="center"/>
              <w:rPr>
                <w:rFonts w:ascii="Arial Narrow" w:hAnsi="Arial Narrow"/>
                <w:sz w:val="22"/>
                <w:szCs w:val="22"/>
              </w:rPr>
            </w:pPr>
            <w:r w:rsidRPr="0066733C">
              <w:rPr>
                <w:rFonts w:ascii="Arial Narrow" w:hAnsi="Arial Narrow"/>
                <w:sz w:val="22"/>
                <w:szCs w:val="22"/>
              </w:rPr>
              <w:t>1</w:t>
            </w:r>
          </w:p>
        </w:tc>
        <w:tc>
          <w:tcPr>
            <w:tcW w:w="4620" w:type="dxa"/>
            <w:tcBorders>
              <w:top w:val="single" w:sz="4" w:space="0" w:color="auto"/>
              <w:left w:val="single" w:sz="4" w:space="0" w:color="auto"/>
              <w:bottom w:val="single" w:sz="4" w:space="0" w:color="auto"/>
              <w:right w:val="single" w:sz="4" w:space="0" w:color="auto"/>
            </w:tcBorders>
          </w:tcPr>
          <w:p w14:paraId="1FC0D8A1" w14:textId="77777777" w:rsidR="004B4186" w:rsidRPr="0066733C" w:rsidRDefault="004B4186">
            <w:pPr>
              <w:jc w:val="center"/>
              <w:rPr>
                <w:rFonts w:ascii="Arial Narrow" w:hAnsi="Arial Narrow"/>
                <w:sz w:val="22"/>
                <w:szCs w:val="22"/>
              </w:rPr>
            </w:pPr>
            <w:r w:rsidRPr="0066733C">
              <w:rPr>
                <w:rFonts w:ascii="Arial Narrow" w:hAnsi="Arial Narrow"/>
                <w:sz w:val="22"/>
                <w:szCs w:val="22"/>
              </w:rPr>
              <w:t>2</w:t>
            </w:r>
          </w:p>
        </w:tc>
        <w:tc>
          <w:tcPr>
            <w:tcW w:w="850" w:type="dxa"/>
            <w:tcBorders>
              <w:top w:val="single" w:sz="4" w:space="0" w:color="auto"/>
              <w:left w:val="single" w:sz="4" w:space="0" w:color="auto"/>
              <w:bottom w:val="single" w:sz="4" w:space="0" w:color="auto"/>
              <w:right w:val="single" w:sz="12" w:space="0" w:color="auto"/>
            </w:tcBorders>
          </w:tcPr>
          <w:p w14:paraId="44435435" w14:textId="77777777" w:rsidR="004B4186" w:rsidRPr="0066733C" w:rsidRDefault="004B4186">
            <w:pPr>
              <w:jc w:val="center"/>
              <w:rPr>
                <w:rFonts w:ascii="Arial Narrow" w:hAnsi="Arial Narrow"/>
                <w:sz w:val="22"/>
                <w:szCs w:val="22"/>
              </w:rPr>
            </w:pPr>
            <w:r w:rsidRPr="0066733C">
              <w:rPr>
                <w:rFonts w:ascii="Arial Narrow" w:hAnsi="Arial Narrow"/>
                <w:sz w:val="22"/>
                <w:szCs w:val="22"/>
              </w:rPr>
              <w:t>3</w:t>
            </w:r>
          </w:p>
        </w:tc>
        <w:tc>
          <w:tcPr>
            <w:tcW w:w="993" w:type="dxa"/>
            <w:tcBorders>
              <w:top w:val="single" w:sz="4" w:space="0" w:color="auto"/>
              <w:left w:val="nil"/>
              <w:bottom w:val="single" w:sz="4" w:space="0" w:color="auto"/>
              <w:right w:val="single" w:sz="4" w:space="0" w:color="auto"/>
            </w:tcBorders>
          </w:tcPr>
          <w:p w14:paraId="6602462D" w14:textId="77777777" w:rsidR="004B4186" w:rsidRPr="0066733C" w:rsidRDefault="004B4186">
            <w:pPr>
              <w:jc w:val="center"/>
              <w:rPr>
                <w:rFonts w:ascii="Arial Narrow" w:hAnsi="Arial Narrow"/>
                <w:sz w:val="22"/>
                <w:szCs w:val="22"/>
              </w:rPr>
            </w:pPr>
            <w:r w:rsidRPr="0066733C">
              <w:rPr>
                <w:rFonts w:ascii="Arial Narrow" w:hAnsi="Arial Narrow"/>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004B0CC9" w14:textId="77777777" w:rsidR="004B4186" w:rsidRPr="0066733C" w:rsidRDefault="004B4186">
            <w:pPr>
              <w:pStyle w:val="Zkladntext2"/>
              <w:spacing w:line="240" w:lineRule="exact"/>
              <w:rPr>
                <w:rFonts w:ascii="Arial Narrow" w:hAnsi="Arial Narrow"/>
                <w:sz w:val="22"/>
                <w:szCs w:val="22"/>
              </w:rPr>
            </w:pPr>
            <w:r w:rsidRPr="0066733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5A3625BA" w14:textId="77777777" w:rsidR="004B4186" w:rsidRPr="0066733C" w:rsidRDefault="004B4186">
            <w:pPr>
              <w:pStyle w:val="Zkladntext2"/>
              <w:spacing w:line="240" w:lineRule="exact"/>
              <w:rPr>
                <w:rFonts w:ascii="Arial Narrow" w:hAnsi="Arial Narrow"/>
                <w:sz w:val="22"/>
                <w:szCs w:val="22"/>
              </w:rPr>
            </w:pPr>
            <w:r w:rsidRPr="0066733C">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6A523EF0" w14:textId="77777777" w:rsidR="004B4186" w:rsidRPr="0066733C" w:rsidRDefault="004B4186">
            <w:pPr>
              <w:jc w:val="center"/>
              <w:rPr>
                <w:rFonts w:ascii="Arial Narrow" w:hAnsi="Arial Narrow"/>
                <w:sz w:val="22"/>
                <w:szCs w:val="22"/>
              </w:rPr>
            </w:pPr>
            <w:r w:rsidRPr="0066733C">
              <w:rPr>
                <w:rFonts w:ascii="Arial Narrow" w:hAnsi="Arial Narrow"/>
                <w:sz w:val="22"/>
                <w:szCs w:val="22"/>
              </w:rPr>
              <w:t>7</w:t>
            </w:r>
          </w:p>
        </w:tc>
        <w:tc>
          <w:tcPr>
            <w:tcW w:w="1077" w:type="dxa"/>
            <w:tcBorders>
              <w:top w:val="single" w:sz="4" w:space="0" w:color="auto"/>
              <w:left w:val="single" w:sz="4" w:space="0" w:color="auto"/>
              <w:bottom w:val="single" w:sz="4" w:space="0" w:color="auto"/>
              <w:right w:val="single" w:sz="4" w:space="0" w:color="auto"/>
            </w:tcBorders>
          </w:tcPr>
          <w:p w14:paraId="70457AC4" w14:textId="77777777" w:rsidR="004B4186" w:rsidRPr="0066733C" w:rsidRDefault="004B4186">
            <w:pPr>
              <w:jc w:val="center"/>
              <w:rPr>
                <w:rFonts w:ascii="Arial Narrow" w:hAnsi="Arial Narrow"/>
                <w:sz w:val="22"/>
                <w:szCs w:val="22"/>
              </w:rPr>
            </w:pPr>
            <w:r>
              <w:rPr>
                <w:rFonts w:ascii="Arial Narrow" w:hAnsi="Arial Narrow"/>
                <w:sz w:val="22"/>
                <w:szCs w:val="22"/>
              </w:rPr>
              <w:t>8</w:t>
            </w:r>
          </w:p>
        </w:tc>
        <w:tc>
          <w:tcPr>
            <w:tcW w:w="1332" w:type="dxa"/>
            <w:tcBorders>
              <w:top w:val="single" w:sz="4" w:space="0" w:color="auto"/>
              <w:left w:val="single" w:sz="4" w:space="0" w:color="auto"/>
              <w:bottom w:val="single" w:sz="4" w:space="0" w:color="auto"/>
              <w:right w:val="single" w:sz="12" w:space="0" w:color="auto"/>
            </w:tcBorders>
          </w:tcPr>
          <w:p w14:paraId="34839B87" w14:textId="77777777" w:rsidR="004B4186" w:rsidRPr="0066733C" w:rsidRDefault="004B4186">
            <w:pPr>
              <w:jc w:val="center"/>
              <w:rPr>
                <w:rFonts w:ascii="Arial Narrow" w:hAnsi="Arial Narrow"/>
                <w:sz w:val="22"/>
                <w:szCs w:val="22"/>
              </w:rPr>
            </w:pPr>
            <w:r>
              <w:rPr>
                <w:rFonts w:ascii="Arial Narrow" w:hAnsi="Arial Narrow"/>
                <w:sz w:val="22"/>
                <w:szCs w:val="22"/>
              </w:rPr>
              <w:t>9</w:t>
            </w:r>
          </w:p>
        </w:tc>
        <w:tc>
          <w:tcPr>
            <w:tcW w:w="1418" w:type="dxa"/>
            <w:tcBorders>
              <w:top w:val="single" w:sz="4" w:space="0" w:color="auto"/>
              <w:left w:val="single" w:sz="4" w:space="0" w:color="auto"/>
              <w:bottom w:val="single" w:sz="4" w:space="0" w:color="auto"/>
              <w:right w:val="single" w:sz="12" w:space="0" w:color="auto"/>
            </w:tcBorders>
          </w:tcPr>
          <w:p w14:paraId="37F25A4B" w14:textId="77777777" w:rsidR="004B4186" w:rsidRDefault="004B4186">
            <w:pPr>
              <w:jc w:val="center"/>
              <w:rPr>
                <w:rFonts w:ascii="Arial Narrow" w:hAnsi="Arial Narrow"/>
                <w:sz w:val="22"/>
                <w:szCs w:val="22"/>
              </w:rPr>
            </w:pPr>
            <w:r>
              <w:rPr>
                <w:rFonts w:ascii="Arial Narrow" w:hAnsi="Arial Narrow"/>
                <w:sz w:val="22"/>
                <w:szCs w:val="22"/>
              </w:rPr>
              <w:t>10</w:t>
            </w:r>
          </w:p>
        </w:tc>
      </w:tr>
      <w:tr w:rsidR="004B4186" w:rsidRPr="0066733C" w14:paraId="7ED5814D" w14:textId="77777777" w:rsidTr="004B4186">
        <w:tc>
          <w:tcPr>
            <w:tcW w:w="682" w:type="dxa"/>
            <w:tcBorders>
              <w:top w:val="single" w:sz="4" w:space="0" w:color="auto"/>
              <w:left w:val="single" w:sz="12" w:space="0" w:color="auto"/>
              <w:bottom w:val="single" w:sz="4" w:space="0" w:color="auto"/>
              <w:right w:val="single" w:sz="4" w:space="0" w:color="auto"/>
            </w:tcBorders>
          </w:tcPr>
          <w:p w14:paraId="034BE151" w14:textId="77777777" w:rsidR="004B4186" w:rsidRPr="00531286" w:rsidRDefault="004B4186" w:rsidP="00531286">
            <w:pPr>
              <w:pStyle w:val="Normlny0"/>
              <w:jc w:val="center"/>
              <w:rPr>
                <w:sz w:val="22"/>
                <w:szCs w:val="22"/>
              </w:rPr>
            </w:pPr>
            <w:r w:rsidRPr="00531286">
              <w:rPr>
                <w:sz w:val="22"/>
                <w:szCs w:val="22"/>
              </w:rPr>
              <w:t>Článok</w:t>
            </w:r>
          </w:p>
          <w:p w14:paraId="110FA510" w14:textId="77777777" w:rsidR="004B4186" w:rsidRPr="00531286" w:rsidRDefault="004B4186" w:rsidP="00531286">
            <w:pPr>
              <w:pStyle w:val="Normlny0"/>
              <w:jc w:val="center"/>
              <w:rPr>
                <w:sz w:val="22"/>
                <w:szCs w:val="22"/>
              </w:rPr>
            </w:pPr>
            <w:r w:rsidRPr="00531286">
              <w:rPr>
                <w:sz w:val="22"/>
                <w:szCs w:val="22"/>
              </w:rPr>
              <w:t>(Č, O,</w:t>
            </w:r>
          </w:p>
          <w:p w14:paraId="203C18FB" w14:textId="77777777" w:rsidR="004B4186" w:rsidRPr="00531286" w:rsidRDefault="004B4186" w:rsidP="00531286">
            <w:pPr>
              <w:pStyle w:val="Normlny0"/>
              <w:jc w:val="center"/>
              <w:rPr>
                <w:sz w:val="22"/>
                <w:szCs w:val="22"/>
              </w:rPr>
            </w:pPr>
            <w:r w:rsidRPr="00531286">
              <w:rPr>
                <w:sz w:val="22"/>
                <w:szCs w:val="22"/>
              </w:rPr>
              <w:t>V, P)</w:t>
            </w:r>
          </w:p>
        </w:tc>
        <w:tc>
          <w:tcPr>
            <w:tcW w:w="4620" w:type="dxa"/>
            <w:tcBorders>
              <w:top w:val="single" w:sz="4" w:space="0" w:color="auto"/>
              <w:left w:val="single" w:sz="4" w:space="0" w:color="auto"/>
              <w:bottom w:val="single" w:sz="4" w:space="0" w:color="auto"/>
              <w:right w:val="single" w:sz="4" w:space="0" w:color="auto"/>
            </w:tcBorders>
          </w:tcPr>
          <w:p w14:paraId="3C970836" w14:textId="77777777" w:rsidR="004B4186" w:rsidRPr="004A4493" w:rsidRDefault="004B4186" w:rsidP="00531286">
            <w:pPr>
              <w:pStyle w:val="Normlny0"/>
              <w:jc w:val="center"/>
              <w:rPr>
                <w:sz w:val="22"/>
                <w:szCs w:val="22"/>
              </w:rPr>
            </w:pPr>
            <w:r w:rsidRPr="004A4493">
              <w:rPr>
                <w:sz w:val="22"/>
                <w:szCs w:val="22"/>
              </w:rPr>
              <w:t>Text</w:t>
            </w:r>
          </w:p>
        </w:tc>
        <w:tc>
          <w:tcPr>
            <w:tcW w:w="850" w:type="dxa"/>
            <w:tcBorders>
              <w:top w:val="single" w:sz="4" w:space="0" w:color="auto"/>
              <w:left w:val="single" w:sz="4" w:space="0" w:color="auto"/>
              <w:bottom w:val="single" w:sz="4" w:space="0" w:color="auto"/>
              <w:right w:val="single" w:sz="12" w:space="0" w:color="auto"/>
            </w:tcBorders>
          </w:tcPr>
          <w:p w14:paraId="0922CDD9" w14:textId="77777777" w:rsidR="004B4186" w:rsidRPr="004A4493" w:rsidRDefault="004B4186" w:rsidP="00531286">
            <w:pPr>
              <w:pStyle w:val="Normlny0"/>
              <w:jc w:val="center"/>
              <w:rPr>
                <w:sz w:val="22"/>
                <w:szCs w:val="22"/>
              </w:rPr>
            </w:pPr>
            <w:r w:rsidRPr="004A4493">
              <w:rPr>
                <w:sz w:val="22"/>
                <w:szCs w:val="22"/>
              </w:rPr>
              <w:t xml:space="preserve">Spôsob </w:t>
            </w:r>
            <w:proofErr w:type="spellStart"/>
            <w:r w:rsidRPr="004A4493">
              <w:rPr>
                <w:sz w:val="22"/>
                <w:szCs w:val="22"/>
              </w:rPr>
              <w:t>transp</w:t>
            </w:r>
            <w:proofErr w:type="spellEnd"/>
            <w:r w:rsidRPr="004A4493">
              <w:rPr>
                <w:sz w:val="22"/>
                <w:szCs w:val="22"/>
              </w:rPr>
              <w:t>.</w:t>
            </w:r>
          </w:p>
          <w:p w14:paraId="173FA339" w14:textId="77777777" w:rsidR="004B4186" w:rsidRPr="004A4493" w:rsidRDefault="004B4186" w:rsidP="00531286">
            <w:pPr>
              <w:pStyle w:val="Normlny0"/>
              <w:jc w:val="center"/>
              <w:rPr>
                <w:sz w:val="22"/>
                <w:szCs w:val="22"/>
              </w:rPr>
            </w:pPr>
            <w:r w:rsidRPr="004A4493">
              <w:rPr>
                <w:sz w:val="22"/>
                <w:szCs w:val="22"/>
              </w:rPr>
              <w:t xml:space="preserve">(N, O, D, </w:t>
            </w:r>
            <w:proofErr w:type="spellStart"/>
            <w:r w:rsidRPr="004A4493">
              <w:rPr>
                <w:sz w:val="22"/>
                <w:szCs w:val="22"/>
              </w:rPr>
              <w:t>n.a</w:t>
            </w:r>
            <w:proofErr w:type="spellEnd"/>
            <w:r w:rsidRPr="004A4493">
              <w:rPr>
                <w:sz w:val="22"/>
                <w:szCs w:val="22"/>
              </w:rPr>
              <w:t>.)</w:t>
            </w:r>
          </w:p>
        </w:tc>
        <w:tc>
          <w:tcPr>
            <w:tcW w:w="993" w:type="dxa"/>
            <w:tcBorders>
              <w:top w:val="single" w:sz="4" w:space="0" w:color="auto"/>
              <w:left w:val="nil"/>
              <w:bottom w:val="single" w:sz="4" w:space="0" w:color="auto"/>
              <w:right w:val="single" w:sz="4" w:space="0" w:color="auto"/>
            </w:tcBorders>
          </w:tcPr>
          <w:p w14:paraId="7F658DAE" w14:textId="77777777" w:rsidR="004B4186" w:rsidRPr="004A4493" w:rsidRDefault="004B4186" w:rsidP="00531286">
            <w:pPr>
              <w:pStyle w:val="Normlny0"/>
              <w:jc w:val="center"/>
              <w:rPr>
                <w:sz w:val="22"/>
                <w:szCs w:val="22"/>
              </w:rPr>
            </w:pPr>
            <w:r w:rsidRPr="004A4493">
              <w:rPr>
                <w:sz w:val="22"/>
                <w:szCs w:val="22"/>
              </w:rPr>
              <w:t>Číslo</w:t>
            </w:r>
          </w:p>
          <w:p w14:paraId="75F95374" w14:textId="77777777" w:rsidR="004B4186" w:rsidRPr="004A4493" w:rsidRDefault="004B4186" w:rsidP="00531286">
            <w:pPr>
              <w:pStyle w:val="Normlny0"/>
              <w:jc w:val="center"/>
              <w:rPr>
                <w:sz w:val="22"/>
                <w:szCs w:val="22"/>
              </w:rPr>
            </w:pPr>
            <w:r w:rsidRPr="004A4493">
              <w:rPr>
                <w:sz w:val="22"/>
                <w:szCs w:val="22"/>
              </w:rPr>
              <w:t>predpisu</w:t>
            </w:r>
          </w:p>
        </w:tc>
        <w:tc>
          <w:tcPr>
            <w:tcW w:w="992" w:type="dxa"/>
            <w:tcBorders>
              <w:top w:val="single" w:sz="4" w:space="0" w:color="auto"/>
              <w:left w:val="single" w:sz="4" w:space="0" w:color="auto"/>
              <w:bottom w:val="single" w:sz="4" w:space="0" w:color="auto"/>
              <w:right w:val="single" w:sz="4" w:space="0" w:color="auto"/>
            </w:tcBorders>
          </w:tcPr>
          <w:p w14:paraId="79038418" w14:textId="77777777" w:rsidR="004B4186" w:rsidRPr="004A4493" w:rsidRDefault="004B4186" w:rsidP="00531286">
            <w:pPr>
              <w:pStyle w:val="Normlny0"/>
              <w:jc w:val="center"/>
              <w:rPr>
                <w:sz w:val="22"/>
                <w:szCs w:val="22"/>
              </w:rPr>
            </w:pPr>
            <w:r w:rsidRPr="004A4493">
              <w:rPr>
                <w:sz w:val="22"/>
                <w:szCs w:val="22"/>
              </w:rPr>
              <w:t>Článok (Č, §, O, V, P)</w:t>
            </w:r>
          </w:p>
        </w:tc>
        <w:tc>
          <w:tcPr>
            <w:tcW w:w="3402" w:type="dxa"/>
            <w:tcBorders>
              <w:top w:val="single" w:sz="4" w:space="0" w:color="auto"/>
              <w:left w:val="single" w:sz="4" w:space="0" w:color="auto"/>
              <w:bottom w:val="single" w:sz="4" w:space="0" w:color="auto"/>
              <w:right w:val="single" w:sz="4" w:space="0" w:color="auto"/>
            </w:tcBorders>
          </w:tcPr>
          <w:p w14:paraId="16EF8FC5" w14:textId="77777777" w:rsidR="004B4186" w:rsidRPr="00531286" w:rsidRDefault="004B4186" w:rsidP="00531286">
            <w:pPr>
              <w:pStyle w:val="Normlny0"/>
              <w:jc w:val="center"/>
              <w:rPr>
                <w:sz w:val="22"/>
                <w:szCs w:val="22"/>
              </w:rPr>
            </w:pPr>
            <w:r w:rsidRPr="00531286">
              <w:rPr>
                <w:sz w:val="22"/>
                <w:szCs w:val="22"/>
              </w:rPr>
              <w:t>Text</w:t>
            </w:r>
          </w:p>
        </w:tc>
        <w:tc>
          <w:tcPr>
            <w:tcW w:w="709" w:type="dxa"/>
            <w:tcBorders>
              <w:top w:val="single" w:sz="4" w:space="0" w:color="auto"/>
              <w:left w:val="single" w:sz="4" w:space="0" w:color="auto"/>
              <w:bottom w:val="single" w:sz="4" w:space="0" w:color="auto"/>
              <w:right w:val="single" w:sz="4" w:space="0" w:color="auto"/>
            </w:tcBorders>
          </w:tcPr>
          <w:p w14:paraId="7F6B4690" w14:textId="77777777" w:rsidR="004B4186" w:rsidRPr="00531286" w:rsidRDefault="004B4186" w:rsidP="00531286">
            <w:pPr>
              <w:pStyle w:val="Normlny0"/>
              <w:ind w:left="-48" w:hanging="48"/>
              <w:jc w:val="center"/>
              <w:rPr>
                <w:sz w:val="22"/>
                <w:szCs w:val="22"/>
              </w:rPr>
            </w:pPr>
            <w:r w:rsidRPr="00531286">
              <w:rPr>
                <w:sz w:val="22"/>
                <w:szCs w:val="22"/>
              </w:rPr>
              <w:t>Zhoda</w:t>
            </w:r>
          </w:p>
        </w:tc>
        <w:tc>
          <w:tcPr>
            <w:tcW w:w="1077" w:type="dxa"/>
            <w:tcBorders>
              <w:top w:val="single" w:sz="4" w:space="0" w:color="auto"/>
              <w:left w:val="single" w:sz="4" w:space="0" w:color="auto"/>
              <w:bottom w:val="single" w:sz="4" w:space="0" w:color="auto"/>
              <w:right w:val="single" w:sz="4" w:space="0" w:color="auto"/>
            </w:tcBorders>
          </w:tcPr>
          <w:p w14:paraId="517F05E3" w14:textId="77777777" w:rsidR="004B4186" w:rsidRPr="00531286" w:rsidRDefault="004B4186" w:rsidP="00531286">
            <w:pPr>
              <w:pStyle w:val="Normlny0"/>
              <w:jc w:val="center"/>
              <w:rPr>
                <w:sz w:val="22"/>
                <w:szCs w:val="22"/>
              </w:rPr>
            </w:pPr>
            <w:r w:rsidRPr="00531286">
              <w:rPr>
                <w:sz w:val="22"/>
                <w:szCs w:val="22"/>
              </w:rPr>
              <w:t>Poznámky</w:t>
            </w:r>
          </w:p>
        </w:tc>
        <w:tc>
          <w:tcPr>
            <w:tcW w:w="1332" w:type="dxa"/>
            <w:tcBorders>
              <w:top w:val="single" w:sz="4" w:space="0" w:color="auto"/>
              <w:left w:val="single" w:sz="4" w:space="0" w:color="auto"/>
              <w:bottom w:val="single" w:sz="4" w:space="0" w:color="auto"/>
              <w:right w:val="single" w:sz="12" w:space="0" w:color="auto"/>
            </w:tcBorders>
          </w:tcPr>
          <w:p w14:paraId="1111ADCF" w14:textId="77777777" w:rsidR="004B4186" w:rsidRPr="00531286" w:rsidRDefault="004B4186" w:rsidP="00531286">
            <w:pPr>
              <w:pStyle w:val="Normlny0"/>
              <w:jc w:val="center"/>
              <w:rPr>
                <w:sz w:val="22"/>
                <w:szCs w:val="22"/>
              </w:rPr>
            </w:pPr>
            <w:r w:rsidRPr="00D67DDC">
              <w:rPr>
                <w:sz w:val="22"/>
                <w:szCs w:val="22"/>
              </w:rPr>
              <w:t xml:space="preserve">Identifikácia </w:t>
            </w:r>
            <w:proofErr w:type="spellStart"/>
            <w:r w:rsidRPr="00D67DDC">
              <w:rPr>
                <w:sz w:val="22"/>
                <w:szCs w:val="22"/>
              </w:rPr>
              <w:t>goldplatingu</w:t>
            </w:r>
            <w:proofErr w:type="spellEnd"/>
          </w:p>
        </w:tc>
        <w:tc>
          <w:tcPr>
            <w:tcW w:w="1418" w:type="dxa"/>
            <w:tcBorders>
              <w:top w:val="single" w:sz="4" w:space="0" w:color="auto"/>
              <w:left w:val="single" w:sz="4" w:space="0" w:color="auto"/>
              <w:bottom w:val="single" w:sz="4" w:space="0" w:color="auto"/>
              <w:right w:val="single" w:sz="12" w:space="0" w:color="auto"/>
            </w:tcBorders>
          </w:tcPr>
          <w:p w14:paraId="6E459797" w14:textId="77777777" w:rsidR="004B4186" w:rsidRPr="00531286" w:rsidRDefault="004B4186" w:rsidP="00531286">
            <w:pPr>
              <w:pStyle w:val="Normlny0"/>
              <w:jc w:val="center"/>
              <w:rPr>
                <w:sz w:val="22"/>
                <w:szCs w:val="22"/>
              </w:rPr>
            </w:pPr>
            <w:r w:rsidRPr="00531286">
              <w:rPr>
                <w:sz w:val="22"/>
                <w:szCs w:val="22"/>
              </w:rPr>
              <w:t xml:space="preserve">Identifikácia oblasti </w:t>
            </w:r>
            <w:proofErr w:type="spellStart"/>
            <w:r w:rsidRPr="00531286">
              <w:rPr>
                <w:sz w:val="22"/>
                <w:szCs w:val="22"/>
              </w:rPr>
              <w:t>goldplatingu</w:t>
            </w:r>
            <w:proofErr w:type="spellEnd"/>
            <w:r w:rsidRPr="00531286">
              <w:rPr>
                <w:sz w:val="22"/>
                <w:szCs w:val="22"/>
              </w:rPr>
              <w:t xml:space="preserve"> a vyjadrenie k opodstatnenosti </w:t>
            </w:r>
            <w:proofErr w:type="spellStart"/>
            <w:r w:rsidRPr="00531286">
              <w:rPr>
                <w:sz w:val="22"/>
                <w:szCs w:val="22"/>
              </w:rPr>
              <w:t>goldplatingu</w:t>
            </w:r>
            <w:proofErr w:type="spellEnd"/>
            <w:r w:rsidRPr="00531286">
              <w:rPr>
                <w:sz w:val="22"/>
                <w:szCs w:val="22"/>
              </w:rPr>
              <w:t>*</w:t>
            </w:r>
          </w:p>
        </w:tc>
      </w:tr>
      <w:tr w:rsidR="004B4186" w:rsidRPr="0066733C" w14:paraId="5ACEE6A9" w14:textId="77777777" w:rsidTr="004B4186">
        <w:tc>
          <w:tcPr>
            <w:tcW w:w="682" w:type="dxa"/>
            <w:tcBorders>
              <w:top w:val="single" w:sz="4" w:space="0" w:color="auto"/>
              <w:left w:val="single" w:sz="12" w:space="0" w:color="auto"/>
              <w:right w:val="single" w:sz="4" w:space="0" w:color="auto"/>
            </w:tcBorders>
          </w:tcPr>
          <w:p w14:paraId="5FCE5424" w14:textId="77777777" w:rsidR="004B4186" w:rsidRPr="00531286" w:rsidRDefault="004B4186" w:rsidP="00531286">
            <w:pPr>
              <w:jc w:val="center"/>
              <w:rPr>
                <w:sz w:val="22"/>
                <w:szCs w:val="22"/>
              </w:rPr>
            </w:pPr>
            <w:r w:rsidRPr="00531286">
              <w:rPr>
                <w:sz w:val="22"/>
                <w:szCs w:val="22"/>
              </w:rPr>
              <w:t>Č: 1</w:t>
            </w:r>
          </w:p>
          <w:p w14:paraId="097EDBF2" w14:textId="77777777" w:rsidR="004B4186" w:rsidRPr="00531286" w:rsidRDefault="004B4186" w:rsidP="00531286">
            <w:pPr>
              <w:jc w:val="center"/>
              <w:rPr>
                <w:sz w:val="22"/>
                <w:szCs w:val="22"/>
              </w:rPr>
            </w:pPr>
            <w:r w:rsidRPr="00531286">
              <w:rPr>
                <w:sz w:val="22"/>
                <w:szCs w:val="22"/>
              </w:rPr>
              <w:t xml:space="preserve">O:1 </w:t>
            </w:r>
          </w:p>
          <w:p w14:paraId="62C897D9" w14:textId="77777777" w:rsidR="007B7151" w:rsidRPr="00531286" w:rsidRDefault="007B7151" w:rsidP="00531286">
            <w:pPr>
              <w:jc w:val="center"/>
              <w:rPr>
                <w:sz w:val="22"/>
                <w:szCs w:val="22"/>
              </w:rPr>
            </w:pPr>
          </w:p>
          <w:p w14:paraId="44763DDE" w14:textId="77777777" w:rsidR="007B7151" w:rsidRPr="00531286" w:rsidRDefault="007B7151" w:rsidP="00531286">
            <w:pPr>
              <w:jc w:val="center"/>
              <w:rPr>
                <w:sz w:val="22"/>
                <w:szCs w:val="22"/>
              </w:rPr>
            </w:pPr>
          </w:p>
          <w:p w14:paraId="073045EB" w14:textId="77777777" w:rsidR="007B7151" w:rsidRPr="00531286" w:rsidRDefault="007B7151" w:rsidP="00531286">
            <w:pPr>
              <w:jc w:val="center"/>
              <w:rPr>
                <w:sz w:val="22"/>
                <w:szCs w:val="22"/>
              </w:rPr>
            </w:pPr>
          </w:p>
          <w:p w14:paraId="61F6FACC" w14:textId="77777777" w:rsidR="007B7151" w:rsidRPr="00531286" w:rsidRDefault="007B7151" w:rsidP="00531286">
            <w:pPr>
              <w:jc w:val="center"/>
              <w:rPr>
                <w:sz w:val="22"/>
                <w:szCs w:val="22"/>
              </w:rPr>
            </w:pPr>
          </w:p>
          <w:p w14:paraId="5B004750" w14:textId="77777777" w:rsidR="007B7151" w:rsidRPr="00531286" w:rsidRDefault="007B7151" w:rsidP="00531286">
            <w:pPr>
              <w:jc w:val="center"/>
              <w:rPr>
                <w:sz w:val="22"/>
                <w:szCs w:val="22"/>
              </w:rPr>
            </w:pPr>
          </w:p>
          <w:p w14:paraId="34BCB4C9" w14:textId="77777777" w:rsidR="007B7151" w:rsidRPr="00531286" w:rsidRDefault="007B7151" w:rsidP="00531286">
            <w:pPr>
              <w:jc w:val="center"/>
              <w:rPr>
                <w:sz w:val="22"/>
                <w:szCs w:val="22"/>
              </w:rPr>
            </w:pPr>
          </w:p>
          <w:p w14:paraId="46704C00" w14:textId="77777777" w:rsidR="007B7151" w:rsidRPr="00531286" w:rsidRDefault="007B7151" w:rsidP="00531286">
            <w:pPr>
              <w:jc w:val="center"/>
              <w:rPr>
                <w:sz w:val="22"/>
                <w:szCs w:val="22"/>
              </w:rPr>
            </w:pPr>
          </w:p>
        </w:tc>
        <w:tc>
          <w:tcPr>
            <w:tcW w:w="4620" w:type="dxa"/>
            <w:tcBorders>
              <w:top w:val="single" w:sz="4" w:space="0" w:color="auto"/>
              <w:left w:val="single" w:sz="4" w:space="0" w:color="auto"/>
              <w:right w:val="single" w:sz="4" w:space="0" w:color="auto"/>
            </w:tcBorders>
          </w:tcPr>
          <w:p w14:paraId="77A2D169" w14:textId="77777777" w:rsidR="002D5A6E" w:rsidRPr="00892973" w:rsidRDefault="002D5A6E" w:rsidP="002D5A6E">
            <w:pPr>
              <w:pStyle w:val="PredformtovanHTML"/>
              <w:shd w:val="clear" w:color="auto" w:fill="F8F9FA"/>
              <w:rPr>
                <w:rFonts w:ascii="Times New Roman" w:hAnsi="Times New Roman" w:cs="Times New Roman"/>
                <w:color w:val="000000"/>
                <w:sz w:val="22"/>
                <w:szCs w:val="22"/>
              </w:rPr>
            </w:pPr>
            <w:r w:rsidRPr="00892973">
              <w:rPr>
                <w:rFonts w:ascii="Times New Roman" w:hAnsi="Times New Roman" w:cs="Times New Roman"/>
                <w:color w:val="000000"/>
                <w:sz w:val="22"/>
                <w:szCs w:val="22"/>
              </w:rPr>
              <w:t>Zmeny smernice 2014/65/EÚ</w:t>
            </w:r>
          </w:p>
          <w:p w14:paraId="3C48A381" w14:textId="77777777" w:rsidR="002D5A6E" w:rsidRPr="00892973" w:rsidRDefault="002D5A6E" w:rsidP="002D5A6E">
            <w:pPr>
              <w:pStyle w:val="PredformtovanHTML"/>
              <w:shd w:val="clear" w:color="auto" w:fill="F8F9FA"/>
              <w:rPr>
                <w:rFonts w:ascii="Times New Roman" w:hAnsi="Times New Roman" w:cs="Times New Roman"/>
                <w:color w:val="000000"/>
                <w:sz w:val="22"/>
                <w:szCs w:val="22"/>
              </w:rPr>
            </w:pPr>
          </w:p>
          <w:p w14:paraId="49B5572A" w14:textId="77777777" w:rsidR="002D5A6E" w:rsidRPr="00892973" w:rsidRDefault="002D5A6E" w:rsidP="002D5A6E">
            <w:pPr>
              <w:pStyle w:val="PredformtovanHTML"/>
              <w:shd w:val="clear" w:color="auto" w:fill="F8F9FA"/>
              <w:rPr>
                <w:rFonts w:ascii="Times New Roman" w:hAnsi="Times New Roman" w:cs="Times New Roman"/>
                <w:color w:val="000000"/>
                <w:sz w:val="22"/>
                <w:szCs w:val="22"/>
              </w:rPr>
            </w:pPr>
            <w:r w:rsidRPr="00892973">
              <w:rPr>
                <w:rFonts w:ascii="Times New Roman" w:hAnsi="Times New Roman" w:cs="Times New Roman"/>
                <w:color w:val="000000"/>
                <w:sz w:val="22"/>
                <w:szCs w:val="22"/>
              </w:rPr>
              <w:t>Smernica 2014/65/EÚ sa mení takto:</w:t>
            </w:r>
          </w:p>
          <w:p w14:paraId="6F3AAEE0" w14:textId="4CDDD527" w:rsidR="004B4186" w:rsidRPr="004A4493" w:rsidRDefault="002D5A6E" w:rsidP="002D5A6E">
            <w:pPr>
              <w:pStyle w:val="PredformtovanHTML"/>
              <w:shd w:val="clear" w:color="auto" w:fill="F8F9FA"/>
              <w:rPr>
                <w:color w:val="000000"/>
                <w:sz w:val="22"/>
                <w:szCs w:val="22"/>
              </w:rPr>
            </w:pPr>
            <w:r w:rsidRPr="00892973">
              <w:rPr>
                <w:rFonts w:ascii="Times New Roman" w:hAnsi="Times New Roman" w:cs="Times New Roman"/>
                <w:color w:val="000000"/>
                <w:sz w:val="22"/>
                <w:szCs w:val="22"/>
              </w:rPr>
              <w:t>v článku 1 sa vypúšťa odsek 7;</w:t>
            </w:r>
          </w:p>
        </w:tc>
        <w:tc>
          <w:tcPr>
            <w:tcW w:w="850" w:type="dxa"/>
            <w:tcBorders>
              <w:top w:val="single" w:sz="4" w:space="0" w:color="auto"/>
              <w:left w:val="single" w:sz="4" w:space="0" w:color="auto"/>
              <w:right w:val="single" w:sz="12" w:space="0" w:color="auto"/>
            </w:tcBorders>
          </w:tcPr>
          <w:p w14:paraId="3953B6B8" w14:textId="77777777" w:rsidR="004B4186" w:rsidRPr="004A4493" w:rsidRDefault="004B4186" w:rsidP="00531286">
            <w:pPr>
              <w:adjustRightInd w:val="0"/>
              <w:jc w:val="center"/>
              <w:rPr>
                <w:sz w:val="22"/>
                <w:szCs w:val="22"/>
              </w:rPr>
            </w:pPr>
            <w:r w:rsidRPr="004A4493">
              <w:rPr>
                <w:sz w:val="22"/>
                <w:szCs w:val="22"/>
              </w:rPr>
              <w:t>N</w:t>
            </w:r>
          </w:p>
          <w:p w14:paraId="5B9587AF" w14:textId="77777777" w:rsidR="003E7F03" w:rsidRPr="004A4493" w:rsidRDefault="003E7F03" w:rsidP="00531286">
            <w:pPr>
              <w:adjustRightInd w:val="0"/>
              <w:jc w:val="center"/>
              <w:rPr>
                <w:color w:val="000000"/>
                <w:sz w:val="22"/>
                <w:szCs w:val="22"/>
              </w:rPr>
            </w:pPr>
          </w:p>
          <w:p w14:paraId="1283326C" w14:textId="77777777" w:rsidR="003E7F03" w:rsidRPr="004A4493" w:rsidRDefault="003E7F03" w:rsidP="00531286">
            <w:pPr>
              <w:adjustRightInd w:val="0"/>
              <w:jc w:val="center"/>
              <w:rPr>
                <w:color w:val="000000"/>
                <w:sz w:val="22"/>
                <w:szCs w:val="22"/>
              </w:rPr>
            </w:pPr>
          </w:p>
          <w:p w14:paraId="4E3217A6" w14:textId="77777777" w:rsidR="003E7F03" w:rsidRPr="004A4493" w:rsidRDefault="003E7F03" w:rsidP="00531286">
            <w:pPr>
              <w:adjustRightInd w:val="0"/>
              <w:jc w:val="center"/>
              <w:rPr>
                <w:color w:val="000000"/>
                <w:sz w:val="22"/>
                <w:szCs w:val="22"/>
              </w:rPr>
            </w:pPr>
          </w:p>
          <w:p w14:paraId="72C220E8" w14:textId="77777777" w:rsidR="003E7F03" w:rsidRPr="004A4493" w:rsidRDefault="003E7F03" w:rsidP="00531286">
            <w:pPr>
              <w:adjustRightInd w:val="0"/>
              <w:jc w:val="center"/>
              <w:rPr>
                <w:color w:val="000000"/>
                <w:sz w:val="22"/>
                <w:szCs w:val="22"/>
              </w:rPr>
            </w:pPr>
          </w:p>
        </w:tc>
        <w:tc>
          <w:tcPr>
            <w:tcW w:w="993" w:type="dxa"/>
            <w:tcBorders>
              <w:top w:val="single" w:sz="4" w:space="0" w:color="auto"/>
              <w:left w:val="nil"/>
              <w:right w:val="single" w:sz="4" w:space="0" w:color="auto"/>
            </w:tcBorders>
          </w:tcPr>
          <w:p w14:paraId="1C7549D0" w14:textId="77777777" w:rsidR="004B4186" w:rsidRPr="004A4493" w:rsidRDefault="00294613" w:rsidP="00531286">
            <w:pPr>
              <w:adjustRightInd w:val="0"/>
              <w:rPr>
                <w:b/>
                <w:sz w:val="22"/>
                <w:szCs w:val="22"/>
              </w:rPr>
            </w:pPr>
            <w:r w:rsidRPr="004A4493">
              <w:rPr>
                <w:b/>
                <w:sz w:val="22"/>
                <w:szCs w:val="22"/>
              </w:rPr>
              <w:t xml:space="preserve">návrh </w:t>
            </w:r>
          </w:p>
          <w:p w14:paraId="5A9D68D5" w14:textId="1E10EAE1" w:rsidR="00294613" w:rsidRPr="004A4493" w:rsidRDefault="00294613" w:rsidP="00531286">
            <w:pPr>
              <w:adjustRightInd w:val="0"/>
              <w:rPr>
                <w:b/>
                <w:sz w:val="22"/>
                <w:szCs w:val="22"/>
              </w:rPr>
            </w:pPr>
            <w:r w:rsidRPr="004A4493">
              <w:rPr>
                <w:b/>
                <w:sz w:val="22"/>
                <w:szCs w:val="22"/>
              </w:rPr>
              <w:t>Č</w:t>
            </w:r>
            <w:r w:rsidR="00457C5A" w:rsidRPr="004A4493">
              <w:rPr>
                <w:b/>
                <w:sz w:val="22"/>
                <w:szCs w:val="22"/>
              </w:rPr>
              <w:t>l.</w:t>
            </w:r>
            <w:r w:rsidRPr="004A4493">
              <w:rPr>
                <w:b/>
                <w:sz w:val="22"/>
                <w:szCs w:val="22"/>
              </w:rPr>
              <w:t xml:space="preserve"> II</w:t>
            </w:r>
          </w:p>
          <w:p w14:paraId="182637E2" w14:textId="11EA3778" w:rsidR="00AC7EB3" w:rsidRPr="004A4493" w:rsidRDefault="00AC7EB3" w:rsidP="00531286">
            <w:pPr>
              <w:adjustRightInd w:val="0"/>
              <w:rPr>
                <w:b/>
                <w:sz w:val="22"/>
                <w:szCs w:val="22"/>
              </w:rPr>
            </w:pPr>
            <w:r w:rsidRPr="004A4493">
              <w:rPr>
                <w:b/>
                <w:sz w:val="22"/>
                <w:szCs w:val="22"/>
              </w:rPr>
              <w:t>Bod 1</w:t>
            </w:r>
          </w:p>
          <w:p w14:paraId="63CB9D07" w14:textId="77777777" w:rsidR="004B4186" w:rsidRPr="004A4493" w:rsidRDefault="004B4186" w:rsidP="00531286">
            <w:pPr>
              <w:adjustRightInd w:val="0"/>
              <w:rPr>
                <w:b/>
                <w:color w:val="000000"/>
                <w:sz w:val="22"/>
                <w:szCs w:val="22"/>
              </w:rPr>
            </w:pPr>
          </w:p>
          <w:p w14:paraId="1553F3BB" w14:textId="77777777" w:rsidR="004B4186" w:rsidRPr="004A4493" w:rsidRDefault="004B4186" w:rsidP="00531286">
            <w:pPr>
              <w:adjustRightInd w:val="0"/>
              <w:rPr>
                <w:b/>
                <w:color w:val="000000"/>
                <w:sz w:val="22"/>
                <w:szCs w:val="22"/>
              </w:rPr>
            </w:pPr>
          </w:p>
          <w:p w14:paraId="50BA0CC6" w14:textId="77777777" w:rsidR="004B4186" w:rsidRPr="004A4493" w:rsidRDefault="004B4186" w:rsidP="00531286">
            <w:pPr>
              <w:adjustRightInd w:val="0"/>
              <w:rPr>
                <w:b/>
                <w:color w:val="000000"/>
                <w:sz w:val="22"/>
                <w:szCs w:val="22"/>
              </w:rPr>
            </w:pPr>
          </w:p>
          <w:p w14:paraId="0C88D87B" w14:textId="77777777" w:rsidR="007265AE" w:rsidRPr="004A4493" w:rsidRDefault="007265AE" w:rsidP="00531286">
            <w:pPr>
              <w:adjustRightInd w:val="0"/>
              <w:jc w:val="center"/>
              <w:rPr>
                <w:b/>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E5A446" w14:textId="77777777" w:rsidR="004B4186" w:rsidRPr="004A4493" w:rsidRDefault="004B4186" w:rsidP="00531286">
            <w:pPr>
              <w:adjustRightInd w:val="0"/>
              <w:jc w:val="center"/>
              <w:rPr>
                <w:sz w:val="22"/>
                <w:szCs w:val="22"/>
              </w:rPr>
            </w:pPr>
            <w:r w:rsidRPr="004A4493">
              <w:rPr>
                <w:sz w:val="22"/>
                <w:szCs w:val="22"/>
              </w:rPr>
              <w:t>§</w:t>
            </w:r>
            <w:r w:rsidR="00761E7E" w:rsidRPr="004A4493">
              <w:rPr>
                <w:sz w:val="22"/>
                <w:szCs w:val="22"/>
              </w:rPr>
              <w:t xml:space="preserve"> 3</w:t>
            </w:r>
          </w:p>
          <w:p w14:paraId="1CDBF71C" w14:textId="77777777" w:rsidR="004B4186" w:rsidRPr="004A4493" w:rsidRDefault="004B4186" w:rsidP="00531286">
            <w:pPr>
              <w:adjustRightInd w:val="0"/>
              <w:jc w:val="center"/>
              <w:rPr>
                <w:sz w:val="22"/>
                <w:szCs w:val="22"/>
              </w:rPr>
            </w:pPr>
            <w:r w:rsidRPr="004A4493">
              <w:rPr>
                <w:sz w:val="22"/>
                <w:szCs w:val="22"/>
              </w:rPr>
              <w:t xml:space="preserve">O: </w:t>
            </w:r>
            <w:r w:rsidR="00761E7E" w:rsidRPr="004A4493">
              <w:rPr>
                <w:sz w:val="22"/>
                <w:szCs w:val="22"/>
              </w:rPr>
              <w:t xml:space="preserve">3 </w:t>
            </w:r>
          </w:p>
          <w:p w14:paraId="3DA3B361" w14:textId="35E19724" w:rsidR="00761E7E" w:rsidRPr="004A4493" w:rsidRDefault="00A23BA4" w:rsidP="00531286">
            <w:pPr>
              <w:adjustRightInd w:val="0"/>
              <w:jc w:val="center"/>
              <w:rPr>
                <w:sz w:val="22"/>
                <w:szCs w:val="22"/>
              </w:rPr>
            </w:pPr>
            <w:r w:rsidRPr="004A4493">
              <w:rPr>
                <w:sz w:val="22"/>
                <w:szCs w:val="22"/>
              </w:rPr>
              <w:t>P: x</w:t>
            </w:r>
            <w:r w:rsidR="00086BF7" w:rsidRPr="004A4493">
              <w:rPr>
                <w:sz w:val="22"/>
                <w:szCs w:val="22"/>
              </w:rPr>
              <w:t>)</w:t>
            </w:r>
          </w:p>
          <w:p w14:paraId="4C2571A5" w14:textId="77777777" w:rsidR="004B4186" w:rsidRPr="004A4493" w:rsidRDefault="004B4186" w:rsidP="00531286">
            <w:pPr>
              <w:adjustRightInd w:val="0"/>
              <w:jc w:val="center"/>
              <w:rPr>
                <w:sz w:val="22"/>
                <w:szCs w:val="22"/>
              </w:rPr>
            </w:pPr>
          </w:p>
          <w:p w14:paraId="5385A5E0" w14:textId="77777777" w:rsidR="004B4186" w:rsidRPr="004A4493" w:rsidRDefault="004B4186" w:rsidP="00531286">
            <w:pPr>
              <w:adjustRightInd w:val="0"/>
              <w:jc w:val="center"/>
              <w:rPr>
                <w:sz w:val="22"/>
                <w:szCs w:val="22"/>
              </w:rPr>
            </w:pPr>
          </w:p>
          <w:p w14:paraId="49396189" w14:textId="77777777" w:rsidR="004B4186" w:rsidRPr="004A4493" w:rsidRDefault="004B4186" w:rsidP="00531286">
            <w:pPr>
              <w:adjustRightInd w:val="0"/>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A8A17C9" w14:textId="77777777" w:rsidR="00024D8B" w:rsidRPr="00197DC0" w:rsidRDefault="004E714E" w:rsidP="00531286">
            <w:pPr>
              <w:jc w:val="both"/>
              <w:rPr>
                <w:sz w:val="20"/>
                <w:szCs w:val="20"/>
              </w:rPr>
            </w:pPr>
            <w:r w:rsidRPr="00197DC0">
              <w:rPr>
                <w:sz w:val="20"/>
                <w:szCs w:val="20"/>
              </w:rPr>
              <w:t xml:space="preserve">Vypustilo sa pôvodné písmeno x) v § 3 ods. 3. </w:t>
            </w:r>
          </w:p>
          <w:p w14:paraId="5D29CE62" w14:textId="55383372" w:rsidR="00197DC0" w:rsidRPr="00A25494" w:rsidRDefault="00197DC0" w:rsidP="00531286">
            <w:pPr>
              <w:jc w:val="both"/>
              <w:rPr>
                <w:strike/>
                <w:sz w:val="20"/>
                <w:szCs w:val="20"/>
              </w:rPr>
            </w:pPr>
            <w:r w:rsidRPr="00A25494">
              <w:rPr>
                <w:b/>
                <w:bCs/>
                <w:strike/>
                <w:sz w:val="20"/>
                <w:szCs w:val="20"/>
              </w:rPr>
              <w:t>x)</w:t>
            </w:r>
            <w:r w:rsidRPr="00A25494">
              <w:rPr>
                <w:strike/>
                <w:sz w:val="20"/>
                <w:szCs w:val="20"/>
              </w:rPr>
              <w:t> mnohostranným systémom každý systém alebo platforma, v rámci ktorých môžu navzájom pôsobiť viaceré záujmy o obchodovanie tretích osôb, ak ide o kúpu a predaj finančných nástrojov; všetky mnohostranné systémy môžu byť organizované len ako regulovaný trh, mnohostranný obchodný systém alebo ako organizovaný obchodný systém podľa tohto zákona,</w:t>
            </w:r>
          </w:p>
          <w:p w14:paraId="4240027C" w14:textId="77777777" w:rsidR="00197DC0" w:rsidRPr="00197DC0" w:rsidRDefault="00197DC0" w:rsidP="00531286">
            <w:pPr>
              <w:jc w:val="both"/>
              <w:rPr>
                <w:sz w:val="20"/>
                <w:szCs w:val="20"/>
              </w:rPr>
            </w:pPr>
          </w:p>
          <w:p w14:paraId="395F9279" w14:textId="61885D08" w:rsidR="0064543A" w:rsidRPr="00197DC0" w:rsidRDefault="0064543A" w:rsidP="00531286">
            <w:pPr>
              <w:jc w:val="both"/>
              <w:rPr>
                <w:sz w:val="20"/>
                <w:szCs w:val="20"/>
              </w:rPr>
            </w:pPr>
            <w:r w:rsidRPr="00197DC0">
              <w:rPr>
                <w:sz w:val="20"/>
                <w:szCs w:val="20"/>
              </w:rPr>
              <w:t>§ 3 ods. 3 písm. x) sa následne využil na zavedenie novej definície mnohostranného systému.</w:t>
            </w:r>
          </w:p>
        </w:tc>
        <w:tc>
          <w:tcPr>
            <w:tcW w:w="709" w:type="dxa"/>
            <w:tcBorders>
              <w:top w:val="single" w:sz="4" w:space="0" w:color="auto"/>
              <w:left w:val="single" w:sz="4" w:space="0" w:color="auto"/>
              <w:right w:val="single" w:sz="4" w:space="0" w:color="auto"/>
            </w:tcBorders>
          </w:tcPr>
          <w:p w14:paraId="2282ED4C" w14:textId="77777777" w:rsidR="004B4186" w:rsidRPr="00294613" w:rsidRDefault="004B4186" w:rsidP="00531286">
            <w:pPr>
              <w:adjustRightInd w:val="0"/>
              <w:jc w:val="center"/>
              <w:rPr>
                <w:sz w:val="22"/>
                <w:szCs w:val="22"/>
              </w:rPr>
            </w:pPr>
            <w:r w:rsidRPr="00294613">
              <w:rPr>
                <w:sz w:val="22"/>
                <w:szCs w:val="22"/>
              </w:rPr>
              <w:t>Ú</w:t>
            </w:r>
          </w:p>
          <w:p w14:paraId="13D63F13" w14:textId="77777777" w:rsidR="00AE18F4" w:rsidRPr="00294613" w:rsidRDefault="00AE18F4" w:rsidP="00531286">
            <w:pPr>
              <w:adjustRightInd w:val="0"/>
              <w:jc w:val="center"/>
              <w:rPr>
                <w:color w:val="FF0000"/>
                <w:sz w:val="22"/>
                <w:szCs w:val="22"/>
              </w:rPr>
            </w:pPr>
          </w:p>
          <w:p w14:paraId="1D3E73CD" w14:textId="77777777" w:rsidR="00AE18F4" w:rsidRPr="00294613" w:rsidRDefault="00AE18F4" w:rsidP="00531286">
            <w:pPr>
              <w:adjustRightInd w:val="0"/>
              <w:jc w:val="center"/>
              <w:rPr>
                <w:color w:val="FF0000"/>
                <w:sz w:val="22"/>
                <w:szCs w:val="22"/>
              </w:rPr>
            </w:pPr>
          </w:p>
        </w:tc>
        <w:tc>
          <w:tcPr>
            <w:tcW w:w="1077" w:type="dxa"/>
            <w:tcBorders>
              <w:top w:val="single" w:sz="4" w:space="0" w:color="auto"/>
              <w:left w:val="single" w:sz="4" w:space="0" w:color="auto"/>
              <w:right w:val="single" w:sz="4" w:space="0" w:color="auto"/>
            </w:tcBorders>
          </w:tcPr>
          <w:p w14:paraId="7FED4647" w14:textId="77777777" w:rsidR="004B4186" w:rsidRPr="00531286" w:rsidRDefault="004B4186"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4CAE0495" w14:textId="77777777" w:rsidR="004B4186" w:rsidRPr="00531286"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4AF2AC75" w14:textId="77777777" w:rsidR="004B4186" w:rsidRPr="00531286" w:rsidRDefault="004B4186" w:rsidP="00531286">
            <w:pPr>
              <w:spacing w:before="75" w:after="75"/>
              <w:rPr>
                <w:sz w:val="22"/>
                <w:szCs w:val="22"/>
              </w:rPr>
            </w:pPr>
          </w:p>
        </w:tc>
      </w:tr>
      <w:tr w:rsidR="007B7151" w:rsidRPr="0066733C" w14:paraId="187791AB" w14:textId="77777777" w:rsidTr="004B4186">
        <w:tc>
          <w:tcPr>
            <w:tcW w:w="682" w:type="dxa"/>
            <w:tcBorders>
              <w:top w:val="single" w:sz="4" w:space="0" w:color="auto"/>
              <w:left w:val="single" w:sz="12" w:space="0" w:color="auto"/>
              <w:right w:val="single" w:sz="4" w:space="0" w:color="auto"/>
            </w:tcBorders>
          </w:tcPr>
          <w:p w14:paraId="0C3E67FF" w14:textId="77777777" w:rsidR="00845703" w:rsidRDefault="00845703" w:rsidP="00531286">
            <w:pPr>
              <w:jc w:val="center"/>
              <w:rPr>
                <w:sz w:val="22"/>
                <w:szCs w:val="22"/>
              </w:rPr>
            </w:pPr>
          </w:p>
          <w:p w14:paraId="54946B51" w14:textId="77777777" w:rsidR="00845703" w:rsidRDefault="00845703" w:rsidP="00531286">
            <w:pPr>
              <w:jc w:val="center"/>
              <w:rPr>
                <w:sz w:val="22"/>
                <w:szCs w:val="22"/>
              </w:rPr>
            </w:pPr>
          </w:p>
          <w:p w14:paraId="69935C70" w14:textId="77777777" w:rsidR="00845703" w:rsidRDefault="00845703" w:rsidP="00531286">
            <w:pPr>
              <w:jc w:val="center"/>
              <w:rPr>
                <w:sz w:val="22"/>
                <w:szCs w:val="22"/>
              </w:rPr>
            </w:pPr>
          </w:p>
          <w:p w14:paraId="3B53D1FD" w14:textId="77777777" w:rsidR="00845703" w:rsidRDefault="00845703" w:rsidP="00531286">
            <w:pPr>
              <w:jc w:val="center"/>
              <w:rPr>
                <w:sz w:val="22"/>
                <w:szCs w:val="22"/>
              </w:rPr>
            </w:pPr>
          </w:p>
          <w:p w14:paraId="4A9486A8" w14:textId="77777777" w:rsidR="00845703" w:rsidRDefault="00845703" w:rsidP="00531286">
            <w:pPr>
              <w:jc w:val="center"/>
              <w:rPr>
                <w:sz w:val="22"/>
                <w:szCs w:val="22"/>
              </w:rPr>
            </w:pPr>
          </w:p>
          <w:p w14:paraId="4E73B949" w14:textId="63B8FB7B" w:rsidR="007B7151" w:rsidRPr="00531286" w:rsidRDefault="007B7151" w:rsidP="00531286">
            <w:pPr>
              <w:jc w:val="center"/>
              <w:rPr>
                <w:sz w:val="22"/>
                <w:szCs w:val="22"/>
              </w:rPr>
            </w:pPr>
            <w:r w:rsidRPr="00531286">
              <w:rPr>
                <w:sz w:val="22"/>
                <w:szCs w:val="22"/>
              </w:rPr>
              <w:t>Č:</w:t>
            </w:r>
            <w:r w:rsidR="00C524AF" w:rsidRPr="00531286">
              <w:rPr>
                <w:sz w:val="22"/>
                <w:szCs w:val="22"/>
              </w:rPr>
              <w:t>1</w:t>
            </w:r>
          </w:p>
          <w:p w14:paraId="489801D5" w14:textId="77777777" w:rsidR="007B7151" w:rsidRPr="00531286" w:rsidRDefault="007B7151" w:rsidP="00531286">
            <w:pPr>
              <w:jc w:val="center"/>
              <w:rPr>
                <w:sz w:val="22"/>
                <w:szCs w:val="22"/>
              </w:rPr>
            </w:pPr>
            <w:r w:rsidRPr="00531286">
              <w:rPr>
                <w:sz w:val="22"/>
                <w:szCs w:val="22"/>
              </w:rPr>
              <w:t>O:</w:t>
            </w:r>
            <w:r w:rsidR="00C524AF" w:rsidRPr="00531286">
              <w:rPr>
                <w:sz w:val="22"/>
                <w:szCs w:val="22"/>
              </w:rPr>
              <w:t>2</w:t>
            </w:r>
          </w:p>
          <w:p w14:paraId="0A8B19D4" w14:textId="77777777" w:rsidR="00CA3218" w:rsidRPr="00531286" w:rsidRDefault="00CA3218" w:rsidP="00531286">
            <w:pPr>
              <w:jc w:val="center"/>
              <w:rPr>
                <w:sz w:val="22"/>
                <w:szCs w:val="22"/>
              </w:rPr>
            </w:pPr>
          </w:p>
          <w:p w14:paraId="156A9E81" w14:textId="77777777" w:rsidR="00CA3218" w:rsidRPr="00531286" w:rsidRDefault="00CA3218" w:rsidP="00531286">
            <w:pPr>
              <w:jc w:val="center"/>
              <w:rPr>
                <w:sz w:val="22"/>
                <w:szCs w:val="22"/>
              </w:rPr>
            </w:pPr>
          </w:p>
          <w:p w14:paraId="364F6F17" w14:textId="77777777" w:rsidR="00CA3218" w:rsidRPr="00531286" w:rsidRDefault="00CA3218" w:rsidP="00531286">
            <w:pPr>
              <w:jc w:val="center"/>
              <w:rPr>
                <w:sz w:val="22"/>
                <w:szCs w:val="22"/>
              </w:rPr>
            </w:pPr>
          </w:p>
          <w:p w14:paraId="20658FFC" w14:textId="77777777" w:rsidR="00CA3218" w:rsidRPr="00531286" w:rsidRDefault="00CA3218" w:rsidP="00531286">
            <w:pPr>
              <w:jc w:val="center"/>
              <w:rPr>
                <w:sz w:val="22"/>
                <w:szCs w:val="22"/>
              </w:rPr>
            </w:pPr>
          </w:p>
          <w:p w14:paraId="73518D16" w14:textId="77777777" w:rsidR="00CA3218" w:rsidRPr="00531286" w:rsidRDefault="00CA3218" w:rsidP="00531286">
            <w:pPr>
              <w:jc w:val="center"/>
              <w:rPr>
                <w:sz w:val="22"/>
                <w:szCs w:val="22"/>
              </w:rPr>
            </w:pPr>
          </w:p>
          <w:p w14:paraId="1A9E7D54" w14:textId="77777777" w:rsidR="00CA3218" w:rsidRPr="00531286" w:rsidRDefault="00CA3218" w:rsidP="00531286">
            <w:pPr>
              <w:jc w:val="center"/>
              <w:rPr>
                <w:sz w:val="22"/>
                <w:szCs w:val="22"/>
              </w:rPr>
            </w:pPr>
          </w:p>
          <w:p w14:paraId="4D3ACE91" w14:textId="77777777" w:rsidR="00CA3218" w:rsidRPr="00531286" w:rsidRDefault="00CA3218" w:rsidP="00531286">
            <w:pPr>
              <w:jc w:val="center"/>
              <w:rPr>
                <w:sz w:val="22"/>
                <w:szCs w:val="22"/>
              </w:rPr>
            </w:pPr>
          </w:p>
          <w:p w14:paraId="64135C5A" w14:textId="77777777" w:rsidR="00CA3218" w:rsidRPr="00531286" w:rsidRDefault="00CA3218" w:rsidP="00531286">
            <w:pPr>
              <w:jc w:val="center"/>
              <w:rPr>
                <w:sz w:val="22"/>
                <w:szCs w:val="22"/>
              </w:rPr>
            </w:pPr>
          </w:p>
          <w:p w14:paraId="55CAD411" w14:textId="77777777" w:rsidR="00CA3218" w:rsidRPr="00531286" w:rsidRDefault="00CA3218" w:rsidP="00531286">
            <w:pPr>
              <w:jc w:val="center"/>
              <w:rPr>
                <w:sz w:val="22"/>
                <w:szCs w:val="22"/>
              </w:rPr>
            </w:pPr>
          </w:p>
          <w:p w14:paraId="6136752D" w14:textId="77777777" w:rsidR="00CA3218" w:rsidRPr="00531286" w:rsidRDefault="00CA3218" w:rsidP="00531286">
            <w:pPr>
              <w:jc w:val="center"/>
              <w:rPr>
                <w:sz w:val="22"/>
                <w:szCs w:val="22"/>
              </w:rPr>
            </w:pPr>
          </w:p>
          <w:p w14:paraId="013A39DC" w14:textId="77777777" w:rsidR="00CA3218" w:rsidRPr="00531286" w:rsidRDefault="00CA3218" w:rsidP="00531286">
            <w:pPr>
              <w:jc w:val="center"/>
              <w:rPr>
                <w:sz w:val="22"/>
                <w:szCs w:val="22"/>
              </w:rPr>
            </w:pPr>
          </w:p>
          <w:p w14:paraId="31CA5FB9" w14:textId="77777777" w:rsidR="00CA3218" w:rsidRPr="00531286" w:rsidRDefault="00CA3218" w:rsidP="00531286">
            <w:pPr>
              <w:jc w:val="center"/>
              <w:rPr>
                <w:sz w:val="22"/>
                <w:szCs w:val="22"/>
              </w:rPr>
            </w:pPr>
          </w:p>
          <w:p w14:paraId="3BC71BE4" w14:textId="77777777" w:rsidR="00CA3218" w:rsidRPr="00531286" w:rsidRDefault="00CA3218" w:rsidP="00531286">
            <w:pPr>
              <w:jc w:val="center"/>
              <w:rPr>
                <w:sz w:val="22"/>
                <w:szCs w:val="22"/>
              </w:rPr>
            </w:pPr>
          </w:p>
          <w:p w14:paraId="6085DD72" w14:textId="77777777" w:rsidR="007B7151" w:rsidRPr="00531286" w:rsidRDefault="007B7151" w:rsidP="00531286">
            <w:pPr>
              <w:jc w:val="center"/>
              <w:rPr>
                <w:sz w:val="22"/>
                <w:szCs w:val="22"/>
              </w:rPr>
            </w:pPr>
          </w:p>
        </w:tc>
        <w:tc>
          <w:tcPr>
            <w:tcW w:w="4620" w:type="dxa"/>
            <w:tcBorders>
              <w:top w:val="single" w:sz="4" w:space="0" w:color="auto"/>
              <w:left w:val="single" w:sz="4" w:space="0" w:color="auto"/>
              <w:right w:val="single" w:sz="4" w:space="0" w:color="auto"/>
            </w:tcBorders>
          </w:tcPr>
          <w:p w14:paraId="0BE869E1" w14:textId="77777777" w:rsidR="00845703" w:rsidRPr="00892973" w:rsidRDefault="00845703" w:rsidP="00012561">
            <w:pPr>
              <w:pStyle w:val="ManualNumPar1"/>
              <w:tabs>
                <w:tab w:val="left" w:pos="851"/>
                <w:tab w:val="left" w:pos="1418"/>
                <w:tab w:val="left" w:pos="1985"/>
                <w:tab w:val="left" w:pos="2552"/>
              </w:tabs>
              <w:spacing w:line="360" w:lineRule="auto"/>
              <w:jc w:val="left"/>
              <w:rPr>
                <w:sz w:val="22"/>
                <w:lang w:val="sk-SK"/>
              </w:rPr>
            </w:pPr>
          </w:p>
          <w:p w14:paraId="0A8D37E2" w14:textId="6A0CE635" w:rsidR="00012561" w:rsidRPr="00892973" w:rsidRDefault="00012561" w:rsidP="00012561">
            <w:pPr>
              <w:pStyle w:val="ManualNumPar1"/>
              <w:tabs>
                <w:tab w:val="left" w:pos="851"/>
                <w:tab w:val="left" w:pos="1418"/>
                <w:tab w:val="left" w:pos="1985"/>
                <w:tab w:val="left" w:pos="2552"/>
              </w:tabs>
              <w:spacing w:line="360" w:lineRule="auto"/>
              <w:jc w:val="left"/>
              <w:rPr>
                <w:noProof/>
                <w:sz w:val="22"/>
                <w:lang w:val="sk-SK"/>
              </w:rPr>
            </w:pPr>
            <w:r w:rsidRPr="00892973">
              <w:rPr>
                <w:sz w:val="22"/>
                <w:lang w:val="sk-SK"/>
              </w:rPr>
              <w:lastRenderedPageBreak/>
              <w:t>V článku 2 ods. 1 písm. d) sa bod ii) nahrádza takto:</w:t>
            </w:r>
          </w:p>
          <w:p w14:paraId="66A587EE" w14:textId="77777777" w:rsidR="00012561" w:rsidRPr="00892973" w:rsidRDefault="00012561" w:rsidP="00012561">
            <w:pPr>
              <w:pStyle w:val="Text1"/>
              <w:tabs>
                <w:tab w:val="left" w:pos="851"/>
                <w:tab w:val="left" w:pos="1418"/>
                <w:tab w:val="left" w:pos="1985"/>
                <w:tab w:val="left" w:pos="2552"/>
              </w:tabs>
              <w:spacing w:line="360" w:lineRule="auto"/>
              <w:ind w:left="568" w:hanging="568"/>
              <w:jc w:val="left"/>
              <w:rPr>
                <w:noProof/>
                <w:sz w:val="22"/>
                <w:lang w:val="sk-SK"/>
              </w:rPr>
            </w:pPr>
            <w:r w:rsidRPr="00892973">
              <w:rPr>
                <w:sz w:val="22"/>
                <w:lang w:val="sk-SK"/>
              </w:rPr>
              <w:t>„ii)</w:t>
            </w:r>
            <w:r w:rsidRPr="00892973">
              <w:rPr>
                <w:sz w:val="22"/>
                <w:lang w:val="sk-SK"/>
              </w:rPr>
              <w:tab/>
              <w:t xml:space="preserve">sú členmi alebo účastníkmi regulovaného trhu alebo MTF </w:t>
            </w:r>
            <w:r w:rsidRPr="00892973">
              <w:rPr>
                <w:b/>
                <w:i/>
                <w:sz w:val="22"/>
                <w:lang w:val="sk-SK"/>
              </w:rPr>
              <w:t>s výnimkou nefinančných subjektov, ktoré vykonávajú transakcie na obchodnom mieste, ak tieto transakcie sú súčasťou riadenia likvidity alebo sú objektívne merateľné ako transakcie znižujúce riziká priamo súvisiace s obchodnou činnosťou alebo činnosťou podnikového (</w:t>
            </w:r>
            <w:proofErr w:type="spellStart"/>
            <w:r w:rsidRPr="00892973">
              <w:rPr>
                <w:b/>
                <w:i/>
                <w:sz w:val="22"/>
                <w:lang w:val="sk-SK"/>
              </w:rPr>
              <w:t>treasury</w:t>
            </w:r>
            <w:proofErr w:type="spellEnd"/>
            <w:r w:rsidRPr="00892973">
              <w:rPr>
                <w:b/>
                <w:i/>
                <w:sz w:val="22"/>
                <w:lang w:val="sk-SK"/>
              </w:rPr>
              <w:t>) financovania týchto nefinančných subjektov alebo ich skupín;“.</w:t>
            </w:r>
          </w:p>
          <w:p w14:paraId="775CA374" w14:textId="77777777" w:rsidR="007B7151" w:rsidRPr="00892973" w:rsidRDefault="007B7151" w:rsidP="00531286">
            <w:pPr>
              <w:pStyle w:val="Bezriadkovania"/>
              <w:ind w:left="83"/>
              <w:rPr>
                <w:rFonts w:ascii="Times New Roman" w:hAnsi="Times New Roman" w:cs="Times New Roman"/>
                <w:b/>
                <w:bCs/>
                <w:color w:val="000000"/>
                <w:highlight w:val="yellow"/>
              </w:rPr>
            </w:pPr>
          </w:p>
        </w:tc>
        <w:tc>
          <w:tcPr>
            <w:tcW w:w="850" w:type="dxa"/>
            <w:tcBorders>
              <w:top w:val="single" w:sz="4" w:space="0" w:color="auto"/>
              <w:left w:val="single" w:sz="4" w:space="0" w:color="auto"/>
              <w:right w:val="single" w:sz="12" w:space="0" w:color="auto"/>
            </w:tcBorders>
          </w:tcPr>
          <w:p w14:paraId="37F78BDB" w14:textId="77777777" w:rsidR="00F4367B" w:rsidRPr="00531286" w:rsidRDefault="00F4367B" w:rsidP="00531286">
            <w:pPr>
              <w:adjustRightInd w:val="0"/>
              <w:jc w:val="center"/>
              <w:rPr>
                <w:color w:val="000000"/>
                <w:sz w:val="22"/>
                <w:szCs w:val="22"/>
              </w:rPr>
            </w:pPr>
          </w:p>
          <w:p w14:paraId="2EBD2DFF" w14:textId="77777777" w:rsidR="00F4367B" w:rsidRPr="00531286" w:rsidRDefault="00F4367B" w:rsidP="00531286">
            <w:pPr>
              <w:adjustRightInd w:val="0"/>
              <w:jc w:val="center"/>
              <w:rPr>
                <w:color w:val="000000"/>
                <w:sz w:val="22"/>
                <w:szCs w:val="22"/>
              </w:rPr>
            </w:pPr>
          </w:p>
          <w:p w14:paraId="2A9A5685" w14:textId="77777777" w:rsidR="00F4367B" w:rsidRPr="00531286" w:rsidRDefault="00F4367B" w:rsidP="00531286">
            <w:pPr>
              <w:adjustRightInd w:val="0"/>
              <w:jc w:val="center"/>
              <w:rPr>
                <w:color w:val="000000"/>
                <w:sz w:val="22"/>
                <w:szCs w:val="22"/>
              </w:rPr>
            </w:pPr>
          </w:p>
          <w:p w14:paraId="7DF5FFB5" w14:textId="539CBFA0" w:rsidR="00F4367B" w:rsidRDefault="00F4367B" w:rsidP="00531286">
            <w:pPr>
              <w:adjustRightInd w:val="0"/>
              <w:jc w:val="center"/>
              <w:rPr>
                <w:color w:val="000000"/>
                <w:sz w:val="22"/>
                <w:szCs w:val="22"/>
              </w:rPr>
            </w:pPr>
          </w:p>
          <w:p w14:paraId="3F7040EE" w14:textId="77777777" w:rsidR="00845703" w:rsidRPr="00531286" w:rsidRDefault="00845703" w:rsidP="00531286">
            <w:pPr>
              <w:adjustRightInd w:val="0"/>
              <w:jc w:val="center"/>
              <w:rPr>
                <w:color w:val="000000"/>
                <w:sz w:val="22"/>
                <w:szCs w:val="22"/>
              </w:rPr>
            </w:pPr>
          </w:p>
          <w:p w14:paraId="615FC953" w14:textId="77777777" w:rsidR="007B7151" w:rsidRPr="00531286" w:rsidRDefault="007B7151" w:rsidP="00531286">
            <w:pPr>
              <w:adjustRightInd w:val="0"/>
              <w:jc w:val="center"/>
              <w:rPr>
                <w:color w:val="000000"/>
                <w:sz w:val="22"/>
                <w:szCs w:val="22"/>
              </w:rPr>
            </w:pPr>
            <w:r w:rsidRPr="00531286">
              <w:rPr>
                <w:color w:val="000000"/>
                <w:sz w:val="22"/>
                <w:szCs w:val="22"/>
              </w:rPr>
              <w:t>N</w:t>
            </w:r>
          </w:p>
          <w:p w14:paraId="32BB57AF" w14:textId="77777777" w:rsidR="00F4367B" w:rsidRPr="00531286" w:rsidRDefault="00F4367B" w:rsidP="00531286">
            <w:pPr>
              <w:adjustRightInd w:val="0"/>
              <w:jc w:val="center"/>
              <w:rPr>
                <w:color w:val="000000"/>
                <w:sz w:val="22"/>
                <w:szCs w:val="22"/>
              </w:rPr>
            </w:pPr>
          </w:p>
          <w:p w14:paraId="581FA8F1" w14:textId="77777777" w:rsidR="00F4367B" w:rsidRPr="00531286" w:rsidRDefault="00F4367B" w:rsidP="00531286">
            <w:pPr>
              <w:adjustRightInd w:val="0"/>
              <w:jc w:val="center"/>
              <w:rPr>
                <w:color w:val="000000"/>
                <w:sz w:val="22"/>
                <w:szCs w:val="22"/>
              </w:rPr>
            </w:pPr>
          </w:p>
          <w:p w14:paraId="51A1139F" w14:textId="77777777" w:rsidR="00F4367B" w:rsidRPr="00531286" w:rsidRDefault="00F4367B" w:rsidP="00531286">
            <w:pPr>
              <w:adjustRightInd w:val="0"/>
              <w:jc w:val="center"/>
              <w:rPr>
                <w:color w:val="000000"/>
                <w:sz w:val="22"/>
                <w:szCs w:val="22"/>
              </w:rPr>
            </w:pPr>
          </w:p>
          <w:p w14:paraId="2B7A8E15" w14:textId="77777777" w:rsidR="00F4367B" w:rsidRPr="00531286" w:rsidRDefault="00F4367B" w:rsidP="00531286">
            <w:pPr>
              <w:adjustRightInd w:val="0"/>
              <w:jc w:val="center"/>
              <w:rPr>
                <w:color w:val="000000"/>
                <w:sz w:val="22"/>
                <w:szCs w:val="22"/>
              </w:rPr>
            </w:pPr>
          </w:p>
          <w:p w14:paraId="17A994DF" w14:textId="77777777" w:rsidR="00F4367B" w:rsidRPr="00531286" w:rsidRDefault="00F4367B" w:rsidP="00531286">
            <w:pPr>
              <w:adjustRightInd w:val="0"/>
              <w:jc w:val="center"/>
              <w:rPr>
                <w:color w:val="000000"/>
                <w:sz w:val="22"/>
                <w:szCs w:val="22"/>
              </w:rPr>
            </w:pPr>
          </w:p>
          <w:p w14:paraId="5FC0EF4C" w14:textId="77777777" w:rsidR="00F4367B" w:rsidRPr="00531286" w:rsidRDefault="00F4367B" w:rsidP="00531286">
            <w:pPr>
              <w:adjustRightInd w:val="0"/>
              <w:jc w:val="center"/>
              <w:rPr>
                <w:color w:val="000000"/>
                <w:sz w:val="22"/>
                <w:szCs w:val="22"/>
              </w:rPr>
            </w:pPr>
          </w:p>
          <w:p w14:paraId="07A930F9" w14:textId="77777777" w:rsidR="00F4367B" w:rsidRPr="00531286" w:rsidRDefault="00F4367B" w:rsidP="00531286">
            <w:pPr>
              <w:adjustRightInd w:val="0"/>
              <w:jc w:val="center"/>
              <w:rPr>
                <w:color w:val="000000"/>
                <w:sz w:val="22"/>
                <w:szCs w:val="22"/>
              </w:rPr>
            </w:pPr>
          </w:p>
        </w:tc>
        <w:tc>
          <w:tcPr>
            <w:tcW w:w="993" w:type="dxa"/>
            <w:tcBorders>
              <w:top w:val="single" w:sz="4" w:space="0" w:color="auto"/>
              <w:left w:val="nil"/>
              <w:right w:val="single" w:sz="4" w:space="0" w:color="auto"/>
            </w:tcBorders>
          </w:tcPr>
          <w:p w14:paraId="00C86553" w14:textId="77777777" w:rsidR="00F4367B" w:rsidRPr="00531286" w:rsidRDefault="00F4367B" w:rsidP="00531286">
            <w:pPr>
              <w:rPr>
                <w:bCs/>
                <w:sz w:val="22"/>
                <w:szCs w:val="22"/>
                <w:highlight w:val="yellow"/>
              </w:rPr>
            </w:pPr>
          </w:p>
          <w:p w14:paraId="22E3E2B7" w14:textId="77777777" w:rsidR="00F4367B" w:rsidRPr="00531286" w:rsidRDefault="00F4367B" w:rsidP="00531286">
            <w:pPr>
              <w:rPr>
                <w:bCs/>
                <w:sz w:val="22"/>
                <w:szCs w:val="22"/>
                <w:highlight w:val="yellow"/>
              </w:rPr>
            </w:pPr>
          </w:p>
          <w:p w14:paraId="1B7D5DDA" w14:textId="77777777" w:rsidR="00F4367B" w:rsidRPr="00531286" w:rsidRDefault="00F4367B" w:rsidP="00531286">
            <w:pPr>
              <w:rPr>
                <w:bCs/>
                <w:sz w:val="22"/>
                <w:szCs w:val="22"/>
                <w:highlight w:val="yellow"/>
              </w:rPr>
            </w:pPr>
          </w:p>
          <w:p w14:paraId="33862B3B" w14:textId="46AD6C9D" w:rsidR="00F4367B" w:rsidRPr="004A4493" w:rsidRDefault="00F4367B" w:rsidP="00531286">
            <w:pPr>
              <w:rPr>
                <w:bCs/>
                <w:sz w:val="22"/>
                <w:szCs w:val="22"/>
              </w:rPr>
            </w:pPr>
          </w:p>
          <w:p w14:paraId="062CA14C" w14:textId="77777777" w:rsidR="00845703" w:rsidRPr="004A4493" w:rsidRDefault="00845703" w:rsidP="00531286">
            <w:pPr>
              <w:rPr>
                <w:bCs/>
                <w:sz w:val="22"/>
                <w:szCs w:val="22"/>
              </w:rPr>
            </w:pPr>
          </w:p>
          <w:p w14:paraId="3D354D04" w14:textId="77777777" w:rsidR="00531286" w:rsidRPr="00A01AAB" w:rsidRDefault="00531286" w:rsidP="00531286">
            <w:pPr>
              <w:rPr>
                <w:b/>
                <w:bCs/>
                <w:sz w:val="22"/>
                <w:szCs w:val="22"/>
              </w:rPr>
            </w:pPr>
            <w:r w:rsidRPr="004A4493">
              <w:rPr>
                <w:b/>
                <w:bCs/>
                <w:sz w:val="22"/>
                <w:szCs w:val="22"/>
              </w:rPr>
              <w:t>Návrh</w:t>
            </w:r>
          </w:p>
          <w:p w14:paraId="40D854BA" w14:textId="77777777" w:rsidR="00531286" w:rsidRPr="00A01AAB" w:rsidRDefault="00531286" w:rsidP="00531286">
            <w:pPr>
              <w:rPr>
                <w:b/>
                <w:bCs/>
                <w:sz w:val="22"/>
                <w:szCs w:val="22"/>
              </w:rPr>
            </w:pPr>
            <w:r w:rsidRPr="00A01AAB">
              <w:rPr>
                <w:b/>
                <w:bCs/>
                <w:sz w:val="22"/>
                <w:szCs w:val="22"/>
              </w:rPr>
              <w:t xml:space="preserve">Čl. I. </w:t>
            </w:r>
          </w:p>
          <w:p w14:paraId="463743A1" w14:textId="74BF0929" w:rsidR="00531286" w:rsidRPr="00531286" w:rsidRDefault="00531286" w:rsidP="00531286">
            <w:pPr>
              <w:adjustRightInd w:val="0"/>
              <w:rPr>
                <w:color w:val="000000"/>
                <w:sz w:val="22"/>
                <w:szCs w:val="22"/>
              </w:rPr>
            </w:pPr>
            <w:r w:rsidRPr="00A01AAB">
              <w:rPr>
                <w:b/>
                <w:bCs/>
                <w:sz w:val="22"/>
                <w:szCs w:val="22"/>
              </w:rPr>
              <w:t xml:space="preserve">Bod </w:t>
            </w:r>
            <w:r w:rsidR="00007B33">
              <w:rPr>
                <w:b/>
                <w:bCs/>
                <w:sz w:val="22"/>
                <w:szCs w:val="22"/>
              </w:rPr>
              <w:t>4</w:t>
            </w:r>
          </w:p>
          <w:p w14:paraId="512A4C15" w14:textId="77777777" w:rsidR="0038272A" w:rsidRPr="00531286" w:rsidRDefault="0038272A" w:rsidP="00531286">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5EB59E3D" w14:textId="77777777" w:rsidR="00F4367B" w:rsidRPr="00531286" w:rsidRDefault="00F4367B" w:rsidP="00531286">
            <w:pPr>
              <w:adjustRightInd w:val="0"/>
              <w:jc w:val="center"/>
              <w:rPr>
                <w:color w:val="000000"/>
                <w:sz w:val="22"/>
                <w:szCs w:val="22"/>
              </w:rPr>
            </w:pPr>
          </w:p>
          <w:p w14:paraId="7884777A" w14:textId="77777777" w:rsidR="00F4367B" w:rsidRPr="00531286" w:rsidRDefault="00F4367B" w:rsidP="00531286">
            <w:pPr>
              <w:adjustRightInd w:val="0"/>
              <w:jc w:val="center"/>
              <w:rPr>
                <w:color w:val="000000"/>
                <w:sz w:val="22"/>
                <w:szCs w:val="22"/>
              </w:rPr>
            </w:pPr>
          </w:p>
          <w:p w14:paraId="0CE8840D" w14:textId="59442A1A" w:rsidR="00F4367B" w:rsidRDefault="00F4367B" w:rsidP="00531286">
            <w:pPr>
              <w:adjustRightInd w:val="0"/>
              <w:jc w:val="center"/>
              <w:rPr>
                <w:color w:val="000000"/>
                <w:sz w:val="22"/>
                <w:szCs w:val="22"/>
              </w:rPr>
            </w:pPr>
          </w:p>
          <w:p w14:paraId="27100D33" w14:textId="77777777" w:rsidR="00845703" w:rsidRPr="00531286" w:rsidRDefault="00845703" w:rsidP="00531286">
            <w:pPr>
              <w:adjustRightInd w:val="0"/>
              <w:jc w:val="center"/>
              <w:rPr>
                <w:color w:val="000000"/>
                <w:sz w:val="22"/>
                <w:szCs w:val="22"/>
              </w:rPr>
            </w:pPr>
          </w:p>
          <w:p w14:paraId="4F1E9C98" w14:textId="77777777" w:rsidR="00F4367B" w:rsidRPr="00531286" w:rsidRDefault="00F4367B" w:rsidP="00531286">
            <w:pPr>
              <w:adjustRightInd w:val="0"/>
              <w:jc w:val="center"/>
              <w:rPr>
                <w:color w:val="000000"/>
                <w:sz w:val="22"/>
                <w:szCs w:val="22"/>
              </w:rPr>
            </w:pPr>
          </w:p>
          <w:p w14:paraId="646A640F" w14:textId="77777777" w:rsidR="00F4367B" w:rsidRPr="00531286" w:rsidRDefault="00F4367B" w:rsidP="00531286">
            <w:pPr>
              <w:adjustRightInd w:val="0"/>
              <w:jc w:val="center"/>
              <w:rPr>
                <w:color w:val="000000"/>
                <w:sz w:val="22"/>
                <w:szCs w:val="22"/>
              </w:rPr>
            </w:pPr>
            <w:r w:rsidRPr="00531286">
              <w:rPr>
                <w:color w:val="000000"/>
                <w:sz w:val="22"/>
                <w:szCs w:val="22"/>
              </w:rPr>
              <w:t xml:space="preserve">§ </w:t>
            </w:r>
            <w:r w:rsidR="00A01AAB">
              <w:rPr>
                <w:color w:val="000000"/>
                <w:sz w:val="22"/>
                <w:szCs w:val="22"/>
              </w:rPr>
              <w:t>54</w:t>
            </w:r>
          </w:p>
          <w:p w14:paraId="608D826B" w14:textId="77777777" w:rsidR="00F4367B" w:rsidRDefault="00F4367B" w:rsidP="00531286">
            <w:pPr>
              <w:adjustRightInd w:val="0"/>
              <w:jc w:val="center"/>
              <w:rPr>
                <w:color w:val="000000"/>
                <w:sz w:val="22"/>
                <w:szCs w:val="22"/>
              </w:rPr>
            </w:pPr>
            <w:r w:rsidRPr="00531286">
              <w:rPr>
                <w:color w:val="000000"/>
                <w:sz w:val="22"/>
                <w:szCs w:val="22"/>
              </w:rPr>
              <w:t xml:space="preserve">O: </w:t>
            </w:r>
            <w:r w:rsidR="00A01AAB">
              <w:rPr>
                <w:color w:val="000000"/>
                <w:sz w:val="22"/>
                <w:szCs w:val="22"/>
              </w:rPr>
              <w:t>3</w:t>
            </w:r>
          </w:p>
          <w:p w14:paraId="2FD11D16" w14:textId="77777777" w:rsidR="00A01AAB" w:rsidRDefault="00A01AAB" w:rsidP="00531286">
            <w:pPr>
              <w:adjustRightInd w:val="0"/>
              <w:jc w:val="center"/>
              <w:rPr>
                <w:color w:val="000000"/>
                <w:sz w:val="22"/>
                <w:szCs w:val="22"/>
              </w:rPr>
            </w:pPr>
            <w:r>
              <w:rPr>
                <w:color w:val="000000"/>
                <w:sz w:val="22"/>
                <w:szCs w:val="22"/>
              </w:rPr>
              <w:t>P: d)</w:t>
            </w:r>
          </w:p>
          <w:p w14:paraId="0455A325" w14:textId="77777777" w:rsidR="00A01AAB" w:rsidRPr="00531286" w:rsidRDefault="00A01AAB" w:rsidP="00531286">
            <w:pPr>
              <w:adjustRightInd w:val="0"/>
              <w:jc w:val="center"/>
              <w:rPr>
                <w:color w:val="000000"/>
                <w:sz w:val="22"/>
                <w:szCs w:val="22"/>
              </w:rPr>
            </w:pPr>
            <w:r>
              <w:rPr>
                <w:color w:val="000000"/>
                <w:sz w:val="22"/>
                <w:szCs w:val="22"/>
              </w:rPr>
              <w:t>B: 2</w:t>
            </w:r>
          </w:p>
          <w:p w14:paraId="64608739" w14:textId="77777777" w:rsidR="007B7151" w:rsidRPr="00531286" w:rsidRDefault="007B7151" w:rsidP="00531286">
            <w:pPr>
              <w:jc w:val="center"/>
              <w:rPr>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56BC8007" w14:textId="0EF561B9" w:rsidR="00A01AAB" w:rsidRDefault="00A01AAB" w:rsidP="00531286">
            <w:pPr>
              <w:jc w:val="both"/>
              <w:rPr>
                <w:noProof/>
              </w:rPr>
            </w:pPr>
          </w:p>
          <w:p w14:paraId="76B2A2DC" w14:textId="010B36EC" w:rsidR="00845703" w:rsidRDefault="00845703" w:rsidP="00531286">
            <w:pPr>
              <w:jc w:val="both"/>
              <w:rPr>
                <w:noProof/>
              </w:rPr>
            </w:pPr>
          </w:p>
          <w:p w14:paraId="2646A000" w14:textId="12ECCDB0" w:rsidR="00845703" w:rsidRDefault="00845703" w:rsidP="00531286">
            <w:pPr>
              <w:jc w:val="both"/>
              <w:rPr>
                <w:noProof/>
              </w:rPr>
            </w:pPr>
          </w:p>
          <w:p w14:paraId="219BA4FE" w14:textId="77777777" w:rsidR="00845703" w:rsidRDefault="00845703" w:rsidP="00531286">
            <w:pPr>
              <w:jc w:val="both"/>
              <w:rPr>
                <w:noProof/>
              </w:rPr>
            </w:pPr>
          </w:p>
          <w:p w14:paraId="188876DE" w14:textId="77777777" w:rsidR="00A01AAB" w:rsidRPr="00A01AAB" w:rsidRDefault="00A01AAB" w:rsidP="00531286">
            <w:pPr>
              <w:jc w:val="both"/>
              <w:rPr>
                <w:noProof/>
                <w:sz w:val="20"/>
                <w:szCs w:val="20"/>
              </w:rPr>
            </w:pPr>
          </w:p>
          <w:p w14:paraId="4644F2D2" w14:textId="1F489A09" w:rsidR="00F4367B" w:rsidRPr="00531286" w:rsidRDefault="00A01AAB" w:rsidP="00531286">
            <w:pPr>
              <w:jc w:val="both"/>
              <w:rPr>
                <w:b/>
                <w:sz w:val="22"/>
                <w:szCs w:val="22"/>
                <w:highlight w:val="yellow"/>
              </w:rPr>
            </w:pPr>
            <w:r w:rsidRPr="00B21378">
              <w:rPr>
                <w:b/>
                <w:noProof/>
                <w:sz w:val="20"/>
                <w:szCs w:val="20"/>
              </w:rPr>
              <w:t>2.</w:t>
            </w:r>
            <w:bookmarkStart w:id="1" w:name="paragraf-54.odsek-3.pismeno-d.bod-2.text"/>
            <w:r w:rsidRPr="00A01AAB">
              <w:rPr>
                <w:noProof/>
                <w:sz w:val="20"/>
                <w:szCs w:val="20"/>
              </w:rPr>
              <w:t xml:space="preserve"> </w:t>
            </w:r>
            <w:bookmarkStart w:id="2" w:name="_Hlk196460289"/>
            <w:r w:rsidR="00DB5FC5" w:rsidRPr="00DB5FC5">
              <w:rPr>
                <w:b/>
                <w:bCs/>
                <w:noProof/>
                <w:sz w:val="20"/>
                <w:szCs w:val="20"/>
              </w:rPr>
              <w:t xml:space="preserve">sú členmi alebo účastníkmi regulovaného trhu alebo sú členmi alebo účastníkmi mnohostranného obchodného systému okrem nefinančných subjektov, ktoré vykonávajú transakcie na obchodnom mieste, ak tieto transakcie sú súčasťou </w:t>
            </w:r>
            <w:r w:rsidR="00DB5FC5" w:rsidRPr="00DB5FC5">
              <w:rPr>
                <w:b/>
                <w:bCs/>
                <w:noProof/>
                <w:sz w:val="20"/>
                <w:szCs w:val="20"/>
                <w:shd w:val="clear" w:color="auto" w:fill="FFFFFF"/>
              </w:rPr>
              <w:t>riadenia likvidity alebo</w:t>
            </w:r>
            <w:r w:rsidR="00DB5FC5" w:rsidRPr="00DB5FC5">
              <w:rPr>
                <w:b/>
                <w:bCs/>
                <w:noProof/>
                <w:sz w:val="20"/>
                <w:szCs w:val="20"/>
              </w:rPr>
              <w:t xml:space="preserve"> je možné ich objektívne považovať za znižujúce riziká priamo súvisiace s obchodnou činnosťou alebo s podnikovým financovaním týchto nefinančných subjektov alebo ich skupín</w:t>
            </w:r>
            <w:bookmarkEnd w:id="2"/>
            <w:r w:rsidRPr="00007B33">
              <w:rPr>
                <w:b/>
                <w:bCs/>
                <w:sz w:val="20"/>
                <w:szCs w:val="20"/>
              </w:rPr>
              <w:t>,</w:t>
            </w:r>
            <w:bookmarkEnd w:id="1"/>
          </w:p>
        </w:tc>
        <w:tc>
          <w:tcPr>
            <w:tcW w:w="709" w:type="dxa"/>
            <w:tcBorders>
              <w:top w:val="single" w:sz="4" w:space="0" w:color="auto"/>
              <w:left w:val="single" w:sz="4" w:space="0" w:color="auto"/>
              <w:right w:val="single" w:sz="4" w:space="0" w:color="auto"/>
            </w:tcBorders>
          </w:tcPr>
          <w:p w14:paraId="5E2449C3" w14:textId="77777777" w:rsidR="00F4367B" w:rsidRPr="00531286" w:rsidRDefault="00F4367B" w:rsidP="00531286">
            <w:pPr>
              <w:adjustRightInd w:val="0"/>
              <w:jc w:val="center"/>
              <w:rPr>
                <w:color w:val="000000"/>
                <w:sz w:val="22"/>
                <w:szCs w:val="22"/>
              </w:rPr>
            </w:pPr>
          </w:p>
          <w:p w14:paraId="312EB820" w14:textId="77777777" w:rsidR="00F4367B" w:rsidRPr="00531286" w:rsidRDefault="00F4367B" w:rsidP="00531286">
            <w:pPr>
              <w:adjustRightInd w:val="0"/>
              <w:jc w:val="center"/>
              <w:rPr>
                <w:color w:val="000000"/>
                <w:sz w:val="22"/>
                <w:szCs w:val="22"/>
              </w:rPr>
            </w:pPr>
          </w:p>
          <w:p w14:paraId="685A67E2" w14:textId="361F171A" w:rsidR="00F4367B" w:rsidRDefault="00F4367B" w:rsidP="00531286">
            <w:pPr>
              <w:adjustRightInd w:val="0"/>
              <w:jc w:val="center"/>
              <w:rPr>
                <w:color w:val="000000"/>
                <w:sz w:val="22"/>
                <w:szCs w:val="22"/>
              </w:rPr>
            </w:pPr>
          </w:p>
          <w:p w14:paraId="61C6144A" w14:textId="77777777" w:rsidR="00845703" w:rsidRPr="00531286" w:rsidRDefault="00845703" w:rsidP="00531286">
            <w:pPr>
              <w:adjustRightInd w:val="0"/>
              <w:jc w:val="center"/>
              <w:rPr>
                <w:color w:val="000000"/>
                <w:sz w:val="22"/>
                <w:szCs w:val="22"/>
              </w:rPr>
            </w:pPr>
          </w:p>
          <w:p w14:paraId="6F503525" w14:textId="77777777" w:rsidR="00F4367B" w:rsidRPr="00531286" w:rsidRDefault="00F4367B" w:rsidP="00531286">
            <w:pPr>
              <w:adjustRightInd w:val="0"/>
              <w:jc w:val="center"/>
              <w:rPr>
                <w:color w:val="000000"/>
                <w:sz w:val="22"/>
                <w:szCs w:val="22"/>
              </w:rPr>
            </w:pPr>
          </w:p>
          <w:p w14:paraId="7313C9CB" w14:textId="77777777" w:rsidR="007B7151" w:rsidRPr="00531286" w:rsidRDefault="007B7151" w:rsidP="00531286">
            <w:pPr>
              <w:adjustRightInd w:val="0"/>
              <w:jc w:val="center"/>
              <w:rPr>
                <w:color w:val="000000"/>
                <w:sz w:val="22"/>
                <w:szCs w:val="22"/>
              </w:rPr>
            </w:pPr>
            <w:r w:rsidRPr="00531286">
              <w:rPr>
                <w:color w:val="000000"/>
                <w:sz w:val="22"/>
                <w:szCs w:val="22"/>
              </w:rPr>
              <w:t>Ú</w:t>
            </w:r>
          </w:p>
          <w:p w14:paraId="59316C9A" w14:textId="77777777" w:rsidR="00F4367B" w:rsidRPr="00531286" w:rsidRDefault="00F4367B" w:rsidP="00531286">
            <w:pPr>
              <w:adjustRightInd w:val="0"/>
              <w:jc w:val="center"/>
              <w:rPr>
                <w:color w:val="000000"/>
                <w:sz w:val="22"/>
                <w:szCs w:val="22"/>
              </w:rPr>
            </w:pPr>
          </w:p>
          <w:p w14:paraId="58203386" w14:textId="77777777" w:rsidR="00F4367B" w:rsidRPr="00531286" w:rsidRDefault="00F4367B" w:rsidP="00531286">
            <w:pPr>
              <w:adjustRightInd w:val="0"/>
              <w:jc w:val="center"/>
              <w:rPr>
                <w:color w:val="000000"/>
                <w:sz w:val="22"/>
                <w:szCs w:val="22"/>
              </w:rPr>
            </w:pPr>
          </w:p>
          <w:p w14:paraId="666584E1" w14:textId="77777777" w:rsidR="00F4367B" w:rsidRPr="00531286" w:rsidRDefault="00F4367B" w:rsidP="00531286">
            <w:pPr>
              <w:adjustRightInd w:val="0"/>
              <w:jc w:val="center"/>
              <w:rPr>
                <w:color w:val="000000"/>
                <w:sz w:val="22"/>
                <w:szCs w:val="22"/>
              </w:rPr>
            </w:pPr>
          </w:p>
          <w:p w14:paraId="5FA7867A" w14:textId="77777777" w:rsidR="00F4367B" w:rsidRPr="00531286" w:rsidRDefault="00F4367B" w:rsidP="00531286">
            <w:pPr>
              <w:adjustRightInd w:val="0"/>
              <w:jc w:val="center"/>
              <w:rPr>
                <w:color w:val="000000"/>
                <w:sz w:val="22"/>
                <w:szCs w:val="22"/>
              </w:rPr>
            </w:pPr>
          </w:p>
          <w:p w14:paraId="38DECEE3" w14:textId="77777777" w:rsidR="00F4367B" w:rsidRPr="00531286" w:rsidRDefault="00F4367B" w:rsidP="00531286">
            <w:pPr>
              <w:adjustRightInd w:val="0"/>
              <w:jc w:val="center"/>
              <w:rPr>
                <w:color w:val="000000"/>
                <w:sz w:val="22"/>
                <w:szCs w:val="22"/>
              </w:rPr>
            </w:pPr>
          </w:p>
          <w:p w14:paraId="56B3A8C4" w14:textId="77777777" w:rsidR="00F4367B" w:rsidRPr="00531286" w:rsidRDefault="00F4367B" w:rsidP="00531286">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455E39ED" w14:textId="77777777" w:rsidR="007B7151" w:rsidRPr="00531286" w:rsidRDefault="007B7151"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4AE100F4" w14:textId="77777777" w:rsidR="00F127EC" w:rsidRDefault="00F127EC" w:rsidP="00D67DDC">
            <w:pPr>
              <w:spacing w:before="75" w:after="75"/>
              <w:jc w:val="center"/>
              <w:rPr>
                <w:color w:val="000000"/>
                <w:sz w:val="20"/>
                <w:szCs w:val="20"/>
              </w:rPr>
            </w:pPr>
          </w:p>
          <w:p w14:paraId="34EE71E6" w14:textId="77777777" w:rsidR="00F127EC" w:rsidRDefault="00F127EC" w:rsidP="00D67DDC">
            <w:pPr>
              <w:spacing w:before="75" w:after="75"/>
              <w:jc w:val="center"/>
              <w:rPr>
                <w:color w:val="000000"/>
                <w:sz w:val="20"/>
                <w:szCs w:val="20"/>
              </w:rPr>
            </w:pPr>
          </w:p>
          <w:p w14:paraId="3A94558E" w14:textId="67105D2D" w:rsidR="00F127EC" w:rsidRDefault="00F127EC" w:rsidP="00D67DDC">
            <w:pPr>
              <w:spacing w:before="75" w:after="75"/>
              <w:jc w:val="center"/>
              <w:rPr>
                <w:color w:val="000000"/>
                <w:sz w:val="20"/>
                <w:szCs w:val="20"/>
              </w:rPr>
            </w:pPr>
          </w:p>
          <w:p w14:paraId="79D3805B" w14:textId="77777777" w:rsidR="00845703" w:rsidRDefault="00845703" w:rsidP="00D67DDC">
            <w:pPr>
              <w:spacing w:before="75" w:after="75"/>
              <w:jc w:val="center"/>
              <w:rPr>
                <w:color w:val="000000"/>
                <w:sz w:val="20"/>
                <w:szCs w:val="20"/>
              </w:rPr>
            </w:pPr>
          </w:p>
          <w:p w14:paraId="67A2E99F" w14:textId="77777777" w:rsidR="007B7151" w:rsidRPr="00531286" w:rsidRDefault="00D67DDC" w:rsidP="00D67DDC">
            <w:pPr>
              <w:spacing w:before="75" w:after="75"/>
              <w:jc w:val="center"/>
              <w:rPr>
                <w:sz w:val="22"/>
                <w:szCs w:val="22"/>
              </w:rPr>
            </w:pPr>
            <w:r>
              <w:rPr>
                <w:color w:val="000000"/>
                <w:sz w:val="20"/>
                <w:szCs w:val="20"/>
              </w:rPr>
              <w:t>GP-N</w:t>
            </w:r>
          </w:p>
          <w:p w14:paraId="6FE96C13" w14:textId="77777777" w:rsidR="007B7151" w:rsidRPr="00531286" w:rsidRDefault="007B7151" w:rsidP="00D67DDC">
            <w:pPr>
              <w:spacing w:before="75" w:after="75"/>
              <w:jc w:val="center"/>
              <w:rPr>
                <w:sz w:val="22"/>
                <w:szCs w:val="22"/>
              </w:rPr>
            </w:pPr>
          </w:p>
          <w:p w14:paraId="68E403A5" w14:textId="77777777" w:rsidR="007B7151" w:rsidRPr="00531286" w:rsidRDefault="007B7151" w:rsidP="00D67DDC">
            <w:pPr>
              <w:spacing w:before="75" w:after="75"/>
              <w:jc w:val="center"/>
              <w:rPr>
                <w:sz w:val="22"/>
                <w:szCs w:val="22"/>
              </w:rPr>
            </w:pPr>
          </w:p>
          <w:p w14:paraId="0E6CBCC4" w14:textId="77777777" w:rsidR="007B7151" w:rsidRPr="00531286" w:rsidRDefault="007B7151" w:rsidP="00D67DDC">
            <w:pPr>
              <w:spacing w:before="75"/>
              <w:jc w:val="center"/>
              <w:rPr>
                <w:sz w:val="22"/>
                <w:szCs w:val="22"/>
              </w:rPr>
            </w:pPr>
          </w:p>
        </w:tc>
        <w:tc>
          <w:tcPr>
            <w:tcW w:w="1418" w:type="dxa"/>
            <w:tcBorders>
              <w:top w:val="single" w:sz="4" w:space="0" w:color="auto"/>
              <w:left w:val="single" w:sz="4" w:space="0" w:color="auto"/>
              <w:right w:val="single" w:sz="12" w:space="0" w:color="auto"/>
            </w:tcBorders>
          </w:tcPr>
          <w:p w14:paraId="7C926D49" w14:textId="77777777" w:rsidR="007B7151" w:rsidRPr="00531286" w:rsidRDefault="007B7151" w:rsidP="00531286">
            <w:pPr>
              <w:spacing w:before="75" w:after="75"/>
              <w:rPr>
                <w:sz w:val="22"/>
                <w:szCs w:val="22"/>
              </w:rPr>
            </w:pPr>
          </w:p>
        </w:tc>
      </w:tr>
      <w:tr w:rsidR="00891F0B" w:rsidRPr="0066733C" w14:paraId="1C65C4BA" w14:textId="77777777" w:rsidTr="0081721F">
        <w:tc>
          <w:tcPr>
            <w:tcW w:w="682" w:type="dxa"/>
            <w:tcBorders>
              <w:top w:val="single" w:sz="4" w:space="0" w:color="auto"/>
              <w:left w:val="single" w:sz="12" w:space="0" w:color="auto"/>
              <w:right w:val="single" w:sz="4" w:space="0" w:color="auto"/>
            </w:tcBorders>
          </w:tcPr>
          <w:p w14:paraId="3E1C023F" w14:textId="77777777" w:rsidR="00891F0B" w:rsidRPr="00531286" w:rsidRDefault="00891F0B" w:rsidP="00531286">
            <w:pPr>
              <w:jc w:val="center"/>
              <w:rPr>
                <w:sz w:val="22"/>
                <w:szCs w:val="22"/>
              </w:rPr>
            </w:pPr>
            <w:r w:rsidRPr="00531286">
              <w:rPr>
                <w:sz w:val="22"/>
                <w:szCs w:val="22"/>
              </w:rPr>
              <w:t>Č:1</w:t>
            </w:r>
          </w:p>
          <w:p w14:paraId="538EFC68" w14:textId="77777777" w:rsidR="00891F0B" w:rsidRPr="00531286" w:rsidRDefault="00891F0B" w:rsidP="00531286">
            <w:pPr>
              <w:jc w:val="center"/>
              <w:rPr>
                <w:sz w:val="22"/>
                <w:szCs w:val="22"/>
              </w:rPr>
            </w:pPr>
            <w:r w:rsidRPr="00531286">
              <w:rPr>
                <w:sz w:val="22"/>
                <w:szCs w:val="22"/>
              </w:rPr>
              <w:t xml:space="preserve">O: </w:t>
            </w:r>
            <w:r w:rsidR="00531286" w:rsidRPr="00531286">
              <w:rPr>
                <w:sz w:val="22"/>
                <w:szCs w:val="22"/>
              </w:rPr>
              <w:t>3</w:t>
            </w:r>
          </w:p>
          <w:p w14:paraId="2F761399" w14:textId="77777777" w:rsidR="00891F0B" w:rsidRPr="00531286" w:rsidRDefault="00891F0B" w:rsidP="00531286">
            <w:pPr>
              <w:jc w:val="center"/>
              <w:rPr>
                <w:sz w:val="22"/>
                <w:szCs w:val="22"/>
              </w:rPr>
            </w:pPr>
          </w:p>
          <w:p w14:paraId="5FDAAB0C" w14:textId="77777777" w:rsidR="00891F0B" w:rsidRPr="00531286" w:rsidRDefault="00891F0B" w:rsidP="00531286">
            <w:pPr>
              <w:jc w:val="center"/>
              <w:rPr>
                <w:sz w:val="22"/>
                <w:szCs w:val="22"/>
              </w:rPr>
            </w:pPr>
          </w:p>
          <w:p w14:paraId="62E0DCB9" w14:textId="77777777" w:rsidR="00891F0B" w:rsidRPr="00531286" w:rsidRDefault="00891F0B" w:rsidP="00531286">
            <w:pPr>
              <w:jc w:val="center"/>
              <w:rPr>
                <w:sz w:val="22"/>
                <w:szCs w:val="22"/>
              </w:rPr>
            </w:pPr>
          </w:p>
          <w:p w14:paraId="67809E97" w14:textId="77777777" w:rsidR="00891F0B" w:rsidRPr="00531286" w:rsidRDefault="00891F0B" w:rsidP="00531286">
            <w:pPr>
              <w:jc w:val="center"/>
              <w:rPr>
                <w:sz w:val="22"/>
                <w:szCs w:val="22"/>
              </w:rPr>
            </w:pPr>
          </w:p>
          <w:p w14:paraId="4C50EA96" w14:textId="77777777" w:rsidR="00891F0B" w:rsidRPr="00531286" w:rsidRDefault="00891F0B" w:rsidP="00531286">
            <w:pPr>
              <w:jc w:val="center"/>
              <w:rPr>
                <w:sz w:val="22"/>
                <w:szCs w:val="22"/>
              </w:rPr>
            </w:pPr>
          </w:p>
          <w:p w14:paraId="57444D44" w14:textId="77777777" w:rsidR="00891F0B" w:rsidRPr="00531286" w:rsidRDefault="00891F0B" w:rsidP="00531286">
            <w:pPr>
              <w:jc w:val="center"/>
              <w:rPr>
                <w:sz w:val="22"/>
                <w:szCs w:val="22"/>
              </w:rPr>
            </w:pPr>
          </w:p>
          <w:p w14:paraId="7254FC32" w14:textId="77777777" w:rsidR="00891F0B" w:rsidRPr="00531286" w:rsidRDefault="00891F0B" w:rsidP="00531286">
            <w:pPr>
              <w:jc w:val="center"/>
              <w:rPr>
                <w:sz w:val="22"/>
                <w:szCs w:val="22"/>
              </w:rPr>
            </w:pPr>
          </w:p>
          <w:p w14:paraId="415C09D8" w14:textId="77777777" w:rsidR="00891F0B" w:rsidRPr="00531286" w:rsidRDefault="00891F0B" w:rsidP="00531286">
            <w:pPr>
              <w:jc w:val="center"/>
              <w:rPr>
                <w:sz w:val="22"/>
                <w:szCs w:val="22"/>
              </w:rPr>
            </w:pPr>
          </w:p>
          <w:p w14:paraId="02F26ABB" w14:textId="77777777" w:rsidR="00891F0B" w:rsidRPr="00531286" w:rsidRDefault="00891F0B" w:rsidP="00531286">
            <w:pPr>
              <w:jc w:val="center"/>
              <w:rPr>
                <w:sz w:val="22"/>
                <w:szCs w:val="22"/>
              </w:rPr>
            </w:pPr>
          </w:p>
          <w:p w14:paraId="28F53172" w14:textId="77777777" w:rsidR="00891F0B" w:rsidRPr="00531286" w:rsidRDefault="00891F0B" w:rsidP="00531286">
            <w:pPr>
              <w:jc w:val="center"/>
              <w:rPr>
                <w:sz w:val="22"/>
                <w:szCs w:val="22"/>
              </w:rPr>
            </w:pPr>
          </w:p>
          <w:p w14:paraId="6176AE04" w14:textId="77777777" w:rsidR="00891F0B" w:rsidRPr="00531286" w:rsidRDefault="00891F0B" w:rsidP="00531286">
            <w:pPr>
              <w:jc w:val="center"/>
              <w:rPr>
                <w:sz w:val="22"/>
                <w:szCs w:val="22"/>
              </w:rPr>
            </w:pPr>
          </w:p>
          <w:p w14:paraId="20FECADD" w14:textId="77777777" w:rsidR="00891F0B" w:rsidRPr="00531286" w:rsidRDefault="00891F0B" w:rsidP="00531286">
            <w:pPr>
              <w:jc w:val="center"/>
              <w:rPr>
                <w:sz w:val="22"/>
                <w:szCs w:val="22"/>
              </w:rPr>
            </w:pPr>
          </w:p>
          <w:p w14:paraId="69B939FA" w14:textId="77777777" w:rsidR="00891F0B" w:rsidRPr="00531286" w:rsidRDefault="00891F0B" w:rsidP="00531286">
            <w:pPr>
              <w:jc w:val="center"/>
              <w:rPr>
                <w:sz w:val="22"/>
                <w:szCs w:val="22"/>
              </w:rPr>
            </w:pPr>
          </w:p>
          <w:p w14:paraId="01F226C8" w14:textId="77777777" w:rsidR="00891F0B" w:rsidRPr="00531286" w:rsidRDefault="00891F0B" w:rsidP="00531286">
            <w:pPr>
              <w:jc w:val="center"/>
              <w:rPr>
                <w:sz w:val="22"/>
                <w:szCs w:val="22"/>
              </w:rPr>
            </w:pPr>
          </w:p>
        </w:tc>
        <w:tc>
          <w:tcPr>
            <w:tcW w:w="4620" w:type="dxa"/>
            <w:tcBorders>
              <w:top w:val="single" w:sz="4" w:space="0" w:color="auto"/>
              <w:left w:val="single" w:sz="4" w:space="0" w:color="auto"/>
              <w:right w:val="single" w:sz="4" w:space="0" w:color="auto"/>
            </w:tcBorders>
            <w:vAlign w:val="center"/>
          </w:tcPr>
          <w:p w14:paraId="58F6286C" w14:textId="77777777" w:rsidR="00892973" w:rsidRPr="00892973" w:rsidRDefault="00892973" w:rsidP="00892973">
            <w:pPr>
              <w:pStyle w:val="oj-normal"/>
              <w:spacing w:before="120"/>
              <w:rPr>
                <w:color w:val="000000"/>
                <w:sz w:val="22"/>
                <w:szCs w:val="22"/>
              </w:rPr>
            </w:pPr>
            <w:r w:rsidRPr="00892973">
              <w:rPr>
                <w:color w:val="000000"/>
                <w:sz w:val="22"/>
                <w:szCs w:val="22"/>
              </w:rPr>
              <w:t>v článku 4 sa odsek 1 mení takto:</w:t>
            </w:r>
          </w:p>
          <w:p w14:paraId="76798B60" w14:textId="77777777" w:rsidR="00892973" w:rsidRPr="00892973" w:rsidRDefault="00892973" w:rsidP="00892973">
            <w:pPr>
              <w:pStyle w:val="oj-normal"/>
              <w:spacing w:before="120"/>
              <w:rPr>
                <w:color w:val="000000"/>
                <w:sz w:val="22"/>
                <w:szCs w:val="22"/>
              </w:rPr>
            </w:pPr>
            <w:r w:rsidRPr="00892973">
              <w:rPr>
                <w:color w:val="000000"/>
                <w:sz w:val="22"/>
                <w:szCs w:val="22"/>
              </w:rPr>
              <w:t>a) bod 19 sa nahrádza takto:</w:t>
            </w:r>
          </w:p>
          <w:p w14:paraId="2FE4E167" w14:textId="77777777" w:rsidR="00892973" w:rsidRPr="00892973" w:rsidRDefault="00892973" w:rsidP="00892973">
            <w:pPr>
              <w:pStyle w:val="oj-normal"/>
              <w:spacing w:before="120"/>
              <w:rPr>
                <w:color w:val="000000"/>
                <w:sz w:val="22"/>
                <w:szCs w:val="22"/>
              </w:rPr>
            </w:pPr>
            <w:r w:rsidRPr="00892973">
              <w:rPr>
                <w:color w:val="000000"/>
                <w:sz w:val="22"/>
                <w:szCs w:val="22"/>
              </w:rPr>
              <w:t>„(19), multilaterálny systém‘ je multilaterálny systém v zmysle článku 2 ods. 1 bodu 11 nariadenia (EÚ) č. 600/2014;“;</w:t>
            </w:r>
          </w:p>
          <w:p w14:paraId="7AA80C3F" w14:textId="77777777" w:rsidR="00892973" w:rsidRPr="00892973" w:rsidRDefault="00892973" w:rsidP="00892973">
            <w:pPr>
              <w:pStyle w:val="oj-normal"/>
              <w:spacing w:before="120"/>
              <w:rPr>
                <w:color w:val="000000"/>
                <w:sz w:val="22"/>
                <w:szCs w:val="22"/>
              </w:rPr>
            </w:pPr>
          </w:p>
          <w:p w14:paraId="1BEAD94E" w14:textId="77777777" w:rsidR="00892973" w:rsidRPr="00892973" w:rsidRDefault="00892973" w:rsidP="00892973">
            <w:pPr>
              <w:pStyle w:val="oj-normal"/>
              <w:spacing w:before="120"/>
              <w:rPr>
                <w:color w:val="000000"/>
                <w:sz w:val="22"/>
                <w:szCs w:val="22"/>
              </w:rPr>
            </w:pPr>
            <w:r w:rsidRPr="00892973">
              <w:rPr>
                <w:color w:val="000000"/>
                <w:sz w:val="22"/>
                <w:szCs w:val="22"/>
              </w:rPr>
              <w:t>b) bod 20 sa nahrádza takto:</w:t>
            </w:r>
          </w:p>
          <w:p w14:paraId="09AB03BF" w14:textId="1B9F4819" w:rsidR="004A4493" w:rsidRPr="00892973" w:rsidRDefault="00892973" w:rsidP="00892973">
            <w:pPr>
              <w:pStyle w:val="oj-normal"/>
              <w:spacing w:before="120"/>
              <w:rPr>
                <w:color w:val="000000"/>
                <w:sz w:val="22"/>
                <w:szCs w:val="22"/>
              </w:rPr>
            </w:pPr>
            <w:r w:rsidRPr="00892973">
              <w:rPr>
                <w:color w:val="000000"/>
                <w:sz w:val="22"/>
                <w:szCs w:val="22"/>
              </w:rPr>
              <w:t>„20)</w:t>
            </w:r>
          </w:p>
          <w:p w14:paraId="346FC200" w14:textId="5335EA10" w:rsidR="00C524AF" w:rsidRDefault="004A690B" w:rsidP="00892973">
            <w:pPr>
              <w:pStyle w:val="oj-normal"/>
              <w:spacing w:before="120"/>
              <w:rPr>
                <w:rFonts w:ascii="inherit" w:hAnsi="inherit"/>
                <w:color w:val="000000"/>
              </w:rPr>
            </w:pPr>
            <w:r w:rsidRPr="004A4493">
              <w:rPr>
                <w:rFonts w:ascii="inherit" w:hAnsi="inherit"/>
                <w:color w:val="000000"/>
              </w:rPr>
              <w:t xml:space="preserve">‚systematický </w:t>
            </w:r>
            <w:proofErr w:type="spellStart"/>
            <w:r w:rsidRPr="004A4493">
              <w:rPr>
                <w:rFonts w:ascii="inherit" w:hAnsi="inherit"/>
                <w:color w:val="000000"/>
              </w:rPr>
              <w:t>internalizátor</w:t>
            </w:r>
            <w:proofErr w:type="spellEnd"/>
            <w:r w:rsidRPr="004A4493">
              <w:rPr>
                <w:rFonts w:ascii="inherit" w:hAnsi="inherit"/>
                <w:color w:val="000000"/>
              </w:rPr>
              <w:t xml:space="preserve">‘ je investičná spoločnosť, ktorá na organizovanom, frekventovanom a systematickom základe </w:t>
            </w:r>
            <w:r w:rsidRPr="004A4493">
              <w:rPr>
                <w:rFonts w:ascii="inherit" w:hAnsi="inherit"/>
                <w:color w:val="000000"/>
              </w:rPr>
              <w:lastRenderedPageBreak/>
              <w:t>obchoduje na vlastný účet s kapitálovými nástrojmi vykonávaním pokynov klientov mimo regulovaného trhu, MTF alebo OTF bez toho, že by prevádzkovala multilaterálny systém, alebo ktorá si zvolí (</w:t>
            </w:r>
            <w:proofErr w:type="spellStart"/>
            <w:r w:rsidRPr="004A4493">
              <w:rPr>
                <w:rFonts w:ascii="inherit" w:hAnsi="inherit"/>
                <w:color w:val="000000"/>
              </w:rPr>
              <w:t>opt</w:t>
            </w:r>
            <w:proofErr w:type="spellEnd"/>
            <w:r w:rsidRPr="004A4493">
              <w:rPr>
                <w:rFonts w:ascii="inherit" w:hAnsi="inherit"/>
                <w:color w:val="000000"/>
              </w:rPr>
              <w:t xml:space="preserve">-in) status systematického </w:t>
            </w:r>
            <w:proofErr w:type="spellStart"/>
            <w:r w:rsidRPr="004A4493">
              <w:rPr>
                <w:rFonts w:ascii="inherit" w:hAnsi="inherit"/>
                <w:color w:val="000000"/>
              </w:rPr>
              <w:t>internalizátora</w:t>
            </w:r>
            <w:proofErr w:type="spellEnd"/>
            <w:r w:rsidRPr="004A4493">
              <w:rPr>
                <w:rFonts w:ascii="inherit" w:hAnsi="inherit"/>
                <w:color w:val="000000"/>
              </w:rPr>
              <w:t>.“</w:t>
            </w:r>
          </w:p>
          <w:p w14:paraId="3E7243A8" w14:textId="77777777" w:rsidR="00891F0B" w:rsidRPr="004A4493" w:rsidRDefault="00891F0B" w:rsidP="00531286">
            <w:pPr>
              <w:rPr>
                <w:rFonts w:eastAsia="Calibri"/>
                <w:color w:val="000000"/>
                <w:sz w:val="22"/>
                <w:szCs w:val="22"/>
              </w:rPr>
            </w:pPr>
          </w:p>
        </w:tc>
        <w:tc>
          <w:tcPr>
            <w:tcW w:w="850" w:type="dxa"/>
            <w:tcBorders>
              <w:top w:val="single" w:sz="4" w:space="0" w:color="auto"/>
              <w:left w:val="single" w:sz="4" w:space="0" w:color="auto"/>
              <w:right w:val="single" w:sz="12" w:space="0" w:color="auto"/>
            </w:tcBorders>
          </w:tcPr>
          <w:p w14:paraId="409A4CB6" w14:textId="77777777" w:rsidR="00891F0B" w:rsidRPr="004A4493" w:rsidRDefault="00A63BC7" w:rsidP="00531286">
            <w:pPr>
              <w:adjustRightInd w:val="0"/>
              <w:jc w:val="center"/>
              <w:rPr>
                <w:color w:val="000000"/>
                <w:sz w:val="22"/>
                <w:szCs w:val="22"/>
              </w:rPr>
            </w:pPr>
            <w:r w:rsidRPr="004A4493">
              <w:rPr>
                <w:color w:val="000000"/>
                <w:sz w:val="22"/>
                <w:szCs w:val="22"/>
              </w:rPr>
              <w:lastRenderedPageBreak/>
              <w:t>N</w:t>
            </w:r>
          </w:p>
          <w:p w14:paraId="7A7DC34C" w14:textId="77777777" w:rsidR="00891F0B" w:rsidRPr="004A4493" w:rsidRDefault="00891F0B" w:rsidP="00531286">
            <w:pPr>
              <w:adjustRightInd w:val="0"/>
              <w:jc w:val="center"/>
              <w:rPr>
                <w:color w:val="000000"/>
                <w:sz w:val="22"/>
                <w:szCs w:val="22"/>
              </w:rPr>
            </w:pPr>
          </w:p>
          <w:p w14:paraId="45BA2B00" w14:textId="77777777" w:rsidR="00891F0B" w:rsidRPr="004A4493" w:rsidRDefault="00891F0B" w:rsidP="00531286">
            <w:pPr>
              <w:adjustRightInd w:val="0"/>
              <w:jc w:val="center"/>
              <w:rPr>
                <w:color w:val="000000"/>
                <w:sz w:val="22"/>
                <w:szCs w:val="22"/>
              </w:rPr>
            </w:pPr>
          </w:p>
          <w:p w14:paraId="12108A86" w14:textId="77777777" w:rsidR="00891F0B" w:rsidRPr="004A4493" w:rsidRDefault="00891F0B" w:rsidP="00531286">
            <w:pPr>
              <w:adjustRightInd w:val="0"/>
              <w:jc w:val="center"/>
              <w:rPr>
                <w:color w:val="000000"/>
                <w:sz w:val="22"/>
                <w:szCs w:val="22"/>
              </w:rPr>
            </w:pPr>
          </w:p>
          <w:p w14:paraId="1F9F0342" w14:textId="77777777" w:rsidR="00891F0B" w:rsidRPr="004A4493" w:rsidRDefault="00891F0B" w:rsidP="00531286">
            <w:pPr>
              <w:adjustRightInd w:val="0"/>
              <w:jc w:val="center"/>
              <w:rPr>
                <w:color w:val="000000"/>
                <w:sz w:val="22"/>
                <w:szCs w:val="22"/>
              </w:rPr>
            </w:pPr>
          </w:p>
          <w:p w14:paraId="324CC6E1" w14:textId="77777777" w:rsidR="00891F0B" w:rsidRPr="004A4493" w:rsidRDefault="00891F0B" w:rsidP="00531286">
            <w:pPr>
              <w:adjustRightInd w:val="0"/>
              <w:jc w:val="center"/>
              <w:rPr>
                <w:color w:val="000000"/>
                <w:sz w:val="22"/>
                <w:szCs w:val="22"/>
              </w:rPr>
            </w:pPr>
          </w:p>
          <w:p w14:paraId="46767FA7" w14:textId="77777777" w:rsidR="00891F0B" w:rsidRPr="004A4493" w:rsidRDefault="00891F0B" w:rsidP="00531286">
            <w:pPr>
              <w:adjustRightInd w:val="0"/>
              <w:jc w:val="center"/>
              <w:rPr>
                <w:color w:val="000000"/>
                <w:sz w:val="22"/>
                <w:szCs w:val="22"/>
              </w:rPr>
            </w:pPr>
          </w:p>
          <w:p w14:paraId="4B0C024F" w14:textId="77777777" w:rsidR="00891F0B" w:rsidRPr="004A4493" w:rsidRDefault="00891F0B" w:rsidP="00531286">
            <w:pPr>
              <w:adjustRightInd w:val="0"/>
              <w:jc w:val="center"/>
              <w:rPr>
                <w:color w:val="000000"/>
                <w:sz w:val="22"/>
                <w:szCs w:val="22"/>
              </w:rPr>
            </w:pPr>
          </w:p>
          <w:p w14:paraId="26C165F8" w14:textId="77777777" w:rsidR="00A63BC7" w:rsidRPr="004A4493" w:rsidRDefault="00A63BC7" w:rsidP="00531286">
            <w:pPr>
              <w:adjustRightInd w:val="0"/>
              <w:jc w:val="center"/>
              <w:rPr>
                <w:color w:val="000000"/>
                <w:sz w:val="22"/>
                <w:szCs w:val="22"/>
              </w:rPr>
            </w:pPr>
          </w:p>
          <w:p w14:paraId="6471A9B1" w14:textId="77777777" w:rsidR="00A63BC7" w:rsidRDefault="00A63BC7" w:rsidP="00531286">
            <w:pPr>
              <w:adjustRightInd w:val="0"/>
              <w:jc w:val="center"/>
              <w:rPr>
                <w:color w:val="000000"/>
                <w:sz w:val="22"/>
                <w:szCs w:val="22"/>
              </w:rPr>
            </w:pPr>
          </w:p>
          <w:p w14:paraId="6D0C3D9E" w14:textId="77777777" w:rsidR="004A4493" w:rsidRDefault="004A4493" w:rsidP="00531286">
            <w:pPr>
              <w:adjustRightInd w:val="0"/>
              <w:jc w:val="center"/>
              <w:rPr>
                <w:color w:val="000000"/>
                <w:sz w:val="22"/>
                <w:szCs w:val="22"/>
              </w:rPr>
            </w:pPr>
          </w:p>
          <w:p w14:paraId="1148A076" w14:textId="77777777" w:rsidR="004A4493" w:rsidRDefault="004A4493" w:rsidP="00531286">
            <w:pPr>
              <w:adjustRightInd w:val="0"/>
              <w:jc w:val="center"/>
              <w:rPr>
                <w:color w:val="000000"/>
                <w:sz w:val="22"/>
                <w:szCs w:val="22"/>
              </w:rPr>
            </w:pPr>
          </w:p>
          <w:p w14:paraId="0781DF65" w14:textId="77777777" w:rsidR="004A4493" w:rsidRDefault="004A4493" w:rsidP="00531286">
            <w:pPr>
              <w:adjustRightInd w:val="0"/>
              <w:jc w:val="center"/>
              <w:rPr>
                <w:color w:val="000000"/>
                <w:sz w:val="22"/>
                <w:szCs w:val="22"/>
              </w:rPr>
            </w:pPr>
          </w:p>
          <w:p w14:paraId="3E277170" w14:textId="77777777" w:rsidR="004A4493" w:rsidRDefault="004A4493" w:rsidP="00531286">
            <w:pPr>
              <w:adjustRightInd w:val="0"/>
              <w:jc w:val="center"/>
              <w:rPr>
                <w:color w:val="000000"/>
                <w:sz w:val="22"/>
                <w:szCs w:val="22"/>
              </w:rPr>
            </w:pPr>
          </w:p>
          <w:p w14:paraId="3A28D962" w14:textId="77777777" w:rsidR="004A4493" w:rsidRPr="004A4493" w:rsidRDefault="004A4493" w:rsidP="00531286">
            <w:pPr>
              <w:adjustRightInd w:val="0"/>
              <w:jc w:val="center"/>
              <w:rPr>
                <w:color w:val="000000"/>
                <w:sz w:val="22"/>
                <w:szCs w:val="22"/>
              </w:rPr>
            </w:pPr>
          </w:p>
          <w:p w14:paraId="7787D9E4" w14:textId="77777777" w:rsidR="00A63BC7" w:rsidRPr="004A4493" w:rsidRDefault="00A63BC7" w:rsidP="00531286">
            <w:pPr>
              <w:adjustRightInd w:val="0"/>
              <w:jc w:val="center"/>
              <w:rPr>
                <w:color w:val="000000"/>
                <w:sz w:val="22"/>
                <w:szCs w:val="22"/>
              </w:rPr>
            </w:pPr>
          </w:p>
          <w:p w14:paraId="31BF03EE" w14:textId="77777777" w:rsidR="00891F0B" w:rsidRPr="004A4493" w:rsidRDefault="00891F0B" w:rsidP="00531286">
            <w:pPr>
              <w:adjustRightInd w:val="0"/>
              <w:jc w:val="center"/>
              <w:rPr>
                <w:color w:val="000000"/>
                <w:sz w:val="22"/>
                <w:szCs w:val="22"/>
              </w:rPr>
            </w:pPr>
            <w:r w:rsidRPr="004A4493">
              <w:rPr>
                <w:color w:val="000000"/>
                <w:sz w:val="22"/>
                <w:szCs w:val="22"/>
              </w:rPr>
              <w:t>N</w:t>
            </w:r>
          </w:p>
          <w:p w14:paraId="08067DEF" w14:textId="77777777" w:rsidR="00891F0B" w:rsidRPr="004A4493" w:rsidRDefault="00891F0B" w:rsidP="00531286">
            <w:pPr>
              <w:adjustRightInd w:val="0"/>
              <w:jc w:val="center"/>
              <w:rPr>
                <w:color w:val="000000"/>
                <w:sz w:val="22"/>
                <w:szCs w:val="22"/>
              </w:rPr>
            </w:pPr>
          </w:p>
          <w:p w14:paraId="7C19DD56" w14:textId="77777777" w:rsidR="00891F0B" w:rsidRPr="004A4493" w:rsidRDefault="00891F0B" w:rsidP="00531286">
            <w:pPr>
              <w:adjustRightInd w:val="0"/>
              <w:jc w:val="center"/>
              <w:rPr>
                <w:color w:val="000000"/>
                <w:sz w:val="22"/>
                <w:szCs w:val="22"/>
              </w:rPr>
            </w:pPr>
          </w:p>
          <w:p w14:paraId="074D3032" w14:textId="77777777" w:rsidR="00891F0B" w:rsidRPr="004A4493" w:rsidRDefault="00891F0B" w:rsidP="00531286">
            <w:pPr>
              <w:adjustRightInd w:val="0"/>
              <w:jc w:val="center"/>
              <w:rPr>
                <w:color w:val="000000"/>
                <w:sz w:val="22"/>
                <w:szCs w:val="22"/>
              </w:rPr>
            </w:pPr>
          </w:p>
          <w:p w14:paraId="373E9CB2" w14:textId="77777777" w:rsidR="00891F0B" w:rsidRPr="004A4493" w:rsidRDefault="00891F0B" w:rsidP="00531286">
            <w:pPr>
              <w:adjustRightInd w:val="0"/>
              <w:jc w:val="center"/>
              <w:rPr>
                <w:color w:val="000000"/>
                <w:sz w:val="22"/>
                <w:szCs w:val="22"/>
              </w:rPr>
            </w:pPr>
          </w:p>
          <w:p w14:paraId="780E2AC8" w14:textId="77777777" w:rsidR="00891F0B" w:rsidRPr="004A4493" w:rsidRDefault="00891F0B" w:rsidP="00531286">
            <w:pPr>
              <w:adjustRightInd w:val="0"/>
              <w:jc w:val="center"/>
              <w:rPr>
                <w:color w:val="000000"/>
                <w:sz w:val="22"/>
                <w:szCs w:val="22"/>
              </w:rPr>
            </w:pPr>
          </w:p>
          <w:p w14:paraId="528C3DDB" w14:textId="77777777" w:rsidR="00891F0B" w:rsidRPr="004A4493" w:rsidRDefault="00891F0B" w:rsidP="00531286">
            <w:pPr>
              <w:adjustRightInd w:val="0"/>
              <w:jc w:val="center"/>
              <w:rPr>
                <w:color w:val="000000"/>
                <w:sz w:val="22"/>
                <w:szCs w:val="22"/>
              </w:rPr>
            </w:pPr>
          </w:p>
          <w:p w14:paraId="692DD67E" w14:textId="77777777" w:rsidR="00891F0B" w:rsidRPr="004A4493" w:rsidRDefault="00891F0B" w:rsidP="00531286">
            <w:pPr>
              <w:adjustRightInd w:val="0"/>
              <w:jc w:val="center"/>
              <w:rPr>
                <w:color w:val="000000"/>
                <w:sz w:val="22"/>
                <w:szCs w:val="22"/>
              </w:rPr>
            </w:pPr>
          </w:p>
          <w:p w14:paraId="1E8A9B1C" w14:textId="77777777" w:rsidR="00891F0B" w:rsidRPr="004A4493" w:rsidRDefault="00891F0B" w:rsidP="00531286">
            <w:pPr>
              <w:adjustRightInd w:val="0"/>
              <w:jc w:val="center"/>
              <w:rPr>
                <w:color w:val="000000"/>
                <w:sz w:val="22"/>
                <w:szCs w:val="22"/>
              </w:rPr>
            </w:pPr>
          </w:p>
          <w:p w14:paraId="466D33E6" w14:textId="77777777" w:rsidR="00891F0B" w:rsidRPr="004A4493" w:rsidRDefault="00891F0B" w:rsidP="00531286">
            <w:pPr>
              <w:adjustRightInd w:val="0"/>
              <w:jc w:val="center"/>
              <w:rPr>
                <w:color w:val="000000"/>
                <w:sz w:val="22"/>
                <w:szCs w:val="22"/>
              </w:rPr>
            </w:pPr>
          </w:p>
        </w:tc>
        <w:tc>
          <w:tcPr>
            <w:tcW w:w="993" w:type="dxa"/>
            <w:tcBorders>
              <w:top w:val="single" w:sz="4" w:space="0" w:color="auto"/>
              <w:left w:val="nil"/>
              <w:right w:val="single" w:sz="4" w:space="0" w:color="auto"/>
            </w:tcBorders>
          </w:tcPr>
          <w:p w14:paraId="666CD745" w14:textId="77777777" w:rsidR="00A63BC7" w:rsidRPr="00F127EC" w:rsidRDefault="00A63BC7" w:rsidP="00F127EC">
            <w:pPr>
              <w:adjustRightInd w:val="0"/>
              <w:rPr>
                <w:color w:val="000000"/>
                <w:sz w:val="22"/>
                <w:szCs w:val="22"/>
              </w:rPr>
            </w:pPr>
            <w:r w:rsidRPr="004A4493">
              <w:rPr>
                <w:b/>
                <w:bCs/>
                <w:sz w:val="22"/>
                <w:szCs w:val="22"/>
              </w:rPr>
              <w:lastRenderedPageBreak/>
              <w:t>Návrh</w:t>
            </w:r>
          </w:p>
          <w:p w14:paraId="788B4E4D" w14:textId="77777777" w:rsidR="00A63BC7" w:rsidRPr="004A4493" w:rsidRDefault="0078356C" w:rsidP="00A63BC7">
            <w:pPr>
              <w:rPr>
                <w:b/>
                <w:bCs/>
                <w:sz w:val="22"/>
                <w:szCs w:val="22"/>
              </w:rPr>
            </w:pPr>
            <w:r w:rsidRPr="004A4493">
              <w:rPr>
                <w:b/>
                <w:bCs/>
                <w:sz w:val="22"/>
                <w:szCs w:val="22"/>
              </w:rPr>
              <w:t>Čl. II</w:t>
            </w:r>
          </w:p>
          <w:p w14:paraId="1347D0D1" w14:textId="77777777" w:rsidR="00A63BC7" w:rsidRPr="004A4493" w:rsidRDefault="00A63BC7" w:rsidP="00A63BC7">
            <w:pPr>
              <w:adjustRightInd w:val="0"/>
              <w:rPr>
                <w:color w:val="000000"/>
                <w:sz w:val="22"/>
                <w:szCs w:val="22"/>
              </w:rPr>
            </w:pPr>
            <w:r w:rsidRPr="004A4493">
              <w:rPr>
                <w:b/>
                <w:bCs/>
                <w:sz w:val="22"/>
                <w:szCs w:val="22"/>
              </w:rPr>
              <w:t>Bod 1</w:t>
            </w:r>
          </w:p>
          <w:p w14:paraId="4522AAAE" w14:textId="77777777" w:rsidR="00891F0B" w:rsidRPr="004A4493" w:rsidRDefault="00891F0B" w:rsidP="00531286">
            <w:pPr>
              <w:rPr>
                <w:b/>
                <w:bCs/>
                <w:sz w:val="22"/>
                <w:szCs w:val="22"/>
              </w:rPr>
            </w:pPr>
          </w:p>
          <w:p w14:paraId="5DFABD5C" w14:textId="77777777" w:rsidR="00891F0B" w:rsidRPr="004A4493" w:rsidRDefault="00891F0B" w:rsidP="00531286">
            <w:pPr>
              <w:rPr>
                <w:b/>
                <w:bCs/>
                <w:sz w:val="22"/>
                <w:szCs w:val="22"/>
              </w:rPr>
            </w:pPr>
          </w:p>
          <w:p w14:paraId="773F5EB1" w14:textId="77777777" w:rsidR="00891F0B" w:rsidRPr="004A4493" w:rsidRDefault="00891F0B" w:rsidP="00531286">
            <w:pPr>
              <w:rPr>
                <w:b/>
                <w:bCs/>
                <w:sz w:val="22"/>
                <w:szCs w:val="22"/>
              </w:rPr>
            </w:pPr>
          </w:p>
          <w:p w14:paraId="55209832" w14:textId="77777777" w:rsidR="00891F0B" w:rsidRPr="004A4493" w:rsidRDefault="00891F0B" w:rsidP="00531286">
            <w:pPr>
              <w:rPr>
                <w:b/>
                <w:bCs/>
                <w:sz w:val="22"/>
                <w:szCs w:val="22"/>
              </w:rPr>
            </w:pPr>
          </w:p>
          <w:p w14:paraId="5E7BA595" w14:textId="77777777" w:rsidR="00891F0B" w:rsidRPr="004A4493" w:rsidRDefault="00891F0B" w:rsidP="00531286">
            <w:pPr>
              <w:rPr>
                <w:b/>
                <w:bCs/>
                <w:sz w:val="22"/>
                <w:szCs w:val="22"/>
              </w:rPr>
            </w:pPr>
          </w:p>
          <w:p w14:paraId="488C22CA" w14:textId="77777777" w:rsidR="00F127EC" w:rsidRDefault="00F127EC" w:rsidP="00F127EC">
            <w:pPr>
              <w:adjustRightInd w:val="0"/>
              <w:rPr>
                <w:b/>
                <w:bCs/>
                <w:sz w:val="22"/>
                <w:szCs w:val="22"/>
              </w:rPr>
            </w:pPr>
          </w:p>
          <w:p w14:paraId="43266D73" w14:textId="77777777" w:rsidR="004A4493" w:rsidRDefault="004A4493" w:rsidP="00F127EC">
            <w:pPr>
              <w:adjustRightInd w:val="0"/>
              <w:rPr>
                <w:b/>
                <w:bCs/>
                <w:sz w:val="22"/>
                <w:szCs w:val="22"/>
              </w:rPr>
            </w:pPr>
          </w:p>
          <w:p w14:paraId="54621143" w14:textId="77777777" w:rsidR="004A4493" w:rsidRDefault="004A4493" w:rsidP="00F127EC">
            <w:pPr>
              <w:adjustRightInd w:val="0"/>
              <w:rPr>
                <w:b/>
                <w:bCs/>
                <w:sz w:val="22"/>
                <w:szCs w:val="22"/>
              </w:rPr>
            </w:pPr>
          </w:p>
          <w:p w14:paraId="311EC87C" w14:textId="77777777" w:rsidR="004A4493" w:rsidRDefault="004A4493" w:rsidP="00F127EC">
            <w:pPr>
              <w:adjustRightInd w:val="0"/>
              <w:rPr>
                <w:b/>
                <w:bCs/>
                <w:sz w:val="22"/>
                <w:szCs w:val="22"/>
              </w:rPr>
            </w:pPr>
          </w:p>
          <w:p w14:paraId="20B5ABAD" w14:textId="77777777" w:rsidR="004A4493" w:rsidRDefault="004A4493" w:rsidP="00F127EC">
            <w:pPr>
              <w:adjustRightInd w:val="0"/>
              <w:rPr>
                <w:b/>
                <w:bCs/>
                <w:sz w:val="22"/>
                <w:szCs w:val="22"/>
              </w:rPr>
            </w:pPr>
          </w:p>
          <w:p w14:paraId="19DD0122" w14:textId="77777777" w:rsidR="004A4493" w:rsidRDefault="004A4493" w:rsidP="00F127EC">
            <w:pPr>
              <w:adjustRightInd w:val="0"/>
              <w:rPr>
                <w:b/>
                <w:bCs/>
                <w:sz w:val="22"/>
                <w:szCs w:val="22"/>
              </w:rPr>
            </w:pPr>
          </w:p>
          <w:p w14:paraId="3B00913C" w14:textId="77777777" w:rsidR="004A4493" w:rsidRPr="004A4493" w:rsidRDefault="004A4493" w:rsidP="00F127EC">
            <w:pPr>
              <w:adjustRightInd w:val="0"/>
              <w:rPr>
                <w:b/>
                <w:bCs/>
                <w:sz w:val="22"/>
                <w:szCs w:val="22"/>
              </w:rPr>
            </w:pPr>
          </w:p>
          <w:p w14:paraId="431F7B2C" w14:textId="77777777" w:rsidR="00F127EC" w:rsidRPr="004A4493" w:rsidRDefault="00F127EC" w:rsidP="00F127EC">
            <w:pPr>
              <w:adjustRightInd w:val="0"/>
              <w:rPr>
                <w:b/>
                <w:bCs/>
                <w:sz w:val="22"/>
                <w:szCs w:val="22"/>
              </w:rPr>
            </w:pPr>
          </w:p>
          <w:p w14:paraId="29C50E05" w14:textId="5EAAC969" w:rsidR="00531286" w:rsidRPr="004A4493" w:rsidRDefault="00531286" w:rsidP="00F127EC">
            <w:pPr>
              <w:adjustRightInd w:val="0"/>
              <w:rPr>
                <w:color w:val="000000"/>
                <w:sz w:val="22"/>
                <w:szCs w:val="22"/>
              </w:rPr>
            </w:pPr>
            <w:r w:rsidRPr="004A4493">
              <w:rPr>
                <w:b/>
                <w:bCs/>
                <w:sz w:val="22"/>
                <w:szCs w:val="22"/>
              </w:rPr>
              <w:t>Návrh</w:t>
            </w:r>
          </w:p>
          <w:p w14:paraId="07B790CA" w14:textId="77777777" w:rsidR="00531286" w:rsidRPr="004A4493" w:rsidRDefault="00531286" w:rsidP="00531286">
            <w:pPr>
              <w:rPr>
                <w:b/>
                <w:bCs/>
                <w:sz w:val="22"/>
                <w:szCs w:val="22"/>
              </w:rPr>
            </w:pPr>
            <w:r w:rsidRPr="004A4493">
              <w:rPr>
                <w:b/>
                <w:bCs/>
                <w:sz w:val="22"/>
                <w:szCs w:val="22"/>
              </w:rPr>
              <w:t xml:space="preserve">Čl. I. </w:t>
            </w:r>
          </w:p>
          <w:p w14:paraId="283A46FD" w14:textId="77777777" w:rsidR="00531286" w:rsidRPr="00531286" w:rsidRDefault="00531286" w:rsidP="00531286">
            <w:pPr>
              <w:adjustRightInd w:val="0"/>
              <w:rPr>
                <w:color w:val="000000"/>
                <w:sz w:val="22"/>
                <w:szCs w:val="22"/>
              </w:rPr>
            </w:pPr>
            <w:r w:rsidRPr="004A4493">
              <w:rPr>
                <w:b/>
                <w:bCs/>
                <w:sz w:val="22"/>
                <w:szCs w:val="22"/>
              </w:rPr>
              <w:lastRenderedPageBreak/>
              <w:t>Bod 1</w:t>
            </w:r>
          </w:p>
          <w:p w14:paraId="5EC214D3" w14:textId="77777777" w:rsidR="00891F0B" w:rsidRPr="00531286" w:rsidRDefault="00891F0B" w:rsidP="00531286">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169B924D" w14:textId="77777777" w:rsidR="00E3597A" w:rsidRDefault="00A63BC7" w:rsidP="00A63BC7">
            <w:pPr>
              <w:jc w:val="center"/>
              <w:rPr>
                <w:b/>
                <w:sz w:val="22"/>
                <w:szCs w:val="22"/>
              </w:rPr>
            </w:pPr>
            <w:r w:rsidRPr="00531286">
              <w:rPr>
                <w:b/>
                <w:sz w:val="22"/>
                <w:szCs w:val="22"/>
              </w:rPr>
              <w:lastRenderedPageBreak/>
              <w:t>§</w:t>
            </w:r>
            <w:r>
              <w:rPr>
                <w:b/>
                <w:sz w:val="22"/>
                <w:szCs w:val="22"/>
              </w:rPr>
              <w:t xml:space="preserve"> </w:t>
            </w:r>
            <w:r w:rsidR="00E3597A">
              <w:rPr>
                <w:b/>
                <w:sz w:val="22"/>
                <w:szCs w:val="22"/>
              </w:rPr>
              <w:t>3</w:t>
            </w:r>
          </w:p>
          <w:p w14:paraId="56A5D657" w14:textId="21736DC6" w:rsidR="00A63BC7" w:rsidRDefault="00E3597A" w:rsidP="00A63BC7">
            <w:pPr>
              <w:jc w:val="center"/>
              <w:rPr>
                <w:b/>
                <w:sz w:val="22"/>
                <w:szCs w:val="22"/>
              </w:rPr>
            </w:pPr>
            <w:r>
              <w:rPr>
                <w:b/>
                <w:sz w:val="22"/>
                <w:szCs w:val="22"/>
              </w:rPr>
              <w:t>O:</w:t>
            </w:r>
            <w:r w:rsidR="00A63BC7" w:rsidRPr="00531286">
              <w:rPr>
                <w:b/>
                <w:sz w:val="22"/>
                <w:szCs w:val="22"/>
              </w:rPr>
              <w:t xml:space="preserve"> </w:t>
            </w:r>
            <w:r>
              <w:rPr>
                <w:b/>
                <w:sz w:val="22"/>
                <w:szCs w:val="22"/>
              </w:rPr>
              <w:t>3</w:t>
            </w:r>
          </w:p>
          <w:p w14:paraId="16044DCB" w14:textId="6DF3C826" w:rsidR="00E3597A" w:rsidRPr="00531286" w:rsidRDefault="00E3597A" w:rsidP="00A63BC7">
            <w:pPr>
              <w:jc w:val="center"/>
              <w:rPr>
                <w:b/>
                <w:sz w:val="22"/>
                <w:szCs w:val="22"/>
              </w:rPr>
            </w:pPr>
            <w:r>
              <w:rPr>
                <w:b/>
                <w:sz w:val="22"/>
                <w:szCs w:val="22"/>
              </w:rPr>
              <w:t>P: x</w:t>
            </w:r>
          </w:p>
          <w:p w14:paraId="00B0C439" w14:textId="2052A597" w:rsidR="007B6320" w:rsidRPr="00531286" w:rsidRDefault="007B6320" w:rsidP="00A63BC7">
            <w:pPr>
              <w:jc w:val="center"/>
              <w:rPr>
                <w:b/>
                <w:sz w:val="22"/>
                <w:szCs w:val="22"/>
              </w:rPr>
            </w:pPr>
          </w:p>
          <w:p w14:paraId="6F054614" w14:textId="77777777" w:rsidR="00891F0B" w:rsidRPr="00531286" w:rsidRDefault="00891F0B" w:rsidP="00531286">
            <w:pPr>
              <w:jc w:val="center"/>
              <w:rPr>
                <w:b/>
                <w:sz w:val="22"/>
                <w:szCs w:val="22"/>
              </w:rPr>
            </w:pPr>
          </w:p>
          <w:p w14:paraId="385E7004" w14:textId="77777777" w:rsidR="00891F0B" w:rsidRPr="00531286" w:rsidRDefault="00891F0B" w:rsidP="00531286">
            <w:pPr>
              <w:jc w:val="center"/>
              <w:rPr>
                <w:b/>
                <w:sz w:val="22"/>
                <w:szCs w:val="22"/>
              </w:rPr>
            </w:pPr>
          </w:p>
          <w:p w14:paraId="19FC21F2" w14:textId="77777777" w:rsidR="00891F0B" w:rsidRPr="00531286" w:rsidRDefault="00891F0B" w:rsidP="00531286">
            <w:pPr>
              <w:jc w:val="center"/>
              <w:rPr>
                <w:b/>
                <w:sz w:val="22"/>
                <w:szCs w:val="22"/>
              </w:rPr>
            </w:pPr>
          </w:p>
          <w:p w14:paraId="78AF083E" w14:textId="77777777" w:rsidR="00891F0B" w:rsidRPr="00531286" w:rsidRDefault="00891F0B" w:rsidP="00531286">
            <w:pPr>
              <w:jc w:val="center"/>
              <w:rPr>
                <w:b/>
                <w:sz w:val="22"/>
                <w:szCs w:val="22"/>
              </w:rPr>
            </w:pPr>
          </w:p>
          <w:p w14:paraId="6DDC2FBA" w14:textId="77777777" w:rsidR="00891F0B" w:rsidRPr="00531286" w:rsidRDefault="00891F0B" w:rsidP="00531286">
            <w:pPr>
              <w:jc w:val="center"/>
              <w:rPr>
                <w:b/>
                <w:sz w:val="22"/>
                <w:szCs w:val="22"/>
              </w:rPr>
            </w:pPr>
          </w:p>
          <w:p w14:paraId="331FE07E" w14:textId="77777777" w:rsidR="00891F0B" w:rsidRDefault="00891F0B" w:rsidP="00531286">
            <w:pPr>
              <w:jc w:val="center"/>
              <w:rPr>
                <w:b/>
                <w:sz w:val="22"/>
                <w:szCs w:val="22"/>
              </w:rPr>
            </w:pPr>
          </w:p>
          <w:p w14:paraId="6EA5B7DC" w14:textId="77777777" w:rsidR="004A4493" w:rsidRDefault="004A4493" w:rsidP="00531286">
            <w:pPr>
              <w:jc w:val="center"/>
              <w:rPr>
                <w:b/>
                <w:sz w:val="22"/>
                <w:szCs w:val="22"/>
              </w:rPr>
            </w:pPr>
          </w:p>
          <w:p w14:paraId="0F5C1DE9" w14:textId="77777777" w:rsidR="004A4493" w:rsidRDefault="004A4493" w:rsidP="00531286">
            <w:pPr>
              <w:jc w:val="center"/>
              <w:rPr>
                <w:b/>
                <w:sz w:val="22"/>
                <w:szCs w:val="22"/>
              </w:rPr>
            </w:pPr>
          </w:p>
          <w:p w14:paraId="3F658F41" w14:textId="77777777" w:rsidR="004A4493" w:rsidRDefault="004A4493" w:rsidP="00531286">
            <w:pPr>
              <w:jc w:val="center"/>
              <w:rPr>
                <w:b/>
                <w:sz w:val="22"/>
                <w:szCs w:val="22"/>
              </w:rPr>
            </w:pPr>
          </w:p>
          <w:p w14:paraId="4348BA27" w14:textId="77777777" w:rsidR="004A4493" w:rsidRDefault="004A4493" w:rsidP="00531286">
            <w:pPr>
              <w:jc w:val="center"/>
              <w:rPr>
                <w:b/>
                <w:sz w:val="22"/>
                <w:szCs w:val="22"/>
              </w:rPr>
            </w:pPr>
          </w:p>
          <w:p w14:paraId="68F4073B" w14:textId="77777777" w:rsidR="00A63BC7" w:rsidRPr="00531286" w:rsidRDefault="00A63BC7" w:rsidP="00531286">
            <w:pPr>
              <w:jc w:val="center"/>
              <w:rPr>
                <w:b/>
                <w:sz w:val="22"/>
                <w:szCs w:val="22"/>
              </w:rPr>
            </w:pPr>
          </w:p>
          <w:p w14:paraId="74C64AE1" w14:textId="77777777" w:rsidR="00891F0B" w:rsidRPr="00531286" w:rsidRDefault="00891F0B" w:rsidP="00531286">
            <w:pPr>
              <w:jc w:val="center"/>
              <w:rPr>
                <w:b/>
                <w:sz w:val="22"/>
                <w:szCs w:val="22"/>
              </w:rPr>
            </w:pPr>
          </w:p>
          <w:p w14:paraId="7633A1E1" w14:textId="77777777" w:rsidR="00891F0B" w:rsidRPr="00531286" w:rsidRDefault="00891F0B" w:rsidP="00531286">
            <w:pPr>
              <w:jc w:val="center"/>
              <w:rPr>
                <w:b/>
                <w:sz w:val="22"/>
                <w:szCs w:val="22"/>
              </w:rPr>
            </w:pPr>
            <w:r w:rsidRPr="00531286">
              <w:rPr>
                <w:b/>
                <w:sz w:val="22"/>
                <w:szCs w:val="22"/>
              </w:rPr>
              <w:t>§</w:t>
            </w:r>
            <w:r w:rsidR="00A63BC7">
              <w:rPr>
                <w:b/>
                <w:sz w:val="22"/>
                <w:szCs w:val="22"/>
              </w:rPr>
              <w:t xml:space="preserve"> 7</w:t>
            </w:r>
            <w:r w:rsidRPr="00531286">
              <w:rPr>
                <w:b/>
                <w:sz w:val="22"/>
                <w:szCs w:val="22"/>
              </w:rPr>
              <w:t xml:space="preserve"> </w:t>
            </w:r>
          </w:p>
          <w:p w14:paraId="35D63697" w14:textId="77777777" w:rsidR="00891F0B" w:rsidRPr="00531286" w:rsidRDefault="00891F0B" w:rsidP="00531286">
            <w:pPr>
              <w:jc w:val="center"/>
              <w:rPr>
                <w:b/>
                <w:sz w:val="22"/>
                <w:szCs w:val="22"/>
              </w:rPr>
            </w:pPr>
            <w:r w:rsidRPr="00531286">
              <w:rPr>
                <w:b/>
                <w:sz w:val="22"/>
                <w:szCs w:val="22"/>
              </w:rPr>
              <w:t xml:space="preserve">O: </w:t>
            </w:r>
            <w:r w:rsidR="00A63BC7">
              <w:rPr>
                <w:b/>
                <w:sz w:val="22"/>
                <w:szCs w:val="22"/>
              </w:rPr>
              <w:t>12</w:t>
            </w:r>
          </w:p>
          <w:p w14:paraId="75F91073" w14:textId="77777777" w:rsidR="00891F0B" w:rsidRPr="00531286" w:rsidRDefault="00891F0B" w:rsidP="00531286">
            <w:pPr>
              <w:jc w:val="center"/>
              <w:rPr>
                <w:b/>
                <w:sz w:val="22"/>
                <w:szCs w:val="22"/>
              </w:rPr>
            </w:pPr>
          </w:p>
          <w:p w14:paraId="6EF9048F" w14:textId="77777777" w:rsidR="00891F0B" w:rsidRPr="00531286" w:rsidRDefault="00891F0B" w:rsidP="00531286">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271A5AAE" w14:textId="77777777" w:rsidR="00E3597A" w:rsidRPr="00E3597A" w:rsidRDefault="00E3597A" w:rsidP="00E3597A">
            <w:pPr>
              <w:jc w:val="both"/>
              <w:rPr>
                <w:b/>
                <w:bCs/>
                <w:noProof/>
                <w:sz w:val="20"/>
                <w:szCs w:val="20"/>
              </w:rPr>
            </w:pPr>
            <w:r w:rsidRPr="00E3597A">
              <w:rPr>
                <w:b/>
                <w:bCs/>
                <w:noProof/>
                <w:sz w:val="20"/>
                <w:szCs w:val="20"/>
              </w:rPr>
              <w:lastRenderedPageBreak/>
              <w:t>x) mnohostranným systémom mnohostranný systém podľa osobitného predpisu,</w:t>
            </w:r>
            <w:r w:rsidRPr="00E3597A">
              <w:rPr>
                <w:b/>
                <w:bCs/>
                <w:noProof/>
                <w:sz w:val="20"/>
                <w:szCs w:val="20"/>
                <w:vertAlign w:val="superscript"/>
              </w:rPr>
              <w:t>11ca</w:t>
            </w:r>
            <w:r w:rsidRPr="00E3597A">
              <w:rPr>
                <w:b/>
                <w:bCs/>
                <w:noProof/>
                <w:sz w:val="20"/>
                <w:szCs w:val="20"/>
              </w:rPr>
              <w:t>)“.</w:t>
            </w:r>
          </w:p>
          <w:p w14:paraId="391593D9" w14:textId="77777777" w:rsidR="00E3597A" w:rsidRPr="00E3597A" w:rsidRDefault="00E3597A" w:rsidP="00E3597A">
            <w:pPr>
              <w:jc w:val="both"/>
              <w:rPr>
                <w:b/>
                <w:bCs/>
                <w:noProof/>
                <w:sz w:val="20"/>
                <w:szCs w:val="20"/>
              </w:rPr>
            </w:pPr>
          </w:p>
          <w:p w14:paraId="23CF3077" w14:textId="6079C8CB" w:rsidR="00E3597A" w:rsidRPr="00A233D4" w:rsidRDefault="00E3597A" w:rsidP="00E3597A">
            <w:pPr>
              <w:jc w:val="both"/>
              <w:rPr>
                <w:noProof/>
                <w:color w:val="0070C0"/>
              </w:rPr>
            </w:pPr>
            <w:r w:rsidRPr="00E3597A">
              <w:rPr>
                <w:b/>
                <w:bCs/>
                <w:noProof/>
                <w:sz w:val="20"/>
                <w:szCs w:val="20"/>
                <w:vertAlign w:val="superscript"/>
              </w:rPr>
              <w:t>11ca</w:t>
            </w:r>
            <w:r w:rsidRPr="00E3597A">
              <w:rPr>
                <w:b/>
                <w:bCs/>
                <w:noProof/>
                <w:sz w:val="20"/>
                <w:szCs w:val="20"/>
              </w:rPr>
              <w:t xml:space="preserve">) </w:t>
            </w:r>
            <w:r w:rsidR="00007B33" w:rsidRPr="00007B33">
              <w:rPr>
                <w:b/>
                <w:bCs/>
                <w:noProof/>
                <w:sz w:val="20"/>
                <w:szCs w:val="20"/>
              </w:rPr>
              <w:t>Čl. 2 ods. 1 bod 11 nariadenia Európskeho parlamentu a Rady (EÚ) č. 600/2014 z 15. mája 2014 o trhoch s finančnými nástrojmi, ktorým sa mení nariadenie (EÚ) č. 648/2012 (Ú. v. EÚ L 173, 12. 6. 2014) v platnom znení</w:t>
            </w:r>
            <w:r w:rsidRPr="00E3597A">
              <w:rPr>
                <w:b/>
                <w:bCs/>
                <w:noProof/>
                <w:sz w:val="20"/>
                <w:szCs w:val="20"/>
              </w:rPr>
              <w:t>.</w:t>
            </w:r>
            <w:r w:rsidRPr="00E3597A">
              <w:rPr>
                <w:noProof/>
              </w:rPr>
              <w:t xml:space="preserve"> </w:t>
            </w:r>
            <w:r w:rsidRPr="00A233D4">
              <w:rPr>
                <w:noProof/>
                <w:color w:val="0070C0"/>
              </w:rPr>
              <w:tab/>
            </w:r>
          </w:p>
          <w:p w14:paraId="506C33FA" w14:textId="77777777" w:rsidR="00A63BC7" w:rsidRDefault="00A63BC7" w:rsidP="00531286">
            <w:pPr>
              <w:jc w:val="both"/>
              <w:rPr>
                <w:b/>
                <w:sz w:val="20"/>
                <w:szCs w:val="20"/>
                <w:highlight w:val="yellow"/>
              </w:rPr>
            </w:pPr>
          </w:p>
          <w:p w14:paraId="4A89D52F" w14:textId="77777777" w:rsidR="00055CC7" w:rsidRPr="004A4493" w:rsidRDefault="00055CC7" w:rsidP="00531286">
            <w:pPr>
              <w:jc w:val="both"/>
              <w:rPr>
                <w:b/>
                <w:sz w:val="20"/>
                <w:szCs w:val="20"/>
                <w:highlight w:val="yellow"/>
              </w:rPr>
            </w:pPr>
          </w:p>
          <w:p w14:paraId="2F2D6B68" w14:textId="77777777" w:rsidR="00D67DDC" w:rsidRPr="004A4493" w:rsidRDefault="00D67DDC" w:rsidP="00531286">
            <w:pPr>
              <w:jc w:val="both"/>
              <w:rPr>
                <w:b/>
                <w:sz w:val="20"/>
                <w:szCs w:val="20"/>
                <w:highlight w:val="yellow"/>
              </w:rPr>
            </w:pPr>
          </w:p>
          <w:p w14:paraId="7C7E47A6" w14:textId="77777777" w:rsidR="00D67DDC" w:rsidRPr="004A4493" w:rsidRDefault="00D67DDC" w:rsidP="00531286">
            <w:pPr>
              <w:jc w:val="both"/>
              <w:rPr>
                <w:b/>
                <w:sz w:val="20"/>
                <w:szCs w:val="20"/>
                <w:highlight w:val="yellow"/>
              </w:rPr>
            </w:pPr>
          </w:p>
          <w:p w14:paraId="138FA777" w14:textId="77777777" w:rsidR="00A63BC7" w:rsidRPr="004A4493" w:rsidRDefault="00A63BC7" w:rsidP="00531286">
            <w:pPr>
              <w:jc w:val="both"/>
              <w:rPr>
                <w:b/>
                <w:sz w:val="20"/>
                <w:szCs w:val="20"/>
                <w:highlight w:val="yellow"/>
              </w:rPr>
            </w:pPr>
          </w:p>
          <w:p w14:paraId="091832F6" w14:textId="25CAD920" w:rsidR="00A63BC7" w:rsidRPr="004A4493" w:rsidRDefault="00A63BC7" w:rsidP="00A63BC7">
            <w:pPr>
              <w:pStyle w:val="Bezriadkovania"/>
              <w:jc w:val="both"/>
              <w:rPr>
                <w:rStyle w:val="y2iqfc"/>
                <w:rFonts w:ascii="Times New Roman" w:hAnsi="Times New Roman" w:cs="Times New Roman"/>
                <w:sz w:val="20"/>
                <w:szCs w:val="20"/>
              </w:rPr>
            </w:pPr>
            <w:r w:rsidRPr="004A4493">
              <w:rPr>
                <w:rFonts w:ascii="Times New Roman" w:hAnsi="Times New Roman" w:cs="Times New Roman"/>
                <w:b/>
                <w:noProof/>
                <w:sz w:val="20"/>
                <w:szCs w:val="20"/>
              </w:rPr>
              <w:t>(12)</w:t>
            </w:r>
            <w:r w:rsidRPr="004A4493">
              <w:rPr>
                <w:rFonts w:ascii="Times New Roman" w:hAnsi="Times New Roman" w:cs="Times New Roman"/>
                <w:noProof/>
                <w:sz w:val="20"/>
                <w:szCs w:val="20"/>
              </w:rPr>
              <w:t xml:space="preserve"> </w:t>
            </w:r>
            <w:r w:rsidR="00DB5FC5" w:rsidRPr="00DB5FC5">
              <w:rPr>
                <w:rFonts w:ascii="Times New Roman" w:hAnsi="Times New Roman" w:cs="Times New Roman"/>
                <w:b/>
                <w:bCs/>
                <w:noProof/>
                <w:sz w:val="20"/>
                <w:szCs w:val="20"/>
                <w:shd w:val="clear" w:color="auto" w:fill="FFFFFF"/>
              </w:rPr>
              <w:t xml:space="preserve">Systematickým internalizátorom </w:t>
            </w:r>
            <w:r w:rsidR="00DB5FC5" w:rsidRPr="00DB5FC5">
              <w:rPr>
                <w:rStyle w:val="y2iqfc"/>
                <w:rFonts w:ascii="Times New Roman" w:hAnsi="Times New Roman"/>
                <w:b/>
                <w:bCs/>
                <w:noProof/>
                <w:sz w:val="20"/>
                <w:szCs w:val="20"/>
              </w:rPr>
              <w:t xml:space="preserve">je </w:t>
            </w:r>
            <w:r w:rsidR="00DB5FC5" w:rsidRPr="00DB5FC5">
              <w:rPr>
                <w:rFonts w:ascii="Times New Roman" w:hAnsi="Times New Roman" w:cs="Times New Roman"/>
                <w:b/>
                <w:bCs/>
                <w:noProof/>
                <w:sz w:val="20"/>
                <w:szCs w:val="20"/>
                <w:shd w:val="clear" w:color="auto" w:fill="FFFFFF"/>
              </w:rPr>
              <w:t>obchodník s cennými papiermi</w:t>
            </w:r>
            <w:r w:rsidR="00DB5FC5" w:rsidRPr="00DB5FC5">
              <w:rPr>
                <w:rStyle w:val="y2iqfc"/>
                <w:rFonts w:ascii="Times New Roman" w:hAnsi="Times New Roman"/>
                <w:b/>
                <w:bCs/>
                <w:noProof/>
                <w:sz w:val="20"/>
                <w:szCs w:val="20"/>
              </w:rPr>
              <w:t xml:space="preserve">, ktorý </w:t>
            </w:r>
            <w:r w:rsidR="00DB5FC5" w:rsidRPr="00DB5FC5">
              <w:rPr>
                <w:rFonts w:ascii="Times New Roman" w:hAnsi="Times New Roman" w:cs="Times New Roman"/>
                <w:b/>
                <w:bCs/>
                <w:noProof/>
                <w:sz w:val="20"/>
                <w:szCs w:val="20"/>
                <w:shd w:val="clear" w:color="auto" w:fill="FFFFFF"/>
              </w:rPr>
              <w:t xml:space="preserve">organizovane, často, a systematicky </w:t>
            </w:r>
            <w:r w:rsidR="00DB5FC5" w:rsidRPr="00DB5FC5">
              <w:rPr>
                <w:rStyle w:val="y2iqfc"/>
                <w:rFonts w:ascii="Times New Roman" w:hAnsi="Times New Roman"/>
                <w:b/>
                <w:bCs/>
                <w:noProof/>
                <w:sz w:val="20"/>
                <w:szCs w:val="20"/>
              </w:rPr>
              <w:t xml:space="preserve">obchoduje na vlastný </w:t>
            </w:r>
            <w:r w:rsidR="00DB5FC5" w:rsidRPr="00DB5FC5">
              <w:rPr>
                <w:rStyle w:val="y2iqfc"/>
                <w:rFonts w:ascii="Times New Roman" w:hAnsi="Times New Roman"/>
                <w:b/>
                <w:bCs/>
                <w:noProof/>
                <w:sz w:val="20"/>
                <w:szCs w:val="20"/>
              </w:rPr>
              <w:lastRenderedPageBreak/>
              <w:t xml:space="preserve">účet s kapitálovými finančnými nástrojmi vykonávaním pokynov klientov mimo regulovaného trhu, mimo mnohostranného obchodného systému alebo mimo organizovaného obchodného systému bez toho, aby organizoval </w:t>
            </w:r>
            <w:r w:rsidR="00DB5FC5" w:rsidRPr="00DB5FC5">
              <w:rPr>
                <w:rFonts w:ascii="Times New Roman" w:hAnsi="Times New Roman" w:cs="Times New Roman"/>
                <w:b/>
                <w:bCs/>
                <w:noProof/>
                <w:sz w:val="20"/>
                <w:szCs w:val="20"/>
                <w:shd w:val="clear" w:color="auto" w:fill="FFFFFF"/>
              </w:rPr>
              <w:t xml:space="preserve">mnohostranný </w:t>
            </w:r>
            <w:r w:rsidR="00DB5FC5" w:rsidRPr="00DB5FC5">
              <w:rPr>
                <w:rStyle w:val="y2iqfc"/>
                <w:rFonts w:ascii="Times New Roman" w:hAnsi="Times New Roman"/>
                <w:b/>
                <w:bCs/>
                <w:noProof/>
                <w:sz w:val="20"/>
                <w:szCs w:val="20"/>
              </w:rPr>
              <w:t xml:space="preserve">systém, alebo </w:t>
            </w:r>
            <w:r w:rsidR="00AA0225" w:rsidRPr="00DB5FC5">
              <w:rPr>
                <w:rFonts w:ascii="Times New Roman" w:hAnsi="Times New Roman" w:cs="Times New Roman"/>
                <w:b/>
                <w:bCs/>
                <w:noProof/>
                <w:sz w:val="20"/>
                <w:szCs w:val="20"/>
                <w:shd w:val="clear" w:color="auto" w:fill="FFFFFF"/>
              </w:rPr>
              <w:t>obchodník s cennými papiermi</w:t>
            </w:r>
            <w:r w:rsidR="00AA0225" w:rsidRPr="00DB5FC5">
              <w:rPr>
                <w:rStyle w:val="y2iqfc"/>
                <w:rFonts w:ascii="Times New Roman" w:hAnsi="Times New Roman"/>
                <w:b/>
                <w:bCs/>
                <w:noProof/>
                <w:sz w:val="20"/>
                <w:szCs w:val="20"/>
              </w:rPr>
              <w:t xml:space="preserve">, </w:t>
            </w:r>
            <w:r w:rsidR="00DB5FC5" w:rsidRPr="00DB5FC5">
              <w:rPr>
                <w:rStyle w:val="y2iqfc"/>
                <w:rFonts w:ascii="Times New Roman" w:hAnsi="Times New Roman"/>
                <w:b/>
                <w:bCs/>
                <w:noProof/>
                <w:sz w:val="20"/>
                <w:szCs w:val="20"/>
              </w:rPr>
              <w:t>ktorý sa dobrovoľne rozhodne využívať  režim systematického internalizátora</w:t>
            </w:r>
            <w:r w:rsidRPr="004A4493">
              <w:rPr>
                <w:rStyle w:val="y2iqfc"/>
                <w:rFonts w:ascii="Times New Roman" w:hAnsi="Times New Roman" w:cs="Times New Roman"/>
                <w:b/>
                <w:sz w:val="20"/>
                <w:szCs w:val="20"/>
              </w:rPr>
              <w:t>.</w:t>
            </w:r>
          </w:p>
          <w:p w14:paraId="0067B9B9" w14:textId="77777777" w:rsidR="00A63BC7" w:rsidRPr="004A4493" w:rsidRDefault="00A63BC7" w:rsidP="00531286">
            <w:pPr>
              <w:jc w:val="both"/>
              <w:rPr>
                <w:b/>
                <w:sz w:val="20"/>
                <w:szCs w:val="20"/>
                <w:highlight w:val="yellow"/>
              </w:rPr>
            </w:pPr>
          </w:p>
        </w:tc>
        <w:tc>
          <w:tcPr>
            <w:tcW w:w="709" w:type="dxa"/>
            <w:tcBorders>
              <w:top w:val="single" w:sz="4" w:space="0" w:color="auto"/>
              <w:left w:val="single" w:sz="4" w:space="0" w:color="auto"/>
              <w:right w:val="single" w:sz="4" w:space="0" w:color="auto"/>
            </w:tcBorders>
          </w:tcPr>
          <w:p w14:paraId="264CA415" w14:textId="77777777" w:rsidR="00891F0B" w:rsidRDefault="00A63BC7" w:rsidP="00531286">
            <w:pPr>
              <w:adjustRightInd w:val="0"/>
              <w:jc w:val="center"/>
              <w:rPr>
                <w:color w:val="000000"/>
                <w:sz w:val="22"/>
                <w:szCs w:val="22"/>
              </w:rPr>
            </w:pPr>
            <w:r>
              <w:rPr>
                <w:color w:val="000000"/>
                <w:sz w:val="22"/>
                <w:szCs w:val="22"/>
              </w:rPr>
              <w:lastRenderedPageBreak/>
              <w:t>Ú</w:t>
            </w:r>
          </w:p>
          <w:p w14:paraId="653F841B" w14:textId="77777777" w:rsidR="00A63BC7" w:rsidRDefault="00A63BC7" w:rsidP="00531286">
            <w:pPr>
              <w:adjustRightInd w:val="0"/>
              <w:jc w:val="center"/>
              <w:rPr>
                <w:color w:val="000000"/>
                <w:sz w:val="22"/>
                <w:szCs w:val="22"/>
              </w:rPr>
            </w:pPr>
          </w:p>
          <w:p w14:paraId="50BBFD2A" w14:textId="77777777" w:rsidR="00A63BC7" w:rsidRPr="00531286" w:rsidRDefault="00A63BC7" w:rsidP="00531286">
            <w:pPr>
              <w:adjustRightInd w:val="0"/>
              <w:jc w:val="center"/>
              <w:rPr>
                <w:color w:val="000000"/>
                <w:sz w:val="22"/>
                <w:szCs w:val="22"/>
              </w:rPr>
            </w:pPr>
          </w:p>
          <w:p w14:paraId="56EC09AD" w14:textId="77777777" w:rsidR="00891F0B" w:rsidRPr="00531286" w:rsidRDefault="00891F0B" w:rsidP="00531286">
            <w:pPr>
              <w:adjustRightInd w:val="0"/>
              <w:jc w:val="center"/>
              <w:rPr>
                <w:color w:val="000000"/>
                <w:sz w:val="22"/>
                <w:szCs w:val="22"/>
              </w:rPr>
            </w:pPr>
          </w:p>
          <w:p w14:paraId="383C0E63" w14:textId="77777777" w:rsidR="00891F0B" w:rsidRPr="00531286" w:rsidRDefault="00891F0B" w:rsidP="00531286">
            <w:pPr>
              <w:adjustRightInd w:val="0"/>
              <w:jc w:val="center"/>
              <w:rPr>
                <w:color w:val="000000"/>
                <w:sz w:val="22"/>
                <w:szCs w:val="22"/>
              </w:rPr>
            </w:pPr>
          </w:p>
          <w:p w14:paraId="7300ABF3" w14:textId="77777777" w:rsidR="00891F0B" w:rsidRPr="00531286" w:rsidRDefault="00891F0B" w:rsidP="00531286">
            <w:pPr>
              <w:adjustRightInd w:val="0"/>
              <w:jc w:val="center"/>
              <w:rPr>
                <w:color w:val="000000"/>
                <w:sz w:val="22"/>
                <w:szCs w:val="22"/>
              </w:rPr>
            </w:pPr>
          </w:p>
          <w:p w14:paraId="7BD18E1F" w14:textId="77777777" w:rsidR="00891F0B" w:rsidRPr="00531286" w:rsidRDefault="00891F0B" w:rsidP="00531286">
            <w:pPr>
              <w:adjustRightInd w:val="0"/>
              <w:jc w:val="center"/>
              <w:rPr>
                <w:color w:val="000000"/>
                <w:sz w:val="22"/>
                <w:szCs w:val="22"/>
              </w:rPr>
            </w:pPr>
          </w:p>
          <w:p w14:paraId="31463D6A" w14:textId="77777777" w:rsidR="00891F0B" w:rsidRDefault="00891F0B" w:rsidP="00531286">
            <w:pPr>
              <w:adjustRightInd w:val="0"/>
              <w:jc w:val="center"/>
              <w:rPr>
                <w:color w:val="000000"/>
                <w:sz w:val="22"/>
                <w:szCs w:val="22"/>
              </w:rPr>
            </w:pPr>
          </w:p>
          <w:p w14:paraId="6EAED29D" w14:textId="77777777" w:rsidR="00A63BC7" w:rsidRPr="00531286" w:rsidRDefault="00A63BC7" w:rsidP="00531286">
            <w:pPr>
              <w:adjustRightInd w:val="0"/>
              <w:jc w:val="center"/>
              <w:rPr>
                <w:color w:val="000000"/>
                <w:sz w:val="22"/>
                <w:szCs w:val="22"/>
              </w:rPr>
            </w:pPr>
          </w:p>
          <w:p w14:paraId="43D2B956" w14:textId="77777777" w:rsidR="00891F0B" w:rsidRDefault="00891F0B" w:rsidP="00531286">
            <w:pPr>
              <w:adjustRightInd w:val="0"/>
              <w:jc w:val="center"/>
              <w:rPr>
                <w:color w:val="000000"/>
                <w:sz w:val="22"/>
                <w:szCs w:val="22"/>
              </w:rPr>
            </w:pPr>
          </w:p>
          <w:p w14:paraId="47271484" w14:textId="77777777" w:rsidR="00007B33" w:rsidRDefault="00007B33" w:rsidP="00531286">
            <w:pPr>
              <w:adjustRightInd w:val="0"/>
              <w:jc w:val="center"/>
              <w:rPr>
                <w:color w:val="000000"/>
                <w:sz w:val="22"/>
                <w:szCs w:val="22"/>
              </w:rPr>
            </w:pPr>
          </w:p>
          <w:p w14:paraId="6F1408CC" w14:textId="77777777" w:rsidR="00007B33" w:rsidRDefault="00007B33" w:rsidP="00531286">
            <w:pPr>
              <w:adjustRightInd w:val="0"/>
              <w:jc w:val="center"/>
              <w:rPr>
                <w:color w:val="000000"/>
                <w:sz w:val="22"/>
                <w:szCs w:val="22"/>
              </w:rPr>
            </w:pPr>
          </w:p>
          <w:p w14:paraId="69AB6746" w14:textId="77777777" w:rsidR="00007B33" w:rsidRDefault="00007B33" w:rsidP="00531286">
            <w:pPr>
              <w:adjustRightInd w:val="0"/>
              <w:jc w:val="center"/>
              <w:rPr>
                <w:color w:val="000000"/>
                <w:sz w:val="22"/>
                <w:szCs w:val="22"/>
              </w:rPr>
            </w:pPr>
          </w:p>
          <w:p w14:paraId="4839BEC9" w14:textId="77777777" w:rsidR="00007B33" w:rsidRDefault="00007B33" w:rsidP="00531286">
            <w:pPr>
              <w:adjustRightInd w:val="0"/>
              <w:jc w:val="center"/>
              <w:rPr>
                <w:color w:val="000000"/>
                <w:sz w:val="22"/>
                <w:szCs w:val="22"/>
              </w:rPr>
            </w:pPr>
          </w:p>
          <w:p w14:paraId="73EE0750" w14:textId="77777777" w:rsidR="00007B33" w:rsidRPr="00531286" w:rsidRDefault="00007B33" w:rsidP="00531286">
            <w:pPr>
              <w:adjustRightInd w:val="0"/>
              <w:jc w:val="center"/>
              <w:rPr>
                <w:color w:val="000000"/>
                <w:sz w:val="22"/>
                <w:szCs w:val="22"/>
              </w:rPr>
            </w:pPr>
          </w:p>
          <w:p w14:paraId="061CEC17" w14:textId="77777777" w:rsidR="00891F0B" w:rsidRPr="00531286" w:rsidRDefault="00891F0B" w:rsidP="00531286">
            <w:pPr>
              <w:adjustRightInd w:val="0"/>
              <w:jc w:val="center"/>
              <w:rPr>
                <w:color w:val="000000"/>
                <w:sz w:val="22"/>
                <w:szCs w:val="22"/>
              </w:rPr>
            </w:pPr>
            <w:r w:rsidRPr="00531286">
              <w:rPr>
                <w:color w:val="000000"/>
                <w:sz w:val="22"/>
                <w:szCs w:val="22"/>
              </w:rPr>
              <w:t>Ú</w:t>
            </w:r>
          </w:p>
          <w:p w14:paraId="1E99EBA6" w14:textId="77777777" w:rsidR="00891F0B" w:rsidRPr="00531286" w:rsidRDefault="00891F0B" w:rsidP="00531286">
            <w:pPr>
              <w:adjustRightInd w:val="0"/>
              <w:jc w:val="center"/>
              <w:rPr>
                <w:color w:val="000000"/>
                <w:sz w:val="22"/>
                <w:szCs w:val="22"/>
              </w:rPr>
            </w:pPr>
          </w:p>
          <w:p w14:paraId="11F2091D" w14:textId="77777777" w:rsidR="00891F0B" w:rsidRPr="00531286" w:rsidRDefault="00891F0B" w:rsidP="00531286">
            <w:pPr>
              <w:adjustRightInd w:val="0"/>
              <w:jc w:val="center"/>
              <w:rPr>
                <w:color w:val="000000"/>
                <w:sz w:val="22"/>
                <w:szCs w:val="22"/>
              </w:rPr>
            </w:pPr>
          </w:p>
          <w:p w14:paraId="0D544DCB" w14:textId="77777777" w:rsidR="00891F0B" w:rsidRPr="00531286" w:rsidRDefault="00891F0B" w:rsidP="00531286">
            <w:pPr>
              <w:adjustRightInd w:val="0"/>
              <w:jc w:val="center"/>
              <w:rPr>
                <w:color w:val="000000"/>
                <w:sz w:val="22"/>
                <w:szCs w:val="22"/>
              </w:rPr>
            </w:pPr>
          </w:p>
          <w:p w14:paraId="76391752" w14:textId="77777777" w:rsidR="00891F0B" w:rsidRPr="00531286" w:rsidRDefault="00891F0B" w:rsidP="00531286">
            <w:pPr>
              <w:adjustRightInd w:val="0"/>
              <w:jc w:val="center"/>
              <w:rPr>
                <w:color w:val="000000"/>
                <w:sz w:val="22"/>
                <w:szCs w:val="22"/>
              </w:rPr>
            </w:pPr>
          </w:p>
          <w:p w14:paraId="074095EF" w14:textId="77777777" w:rsidR="00891F0B" w:rsidRPr="00531286" w:rsidRDefault="00891F0B" w:rsidP="00531286">
            <w:pPr>
              <w:adjustRightInd w:val="0"/>
              <w:jc w:val="center"/>
              <w:rPr>
                <w:color w:val="000000"/>
                <w:sz w:val="22"/>
                <w:szCs w:val="22"/>
              </w:rPr>
            </w:pPr>
          </w:p>
          <w:p w14:paraId="53C4B017" w14:textId="77777777" w:rsidR="00891F0B" w:rsidRPr="00531286" w:rsidRDefault="00891F0B" w:rsidP="00531286">
            <w:pPr>
              <w:adjustRightInd w:val="0"/>
              <w:jc w:val="center"/>
              <w:rPr>
                <w:color w:val="000000"/>
                <w:sz w:val="22"/>
                <w:szCs w:val="22"/>
              </w:rPr>
            </w:pPr>
          </w:p>
          <w:p w14:paraId="3BA43A06" w14:textId="77777777" w:rsidR="00891F0B" w:rsidRPr="00531286" w:rsidRDefault="00891F0B" w:rsidP="00531286">
            <w:pPr>
              <w:adjustRightInd w:val="0"/>
              <w:jc w:val="center"/>
              <w:rPr>
                <w:color w:val="000000"/>
                <w:sz w:val="22"/>
                <w:szCs w:val="22"/>
              </w:rPr>
            </w:pPr>
          </w:p>
          <w:p w14:paraId="2652BF97" w14:textId="77777777" w:rsidR="00891F0B" w:rsidRPr="00531286" w:rsidRDefault="00891F0B" w:rsidP="00531286">
            <w:pPr>
              <w:adjustRightInd w:val="0"/>
              <w:jc w:val="center"/>
              <w:rPr>
                <w:color w:val="000000"/>
                <w:sz w:val="22"/>
                <w:szCs w:val="22"/>
              </w:rPr>
            </w:pPr>
          </w:p>
          <w:p w14:paraId="4F8CBB4D" w14:textId="77777777" w:rsidR="00891F0B" w:rsidRPr="00531286" w:rsidRDefault="00891F0B" w:rsidP="00531286">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64FA62B2" w14:textId="77777777" w:rsidR="00891F0B" w:rsidRPr="00531286" w:rsidRDefault="00891F0B"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74A92BD0" w14:textId="77777777" w:rsidR="00891F0B" w:rsidRPr="00531286"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1902D302" w14:textId="77777777" w:rsidR="00891F0B" w:rsidRPr="00531286" w:rsidRDefault="00891F0B" w:rsidP="00531286">
            <w:pPr>
              <w:spacing w:before="75" w:after="75"/>
              <w:rPr>
                <w:sz w:val="22"/>
                <w:szCs w:val="22"/>
              </w:rPr>
            </w:pPr>
          </w:p>
        </w:tc>
      </w:tr>
      <w:tr w:rsidR="00891F0B" w:rsidRPr="0066733C" w14:paraId="4C747EC3" w14:textId="77777777" w:rsidTr="0081721F">
        <w:tc>
          <w:tcPr>
            <w:tcW w:w="682" w:type="dxa"/>
            <w:tcBorders>
              <w:top w:val="single" w:sz="4" w:space="0" w:color="auto"/>
              <w:left w:val="single" w:sz="12" w:space="0" w:color="auto"/>
              <w:right w:val="single" w:sz="4" w:space="0" w:color="auto"/>
            </w:tcBorders>
          </w:tcPr>
          <w:p w14:paraId="0738D49D" w14:textId="77777777" w:rsidR="00891F0B" w:rsidRPr="00531286" w:rsidRDefault="00891F0B" w:rsidP="00531286">
            <w:pPr>
              <w:jc w:val="center"/>
              <w:rPr>
                <w:sz w:val="22"/>
                <w:szCs w:val="22"/>
              </w:rPr>
            </w:pPr>
            <w:r w:rsidRPr="00531286">
              <w:rPr>
                <w:sz w:val="22"/>
                <w:szCs w:val="22"/>
              </w:rPr>
              <w:t>Č:1</w:t>
            </w:r>
          </w:p>
          <w:p w14:paraId="2A4131A0" w14:textId="77777777" w:rsidR="00891F0B" w:rsidRPr="00531286" w:rsidRDefault="00891F0B" w:rsidP="00531286">
            <w:pPr>
              <w:jc w:val="center"/>
              <w:rPr>
                <w:sz w:val="22"/>
                <w:szCs w:val="22"/>
              </w:rPr>
            </w:pPr>
            <w:r w:rsidRPr="00531286">
              <w:rPr>
                <w:sz w:val="22"/>
                <w:szCs w:val="22"/>
              </w:rPr>
              <w:t>O:</w:t>
            </w:r>
            <w:r w:rsidR="00531286" w:rsidRPr="00531286">
              <w:rPr>
                <w:sz w:val="22"/>
                <w:szCs w:val="22"/>
              </w:rPr>
              <w:t xml:space="preserve"> 4</w:t>
            </w:r>
          </w:p>
        </w:tc>
        <w:tc>
          <w:tcPr>
            <w:tcW w:w="4620" w:type="dxa"/>
            <w:tcBorders>
              <w:top w:val="single" w:sz="4" w:space="0" w:color="auto"/>
              <w:left w:val="single" w:sz="4" w:space="0" w:color="auto"/>
              <w:right w:val="single" w:sz="4" w:space="0" w:color="auto"/>
            </w:tcBorders>
            <w:vAlign w:val="center"/>
          </w:tcPr>
          <w:p w14:paraId="22198F82"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 xml:space="preserve">Článok 27 </w:t>
            </w:r>
            <w:r w:rsidRPr="004A4493">
              <w:rPr>
                <w:rStyle w:val="y2iqfc"/>
                <w:rFonts w:ascii="Times New Roman" w:hAnsi="Times New Roman" w:cs="Times New Roman"/>
                <w:color w:val="202124"/>
                <w:sz w:val="22"/>
                <w:szCs w:val="22"/>
              </w:rPr>
              <w:t>sa mení takto:</w:t>
            </w:r>
          </w:p>
          <w:p w14:paraId="49A33389"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a) odsek 2 sa vypúšťa;</w:t>
            </w:r>
          </w:p>
          <w:p w14:paraId="14FCE949"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458E592E"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01001461"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7B1A7878"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418C8C61"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47F24320"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b) odsek 3 sa nahrádza takto:</w:t>
            </w:r>
          </w:p>
          <w:p w14:paraId="3405ECF4" w14:textId="77777777" w:rsidR="00531286" w:rsidRDefault="004A690B" w:rsidP="00531286">
            <w:pPr>
              <w:pStyle w:val="PredformtovanHTML"/>
              <w:shd w:val="clear" w:color="auto" w:fill="F8F9FA"/>
              <w:rPr>
                <w:rStyle w:val="y2iqfc"/>
                <w:rFonts w:ascii="Times New Roman" w:hAnsi="Times New Roman" w:cs="Times New Roman"/>
                <w:color w:val="202124"/>
                <w:sz w:val="22"/>
                <w:szCs w:val="22"/>
              </w:rPr>
            </w:pPr>
            <w:r>
              <w:rPr>
                <w:color w:val="000000"/>
                <w:shd w:val="clear" w:color="auto" w:fill="FFFFFF"/>
              </w:rPr>
              <w:t>„</w:t>
            </w:r>
            <w:r w:rsidRPr="004A690B">
              <w:rPr>
                <w:rFonts w:ascii="Times New Roman" w:hAnsi="Times New Roman" w:cs="Times New Roman"/>
                <w:color w:val="000000"/>
                <w:sz w:val="22"/>
                <w:szCs w:val="22"/>
                <w:shd w:val="clear" w:color="auto" w:fill="FFFFFF"/>
              </w:rPr>
              <w:t xml:space="preserve">3.   Pokiaľ ide o finančné nástroje, na ktoré sa vzťahujú </w:t>
            </w:r>
            <w:proofErr w:type="spellStart"/>
            <w:r w:rsidRPr="004A690B">
              <w:rPr>
                <w:rFonts w:ascii="Times New Roman" w:hAnsi="Times New Roman" w:cs="Times New Roman"/>
                <w:color w:val="000000"/>
                <w:sz w:val="22"/>
                <w:szCs w:val="22"/>
                <w:shd w:val="clear" w:color="auto" w:fill="FFFFFF"/>
              </w:rPr>
              <w:t>obchodovacie</w:t>
            </w:r>
            <w:proofErr w:type="spellEnd"/>
            <w:r w:rsidRPr="004A690B">
              <w:rPr>
                <w:rFonts w:ascii="Times New Roman" w:hAnsi="Times New Roman" w:cs="Times New Roman"/>
                <w:color w:val="000000"/>
                <w:sz w:val="22"/>
                <w:szCs w:val="22"/>
                <w:shd w:val="clear" w:color="auto" w:fill="FFFFFF"/>
              </w:rPr>
              <w:t xml:space="preserve"> povinnosti stanovené v článkoch 23 a 28 nariadenia (EÚ) č. 600/2014, členské štáty vyžadujú, aby investičná spoločnosť po vykonaní pokynu v mene klienta informovala klienta o mieste, kde bol pokyn vykonaný.“</w:t>
            </w:r>
          </w:p>
          <w:p w14:paraId="62602DAC"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1EC501F1"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06E847F5" w14:textId="77777777" w:rsidR="00A63BC7" w:rsidRDefault="00A63BC7" w:rsidP="00531286">
            <w:pPr>
              <w:pStyle w:val="PredformtovanHTML"/>
              <w:shd w:val="clear" w:color="auto" w:fill="F8F9FA"/>
              <w:rPr>
                <w:rStyle w:val="y2iqfc"/>
                <w:rFonts w:ascii="Times New Roman" w:hAnsi="Times New Roman" w:cs="Times New Roman"/>
                <w:color w:val="202124"/>
                <w:sz w:val="22"/>
                <w:szCs w:val="22"/>
              </w:rPr>
            </w:pPr>
          </w:p>
          <w:p w14:paraId="181D2779" w14:textId="77777777" w:rsidR="00A63BC7" w:rsidRDefault="00A63BC7" w:rsidP="00531286">
            <w:pPr>
              <w:pStyle w:val="PredformtovanHTML"/>
              <w:shd w:val="clear" w:color="auto" w:fill="F8F9FA"/>
              <w:rPr>
                <w:rStyle w:val="y2iqfc"/>
                <w:rFonts w:ascii="Times New Roman" w:hAnsi="Times New Roman" w:cs="Times New Roman"/>
                <w:color w:val="202124"/>
                <w:sz w:val="22"/>
                <w:szCs w:val="22"/>
              </w:rPr>
            </w:pPr>
          </w:p>
          <w:p w14:paraId="28D047DC" w14:textId="77777777" w:rsidR="004A4493" w:rsidRDefault="004A4493" w:rsidP="00531286">
            <w:pPr>
              <w:pStyle w:val="PredformtovanHTML"/>
              <w:shd w:val="clear" w:color="auto" w:fill="F8F9FA"/>
              <w:rPr>
                <w:rStyle w:val="y2iqfc"/>
                <w:rFonts w:ascii="Times New Roman" w:hAnsi="Times New Roman" w:cs="Times New Roman"/>
                <w:color w:val="202124"/>
                <w:sz w:val="22"/>
                <w:szCs w:val="22"/>
              </w:rPr>
            </w:pPr>
          </w:p>
          <w:p w14:paraId="0C91C703" w14:textId="77777777" w:rsidR="004A4493" w:rsidRDefault="004A4493" w:rsidP="00531286">
            <w:pPr>
              <w:pStyle w:val="PredformtovanHTML"/>
              <w:shd w:val="clear" w:color="auto" w:fill="F8F9FA"/>
              <w:rPr>
                <w:rStyle w:val="y2iqfc"/>
                <w:rFonts w:ascii="Times New Roman" w:hAnsi="Times New Roman" w:cs="Times New Roman"/>
                <w:color w:val="202124"/>
                <w:sz w:val="22"/>
                <w:szCs w:val="22"/>
              </w:rPr>
            </w:pPr>
          </w:p>
          <w:p w14:paraId="317FF98A" w14:textId="77777777" w:rsidR="00A63BC7" w:rsidRDefault="00A63BC7" w:rsidP="00531286">
            <w:pPr>
              <w:pStyle w:val="PredformtovanHTML"/>
              <w:shd w:val="clear" w:color="auto" w:fill="F8F9FA"/>
              <w:rPr>
                <w:rStyle w:val="y2iqfc"/>
                <w:rFonts w:ascii="Times New Roman" w:hAnsi="Times New Roman" w:cs="Times New Roman"/>
                <w:color w:val="202124"/>
                <w:sz w:val="22"/>
                <w:szCs w:val="22"/>
              </w:rPr>
            </w:pPr>
          </w:p>
          <w:p w14:paraId="1594FFE6"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c) odsek 6 sa vypúšťa;</w:t>
            </w:r>
          </w:p>
          <w:p w14:paraId="1029C917"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p>
          <w:p w14:paraId="2E14231D"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5593EC5F"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32AD81DE" w14:textId="77777777" w:rsidR="00AC1613" w:rsidRDefault="00AC1613" w:rsidP="00531286">
            <w:pPr>
              <w:pStyle w:val="PredformtovanHTML"/>
              <w:shd w:val="clear" w:color="auto" w:fill="F8F9FA"/>
              <w:rPr>
                <w:rStyle w:val="y2iqfc"/>
                <w:rFonts w:ascii="Times New Roman" w:hAnsi="Times New Roman" w:cs="Times New Roman"/>
                <w:color w:val="202124"/>
                <w:sz w:val="22"/>
                <w:szCs w:val="22"/>
              </w:rPr>
            </w:pPr>
          </w:p>
          <w:p w14:paraId="70EC08B2" w14:textId="77777777" w:rsidR="00AC1613" w:rsidRDefault="00AC1613" w:rsidP="00531286">
            <w:pPr>
              <w:pStyle w:val="PredformtovanHTML"/>
              <w:shd w:val="clear" w:color="auto" w:fill="F8F9FA"/>
              <w:rPr>
                <w:rStyle w:val="y2iqfc"/>
                <w:rFonts w:ascii="Times New Roman" w:hAnsi="Times New Roman" w:cs="Times New Roman"/>
                <w:color w:val="202124"/>
                <w:sz w:val="22"/>
                <w:szCs w:val="22"/>
              </w:rPr>
            </w:pPr>
          </w:p>
          <w:p w14:paraId="3FA1B716" w14:textId="77777777" w:rsidR="00AC1613" w:rsidRDefault="00AC1613" w:rsidP="00531286">
            <w:pPr>
              <w:pStyle w:val="PredformtovanHTML"/>
              <w:shd w:val="clear" w:color="auto" w:fill="F8F9FA"/>
              <w:rPr>
                <w:rStyle w:val="y2iqfc"/>
                <w:rFonts w:ascii="Times New Roman" w:hAnsi="Times New Roman" w:cs="Times New Roman"/>
                <w:color w:val="202124"/>
                <w:sz w:val="22"/>
                <w:szCs w:val="22"/>
              </w:rPr>
            </w:pPr>
          </w:p>
          <w:p w14:paraId="3A596902" w14:textId="77777777" w:rsidR="00AC1613" w:rsidRDefault="00AC1613" w:rsidP="00531286">
            <w:pPr>
              <w:pStyle w:val="PredformtovanHTML"/>
              <w:shd w:val="clear" w:color="auto" w:fill="F8F9FA"/>
              <w:rPr>
                <w:rStyle w:val="y2iqfc"/>
                <w:rFonts w:ascii="Times New Roman" w:hAnsi="Times New Roman" w:cs="Times New Roman"/>
                <w:color w:val="202124"/>
                <w:sz w:val="22"/>
                <w:szCs w:val="22"/>
              </w:rPr>
            </w:pPr>
          </w:p>
          <w:p w14:paraId="08775731" w14:textId="77777777" w:rsidR="00AC1613" w:rsidRDefault="00AC1613" w:rsidP="00531286">
            <w:pPr>
              <w:pStyle w:val="PredformtovanHTML"/>
              <w:shd w:val="clear" w:color="auto" w:fill="F8F9FA"/>
              <w:rPr>
                <w:rStyle w:val="y2iqfc"/>
                <w:rFonts w:ascii="Times New Roman" w:hAnsi="Times New Roman" w:cs="Times New Roman"/>
                <w:color w:val="202124"/>
                <w:sz w:val="22"/>
                <w:szCs w:val="22"/>
              </w:rPr>
            </w:pPr>
          </w:p>
          <w:p w14:paraId="26DFD460" w14:textId="77777777" w:rsidR="00531286" w:rsidRDefault="00531286" w:rsidP="00531286">
            <w:pPr>
              <w:pStyle w:val="PredformtovanHTML"/>
              <w:shd w:val="clear" w:color="auto" w:fill="F8F9FA"/>
              <w:rPr>
                <w:rStyle w:val="y2iqfc"/>
                <w:rFonts w:ascii="Times New Roman" w:hAnsi="Times New Roman" w:cs="Times New Roman"/>
                <w:color w:val="202124"/>
                <w:sz w:val="22"/>
                <w:szCs w:val="22"/>
              </w:rPr>
            </w:pPr>
          </w:p>
          <w:p w14:paraId="73E334DF"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d) odsek 7 sa nahrádza takto:</w:t>
            </w:r>
          </w:p>
          <w:p w14:paraId="6E705295" w14:textId="77777777" w:rsidR="00C524AF" w:rsidRPr="00531286" w:rsidRDefault="00C524AF" w:rsidP="00DB375C">
            <w:pPr>
              <w:pStyle w:val="PredformtovanHTML"/>
              <w:shd w:val="clear" w:color="auto" w:fill="F8F9FA"/>
              <w:jc w:val="both"/>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 xml:space="preserve">„7. </w:t>
            </w:r>
            <w:r w:rsidR="004A690B" w:rsidRPr="004A690B">
              <w:rPr>
                <w:rFonts w:ascii="Times New Roman" w:hAnsi="Times New Roman" w:cs="Times New Roman"/>
                <w:color w:val="000000"/>
                <w:sz w:val="22"/>
                <w:szCs w:val="22"/>
                <w:shd w:val="clear" w:color="auto" w:fill="FFFFFF"/>
              </w:rPr>
              <w:t>Členské štáty požadujú, aby investičné spoločnosti, ktoré vykonávajú pokyny klientov, monitorovali účinnosť svojich opatrení na vykonávanie pokynov a politiky vykonávania pokynov na účely identifikácie a v náležitých prípadoch nápravy akýchkoľvek nedostatkov. Členské štáty najmä požadujú, aby takéto investičné spoločnosti pravidelne vyhodnocovali, či miesta výkonu zahrnuté do politiky vykonávania pokynov poskytujú klientovi najlepší možný výsledok, alebo či musia svoje opatrenia na vykonávanie pokynov zmeniť. Členské štáty požadujú od investičných spoločností, aby oznámili klientom, s ktorými majú pretrvávajúci klientsky vzťah, všetky podstatné zmeny svojich opatrení na vykonávanie pokynov alebo politiky vykonávania pokynov</w:t>
            </w:r>
            <w:r w:rsidRPr="00531286">
              <w:rPr>
                <w:rStyle w:val="y2iqfc"/>
                <w:rFonts w:ascii="Times New Roman" w:hAnsi="Times New Roman" w:cs="Times New Roman"/>
                <w:color w:val="202124"/>
                <w:sz w:val="22"/>
                <w:szCs w:val="22"/>
              </w:rPr>
              <w:t>.“;</w:t>
            </w:r>
          </w:p>
          <w:p w14:paraId="661D1CD5" w14:textId="77777777" w:rsidR="00C524AF" w:rsidRDefault="00C524AF" w:rsidP="00531286">
            <w:pPr>
              <w:pStyle w:val="PredformtovanHTML"/>
              <w:shd w:val="clear" w:color="auto" w:fill="F8F9FA"/>
              <w:rPr>
                <w:rStyle w:val="y2iqfc"/>
                <w:rFonts w:ascii="Times New Roman" w:hAnsi="Times New Roman" w:cs="Times New Roman"/>
                <w:color w:val="202124"/>
                <w:sz w:val="22"/>
                <w:szCs w:val="22"/>
              </w:rPr>
            </w:pPr>
          </w:p>
          <w:p w14:paraId="05E7F737" w14:textId="77777777" w:rsidR="00A63BC7" w:rsidRDefault="00A63BC7" w:rsidP="00531286">
            <w:pPr>
              <w:pStyle w:val="PredformtovanHTML"/>
              <w:shd w:val="clear" w:color="auto" w:fill="F8F9FA"/>
              <w:rPr>
                <w:rStyle w:val="y2iqfc"/>
                <w:rFonts w:ascii="Times New Roman" w:hAnsi="Times New Roman" w:cs="Times New Roman"/>
                <w:color w:val="202124"/>
                <w:sz w:val="22"/>
                <w:szCs w:val="22"/>
              </w:rPr>
            </w:pPr>
          </w:p>
          <w:p w14:paraId="2F03B8AC" w14:textId="77777777" w:rsidR="00A63BC7" w:rsidRDefault="00A63BC7" w:rsidP="00531286">
            <w:pPr>
              <w:pStyle w:val="PredformtovanHTML"/>
              <w:shd w:val="clear" w:color="auto" w:fill="F8F9FA"/>
              <w:rPr>
                <w:rStyle w:val="y2iqfc"/>
                <w:rFonts w:ascii="Times New Roman" w:hAnsi="Times New Roman" w:cs="Times New Roman"/>
                <w:color w:val="202124"/>
                <w:sz w:val="22"/>
                <w:szCs w:val="22"/>
              </w:rPr>
            </w:pPr>
          </w:p>
          <w:p w14:paraId="3CD06119" w14:textId="77777777" w:rsidR="00A63BC7" w:rsidRDefault="00A63BC7" w:rsidP="00531286">
            <w:pPr>
              <w:pStyle w:val="PredformtovanHTML"/>
              <w:shd w:val="clear" w:color="auto" w:fill="F8F9FA"/>
              <w:rPr>
                <w:rStyle w:val="y2iqfc"/>
                <w:rFonts w:ascii="Times New Roman" w:hAnsi="Times New Roman" w:cs="Times New Roman"/>
                <w:color w:val="202124"/>
                <w:sz w:val="22"/>
                <w:szCs w:val="22"/>
              </w:rPr>
            </w:pPr>
          </w:p>
          <w:p w14:paraId="10DCE7C5"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6A3972C7"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32864CAA"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2C1B0756"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10F8608A"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3FFA87E6"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6CFBF17D"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0B10F8E5"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35ADB8C0" w14:textId="77777777" w:rsidR="00197DC0" w:rsidRDefault="00197DC0" w:rsidP="00531286">
            <w:pPr>
              <w:pStyle w:val="PredformtovanHTML"/>
              <w:shd w:val="clear" w:color="auto" w:fill="F8F9FA"/>
              <w:rPr>
                <w:rStyle w:val="y2iqfc"/>
                <w:rFonts w:ascii="Times New Roman" w:hAnsi="Times New Roman" w:cs="Times New Roman"/>
                <w:color w:val="202124"/>
                <w:sz w:val="22"/>
                <w:szCs w:val="22"/>
              </w:rPr>
            </w:pPr>
          </w:p>
          <w:p w14:paraId="2129C1EB" w14:textId="77777777" w:rsidR="00A63BC7" w:rsidRPr="00531286" w:rsidRDefault="00A63BC7" w:rsidP="00531286">
            <w:pPr>
              <w:pStyle w:val="PredformtovanHTML"/>
              <w:shd w:val="clear" w:color="auto" w:fill="F8F9FA"/>
              <w:rPr>
                <w:rStyle w:val="y2iqfc"/>
                <w:rFonts w:ascii="Times New Roman" w:hAnsi="Times New Roman" w:cs="Times New Roman"/>
                <w:color w:val="202124"/>
                <w:sz w:val="22"/>
                <w:szCs w:val="22"/>
              </w:rPr>
            </w:pPr>
          </w:p>
          <w:p w14:paraId="5A0112EF" w14:textId="77777777" w:rsidR="00C524AF" w:rsidRPr="00531286" w:rsidRDefault="00C524AF" w:rsidP="00531286">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e) odsek 10 sa nahrádza takto:</w:t>
            </w:r>
          </w:p>
          <w:p w14:paraId="76404E5C" w14:textId="77777777" w:rsidR="004A690B" w:rsidRPr="004A690B" w:rsidRDefault="00C524AF" w:rsidP="004A690B">
            <w:pPr>
              <w:pStyle w:val="oj-normal"/>
              <w:shd w:val="clear" w:color="auto" w:fill="FFFFFF"/>
              <w:spacing w:before="120" w:beforeAutospacing="0" w:after="0" w:afterAutospacing="0"/>
              <w:jc w:val="both"/>
              <w:rPr>
                <w:color w:val="000000"/>
                <w:sz w:val="22"/>
                <w:szCs w:val="22"/>
              </w:rPr>
            </w:pPr>
            <w:r w:rsidRPr="00531286">
              <w:rPr>
                <w:rStyle w:val="y2iqfc"/>
                <w:color w:val="202124"/>
                <w:sz w:val="22"/>
                <w:szCs w:val="22"/>
              </w:rPr>
              <w:t>„</w:t>
            </w:r>
            <w:r w:rsidRPr="004A690B">
              <w:rPr>
                <w:rStyle w:val="y2iqfc"/>
                <w:color w:val="202124"/>
                <w:sz w:val="22"/>
                <w:szCs w:val="22"/>
              </w:rPr>
              <w:t xml:space="preserve">10. </w:t>
            </w:r>
            <w:r w:rsidR="004A690B" w:rsidRPr="004A690B">
              <w:rPr>
                <w:color w:val="000000"/>
                <w:sz w:val="22"/>
                <w:szCs w:val="22"/>
              </w:rPr>
              <w:t xml:space="preserve">Orgán ESMA vypracuje návrh regulačných technických predpisov s cieľom stanoviť kritériá, ktoré sa majú zohľadniť pri stanovovaní a posudzovaní účinnosti politiky vykonávania pokynov podľa odsekov 5 a 7, pričom zohľadní, či </w:t>
            </w:r>
            <w:r w:rsidR="004A690B" w:rsidRPr="004A690B">
              <w:rPr>
                <w:color w:val="000000"/>
                <w:sz w:val="22"/>
                <w:szCs w:val="22"/>
              </w:rPr>
              <w:lastRenderedPageBreak/>
              <w:t xml:space="preserve">sa pokyny vykonávajú v mene </w:t>
            </w:r>
            <w:proofErr w:type="spellStart"/>
            <w:r w:rsidR="004A690B" w:rsidRPr="004A690B">
              <w:rPr>
                <w:color w:val="000000"/>
                <w:sz w:val="22"/>
                <w:szCs w:val="22"/>
              </w:rPr>
              <w:t>retailových</w:t>
            </w:r>
            <w:proofErr w:type="spellEnd"/>
            <w:r w:rsidR="004A690B" w:rsidRPr="004A690B">
              <w:rPr>
                <w:color w:val="000000"/>
                <w:sz w:val="22"/>
                <w:szCs w:val="22"/>
              </w:rPr>
              <w:t xml:space="preserve"> alebo profesionálnych klientov.</w:t>
            </w:r>
          </w:p>
          <w:p w14:paraId="1C0B2313" w14:textId="77777777" w:rsidR="004A690B" w:rsidRPr="004A690B" w:rsidRDefault="004A690B" w:rsidP="004A690B">
            <w:pPr>
              <w:shd w:val="clear" w:color="auto" w:fill="FFFFFF"/>
              <w:autoSpaceDE/>
              <w:autoSpaceDN/>
              <w:spacing w:before="120"/>
              <w:jc w:val="both"/>
              <w:rPr>
                <w:color w:val="000000"/>
                <w:sz w:val="22"/>
                <w:szCs w:val="22"/>
              </w:rPr>
            </w:pPr>
            <w:r w:rsidRPr="004A690B">
              <w:rPr>
                <w:color w:val="000000"/>
                <w:sz w:val="22"/>
                <w:szCs w:val="22"/>
              </w:rPr>
              <w:t>Tieto kritériá zahŕňajú aspoň:</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348"/>
            </w:tblGrid>
            <w:tr w:rsidR="004A690B" w:rsidRPr="004A690B" w14:paraId="29F6ACF2" w14:textId="77777777" w:rsidTr="004A690B">
              <w:tc>
                <w:tcPr>
                  <w:tcW w:w="186" w:type="dxa"/>
                  <w:shd w:val="clear" w:color="auto" w:fill="FFFFFF"/>
                  <w:hideMark/>
                </w:tcPr>
                <w:p w14:paraId="724D48EC"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a)</w:t>
                  </w:r>
                </w:p>
              </w:tc>
              <w:tc>
                <w:tcPr>
                  <w:tcW w:w="4348" w:type="dxa"/>
                  <w:shd w:val="clear" w:color="auto" w:fill="FFFFFF"/>
                  <w:hideMark/>
                </w:tcPr>
                <w:p w14:paraId="19F36858"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faktory určujúce výber miest výkonu zahrnutých do politiky vykonávania pokynov;</w:t>
                  </w:r>
                </w:p>
              </w:tc>
            </w:tr>
          </w:tbl>
          <w:p w14:paraId="7755837F" w14:textId="77777777" w:rsidR="004A690B" w:rsidRPr="004A690B" w:rsidRDefault="004A690B" w:rsidP="004A690B">
            <w:pPr>
              <w:autoSpaceDE/>
              <w:autoSpaceDN/>
              <w:rPr>
                <w:vanish/>
                <w:sz w:val="22"/>
                <w:szCs w:val="22"/>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348"/>
            </w:tblGrid>
            <w:tr w:rsidR="004A690B" w:rsidRPr="004A690B" w14:paraId="7D84D804" w14:textId="77777777" w:rsidTr="004A690B">
              <w:tc>
                <w:tcPr>
                  <w:tcW w:w="186" w:type="dxa"/>
                  <w:shd w:val="clear" w:color="auto" w:fill="FFFFFF"/>
                  <w:hideMark/>
                </w:tcPr>
                <w:p w14:paraId="26A29932"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b)</w:t>
                  </w:r>
                </w:p>
              </w:tc>
              <w:tc>
                <w:tcPr>
                  <w:tcW w:w="4348" w:type="dxa"/>
                  <w:shd w:val="clear" w:color="auto" w:fill="FFFFFF"/>
                  <w:hideMark/>
                </w:tcPr>
                <w:p w14:paraId="46DBE8F5"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frekvenciu posudzovania a aktualizácie politiky vykonávania pokynov;</w:t>
                  </w:r>
                </w:p>
              </w:tc>
            </w:tr>
          </w:tbl>
          <w:p w14:paraId="6C600990" w14:textId="77777777" w:rsidR="004A690B" w:rsidRPr="004A690B" w:rsidRDefault="004A690B" w:rsidP="004A690B">
            <w:pPr>
              <w:autoSpaceDE/>
              <w:autoSpaceDN/>
              <w:rPr>
                <w:vanish/>
                <w:sz w:val="22"/>
                <w:szCs w:val="22"/>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348"/>
            </w:tblGrid>
            <w:tr w:rsidR="004A690B" w:rsidRPr="004A690B" w14:paraId="796847BE" w14:textId="77777777" w:rsidTr="004A690B">
              <w:tc>
                <w:tcPr>
                  <w:tcW w:w="186" w:type="dxa"/>
                  <w:shd w:val="clear" w:color="auto" w:fill="FFFFFF"/>
                  <w:hideMark/>
                </w:tcPr>
                <w:p w14:paraId="3B5BB9BF"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c)</w:t>
                  </w:r>
                </w:p>
              </w:tc>
              <w:tc>
                <w:tcPr>
                  <w:tcW w:w="4348" w:type="dxa"/>
                  <w:shd w:val="clear" w:color="auto" w:fill="FFFFFF"/>
                  <w:hideMark/>
                </w:tcPr>
                <w:p w14:paraId="48F1A589"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spôsob identifikácie tried finančných nástrojov uvedených v odseku 5.</w:t>
                  </w:r>
                </w:p>
              </w:tc>
            </w:tr>
          </w:tbl>
          <w:p w14:paraId="30952F19" w14:textId="77777777" w:rsidR="004A690B" w:rsidRPr="004A690B" w:rsidRDefault="004A690B" w:rsidP="004A690B">
            <w:pPr>
              <w:shd w:val="clear" w:color="auto" w:fill="FFFFFF"/>
              <w:autoSpaceDE/>
              <w:autoSpaceDN/>
              <w:spacing w:before="120"/>
              <w:jc w:val="both"/>
              <w:rPr>
                <w:color w:val="000000"/>
                <w:sz w:val="22"/>
                <w:szCs w:val="22"/>
              </w:rPr>
            </w:pPr>
            <w:r w:rsidRPr="004A690B">
              <w:rPr>
                <w:color w:val="000000"/>
                <w:sz w:val="22"/>
                <w:szCs w:val="22"/>
              </w:rPr>
              <w:t>Orgán ESMA predloží návrh týchto regulačných technických predpisov Komisii do 29. decembra 2024.</w:t>
            </w:r>
          </w:p>
          <w:p w14:paraId="663C9B49" w14:textId="77777777" w:rsidR="00C524AF" w:rsidRPr="00531286" w:rsidRDefault="004A690B" w:rsidP="004A690B">
            <w:pPr>
              <w:shd w:val="clear" w:color="auto" w:fill="FFFFFF"/>
              <w:autoSpaceDE/>
              <w:autoSpaceDN/>
              <w:spacing w:before="120"/>
              <w:jc w:val="both"/>
              <w:rPr>
                <w:color w:val="202124"/>
                <w:sz w:val="22"/>
                <w:szCs w:val="22"/>
              </w:rPr>
            </w:pPr>
            <w:r w:rsidRPr="004A690B">
              <w:rPr>
                <w:color w:val="000000"/>
                <w:sz w:val="22"/>
                <w:szCs w:val="22"/>
              </w:rPr>
              <w:t xml:space="preserve">Komisii sa udeľuje právomoc doplniť túto smernicu prijatím regulačných technických predpisov uvedených v prvom </w:t>
            </w:r>
            <w:proofErr w:type="spellStart"/>
            <w:r w:rsidRPr="004A690B">
              <w:rPr>
                <w:color w:val="000000"/>
                <w:sz w:val="22"/>
                <w:szCs w:val="22"/>
              </w:rPr>
              <w:t>pododseku</w:t>
            </w:r>
            <w:proofErr w:type="spellEnd"/>
            <w:r w:rsidRPr="004A690B">
              <w:rPr>
                <w:color w:val="000000"/>
                <w:sz w:val="22"/>
                <w:szCs w:val="22"/>
              </w:rPr>
              <w:t xml:space="preserve"> v súlade s článkami 10 až 14 nariadenia (EÚ) č. 1095/2010</w:t>
            </w:r>
            <w:r w:rsidR="00C524AF" w:rsidRPr="00531286">
              <w:rPr>
                <w:rStyle w:val="y2iqfc"/>
                <w:color w:val="202124"/>
                <w:sz w:val="22"/>
                <w:szCs w:val="22"/>
              </w:rPr>
              <w:t>.“;</w:t>
            </w:r>
          </w:p>
          <w:p w14:paraId="3E1E2B1E" w14:textId="77777777" w:rsidR="00891F0B" w:rsidRPr="00531286" w:rsidRDefault="00891F0B" w:rsidP="00531286">
            <w:pPr>
              <w:rPr>
                <w:rFonts w:eastAsia="Calibri"/>
                <w:color w:val="000000"/>
                <w:sz w:val="22"/>
                <w:szCs w:val="22"/>
              </w:rPr>
            </w:pPr>
          </w:p>
        </w:tc>
        <w:tc>
          <w:tcPr>
            <w:tcW w:w="850" w:type="dxa"/>
            <w:tcBorders>
              <w:top w:val="single" w:sz="4" w:space="0" w:color="auto"/>
              <w:left w:val="single" w:sz="4" w:space="0" w:color="auto"/>
              <w:right w:val="single" w:sz="12" w:space="0" w:color="auto"/>
            </w:tcBorders>
          </w:tcPr>
          <w:p w14:paraId="2668F172" w14:textId="77777777" w:rsidR="00891F0B" w:rsidRDefault="00891F0B" w:rsidP="00531286">
            <w:pPr>
              <w:adjustRightInd w:val="0"/>
              <w:jc w:val="center"/>
              <w:rPr>
                <w:color w:val="000000"/>
                <w:sz w:val="22"/>
                <w:szCs w:val="22"/>
              </w:rPr>
            </w:pPr>
            <w:r w:rsidRPr="00531286">
              <w:rPr>
                <w:color w:val="000000"/>
                <w:sz w:val="22"/>
                <w:szCs w:val="22"/>
              </w:rPr>
              <w:lastRenderedPageBreak/>
              <w:t>N</w:t>
            </w:r>
          </w:p>
          <w:p w14:paraId="23036A33" w14:textId="77777777" w:rsidR="00912A30" w:rsidRDefault="00912A30" w:rsidP="00531286">
            <w:pPr>
              <w:adjustRightInd w:val="0"/>
              <w:jc w:val="center"/>
              <w:rPr>
                <w:color w:val="000000"/>
                <w:sz w:val="22"/>
                <w:szCs w:val="22"/>
              </w:rPr>
            </w:pPr>
          </w:p>
          <w:p w14:paraId="550DDA74" w14:textId="77777777" w:rsidR="00912A30" w:rsidRDefault="00912A30" w:rsidP="00531286">
            <w:pPr>
              <w:adjustRightInd w:val="0"/>
              <w:jc w:val="center"/>
              <w:rPr>
                <w:color w:val="000000"/>
                <w:sz w:val="22"/>
                <w:szCs w:val="22"/>
              </w:rPr>
            </w:pPr>
          </w:p>
          <w:p w14:paraId="0F826943" w14:textId="77777777" w:rsidR="00912A30" w:rsidRDefault="00912A30" w:rsidP="00531286">
            <w:pPr>
              <w:adjustRightInd w:val="0"/>
              <w:jc w:val="center"/>
              <w:rPr>
                <w:color w:val="000000"/>
                <w:sz w:val="22"/>
                <w:szCs w:val="22"/>
              </w:rPr>
            </w:pPr>
          </w:p>
          <w:p w14:paraId="190CF001" w14:textId="77777777" w:rsidR="00912A30" w:rsidRDefault="00912A30" w:rsidP="00531286">
            <w:pPr>
              <w:adjustRightInd w:val="0"/>
              <w:jc w:val="center"/>
              <w:rPr>
                <w:color w:val="000000"/>
                <w:sz w:val="22"/>
                <w:szCs w:val="22"/>
              </w:rPr>
            </w:pPr>
          </w:p>
          <w:p w14:paraId="206026D7" w14:textId="77777777" w:rsidR="00912A30" w:rsidRDefault="00912A30" w:rsidP="00531286">
            <w:pPr>
              <w:adjustRightInd w:val="0"/>
              <w:jc w:val="center"/>
              <w:rPr>
                <w:color w:val="000000"/>
                <w:sz w:val="22"/>
                <w:szCs w:val="22"/>
              </w:rPr>
            </w:pPr>
          </w:p>
          <w:p w14:paraId="23BEBCBB" w14:textId="77777777" w:rsidR="00912A30" w:rsidRDefault="00912A30" w:rsidP="00531286">
            <w:pPr>
              <w:adjustRightInd w:val="0"/>
              <w:jc w:val="center"/>
              <w:rPr>
                <w:color w:val="000000"/>
                <w:sz w:val="22"/>
                <w:szCs w:val="22"/>
              </w:rPr>
            </w:pPr>
          </w:p>
          <w:p w14:paraId="675B155E" w14:textId="77777777" w:rsidR="00912A30" w:rsidRDefault="00912A30" w:rsidP="00531286">
            <w:pPr>
              <w:adjustRightInd w:val="0"/>
              <w:jc w:val="center"/>
              <w:rPr>
                <w:color w:val="000000"/>
                <w:sz w:val="22"/>
                <w:szCs w:val="22"/>
              </w:rPr>
            </w:pPr>
          </w:p>
          <w:p w14:paraId="2C4FA346" w14:textId="77777777" w:rsidR="00912A30" w:rsidRDefault="00912A30" w:rsidP="00531286">
            <w:pPr>
              <w:adjustRightInd w:val="0"/>
              <w:jc w:val="center"/>
              <w:rPr>
                <w:color w:val="000000"/>
                <w:sz w:val="22"/>
                <w:szCs w:val="22"/>
              </w:rPr>
            </w:pPr>
            <w:r>
              <w:rPr>
                <w:color w:val="000000"/>
                <w:sz w:val="22"/>
                <w:szCs w:val="22"/>
              </w:rPr>
              <w:t>N</w:t>
            </w:r>
          </w:p>
          <w:p w14:paraId="06376C08" w14:textId="77777777" w:rsidR="00912A30" w:rsidRDefault="00912A30" w:rsidP="00531286">
            <w:pPr>
              <w:adjustRightInd w:val="0"/>
              <w:jc w:val="center"/>
              <w:rPr>
                <w:color w:val="000000"/>
                <w:sz w:val="22"/>
                <w:szCs w:val="22"/>
              </w:rPr>
            </w:pPr>
          </w:p>
          <w:p w14:paraId="173819D8" w14:textId="77777777" w:rsidR="00912A30" w:rsidRDefault="00912A30" w:rsidP="00531286">
            <w:pPr>
              <w:adjustRightInd w:val="0"/>
              <w:jc w:val="center"/>
              <w:rPr>
                <w:color w:val="000000"/>
                <w:sz w:val="22"/>
                <w:szCs w:val="22"/>
              </w:rPr>
            </w:pPr>
          </w:p>
          <w:p w14:paraId="5E442A04" w14:textId="77777777" w:rsidR="00912A30" w:rsidRDefault="00912A30" w:rsidP="00531286">
            <w:pPr>
              <w:adjustRightInd w:val="0"/>
              <w:jc w:val="center"/>
              <w:rPr>
                <w:color w:val="000000"/>
                <w:sz w:val="22"/>
                <w:szCs w:val="22"/>
              </w:rPr>
            </w:pPr>
          </w:p>
          <w:p w14:paraId="780CBE48" w14:textId="77777777" w:rsidR="00912A30" w:rsidRDefault="00912A30" w:rsidP="00531286">
            <w:pPr>
              <w:adjustRightInd w:val="0"/>
              <w:jc w:val="center"/>
              <w:rPr>
                <w:color w:val="000000"/>
                <w:sz w:val="22"/>
                <w:szCs w:val="22"/>
              </w:rPr>
            </w:pPr>
          </w:p>
          <w:p w14:paraId="1BECC067" w14:textId="77777777" w:rsidR="00912A30" w:rsidRDefault="00912A30" w:rsidP="00531286">
            <w:pPr>
              <w:adjustRightInd w:val="0"/>
              <w:jc w:val="center"/>
              <w:rPr>
                <w:color w:val="000000"/>
                <w:sz w:val="22"/>
                <w:szCs w:val="22"/>
              </w:rPr>
            </w:pPr>
          </w:p>
          <w:p w14:paraId="649DE6CA" w14:textId="77777777" w:rsidR="00912A30" w:rsidRDefault="00912A30" w:rsidP="00531286">
            <w:pPr>
              <w:adjustRightInd w:val="0"/>
              <w:jc w:val="center"/>
              <w:rPr>
                <w:color w:val="000000"/>
                <w:sz w:val="22"/>
                <w:szCs w:val="22"/>
              </w:rPr>
            </w:pPr>
          </w:p>
          <w:p w14:paraId="18ABB624" w14:textId="77777777" w:rsidR="00912A30" w:rsidRDefault="00912A30" w:rsidP="00531286">
            <w:pPr>
              <w:adjustRightInd w:val="0"/>
              <w:jc w:val="center"/>
              <w:rPr>
                <w:color w:val="000000"/>
                <w:sz w:val="22"/>
                <w:szCs w:val="22"/>
              </w:rPr>
            </w:pPr>
          </w:p>
          <w:p w14:paraId="0E7745FE" w14:textId="77777777" w:rsidR="00A63BC7" w:rsidRDefault="00A63BC7" w:rsidP="00531286">
            <w:pPr>
              <w:adjustRightInd w:val="0"/>
              <w:jc w:val="center"/>
              <w:rPr>
                <w:color w:val="000000"/>
                <w:sz w:val="22"/>
                <w:szCs w:val="22"/>
              </w:rPr>
            </w:pPr>
          </w:p>
          <w:p w14:paraId="10C4DC9F" w14:textId="77777777" w:rsidR="00912A30" w:rsidRDefault="00912A30" w:rsidP="00531286">
            <w:pPr>
              <w:adjustRightInd w:val="0"/>
              <w:jc w:val="center"/>
              <w:rPr>
                <w:color w:val="000000"/>
                <w:sz w:val="22"/>
                <w:szCs w:val="22"/>
              </w:rPr>
            </w:pPr>
          </w:p>
          <w:p w14:paraId="499A56C4" w14:textId="77777777" w:rsidR="00007B33" w:rsidRDefault="00007B33" w:rsidP="00531286">
            <w:pPr>
              <w:adjustRightInd w:val="0"/>
              <w:jc w:val="center"/>
              <w:rPr>
                <w:color w:val="000000"/>
                <w:sz w:val="22"/>
                <w:szCs w:val="22"/>
              </w:rPr>
            </w:pPr>
          </w:p>
          <w:p w14:paraId="2105AF83" w14:textId="77777777" w:rsidR="00007B33" w:rsidRDefault="00007B33" w:rsidP="00531286">
            <w:pPr>
              <w:adjustRightInd w:val="0"/>
              <w:jc w:val="center"/>
              <w:rPr>
                <w:color w:val="000000"/>
                <w:sz w:val="22"/>
                <w:szCs w:val="22"/>
              </w:rPr>
            </w:pPr>
          </w:p>
          <w:p w14:paraId="66AB6EB7" w14:textId="77777777" w:rsidR="004A4493" w:rsidRDefault="004A4493" w:rsidP="00531286">
            <w:pPr>
              <w:adjustRightInd w:val="0"/>
              <w:jc w:val="center"/>
              <w:rPr>
                <w:color w:val="000000"/>
                <w:sz w:val="22"/>
                <w:szCs w:val="22"/>
              </w:rPr>
            </w:pPr>
          </w:p>
          <w:p w14:paraId="35661F80" w14:textId="77777777" w:rsidR="004A4493" w:rsidRDefault="004A4493" w:rsidP="00531286">
            <w:pPr>
              <w:adjustRightInd w:val="0"/>
              <w:jc w:val="center"/>
              <w:rPr>
                <w:color w:val="000000"/>
                <w:sz w:val="22"/>
                <w:szCs w:val="22"/>
              </w:rPr>
            </w:pPr>
          </w:p>
          <w:p w14:paraId="6B506DD7" w14:textId="77777777" w:rsidR="00912A30" w:rsidRDefault="00912A30" w:rsidP="00531286">
            <w:pPr>
              <w:adjustRightInd w:val="0"/>
              <w:jc w:val="center"/>
              <w:rPr>
                <w:color w:val="000000"/>
                <w:sz w:val="22"/>
                <w:szCs w:val="22"/>
              </w:rPr>
            </w:pPr>
            <w:r>
              <w:rPr>
                <w:color w:val="000000"/>
                <w:sz w:val="22"/>
                <w:szCs w:val="22"/>
              </w:rPr>
              <w:t>N</w:t>
            </w:r>
          </w:p>
          <w:p w14:paraId="0792C626" w14:textId="77777777" w:rsidR="00912A30" w:rsidRDefault="00912A30" w:rsidP="00531286">
            <w:pPr>
              <w:adjustRightInd w:val="0"/>
              <w:jc w:val="center"/>
              <w:rPr>
                <w:color w:val="000000"/>
                <w:sz w:val="22"/>
                <w:szCs w:val="22"/>
              </w:rPr>
            </w:pPr>
          </w:p>
          <w:p w14:paraId="24C848CB" w14:textId="77777777" w:rsidR="00912A30" w:rsidRDefault="00912A30" w:rsidP="00531286">
            <w:pPr>
              <w:adjustRightInd w:val="0"/>
              <w:jc w:val="center"/>
              <w:rPr>
                <w:color w:val="000000"/>
                <w:sz w:val="22"/>
                <w:szCs w:val="22"/>
              </w:rPr>
            </w:pPr>
          </w:p>
          <w:p w14:paraId="329D54EF" w14:textId="77777777" w:rsidR="00912A30" w:rsidRDefault="00912A30" w:rsidP="00531286">
            <w:pPr>
              <w:adjustRightInd w:val="0"/>
              <w:jc w:val="center"/>
              <w:rPr>
                <w:color w:val="000000"/>
                <w:sz w:val="22"/>
                <w:szCs w:val="22"/>
              </w:rPr>
            </w:pPr>
          </w:p>
          <w:p w14:paraId="58D02FB6" w14:textId="77777777" w:rsidR="00912A30" w:rsidRDefault="00912A30" w:rsidP="00531286">
            <w:pPr>
              <w:adjustRightInd w:val="0"/>
              <w:jc w:val="center"/>
              <w:rPr>
                <w:color w:val="000000"/>
                <w:sz w:val="22"/>
                <w:szCs w:val="22"/>
              </w:rPr>
            </w:pPr>
          </w:p>
          <w:p w14:paraId="52FD57C2" w14:textId="77777777" w:rsidR="00343C42" w:rsidRDefault="00343C42" w:rsidP="00531286">
            <w:pPr>
              <w:adjustRightInd w:val="0"/>
              <w:jc w:val="center"/>
              <w:rPr>
                <w:color w:val="000000"/>
                <w:sz w:val="22"/>
                <w:szCs w:val="22"/>
              </w:rPr>
            </w:pPr>
          </w:p>
          <w:p w14:paraId="5C1C94CD" w14:textId="77777777" w:rsidR="00912A30" w:rsidRDefault="00912A30" w:rsidP="00531286">
            <w:pPr>
              <w:adjustRightInd w:val="0"/>
              <w:jc w:val="center"/>
              <w:rPr>
                <w:color w:val="000000"/>
                <w:sz w:val="22"/>
                <w:szCs w:val="22"/>
              </w:rPr>
            </w:pPr>
            <w:r>
              <w:rPr>
                <w:color w:val="000000"/>
                <w:sz w:val="22"/>
                <w:szCs w:val="22"/>
              </w:rPr>
              <w:t>N</w:t>
            </w:r>
          </w:p>
          <w:p w14:paraId="4F8568D1" w14:textId="77777777" w:rsidR="00912A30" w:rsidRDefault="00912A30" w:rsidP="00531286">
            <w:pPr>
              <w:adjustRightInd w:val="0"/>
              <w:jc w:val="center"/>
              <w:rPr>
                <w:color w:val="000000"/>
                <w:sz w:val="22"/>
                <w:szCs w:val="22"/>
              </w:rPr>
            </w:pPr>
          </w:p>
          <w:p w14:paraId="4C130CCA" w14:textId="77777777" w:rsidR="00912A30" w:rsidRDefault="00912A30" w:rsidP="00531286">
            <w:pPr>
              <w:adjustRightInd w:val="0"/>
              <w:jc w:val="center"/>
              <w:rPr>
                <w:color w:val="000000"/>
                <w:sz w:val="22"/>
                <w:szCs w:val="22"/>
              </w:rPr>
            </w:pPr>
          </w:p>
          <w:p w14:paraId="11DE8CAF" w14:textId="77777777" w:rsidR="00912A30" w:rsidRDefault="00912A30" w:rsidP="00531286">
            <w:pPr>
              <w:adjustRightInd w:val="0"/>
              <w:jc w:val="center"/>
              <w:rPr>
                <w:color w:val="000000"/>
                <w:sz w:val="22"/>
                <w:szCs w:val="22"/>
              </w:rPr>
            </w:pPr>
          </w:p>
          <w:p w14:paraId="21C7CD40" w14:textId="77777777" w:rsidR="00912A30" w:rsidRDefault="00912A30" w:rsidP="00531286">
            <w:pPr>
              <w:adjustRightInd w:val="0"/>
              <w:jc w:val="center"/>
              <w:rPr>
                <w:color w:val="000000"/>
                <w:sz w:val="22"/>
                <w:szCs w:val="22"/>
              </w:rPr>
            </w:pPr>
          </w:p>
          <w:p w14:paraId="0919C228" w14:textId="77777777" w:rsidR="00912A30" w:rsidRDefault="00912A30" w:rsidP="00531286">
            <w:pPr>
              <w:adjustRightInd w:val="0"/>
              <w:jc w:val="center"/>
              <w:rPr>
                <w:color w:val="000000"/>
                <w:sz w:val="22"/>
                <w:szCs w:val="22"/>
              </w:rPr>
            </w:pPr>
          </w:p>
          <w:p w14:paraId="3C3A2AF5" w14:textId="77777777" w:rsidR="00912A30" w:rsidRDefault="00912A30" w:rsidP="00531286">
            <w:pPr>
              <w:adjustRightInd w:val="0"/>
              <w:jc w:val="center"/>
              <w:rPr>
                <w:color w:val="000000"/>
                <w:sz w:val="22"/>
                <w:szCs w:val="22"/>
              </w:rPr>
            </w:pPr>
          </w:p>
          <w:p w14:paraId="1E8EDC36" w14:textId="77777777" w:rsidR="00912A30" w:rsidRDefault="00912A30" w:rsidP="00531286">
            <w:pPr>
              <w:adjustRightInd w:val="0"/>
              <w:jc w:val="center"/>
              <w:rPr>
                <w:color w:val="000000"/>
                <w:sz w:val="22"/>
                <w:szCs w:val="22"/>
              </w:rPr>
            </w:pPr>
          </w:p>
          <w:p w14:paraId="69A2C9F9" w14:textId="77777777" w:rsidR="00912A30" w:rsidRDefault="00912A30" w:rsidP="00531286">
            <w:pPr>
              <w:adjustRightInd w:val="0"/>
              <w:jc w:val="center"/>
              <w:rPr>
                <w:color w:val="000000"/>
                <w:sz w:val="22"/>
                <w:szCs w:val="22"/>
              </w:rPr>
            </w:pPr>
          </w:p>
          <w:p w14:paraId="252B44CD" w14:textId="77777777" w:rsidR="00912A30" w:rsidRDefault="00912A30" w:rsidP="00531286">
            <w:pPr>
              <w:adjustRightInd w:val="0"/>
              <w:jc w:val="center"/>
              <w:rPr>
                <w:color w:val="000000"/>
                <w:sz w:val="22"/>
                <w:szCs w:val="22"/>
              </w:rPr>
            </w:pPr>
          </w:p>
          <w:p w14:paraId="07FB432B" w14:textId="77777777" w:rsidR="00912A30" w:rsidRDefault="00912A30" w:rsidP="00531286">
            <w:pPr>
              <w:adjustRightInd w:val="0"/>
              <w:jc w:val="center"/>
              <w:rPr>
                <w:color w:val="000000"/>
                <w:sz w:val="22"/>
                <w:szCs w:val="22"/>
              </w:rPr>
            </w:pPr>
          </w:p>
          <w:p w14:paraId="4D4C822A" w14:textId="77777777" w:rsidR="00912A30" w:rsidRDefault="00912A30" w:rsidP="00531286">
            <w:pPr>
              <w:adjustRightInd w:val="0"/>
              <w:jc w:val="center"/>
              <w:rPr>
                <w:color w:val="000000"/>
                <w:sz w:val="22"/>
                <w:szCs w:val="22"/>
              </w:rPr>
            </w:pPr>
          </w:p>
          <w:p w14:paraId="0B2A7248" w14:textId="77777777" w:rsidR="00912A30" w:rsidRDefault="00912A30" w:rsidP="00531286">
            <w:pPr>
              <w:adjustRightInd w:val="0"/>
              <w:jc w:val="center"/>
              <w:rPr>
                <w:color w:val="000000"/>
                <w:sz w:val="22"/>
                <w:szCs w:val="22"/>
              </w:rPr>
            </w:pPr>
          </w:p>
          <w:p w14:paraId="766EF2A5" w14:textId="77777777" w:rsidR="00912A30" w:rsidRDefault="00912A30" w:rsidP="00531286">
            <w:pPr>
              <w:adjustRightInd w:val="0"/>
              <w:jc w:val="center"/>
              <w:rPr>
                <w:color w:val="000000"/>
                <w:sz w:val="22"/>
                <w:szCs w:val="22"/>
              </w:rPr>
            </w:pPr>
          </w:p>
          <w:p w14:paraId="195F9084" w14:textId="77777777" w:rsidR="00912A30" w:rsidRDefault="00912A30" w:rsidP="00531286">
            <w:pPr>
              <w:adjustRightInd w:val="0"/>
              <w:jc w:val="center"/>
              <w:rPr>
                <w:color w:val="000000"/>
                <w:sz w:val="22"/>
                <w:szCs w:val="22"/>
              </w:rPr>
            </w:pPr>
          </w:p>
          <w:p w14:paraId="0237D313" w14:textId="77777777" w:rsidR="00912A30" w:rsidRDefault="00912A30" w:rsidP="00531286">
            <w:pPr>
              <w:adjustRightInd w:val="0"/>
              <w:jc w:val="center"/>
              <w:rPr>
                <w:color w:val="000000"/>
                <w:sz w:val="22"/>
                <w:szCs w:val="22"/>
              </w:rPr>
            </w:pPr>
          </w:p>
          <w:p w14:paraId="32A93F71" w14:textId="77777777" w:rsidR="00912A30" w:rsidRDefault="00912A30" w:rsidP="00531286">
            <w:pPr>
              <w:adjustRightInd w:val="0"/>
              <w:jc w:val="center"/>
              <w:rPr>
                <w:color w:val="000000"/>
                <w:sz w:val="22"/>
                <w:szCs w:val="22"/>
              </w:rPr>
            </w:pPr>
          </w:p>
          <w:p w14:paraId="21F3AD18" w14:textId="77777777" w:rsidR="00A63BC7" w:rsidRDefault="00A63BC7" w:rsidP="00531286">
            <w:pPr>
              <w:adjustRightInd w:val="0"/>
              <w:jc w:val="center"/>
              <w:rPr>
                <w:color w:val="000000"/>
                <w:sz w:val="22"/>
                <w:szCs w:val="22"/>
              </w:rPr>
            </w:pPr>
          </w:p>
          <w:p w14:paraId="1C443070" w14:textId="77777777" w:rsidR="00A63BC7" w:rsidRDefault="00A63BC7" w:rsidP="00531286">
            <w:pPr>
              <w:adjustRightInd w:val="0"/>
              <w:jc w:val="center"/>
              <w:rPr>
                <w:color w:val="000000"/>
                <w:sz w:val="22"/>
                <w:szCs w:val="22"/>
              </w:rPr>
            </w:pPr>
          </w:p>
          <w:p w14:paraId="7F02ED6F" w14:textId="77777777" w:rsidR="00A63BC7" w:rsidRDefault="00A63BC7" w:rsidP="00531286">
            <w:pPr>
              <w:adjustRightInd w:val="0"/>
              <w:jc w:val="center"/>
              <w:rPr>
                <w:color w:val="000000"/>
                <w:sz w:val="22"/>
                <w:szCs w:val="22"/>
              </w:rPr>
            </w:pPr>
          </w:p>
          <w:p w14:paraId="2E5BB6BC" w14:textId="77777777" w:rsidR="00912A30" w:rsidRDefault="00912A30" w:rsidP="00531286">
            <w:pPr>
              <w:adjustRightInd w:val="0"/>
              <w:jc w:val="center"/>
              <w:rPr>
                <w:color w:val="000000"/>
                <w:sz w:val="22"/>
                <w:szCs w:val="22"/>
              </w:rPr>
            </w:pPr>
          </w:p>
          <w:p w14:paraId="53F19AD9" w14:textId="77777777" w:rsidR="00197DC0" w:rsidRDefault="00197DC0" w:rsidP="00531286">
            <w:pPr>
              <w:adjustRightInd w:val="0"/>
              <w:jc w:val="center"/>
              <w:rPr>
                <w:color w:val="000000"/>
                <w:sz w:val="22"/>
                <w:szCs w:val="22"/>
              </w:rPr>
            </w:pPr>
          </w:p>
          <w:p w14:paraId="644744AA" w14:textId="77777777" w:rsidR="00197DC0" w:rsidRDefault="00197DC0" w:rsidP="00531286">
            <w:pPr>
              <w:adjustRightInd w:val="0"/>
              <w:jc w:val="center"/>
              <w:rPr>
                <w:color w:val="000000"/>
                <w:sz w:val="22"/>
                <w:szCs w:val="22"/>
              </w:rPr>
            </w:pPr>
          </w:p>
          <w:p w14:paraId="3E0E844E" w14:textId="77777777" w:rsidR="00197DC0" w:rsidRDefault="00197DC0" w:rsidP="00531286">
            <w:pPr>
              <w:adjustRightInd w:val="0"/>
              <w:jc w:val="center"/>
              <w:rPr>
                <w:color w:val="000000"/>
                <w:sz w:val="22"/>
                <w:szCs w:val="22"/>
              </w:rPr>
            </w:pPr>
          </w:p>
          <w:p w14:paraId="049852EB" w14:textId="77777777" w:rsidR="00197DC0" w:rsidRDefault="00197DC0" w:rsidP="00531286">
            <w:pPr>
              <w:adjustRightInd w:val="0"/>
              <w:jc w:val="center"/>
              <w:rPr>
                <w:color w:val="000000"/>
                <w:sz w:val="22"/>
                <w:szCs w:val="22"/>
              </w:rPr>
            </w:pPr>
          </w:p>
          <w:p w14:paraId="58CF5F58" w14:textId="77777777" w:rsidR="00197DC0" w:rsidRDefault="00197DC0" w:rsidP="00531286">
            <w:pPr>
              <w:adjustRightInd w:val="0"/>
              <w:jc w:val="center"/>
              <w:rPr>
                <w:color w:val="000000"/>
                <w:sz w:val="22"/>
                <w:szCs w:val="22"/>
              </w:rPr>
            </w:pPr>
          </w:p>
          <w:p w14:paraId="0864166C" w14:textId="77777777" w:rsidR="00197DC0" w:rsidRDefault="00197DC0" w:rsidP="00531286">
            <w:pPr>
              <w:adjustRightInd w:val="0"/>
              <w:jc w:val="center"/>
              <w:rPr>
                <w:color w:val="000000"/>
                <w:sz w:val="22"/>
                <w:szCs w:val="22"/>
              </w:rPr>
            </w:pPr>
          </w:p>
          <w:p w14:paraId="2510A041" w14:textId="77777777" w:rsidR="00197DC0" w:rsidRDefault="00197DC0" w:rsidP="00531286">
            <w:pPr>
              <w:adjustRightInd w:val="0"/>
              <w:jc w:val="center"/>
              <w:rPr>
                <w:color w:val="000000"/>
                <w:sz w:val="22"/>
                <w:szCs w:val="22"/>
              </w:rPr>
            </w:pPr>
          </w:p>
          <w:p w14:paraId="09AEEB11" w14:textId="77777777" w:rsidR="00197DC0" w:rsidRDefault="00197DC0" w:rsidP="00531286">
            <w:pPr>
              <w:adjustRightInd w:val="0"/>
              <w:jc w:val="center"/>
              <w:rPr>
                <w:color w:val="000000"/>
                <w:sz w:val="22"/>
                <w:szCs w:val="22"/>
              </w:rPr>
            </w:pPr>
          </w:p>
          <w:p w14:paraId="0F7E0412" w14:textId="77777777" w:rsidR="00912A30" w:rsidRDefault="00912A30" w:rsidP="00531286">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706EDBBC" w14:textId="77777777" w:rsidR="00912A30" w:rsidRDefault="00912A30" w:rsidP="00531286">
            <w:pPr>
              <w:adjustRightInd w:val="0"/>
              <w:jc w:val="center"/>
              <w:rPr>
                <w:color w:val="000000"/>
                <w:sz w:val="22"/>
                <w:szCs w:val="22"/>
              </w:rPr>
            </w:pPr>
          </w:p>
          <w:p w14:paraId="67F0BA26" w14:textId="77777777" w:rsidR="00912A30" w:rsidRDefault="00912A30" w:rsidP="00531286">
            <w:pPr>
              <w:adjustRightInd w:val="0"/>
              <w:jc w:val="center"/>
              <w:rPr>
                <w:color w:val="000000"/>
                <w:sz w:val="22"/>
                <w:szCs w:val="22"/>
              </w:rPr>
            </w:pPr>
          </w:p>
          <w:p w14:paraId="19223194" w14:textId="77777777" w:rsidR="00912A30" w:rsidRPr="00531286" w:rsidRDefault="00912A30" w:rsidP="00531286">
            <w:pPr>
              <w:adjustRightInd w:val="0"/>
              <w:jc w:val="center"/>
              <w:rPr>
                <w:color w:val="000000"/>
                <w:sz w:val="22"/>
                <w:szCs w:val="22"/>
              </w:rPr>
            </w:pPr>
          </w:p>
        </w:tc>
        <w:tc>
          <w:tcPr>
            <w:tcW w:w="993" w:type="dxa"/>
            <w:tcBorders>
              <w:top w:val="single" w:sz="4" w:space="0" w:color="auto"/>
              <w:left w:val="nil"/>
              <w:right w:val="single" w:sz="4" w:space="0" w:color="auto"/>
            </w:tcBorders>
          </w:tcPr>
          <w:p w14:paraId="126487CA" w14:textId="77777777" w:rsidR="0074512A" w:rsidRDefault="0074512A" w:rsidP="005430FA">
            <w:pPr>
              <w:rPr>
                <w:b/>
                <w:bCs/>
                <w:sz w:val="22"/>
                <w:szCs w:val="22"/>
              </w:rPr>
            </w:pPr>
          </w:p>
          <w:p w14:paraId="5429ED6A" w14:textId="4DC825F2" w:rsidR="005430FA" w:rsidRPr="00A01AAB" w:rsidRDefault="005430FA" w:rsidP="005430FA">
            <w:pPr>
              <w:rPr>
                <w:b/>
                <w:bCs/>
                <w:sz w:val="22"/>
                <w:szCs w:val="22"/>
              </w:rPr>
            </w:pPr>
            <w:r w:rsidRPr="00A01AAB">
              <w:rPr>
                <w:b/>
                <w:bCs/>
                <w:sz w:val="22"/>
                <w:szCs w:val="22"/>
              </w:rPr>
              <w:t>Návrh</w:t>
            </w:r>
          </w:p>
          <w:p w14:paraId="6785DB1D" w14:textId="77777777" w:rsidR="005430FA" w:rsidRPr="00A01AAB" w:rsidRDefault="005430FA" w:rsidP="005430FA">
            <w:pPr>
              <w:rPr>
                <w:b/>
                <w:bCs/>
                <w:sz w:val="22"/>
                <w:szCs w:val="22"/>
              </w:rPr>
            </w:pPr>
            <w:r w:rsidRPr="00A01AAB">
              <w:rPr>
                <w:b/>
                <w:bCs/>
                <w:sz w:val="22"/>
                <w:szCs w:val="22"/>
              </w:rPr>
              <w:t xml:space="preserve">Čl. I. </w:t>
            </w:r>
          </w:p>
          <w:p w14:paraId="1533DF0C" w14:textId="026F7847" w:rsidR="005430FA" w:rsidRPr="00A01AAB" w:rsidRDefault="005430FA" w:rsidP="005430FA">
            <w:pPr>
              <w:adjustRightInd w:val="0"/>
              <w:rPr>
                <w:color w:val="000000"/>
                <w:sz w:val="22"/>
                <w:szCs w:val="22"/>
              </w:rPr>
            </w:pPr>
            <w:r w:rsidRPr="00A01AAB">
              <w:rPr>
                <w:b/>
                <w:bCs/>
                <w:sz w:val="22"/>
                <w:szCs w:val="22"/>
              </w:rPr>
              <w:t xml:space="preserve">Bod </w:t>
            </w:r>
            <w:r>
              <w:rPr>
                <w:b/>
                <w:bCs/>
                <w:sz w:val="22"/>
                <w:szCs w:val="22"/>
              </w:rPr>
              <w:t>1</w:t>
            </w:r>
            <w:r w:rsidR="00DB5FC5">
              <w:rPr>
                <w:b/>
                <w:bCs/>
                <w:sz w:val="22"/>
                <w:szCs w:val="22"/>
              </w:rPr>
              <w:t>6</w:t>
            </w:r>
          </w:p>
          <w:p w14:paraId="2DC5AB58" w14:textId="77777777" w:rsidR="00891F0B" w:rsidRDefault="00891F0B" w:rsidP="00531286">
            <w:pPr>
              <w:rPr>
                <w:bCs/>
                <w:sz w:val="22"/>
                <w:szCs w:val="22"/>
              </w:rPr>
            </w:pPr>
          </w:p>
          <w:p w14:paraId="134B0DC3" w14:textId="77777777" w:rsidR="00513F93" w:rsidRDefault="00513F93" w:rsidP="00531286">
            <w:pPr>
              <w:rPr>
                <w:bCs/>
                <w:sz w:val="22"/>
                <w:szCs w:val="22"/>
              </w:rPr>
            </w:pPr>
          </w:p>
          <w:p w14:paraId="415BAD8F" w14:textId="77777777" w:rsidR="00513F93" w:rsidRDefault="00513F93" w:rsidP="00531286">
            <w:pPr>
              <w:rPr>
                <w:bCs/>
                <w:sz w:val="22"/>
                <w:szCs w:val="22"/>
              </w:rPr>
            </w:pPr>
          </w:p>
          <w:p w14:paraId="751E17DE" w14:textId="77777777" w:rsidR="00513F93" w:rsidRPr="00A01AAB" w:rsidRDefault="00513F93" w:rsidP="00531286">
            <w:pPr>
              <w:rPr>
                <w:bCs/>
                <w:sz w:val="22"/>
                <w:szCs w:val="22"/>
              </w:rPr>
            </w:pPr>
          </w:p>
          <w:p w14:paraId="1F69474A" w14:textId="49FC8576" w:rsidR="00513F93" w:rsidRDefault="00513F93" w:rsidP="00531286">
            <w:pPr>
              <w:adjustRightInd w:val="0"/>
              <w:rPr>
                <w:color w:val="000000"/>
                <w:sz w:val="22"/>
                <w:szCs w:val="22"/>
              </w:rPr>
            </w:pPr>
          </w:p>
          <w:p w14:paraId="24E0A698" w14:textId="77777777" w:rsidR="00531286" w:rsidRPr="0074512A" w:rsidRDefault="00531286" w:rsidP="00531286">
            <w:pPr>
              <w:rPr>
                <w:b/>
                <w:bCs/>
                <w:sz w:val="22"/>
                <w:szCs w:val="22"/>
              </w:rPr>
            </w:pPr>
            <w:r w:rsidRPr="0074512A">
              <w:rPr>
                <w:b/>
                <w:bCs/>
                <w:sz w:val="22"/>
                <w:szCs w:val="22"/>
              </w:rPr>
              <w:t>Návrh</w:t>
            </w:r>
          </w:p>
          <w:p w14:paraId="5963DE59" w14:textId="77777777" w:rsidR="00531286" w:rsidRPr="0074512A" w:rsidRDefault="00343C42" w:rsidP="00531286">
            <w:pPr>
              <w:rPr>
                <w:b/>
                <w:bCs/>
                <w:sz w:val="22"/>
                <w:szCs w:val="22"/>
              </w:rPr>
            </w:pPr>
            <w:r w:rsidRPr="0074512A">
              <w:rPr>
                <w:b/>
                <w:bCs/>
                <w:sz w:val="22"/>
                <w:szCs w:val="22"/>
              </w:rPr>
              <w:t>Čl. I</w:t>
            </w:r>
          </w:p>
          <w:p w14:paraId="6755E0F5" w14:textId="23C1BC76" w:rsidR="00531286" w:rsidRPr="00A01AAB" w:rsidRDefault="00531286" w:rsidP="00531286">
            <w:pPr>
              <w:adjustRightInd w:val="0"/>
              <w:rPr>
                <w:color w:val="000000"/>
                <w:sz w:val="22"/>
                <w:szCs w:val="22"/>
              </w:rPr>
            </w:pPr>
            <w:r w:rsidRPr="005430FA">
              <w:rPr>
                <w:b/>
                <w:bCs/>
                <w:sz w:val="22"/>
                <w:szCs w:val="22"/>
              </w:rPr>
              <w:t xml:space="preserve">Bod </w:t>
            </w:r>
            <w:r w:rsidR="00007B33">
              <w:rPr>
                <w:b/>
                <w:bCs/>
                <w:sz w:val="22"/>
                <w:szCs w:val="22"/>
              </w:rPr>
              <w:t>1</w:t>
            </w:r>
            <w:r w:rsidR="00DB5FC5">
              <w:rPr>
                <w:b/>
                <w:bCs/>
                <w:sz w:val="22"/>
                <w:szCs w:val="22"/>
              </w:rPr>
              <w:t>7</w:t>
            </w:r>
          </w:p>
          <w:p w14:paraId="64A41508" w14:textId="77777777" w:rsidR="00531286" w:rsidRPr="00A01AAB" w:rsidRDefault="00531286" w:rsidP="00531286">
            <w:pPr>
              <w:rPr>
                <w:bCs/>
                <w:sz w:val="22"/>
                <w:szCs w:val="22"/>
              </w:rPr>
            </w:pPr>
          </w:p>
          <w:p w14:paraId="05C7C1AE" w14:textId="77777777" w:rsidR="00531286" w:rsidRPr="00A01AAB" w:rsidRDefault="00531286" w:rsidP="00531286">
            <w:pPr>
              <w:rPr>
                <w:bCs/>
                <w:sz w:val="22"/>
                <w:szCs w:val="22"/>
              </w:rPr>
            </w:pPr>
          </w:p>
          <w:p w14:paraId="5B5DE7A8" w14:textId="77777777" w:rsidR="00531286" w:rsidRPr="00A01AAB" w:rsidRDefault="00531286" w:rsidP="00531286">
            <w:pPr>
              <w:rPr>
                <w:bCs/>
                <w:sz w:val="22"/>
                <w:szCs w:val="22"/>
              </w:rPr>
            </w:pPr>
          </w:p>
          <w:p w14:paraId="3C8D01C1" w14:textId="77777777" w:rsidR="00531286" w:rsidRPr="00A01AAB" w:rsidRDefault="00531286" w:rsidP="00531286">
            <w:pPr>
              <w:rPr>
                <w:bCs/>
                <w:sz w:val="22"/>
                <w:szCs w:val="22"/>
              </w:rPr>
            </w:pPr>
          </w:p>
          <w:p w14:paraId="08892E45" w14:textId="77777777" w:rsidR="00A63BC7" w:rsidRPr="00A01AAB" w:rsidRDefault="00A63BC7" w:rsidP="00531286">
            <w:pPr>
              <w:rPr>
                <w:bCs/>
                <w:sz w:val="22"/>
                <w:szCs w:val="22"/>
              </w:rPr>
            </w:pPr>
          </w:p>
          <w:p w14:paraId="11C0C8CA" w14:textId="77777777" w:rsidR="00A63BC7" w:rsidRDefault="00A63BC7" w:rsidP="00531286">
            <w:pPr>
              <w:rPr>
                <w:bCs/>
                <w:sz w:val="22"/>
                <w:szCs w:val="22"/>
              </w:rPr>
            </w:pPr>
          </w:p>
          <w:p w14:paraId="79EABC4A" w14:textId="77777777" w:rsidR="00007B33" w:rsidRDefault="00007B33" w:rsidP="00531286">
            <w:pPr>
              <w:rPr>
                <w:bCs/>
                <w:sz w:val="22"/>
                <w:szCs w:val="22"/>
              </w:rPr>
            </w:pPr>
          </w:p>
          <w:p w14:paraId="5151095C" w14:textId="77777777" w:rsidR="00007B33" w:rsidRDefault="00007B33" w:rsidP="00531286">
            <w:pPr>
              <w:rPr>
                <w:bCs/>
                <w:sz w:val="22"/>
                <w:szCs w:val="22"/>
              </w:rPr>
            </w:pPr>
          </w:p>
          <w:p w14:paraId="18065ED6" w14:textId="77777777" w:rsidR="004A4493" w:rsidRDefault="004A4493" w:rsidP="00531286">
            <w:pPr>
              <w:rPr>
                <w:bCs/>
                <w:sz w:val="22"/>
                <w:szCs w:val="22"/>
              </w:rPr>
            </w:pPr>
          </w:p>
          <w:p w14:paraId="530958EC" w14:textId="22EC7608" w:rsidR="004A4493" w:rsidRPr="00A01AAB" w:rsidRDefault="00DB5FC5" w:rsidP="00531286">
            <w:pPr>
              <w:rPr>
                <w:bCs/>
                <w:sz w:val="22"/>
                <w:szCs w:val="22"/>
              </w:rPr>
            </w:pPr>
            <w:r>
              <w:rPr>
                <w:bCs/>
                <w:sz w:val="22"/>
                <w:szCs w:val="22"/>
              </w:rPr>
              <w:t>566/2001</w:t>
            </w:r>
          </w:p>
          <w:p w14:paraId="66B90C9E" w14:textId="77777777" w:rsidR="00531286" w:rsidRDefault="00531286" w:rsidP="00531286">
            <w:pPr>
              <w:rPr>
                <w:bCs/>
                <w:sz w:val="22"/>
                <w:szCs w:val="22"/>
                <w:highlight w:val="yellow"/>
              </w:rPr>
            </w:pPr>
          </w:p>
          <w:p w14:paraId="309DDB90" w14:textId="77777777" w:rsidR="00DB5FC5" w:rsidRDefault="00DB5FC5" w:rsidP="00531286">
            <w:pPr>
              <w:rPr>
                <w:bCs/>
                <w:sz w:val="22"/>
                <w:szCs w:val="22"/>
                <w:highlight w:val="yellow"/>
              </w:rPr>
            </w:pPr>
          </w:p>
          <w:p w14:paraId="2ED90F38" w14:textId="77777777" w:rsidR="00DB5FC5" w:rsidRDefault="00DB5FC5" w:rsidP="00531286">
            <w:pPr>
              <w:rPr>
                <w:bCs/>
                <w:sz w:val="22"/>
                <w:szCs w:val="22"/>
                <w:highlight w:val="yellow"/>
              </w:rPr>
            </w:pPr>
          </w:p>
          <w:p w14:paraId="6425F7C4" w14:textId="77777777" w:rsidR="00531286" w:rsidRDefault="00531286" w:rsidP="00531286">
            <w:pPr>
              <w:rPr>
                <w:bCs/>
                <w:sz w:val="22"/>
                <w:szCs w:val="22"/>
                <w:highlight w:val="yellow"/>
              </w:rPr>
            </w:pPr>
          </w:p>
          <w:p w14:paraId="5539BCD7" w14:textId="77777777" w:rsidR="00343C42" w:rsidRDefault="00343C42" w:rsidP="00531286">
            <w:pPr>
              <w:rPr>
                <w:b/>
                <w:bCs/>
                <w:sz w:val="22"/>
                <w:szCs w:val="22"/>
              </w:rPr>
            </w:pPr>
          </w:p>
          <w:p w14:paraId="63059D24" w14:textId="77777777" w:rsidR="00197DC0" w:rsidRDefault="00197DC0" w:rsidP="00531286">
            <w:pPr>
              <w:rPr>
                <w:b/>
                <w:bCs/>
                <w:sz w:val="22"/>
                <w:szCs w:val="22"/>
              </w:rPr>
            </w:pPr>
          </w:p>
          <w:p w14:paraId="31CDE093" w14:textId="77777777" w:rsidR="00197DC0" w:rsidRDefault="00197DC0" w:rsidP="00531286">
            <w:pPr>
              <w:rPr>
                <w:b/>
                <w:bCs/>
                <w:sz w:val="22"/>
                <w:szCs w:val="22"/>
              </w:rPr>
            </w:pPr>
          </w:p>
          <w:p w14:paraId="58C5EBE4" w14:textId="77777777" w:rsidR="00197DC0" w:rsidRDefault="00197DC0" w:rsidP="00531286">
            <w:pPr>
              <w:rPr>
                <w:b/>
                <w:bCs/>
                <w:sz w:val="22"/>
                <w:szCs w:val="22"/>
              </w:rPr>
            </w:pPr>
          </w:p>
          <w:p w14:paraId="1D472254" w14:textId="77777777" w:rsidR="00197DC0" w:rsidRDefault="00197DC0" w:rsidP="00531286">
            <w:pPr>
              <w:rPr>
                <w:b/>
                <w:bCs/>
                <w:sz w:val="22"/>
                <w:szCs w:val="22"/>
              </w:rPr>
            </w:pPr>
          </w:p>
          <w:p w14:paraId="16B87015" w14:textId="77777777" w:rsidR="00197DC0" w:rsidRDefault="00197DC0" w:rsidP="00531286">
            <w:pPr>
              <w:rPr>
                <w:b/>
                <w:bCs/>
                <w:sz w:val="22"/>
                <w:szCs w:val="22"/>
              </w:rPr>
            </w:pPr>
          </w:p>
          <w:p w14:paraId="7B976F6E" w14:textId="77777777" w:rsidR="00C03F1A" w:rsidRDefault="00C03F1A" w:rsidP="00531286">
            <w:pPr>
              <w:rPr>
                <w:b/>
                <w:bCs/>
                <w:sz w:val="22"/>
                <w:szCs w:val="22"/>
              </w:rPr>
            </w:pPr>
          </w:p>
          <w:p w14:paraId="230E7387" w14:textId="77777777" w:rsidR="00531286" w:rsidRPr="00A01AAB" w:rsidRDefault="00531286" w:rsidP="00531286">
            <w:pPr>
              <w:rPr>
                <w:b/>
                <w:bCs/>
                <w:sz w:val="22"/>
                <w:szCs w:val="22"/>
              </w:rPr>
            </w:pPr>
            <w:r w:rsidRPr="00A01AAB">
              <w:rPr>
                <w:b/>
                <w:bCs/>
                <w:sz w:val="22"/>
                <w:szCs w:val="22"/>
              </w:rPr>
              <w:t>Návrh</w:t>
            </w:r>
          </w:p>
          <w:p w14:paraId="7C72B956" w14:textId="77777777" w:rsidR="00531286" w:rsidRPr="00A01AAB" w:rsidRDefault="00760127" w:rsidP="00531286">
            <w:pPr>
              <w:rPr>
                <w:b/>
                <w:bCs/>
                <w:sz w:val="22"/>
                <w:szCs w:val="22"/>
              </w:rPr>
            </w:pPr>
            <w:r>
              <w:rPr>
                <w:b/>
                <w:bCs/>
                <w:sz w:val="22"/>
                <w:szCs w:val="22"/>
              </w:rPr>
              <w:t>Čl. I</w:t>
            </w:r>
            <w:r w:rsidR="00531286" w:rsidRPr="00A01AAB">
              <w:rPr>
                <w:b/>
                <w:bCs/>
                <w:sz w:val="22"/>
                <w:szCs w:val="22"/>
              </w:rPr>
              <w:t xml:space="preserve"> </w:t>
            </w:r>
          </w:p>
          <w:p w14:paraId="583D1A64" w14:textId="33C5A494" w:rsidR="00531286" w:rsidRPr="00531286" w:rsidRDefault="00531286" w:rsidP="00531286">
            <w:pPr>
              <w:adjustRightInd w:val="0"/>
              <w:rPr>
                <w:color w:val="000000"/>
                <w:sz w:val="22"/>
                <w:szCs w:val="22"/>
              </w:rPr>
            </w:pPr>
            <w:r w:rsidRPr="00A01AAB">
              <w:rPr>
                <w:b/>
                <w:bCs/>
                <w:sz w:val="22"/>
                <w:szCs w:val="22"/>
              </w:rPr>
              <w:t xml:space="preserve">Bod </w:t>
            </w:r>
            <w:r w:rsidR="00DB5FC5">
              <w:rPr>
                <w:b/>
                <w:bCs/>
                <w:sz w:val="22"/>
                <w:szCs w:val="22"/>
              </w:rPr>
              <w:t>18</w:t>
            </w:r>
          </w:p>
          <w:p w14:paraId="3B2A5BCD" w14:textId="77777777" w:rsidR="00531286" w:rsidRDefault="00531286" w:rsidP="00531286">
            <w:pPr>
              <w:rPr>
                <w:bCs/>
                <w:sz w:val="22"/>
                <w:szCs w:val="22"/>
                <w:highlight w:val="yellow"/>
              </w:rPr>
            </w:pPr>
          </w:p>
          <w:p w14:paraId="63108968" w14:textId="77777777" w:rsidR="00531286" w:rsidRDefault="00531286" w:rsidP="00531286">
            <w:pPr>
              <w:rPr>
                <w:bCs/>
                <w:sz w:val="22"/>
                <w:szCs w:val="22"/>
                <w:highlight w:val="yellow"/>
              </w:rPr>
            </w:pPr>
          </w:p>
          <w:p w14:paraId="0C7454FE" w14:textId="77777777" w:rsidR="00531286" w:rsidRDefault="00531286" w:rsidP="00531286">
            <w:pPr>
              <w:rPr>
                <w:bCs/>
                <w:sz w:val="22"/>
                <w:szCs w:val="22"/>
                <w:highlight w:val="yellow"/>
              </w:rPr>
            </w:pPr>
          </w:p>
          <w:p w14:paraId="65ED5190" w14:textId="77777777" w:rsidR="00531286" w:rsidRDefault="00531286" w:rsidP="00531286">
            <w:pPr>
              <w:rPr>
                <w:bCs/>
                <w:sz w:val="22"/>
                <w:szCs w:val="22"/>
                <w:highlight w:val="yellow"/>
              </w:rPr>
            </w:pPr>
          </w:p>
          <w:p w14:paraId="5C5EF17B" w14:textId="77777777" w:rsidR="00531286" w:rsidRDefault="00531286" w:rsidP="00531286">
            <w:pPr>
              <w:rPr>
                <w:bCs/>
                <w:sz w:val="22"/>
                <w:szCs w:val="22"/>
                <w:highlight w:val="yellow"/>
              </w:rPr>
            </w:pPr>
          </w:p>
          <w:p w14:paraId="4162D24D" w14:textId="77777777" w:rsidR="00531286" w:rsidRDefault="00531286" w:rsidP="00531286">
            <w:pPr>
              <w:rPr>
                <w:bCs/>
                <w:sz w:val="22"/>
                <w:szCs w:val="22"/>
                <w:highlight w:val="yellow"/>
              </w:rPr>
            </w:pPr>
          </w:p>
          <w:p w14:paraId="072AACEB" w14:textId="77777777" w:rsidR="00531286" w:rsidRDefault="00531286" w:rsidP="00531286">
            <w:pPr>
              <w:rPr>
                <w:bCs/>
                <w:sz w:val="22"/>
                <w:szCs w:val="22"/>
                <w:highlight w:val="yellow"/>
              </w:rPr>
            </w:pPr>
          </w:p>
          <w:p w14:paraId="0B3857CA" w14:textId="77777777" w:rsidR="00531286" w:rsidRDefault="00531286" w:rsidP="00531286">
            <w:pPr>
              <w:rPr>
                <w:bCs/>
                <w:sz w:val="22"/>
                <w:szCs w:val="22"/>
                <w:highlight w:val="yellow"/>
              </w:rPr>
            </w:pPr>
          </w:p>
          <w:p w14:paraId="0B8C9E80" w14:textId="77777777" w:rsidR="00531286" w:rsidRDefault="00531286" w:rsidP="00531286">
            <w:pPr>
              <w:rPr>
                <w:bCs/>
                <w:sz w:val="22"/>
                <w:szCs w:val="22"/>
                <w:highlight w:val="yellow"/>
              </w:rPr>
            </w:pPr>
          </w:p>
          <w:p w14:paraId="2CA95E3B" w14:textId="77777777" w:rsidR="00531286" w:rsidRDefault="00531286" w:rsidP="00531286">
            <w:pPr>
              <w:rPr>
                <w:bCs/>
                <w:sz w:val="22"/>
                <w:szCs w:val="22"/>
                <w:highlight w:val="yellow"/>
              </w:rPr>
            </w:pPr>
          </w:p>
          <w:p w14:paraId="7890CD14" w14:textId="77777777" w:rsidR="00531286" w:rsidRDefault="00531286" w:rsidP="00531286">
            <w:pPr>
              <w:rPr>
                <w:bCs/>
                <w:sz w:val="22"/>
                <w:szCs w:val="22"/>
                <w:highlight w:val="yellow"/>
              </w:rPr>
            </w:pPr>
          </w:p>
          <w:p w14:paraId="66187BB0" w14:textId="77777777" w:rsidR="00531286" w:rsidRDefault="00531286" w:rsidP="00531286">
            <w:pPr>
              <w:rPr>
                <w:bCs/>
                <w:sz w:val="22"/>
                <w:szCs w:val="22"/>
                <w:highlight w:val="yellow"/>
              </w:rPr>
            </w:pPr>
          </w:p>
          <w:p w14:paraId="544DFFDB" w14:textId="77777777" w:rsidR="00531286" w:rsidRDefault="00531286" w:rsidP="00531286">
            <w:pPr>
              <w:rPr>
                <w:bCs/>
                <w:sz w:val="22"/>
                <w:szCs w:val="22"/>
                <w:highlight w:val="yellow"/>
              </w:rPr>
            </w:pPr>
          </w:p>
          <w:p w14:paraId="4F5D4422" w14:textId="77777777" w:rsidR="00531286" w:rsidRDefault="00531286" w:rsidP="00531286">
            <w:pPr>
              <w:rPr>
                <w:bCs/>
                <w:sz w:val="22"/>
                <w:szCs w:val="22"/>
                <w:highlight w:val="yellow"/>
              </w:rPr>
            </w:pPr>
          </w:p>
          <w:p w14:paraId="480BA272" w14:textId="77777777" w:rsidR="00531286" w:rsidRDefault="00531286" w:rsidP="00531286">
            <w:pPr>
              <w:rPr>
                <w:bCs/>
                <w:sz w:val="22"/>
                <w:szCs w:val="22"/>
                <w:highlight w:val="yellow"/>
              </w:rPr>
            </w:pPr>
          </w:p>
          <w:p w14:paraId="0163BDF1" w14:textId="77777777" w:rsidR="00531286" w:rsidRDefault="00531286" w:rsidP="00531286">
            <w:pPr>
              <w:rPr>
                <w:bCs/>
                <w:sz w:val="22"/>
                <w:szCs w:val="22"/>
                <w:highlight w:val="yellow"/>
              </w:rPr>
            </w:pPr>
          </w:p>
          <w:p w14:paraId="6A7A87D0" w14:textId="77777777" w:rsidR="00531286" w:rsidRDefault="00531286" w:rsidP="00531286">
            <w:pPr>
              <w:rPr>
                <w:bCs/>
                <w:sz w:val="22"/>
                <w:szCs w:val="22"/>
                <w:highlight w:val="yellow"/>
              </w:rPr>
            </w:pPr>
          </w:p>
          <w:p w14:paraId="79B9186B" w14:textId="77777777" w:rsidR="00531286" w:rsidRDefault="00531286" w:rsidP="00531286">
            <w:pPr>
              <w:rPr>
                <w:bCs/>
                <w:sz w:val="22"/>
                <w:szCs w:val="22"/>
                <w:highlight w:val="yellow"/>
              </w:rPr>
            </w:pPr>
          </w:p>
          <w:p w14:paraId="4CEAAEB7" w14:textId="77777777" w:rsidR="00531286" w:rsidRDefault="00531286" w:rsidP="00531286">
            <w:pPr>
              <w:rPr>
                <w:bCs/>
                <w:sz w:val="22"/>
                <w:szCs w:val="22"/>
                <w:highlight w:val="yellow"/>
              </w:rPr>
            </w:pPr>
          </w:p>
          <w:p w14:paraId="623D8768" w14:textId="77777777" w:rsidR="00531286" w:rsidRDefault="00531286" w:rsidP="00531286">
            <w:pPr>
              <w:rPr>
                <w:bCs/>
                <w:sz w:val="22"/>
                <w:szCs w:val="22"/>
                <w:highlight w:val="yellow"/>
              </w:rPr>
            </w:pPr>
          </w:p>
          <w:p w14:paraId="6D809451" w14:textId="77777777" w:rsidR="00531286" w:rsidRDefault="00531286" w:rsidP="00531286">
            <w:pPr>
              <w:rPr>
                <w:bCs/>
                <w:sz w:val="22"/>
                <w:szCs w:val="22"/>
                <w:highlight w:val="yellow"/>
              </w:rPr>
            </w:pPr>
          </w:p>
          <w:p w14:paraId="78C6EB12" w14:textId="77777777" w:rsidR="00531286" w:rsidRDefault="00531286" w:rsidP="00531286">
            <w:pPr>
              <w:rPr>
                <w:bCs/>
                <w:sz w:val="22"/>
                <w:szCs w:val="22"/>
                <w:highlight w:val="yellow"/>
              </w:rPr>
            </w:pPr>
          </w:p>
          <w:p w14:paraId="0235174A" w14:textId="77777777" w:rsidR="00531286" w:rsidRPr="00531286" w:rsidRDefault="00531286" w:rsidP="00531286">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13B31F1B" w14:textId="77777777" w:rsidR="0074512A" w:rsidRDefault="0074512A" w:rsidP="00A63BC7">
            <w:pPr>
              <w:jc w:val="center"/>
              <w:rPr>
                <w:sz w:val="22"/>
                <w:szCs w:val="22"/>
              </w:rPr>
            </w:pPr>
          </w:p>
          <w:p w14:paraId="49CB2E33" w14:textId="0BB401BB" w:rsidR="00A63BC7" w:rsidRPr="00CE0344" w:rsidRDefault="00A63BC7" w:rsidP="00A63BC7">
            <w:pPr>
              <w:jc w:val="center"/>
              <w:rPr>
                <w:sz w:val="22"/>
                <w:szCs w:val="22"/>
              </w:rPr>
            </w:pPr>
            <w:r w:rsidRPr="00CE0344">
              <w:rPr>
                <w:sz w:val="22"/>
                <w:szCs w:val="22"/>
              </w:rPr>
              <w:t xml:space="preserve">§ 73o </w:t>
            </w:r>
          </w:p>
          <w:p w14:paraId="4102B436" w14:textId="77777777" w:rsidR="00A63BC7" w:rsidRDefault="00A63BC7" w:rsidP="00A63BC7">
            <w:pPr>
              <w:jc w:val="center"/>
              <w:rPr>
                <w:b/>
                <w:sz w:val="22"/>
                <w:szCs w:val="22"/>
              </w:rPr>
            </w:pPr>
          </w:p>
          <w:p w14:paraId="1FC8469F" w14:textId="77777777" w:rsidR="00A63BC7" w:rsidRDefault="00A63BC7" w:rsidP="00A63BC7">
            <w:pPr>
              <w:jc w:val="center"/>
              <w:rPr>
                <w:b/>
                <w:sz w:val="22"/>
                <w:szCs w:val="22"/>
              </w:rPr>
            </w:pPr>
          </w:p>
          <w:p w14:paraId="614A14C8" w14:textId="77777777" w:rsidR="00A63BC7" w:rsidRDefault="00A63BC7" w:rsidP="00A63BC7">
            <w:pPr>
              <w:jc w:val="center"/>
              <w:rPr>
                <w:b/>
                <w:sz w:val="22"/>
                <w:szCs w:val="22"/>
              </w:rPr>
            </w:pPr>
          </w:p>
          <w:p w14:paraId="720C2062" w14:textId="77777777" w:rsidR="00A63BC7" w:rsidRDefault="00A63BC7" w:rsidP="00A63BC7">
            <w:pPr>
              <w:jc w:val="center"/>
              <w:rPr>
                <w:b/>
                <w:sz w:val="22"/>
                <w:szCs w:val="22"/>
              </w:rPr>
            </w:pPr>
          </w:p>
          <w:p w14:paraId="564346BD" w14:textId="77777777" w:rsidR="00A63BC7" w:rsidRDefault="00A63BC7" w:rsidP="00A63BC7">
            <w:pPr>
              <w:jc w:val="center"/>
              <w:rPr>
                <w:b/>
                <w:sz w:val="22"/>
                <w:szCs w:val="22"/>
              </w:rPr>
            </w:pPr>
          </w:p>
          <w:p w14:paraId="6DFD934E" w14:textId="77777777" w:rsidR="00513F93" w:rsidRDefault="00513F93" w:rsidP="00A63BC7">
            <w:pPr>
              <w:jc w:val="center"/>
              <w:rPr>
                <w:b/>
                <w:sz w:val="22"/>
                <w:szCs w:val="22"/>
              </w:rPr>
            </w:pPr>
          </w:p>
          <w:p w14:paraId="3408FE97" w14:textId="77777777" w:rsidR="00A63BC7" w:rsidRPr="00531286" w:rsidRDefault="00A63BC7" w:rsidP="00A63BC7">
            <w:pPr>
              <w:jc w:val="center"/>
              <w:rPr>
                <w:b/>
                <w:sz w:val="22"/>
                <w:szCs w:val="22"/>
              </w:rPr>
            </w:pPr>
            <w:r w:rsidRPr="00531286">
              <w:rPr>
                <w:b/>
                <w:sz w:val="22"/>
                <w:szCs w:val="22"/>
              </w:rPr>
              <w:t>§</w:t>
            </w:r>
            <w:r>
              <w:rPr>
                <w:b/>
                <w:sz w:val="22"/>
                <w:szCs w:val="22"/>
              </w:rPr>
              <w:t xml:space="preserve"> 73o</w:t>
            </w:r>
            <w:r w:rsidRPr="00531286">
              <w:rPr>
                <w:b/>
                <w:sz w:val="22"/>
                <w:szCs w:val="22"/>
              </w:rPr>
              <w:t xml:space="preserve"> </w:t>
            </w:r>
          </w:p>
          <w:p w14:paraId="581BA605" w14:textId="77777777" w:rsidR="00891F0B" w:rsidRDefault="00A63BC7" w:rsidP="00A63BC7">
            <w:pPr>
              <w:jc w:val="center"/>
              <w:rPr>
                <w:b/>
                <w:sz w:val="22"/>
                <w:szCs w:val="22"/>
              </w:rPr>
            </w:pPr>
            <w:r w:rsidRPr="00531286">
              <w:rPr>
                <w:b/>
                <w:sz w:val="22"/>
                <w:szCs w:val="22"/>
              </w:rPr>
              <w:t xml:space="preserve">O: </w:t>
            </w:r>
            <w:r>
              <w:rPr>
                <w:b/>
                <w:sz w:val="22"/>
                <w:szCs w:val="22"/>
              </w:rPr>
              <w:t>3</w:t>
            </w:r>
          </w:p>
          <w:p w14:paraId="37BCEC60" w14:textId="77777777" w:rsidR="00A63BC7" w:rsidRDefault="00A63BC7" w:rsidP="00A63BC7">
            <w:pPr>
              <w:jc w:val="center"/>
              <w:rPr>
                <w:b/>
                <w:sz w:val="22"/>
                <w:szCs w:val="22"/>
              </w:rPr>
            </w:pPr>
          </w:p>
          <w:p w14:paraId="65C5018E" w14:textId="77777777" w:rsidR="00A63BC7" w:rsidRDefault="00A63BC7" w:rsidP="00A63BC7">
            <w:pPr>
              <w:jc w:val="center"/>
              <w:rPr>
                <w:b/>
                <w:sz w:val="22"/>
                <w:szCs w:val="22"/>
              </w:rPr>
            </w:pPr>
          </w:p>
          <w:p w14:paraId="51D986E4" w14:textId="77777777" w:rsidR="00A63BC7" w:rsidRDefault="00A63BC7" w:rsidP="00A63BC7">
            <w:pPr>
              <w:jc w:val="center"/>
              <w:rPr>
                <w:b/>
                <w:sz w:val="22"/>
                <w:szCs w:val="22"/>
              </w:rPr>
            </w:pPr>
          </w:p>
          <w:p w14:paraId="2118BEA8" w14:textId="77777777" w:rsidR="00A63BC7" w:rsidRDefault="00A63BC7" w:rsidP="00A63BC7">
            <w:pPr>
              <w:jc w:val="center"/>
              <w:rPr>
                <w:b/>
                <w:sz w:val="22"/>
                <w:szCs w:val="22"/>
              </w:rPr>
            </w:pPr>
          </w:p>
          <w:p w14:paraId="4D57071A" w14:textId="77777777" w:rsidR="00A63BC7" w:rsidRDefault="00A63BC7" w:rsidP="00A63BC7">
            <w:pPr>
              <w:jc w:val="center"/>
              <w:rPr>
                <w:b/>
                <w:sz w:val="22"/>
                <w:szCs w:val="22"/>
              </w:rPr>
            </w:pPr>
          </w:p>
          <w:p w14:paraId="1EB842A5" w14:textId="77777777" w:rsidR="00A63BC7" w:rsidRDefault="00A63BC7" w:rsidP="00A63BC7">
            <w:pPr>
              <w:jc w:val="center"/>
              <w:rPr>
                <w:b/>
                <w:sz w:val="22"/>
                <w:szCs w:val="22"/>
              </w:rPr>
            </w:pPr>
          </w:p>
          <w:p w14:paraId="49542D80" w14:textId="77777777" w:rsidR="004A4493" w:rsidRDefault="004A4493" w:rsidP="00A63BC7">
            <w:pPr>
              <w:jc w:val="center"/>
              <w:rPr>
                <w:b/>
                <w:sz w:val="22"/>
                <w:szCs w:val="22"/>
              </w:rPr>
            </w:pPr>
          </w:p>
          <w:p w14:paraId="01430388" w14:textId="77777777" w:rsidR="004A4493" w:rsidRDefault="004A4493" w:rsidP="00A63BC7">
            <w:pPr>
              <w:jc w:val="center"/>
              <w:rPr>
                <w:b/>
                <w:sz w:val="22"/>
                <w:szCs w:val="22"/>
              </w:rPr>
            </w:pPr>
          </w:p>
          <w:p w14:paraId="578D5A68" w14:textId="77777777" w:rsidR="00007B33" w:rsidRDefault="00007B33" w:rsidP="00A63BC7">
            <w:pPr>
              <w:jc w:val="center"/>
              <w:rPr>
                <w:b/>
                <w:sz w:val="22"/>
                <w:szCs w:val="22"/>
              </w:rPr>
            </w:pPr>
          </w:p>
          <w:p w14:paraId="269054CF" w14:textId="77777777" w:rsidR="00007B33" w:rsidRDefault="00007B33" w:rsidP="00A63BC7">
            <w:pPr>
              <w:jc w:val="center"/>
              <w:rPr>
                <w:b/>
                <w:sz w:val="22"/>
                <w:szCs w:val="22"/>
              </w:rPr>
            </w:pPr>
          </w:p>
          <w:p w14:paraId="3F92C258" w14:textId="49B983B9" w:rsidR="00A63BC7" w:rsidRDefault="00A63BC7" w:rsidP="0074512A">
            <w:pPr>
              <w:rPr>
                <w:b/>
                <w:sz w:val="22"/>
                <w:szCs w:val="22"/>
              </w:rPr>
            </w:pPr>
          </w:p>
          <w:p w14:paraId="7C3683CE" w14:textId="77777777" w:rsidR="00A63BC7" w:rsidRPr="00531286" w:rsidRDefault="00A63BC7" w:rsidP="00A63BC7">
            <w:pPr>
              <w:jc w:val="center"/>
              <w:rPr>
                <w:b/>
                <w:sz w:val="22"/>
                <w:szCs w:val="22"/>
              </w:rPr>
            </w:pPr>
            <w:r w:rsidRPr="00531286">
              <w:rPr>
                <w:b/>
                <w:sz w:val="22"/>
                <w:szCs w:val="22"/>
              </w:rPr>
              <w:t>§</w:t>
            </w:r>
            <w:r>
              <w:rPr>
                <w:b/>
                <w:sz w:val="22"/>
                <w:szCs w:val="22"/>
              </w:rPr>
              <w:t xml:space="preserve"> 73p</w:t>
            </w:r>
            <w:r w:rsidRPr="00531286">
              <w:rPr>
                <w:b/>
                <w:sz w:val="22"/>
                <w:szCs w:val="22"/>
              </w:rPr>
              <w:t xml:space="preserve"> </w:t>
            </w:r>
          </w:p>
          <w:p w14:paraId="526B6DDF" w14:textId="77777777" w:rsidR="00A63BC7" w:rsidRPr="0074512A" w:rsidRDefault="00A63BC7" w:rsidP="00A63BC7">
            <w:pPr>
              <w:jc w:val="center"/>
              <w:rPr>
                <w:b/>
                <w:sz w:val="22"/>
                <w:szCs w:val="22"/>
              </w:rPr>
            </w:pPr>
            <w:r w:rsidRPr="0074512A">
              <w:rPr>
                <w:b/>
                <w:sz w:val="22"/>
                <w:szCs w:val="22"/>
              </w:rPr>
              <w:t>O: 5</w:t>
            </w:r>
          </w:p>
          <w:p w14:paraId="7E62DD8C" w14:textId="77777777" w:rsidR="00A63BC7" w:rsidRDefault="00A63BC7" w:rsidP="00A63BC7">
            <w:pPr>
              <w:jc w:val="center"/>
              <w:rPr>
                <w:b/>
                <w:sz w:val="22"/>
                <w:szCs w:val="22"/>
              </w:rPr>
            </w:pPr>
          </w:p>
          <w:p w14:paraId="31DA4663" w14:textId="77777777" w:rsidR="00A63BC7" w:rsidRDefault="00A63BC7" w:rsidP="00A63BC7">
            <w:pPr>
              <w:jc w:val="center"/>
              <w:rPr>
                <w:b/>
                <w:sz w:val="22"/>
                <w:szCs w:val="22"/>
              </w:rPr>
            </w:pPr>
          </w:p>
          <w:p w14:paraId="709799FA" w14:textId="77777777" w:rsidR="00A63BC7" w:rsidRDefault="00A63BC7" w:rsidP="00A63BC7">
            <w:pPr>
              <w:jc w:val="center"/>
              <w:rPr>
                <w:b/>
                <w:sz w:val="22"/>
                <w:szCs w:val="22"/>
              </w:rPr>
            </w:pPr>
          </w:p>
          <w:p w14:paraId="04B45139" w14:textId="77777777" w:rsidR="00197DC0" w:rsidRDefault="00197DC0" w:rsidP="00A63BC7">
            <w:pPr>
              <w:jc w:val="center"/>
              <w:rPr>
                <w:b/>
                <w:sz w:val="22"/>
                <w:szCs w:val="22"/>
              </w:rPr>
            </w:pPr>
          </w:p>
          <w:p w14:paraId="56AE1AC9" w14:textId="77777777" w:rsidR="00197DC0" w:rsidRDefault="00197DC0" w:rsidP="00A63BC7">
            <w:pPr>
              <w:jc w:val="center"/>
              <w:rPr>
                <w:b/>
                <w:sz w:val="22"/>
                <w:szCs w:val="22"/>
              </w:rPr>
            </w:pPr>
          </w:p>
          <w:p w14:paraId="572B1ADA" w14:textId="77777777" w:rsidR="00197DC0" w:rsidRDefault="00197DC0" w:rsidP="00A63BC7">
            <w:pPr>
              <w:jc w:val="center"/>
              <w:rPr>
                <w:b/>
                <w:sz w:val="22"/>
                <w:szCs w:val="22"/>
              </w:rPr>
            </w:pPr>
          </w:p>
          <w:p w14:paraId="693039F8" w14:textId="77777777" w:rsidR="00197DC0" w:rsidRDefault="00197DC0" w:rsidP="00A63BC7">
            <w:pPr>
              <w:jc w:val="center"/>
              <w:rPr>
                <w:b/>
                <w:sz w:val="22"/>
                <w:szCs w:val="22"/>
              </w:rPr>
            </w:pPr>
          </w:p>
          <w:p w14:paraId="236B9BB8" w14:textId="77777777" w:rsidR="00197DC0" w:rsidRDefault="00197DC0" w:rsidP="00A63BC7">
            <w:pPr>
              <w:jc w:val="center"/>
              <w:rPr>
                <w:b/>
                <w:sz w:val="22"/>
                <w:szCs w:val="22"/>
              </w:rPr>
            </w:pPr>
          </w:p>
          <w:p w14:paraId="2F720176" w14:textId="77777777" w:rsidR="00C03F1A" w:rsidRDefault="00C03F1A" w:rsidP="00A63BC7">
            <w:pPr>
              <w:jc w:val="center"/>
              <w:rPr>
                <w:b/>
                <w:sz w:val="22"/>
                <w:szCs w:val="22"/>
              </w:rPr>
            </w:pPr>
          </w:p>
          <w:p w14:paraId="233715E6" w14:textId="77777777" w:rsidR="00C03F1A" w:rsidRDefault="00C03F1A" w:rsidP="00A63BC7">
            <w:pPr>
              <w:jc w:val="center"/>
              <w:rPr>
                <w:b/>
                <w:sz w:val="22"/>
                <w:szCs w:val="22"/>
              </w:rPr>
            </w:pPr>
          </w:p>
          <w:p w14:paraId="02FB049C" w14:textId="77777777" w:rsidR="00A63BC7" w:rsidRPr="00531286" w:rsidRDefault="00A63BC7" w:rsidP="00A63BC7">
            <w:pPr>
              <w:jc w:val="center"/>
              <w:rPr>
                <w:b/>
                <w:sz w:val="22"/>
                <w:szCs w:val="22"/>
              </w:rPr>
            </w:pPr>
            <w:r w:rsidRPr="00531286">
              <w:rPr>
                <w:b/>
                <w:sz w:val="22"/>
                <w:szCs w:val="22"/>
              </w:rPr>
              <w:t>§</w:t>
            </w:r>
            <w:r>
              <w:rPr>
                <w:b/>
                <w:sz w:val="22"/>
                <w:szCs w:val="22"/>
              </w:rPr>
              <w:t xml:space="preserve"> 73p</w:t>
            </w:r>
            <w:r w:rsidRPr="00531286">
              <w:rPr>
                <w:b/>
                <w:sz w:val="22"/>
                <w:szCs w:val="22"/>
              </w:rPr>
              <w:t xml:space="preserve"> </w:t>
            </w:r>
          </w:p>
          <w:p w14:paraId="72EC80A7" w14:textId="77777777" w:rsidR="00A63BC7" w:rsidRDefault="00A63BC7" w:rsidP="00A63BC7">
            <w:pPr>
              <w:jc w:val="center"/>
              <w:rPr>
                <w:b/>
                <w:sz w:val="22"/>
                <w:szCs w:val="22"/>
              </w:rPr>
            </w:pPr>
            <w:r w:rsidRPr="00531286">
              <w:rPr>
                <w:b/>
                <w:sz w:val="22"/>
                <w:szCs w:val="22"/>
              </w:rPr>
              <w:t xml:space="preserve">O: </w:t>
            </w:r>
            <w:r>
              <w:rPr>
                <w:b/>
                <w:sz w:val="22"/>
                <w:szCs w:val="22"/>
              </w:rPr>
              <w:t>5</w:t>
            </w:r>
          </w:p>
          <w:p w14:paraId="76107869" w14:textId="77777777" w:rsidR="00A63BC7" w:rsidRDefault="00A63BC7" w:rsidP="00A63BC7">
            <w:pPr>
              <w:jc w:val="center"/>
              <w:rPr>
                <w:b/>
                <w:sz w:val="22"/>
                <w:szCs w:val="22"/>
              </w:rPr>
            </w:pPr>
          </w:p>
          <w:p w14:paraId="70E83AB8" w14:textId="77777777" w:rsidR="00A63BC7" w:rsidRDefault="00A63BC7" w:rsidP="00A63BC7">
            <w:pPr>
              <w:jc w:val="center"/>
              <w:rPr>
                <w:b/>
                <w:sz w:val="22"/>
                <w:szCs w:val="22"/>
              </w:rPr>
            </w:pPr>
          </w:p>
          <w:p w14:paraId="18219850" w14:textId="77777777" w:rsidR="00A63BC7" w:rsidRDefault="00A63BC7" w:rsidP="00A63BC7">
            <w:pPr>
              <w:jc w:val="center"/>
              <w:rPr>
                <w:b/>
                <w:sz w:val="22"/>
                <w:szCs w:val="22"/>
              </w:rPr>
            </w:pPr>
          </w:p>
          <w:p w14:paraId="5BDCE517" w14:textId="77777777" w:rsidR="00A63BC7" w:rsidRDefault="00A63BC7" w:rsidP="00A63BC7">
            <w:pPr>
              <w:jc w:val="center"/>
              <w:rPr>
                <w:b/>
                <w:sz w:val="22"/>
                <w:szCs w:val="22"/>
              </w:rPr>
            </w:pPr>
          </w:p>
          <w:p w14:paraId="444D8DC1" w14:textId="77777777" w:rsidR="00A63BC7" w:rsidRDefault="00A63BC7" w:rsidP="00A63BC7">
            <w:pPr>
              <w:jc w:val="center"/>
              <w:rPr>
                <w:b/>
                <w:sz w:val="22"/>
                <w:szCs w:val="22"/>
              </w:rPr>
            </w:pPr>
          </w:p>
          <w:p w14:paraId="6E43FC41" w14:textId="77777777" w:rsidR="00A63BC7" w:rsidRDefault="00A63BC7" w:rsidP="00A63BC7">
            <w:pPr>
              <w:jc w:val="center"/>
              <w:rPr>
                <w:b/>
                <w:sz w:val="22"/>
                <w:szCs w:val="22"/>
              </w:rPr>
            </w:pPr>
          </w:p>
          <w:p w14:paraId="41312CF8" w14:textId="77777777" w:rsidR="00A63BC7" w:rsidRDefault="00A63BC7" w:rsidP="00A63BC7">
            <w:pPr>
              <w:jc w:val="center"/>
              <w:rPr>
                <w:b/>
                <w:sz w:val="22"/>
                <w:szCs w:val="22"/>
              </w:rPr>
            </w:pPr>
          </w:p>
          <w:p w14:paraId="1696FA8A" w14:textId="77777777" w:rsidR="00A63BC7" w:rsidRDefault="00A63BC7" w:rsidP="00A63BC7">
            <w:pPr>
              <w:jc w:val="center"/>
              <w:rPr>
                <w:b/>
                <w:sz w:val="22"/>
                <w:szCs w:val="22"/>
              </w:rPr>
            </w:pPr>
          </w:p>
          <w:p w14:paraId="39164ECF" w14:textId="77777777" w:rsidR="00A63BC7" w:rsidRDefault="00A63BC7" w:rsidP="00A63BC7">
            <w:pPr>
              <w:jc w:val="center"/>
              <w:rPr>
                <w:b/>
                <w:sz w:val="22"/>
                <w:szCs w:val="22"/>
              </w:rPr>
            </w:pPr>
          </w:p>
          <w:p w14:paraId="27DA2A66" w14:textId="77777777" w:rsidR="00A63BC7" w:rsidRPr="00531286" w:rsidRDefault="00A63BC7" w:rsidP="00A63BC7">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7920F40F" w14:textId="77777777" w:rsidR="0074512A" w:rsidRDefault="0074512A" w:rsidP="0074512A">
            <w:pPr>
              <w:spacing w:line="276" w:lineRule="auto"/>
              <w:contextualSpacing/>
              <w:jc w:val="both"/>
              <w:rPr>
                <w:noProof/>
                <w:sz w:val="20"/>
                <w:szCs w:val="20"/>
              </w:rPr>
            </w:pPr>
          </w:p>
          <w:p w14:paraId="3CDEE6C5" w14:textId="75B282DC" w:rsidR="0074512A" w:rsidRPr="00A01AAB" w:rsidRDefault="0074512A" w:rsidP="0074512A">
            <w:pPr>
              <w:spacing w:line="276" w:lineRule="auto"/>
              <w:contextualSpacing/>
              <w:jc w:val="both"/>
              <w:rPr>
                <w:noProof/>
                <w:sz w:val="20"/>
                <w:szCs w:val="20"/>
              </w:rPr>
            </w:pPr>
            <w:r w:rsidRPr="00A01AAB">
              <w:rPr>
                <w:noProof/>
                <w:sz w:val="20"/>
                <w:szCs w:val="20"/>
              </w:rPr>
              <w:t>V § 73o sa vypúšťa odsek</w:t>
            </w:r>
            <w:r w:rsidR="00C03F1A">
              <w:rPr>
                <w:noProof/>
                <w:sz w:val="20"/>
                <w:szCs w:val="20"/>
              </w:rPr>
              <w:t xml:space="preserve"> 3</w:t>
            </w:r>
            <w:r w:rsidRPr="00A01AAB">
              <w:rPr>
                <w:noProof/>
                <w:sz w:val="20"/>
                <w:szCs w:val="20"/>
              </w:rPr>
              <w:t xml:space="preserve">. </w:t>
            </w:r>
          </w:p>
          <w:p w14:paraId="779964AA" w14:textId="59725081" w:rsidR="00A63BC7" w:rsidRPr="00C03F1A" w:rsidRDefault="00A63BC7" w:rsidP="00513F93">
            <w:pPr>
              <w:spacing w:before="225" w:after="225" w:line="264" w:lineRule="auto"/>
              <w:rPr>
                <w:strike/>
                <w:sz w:val="16"/>
                <w:szCs w:val="16"/>
              </w:rPr>
            </w:pPr>
          </w:p>
          <w:p w14:paraId="088D0537" w14:textId="77777777" w:rsidR="0074512A" w:rsidRDefault="0074512A" w:rsidP="00A63BC7">
            <w:pPr>
              <w:jc w:val="both"/>
              <w:rPr>
                <w:b/>
                <w:noProof/>
                <w:sz w:val="20"/>
                <w:szCs w:val="20"/>
              </w:rPr>
            </w:pPr>
          </w:p>
          <w:p w14:paraId="4D793D37" w14:textId="77777777" w:rsidR="0074512A" w:rsidRDefault="0074512A" w:rsidP="00A63BC7">
            <w:pPr>
              <w:jc w:val="both"/>
              <w:rPr>
                <w:b/>
                <w:noProof/>
                <w:sz w:val="20"/>
                <w:szCs w:val="20"/>
              </w:rPr>
            </w:pPr>
          </w:p>
          <w:p w14:paraId="30CC9D1B" w14:textId="77777777" w:rsidR="0074512A" w:rsidRDefault="0074512A" w:rsidP="00A63BC7">
            <w:pPr>
              <w:jc w:val="both"/>
              <w:rPr>
                <w:b/>
                <w:noProof/>
                <w:sz w:val="20"/>
                <w:szCs w:val="20"/>
              </w:rPr>
            </w:pPr>
          </w:p>
          <w:p w14:paraId="52B7D740" w14:textId="372BE5F3" w:rsidR="00A63BC7" w:rsidRPr="004A4493" w:rsidRDefault="00A63BC7" w:rsidP="00A63BC7">
            <w:pPr>
              <w:jc w:val="both"/>
              <w:rPr>
                <w:rStyle w:val="y2iqfc"/>
                <w:b/>
                <w:sz w:val="20"/>
                <w:szCs w:val="20"/>
              </w:rPr>
            </w:pPr>
            <w:r w:rsidRPr="00B21378">
              <w:rPr>
                <w:b/>
                <w:noProof/>
                <w:sz w:val="20"/>
                <w:szCs w:val="20"/>
              </w:rPr>
              <w:t xml:space="preserve">(3) </w:t>
            </w:r>
            <w:bookmarkStart w:id="3" w:name="_Hlk193986807"/>
            <w:r w:rsidR="00DB5FC5" w:rsidRPr="00DB5FC5">
              <w:rPr>
                <w:b/>
                <w:bCs/>
                <w:noProof/>
                <w:sz w:val="20"/>
                <w:szCs w:val="20"/>
                <w:shd w:val="clear" w:color="auto" w:fill="FFFFFF"/>
              </w:rPr>
              <w:t>Pri finančných nástrojoch, ktoré podliehajú obchodovacej povinnosti podľa osobitného predpisu,</w:t>
            </w:r>
            <w:hyperlink r:id="rId9" w:anchor="f2705393" w:history="1">
              <w:r w:rsidR="00DB5FC5" w:rsidRPr="00DB5FC5">
                <w:rPr>
                  <w:rStyle w:val="Hypertextovprepojenie"/>
                  <w:b/>
                  <w:bCs/>
                  <w:noProof/>
                  <w:color w:val="auto"/>
                  <w:sz w:val="20"/>
                  <w:szCs w:val="20"/>
                  <w:u w:val="none"/>
                  <w:shd w:val="clear" w:color="auto" w:fill="FFFFFF"/>
                  <w:vertAlign w:val="superscript"/>
                </w:rPr>
                <w:t>58hf</w:t>
              </w:r>
              <w:r w:rsidR="00DB5FC5" w:rsidRPr="00DB5FC5">
                <w:rPr>
                  <w:rStyle w:val="Hypertextovprepojenie"/>
                  <w:b/>
                  <w:bCs/>
                  <w:noProof/>
                  <w:color w:val="auto"/>
                  <w:sz w:val="20"/>
                  <w:szCs w:val="20"/>
                  <w:u w:val="none"/>
                  <w:shd w:val="clear" w:color="auto" w:fill="FFFFFF"/>
                </w:rPr>
                <w:t>)</w:t>
              </w:r>
            </w:hyperlink>
            <w:r w:rsidR="00DB5FC5" w:rsidRPr="00DB5FC5">
              <w:rPr>
                <w:rStyle w:val="y2iqfc"/>
                <w:b/>
                <w:bCs/>
                <w:noProof/>
                <w:sz w:val="20"/>
                <w:szCs w:val="20"/>
              </w:rPr>
              <w:t xml:space="preserve"> je obchodník  s cennými papiermi po vykonaní pokynu v mene klienta povinný informovať klienta o mieste, kde bol pokyn vykonaný</w:t>
            </w:r>
            <w:bookmarkEnd w:id="3"/>
            <w:r w:rsidRPr="004A4493">
              <w:rPr>
                <w:rStyle w:val="y2iqfc"/>
                <w:b/>
                <w:sz w:val="20"/>
                <w:szCs w:val="20"/>
              </w:rPr>
              <w:t>.</w:t>
            </w:r>
          </w:p>
          <w:p w14:paraId="039934AF" w14:textId="77777777" w:rsidR="00B911A6" w:rsidRPr="004A4493" w:rsidRDefault="00B911A6" w:rsidP="00B911A6">
            <w:pPr>
              <w:contextualSpacing/>
              <w:jc w:val="both"/>
              <w:rPr>
                <w:b/>
                <w:sz w:val="20"/>
                <w:szCs w:val="20"/>
              </w:rPr>
            </w:pPr>
          </w:p>
          <w:p w14:paraId="1BC0990E" w14:textId="7B25055D" w:rsidR="00B911A6" w:rsidRPr="00AC1613" w:rsidRDefault="00B911A6" w:rsidP="00531286">
            <w:pPr>
              <w:contextualSpacing/>
              <w:jc w:val="both"/>
              <w:rPr>
                <w:bCs/>
                <w:sz w:val="20"/>
                <w:szCs w:val="20"/>
              </w:rPr>
            </w:pPr>
            <w:r w:rsidRPr="00AC1613">
              <w:rPr>
                <w:bCs/>
                <w:sz w:val="20"/>
                <w:szCs w:val="20"/>
                <w:vertAlign w:val="superscript"/>
              </w:rPr>
              <w:t>58hf</w:t>
            </w:r>
            <w:r w:rsidRPr="00AC1613">
              <w:rPr>
                <w:bCs/>
                <w:sz w:val="20"/>
                <w:szCs w:val="20"/>
              </w:rPr>
              <w:t xml:space="preserve">) </w:t>
            </w:r>
            <w:r w:rsidR="00AC1613">
              <w:rPr>
                <w:bCs/>
                <w:sz w:val="20"/>
                <w:szCs w:val="20"/>
              </w:rPr>
              <w:t>Č</w:t>
            </w:r>
            <w:r w:rsidRPr="00AC1613">
              <w:rPr>
                <w:bCs/>
                <w:sz w:val="20"/>
                <w:szCs w:val="20"/>
              </w:rPr>
              <w:t>l. 23 a 28 nariadenia (EÚ) č. 600/2014</w:t>
            </w:r>
            <w:r w:rsidR="00F5060F" w:rsidRPr="00AC1613">
              <w:rPr>
                <w:bCs/>
                <w:sz w:val="20"/>
                <w:szCs w:val="20"/>
                <w:shd w:val="clear" w:color="auto" w:fill="FFFFFF"/>
              </w:rPr>
              <w:t xml:space="preserve"> v </w:t>
            </w:r>
            <w:r w:rsidR="00F5060F" w:rsidRPr="00AC1613">
              <w:rPr>
                <w:bCs/>
                <w:sz w:val="20"/>
                <w:szCs w:val="20"/>
              </w:rPr>
              <w:t>platnom znení</w:t>
            </w:r>
            <w:r w:rsidRPr="00AC1613">
              <w:rPr>
                <w:bCs/>
                <w:sz w:val="20"/>
                <w:szCs w:val="20"/>
              </w:rPr>
              <w:t>.</w:t>
            </w:r>
          </w:p>
          <w:p w14:paraId="5DDC0B55" w14:textId="77777777" w:rsidR="00A63BC7" w:rsidRPr="00A01AAB" w:rsidRDefault="00A63BC7" w:rsidP="00531286">
            <w:pPr>
              <w:jc w:val="both"/>
              <w:rPr>
                <w:b/>
                <w:sz w:val="20"/>
                <w:szCs w:val="20"/>
                <w:highlight w:val="yellow"/>
              </w:rPr>
            </w:pPr>
          </w:p>
          <w:p w14:paraId="54B05D4B" w14:textId="77777777" w:rsidR="00A63BC7" w:rsidRDefault="00A63BC7" w:rsidP="00531286">
            <w:pPr>
              <w:jc w:val="both"/>
              <w:rPr>
                <w:b/>
                <w:sz w:val="20"/>
                <w:szCs w:val="20"/>
                <w:highlight w:val="yellow"/>
              </w:rPr>
            </w:pPr>
          </w:p>
          <w:p w14:paraId="7FE499B7" w14:textId="77777777" w:rsidR="00C03F1A" w:rsidRDefault="00C03F1A" w:rsidP="00531286">
            <w:pPr>
              <w:jc w:val="both"/>
              <w:rPr>
                <w:b/>
                <w:sz w:val="20"/>
                <w:szCs w:val="20"/>
                <w:highlight w:val="yellow"/>
              </w:rPr>
            </w:pPr>
          </w:p>
          <w:p w14:paraId="4DA31BAA" w14:textId="77777777" w:rsidR="00C03F1A" w:rsidRPr="00A01AAB" w:rsidRDefault="00C03F1A" w:rsidP="00531286">
            <w:pPr>
              <w:jc w:val="both"/>
              <w:rPr>
                <w:b/>
                <w:sz w:val="20"/>
                <w:szCs w:val="20"/>
                <w:highlight w:val="yellow"/>
              </w:rPr>
            </w:pPr>
          </w:p>
          <w:p w14:paraId="6270453F" w14:textId="77777777" w:rsidR="0074512A" w:rsidRPr="00F66263" w:rsidRDefault="0074512A" w:rsidP="0074512A">
            <w:pPr>
              <w:spacing w:line="276" w:lineRule="auto"/>
              <w:contextualSpacing/>
              <w:jc w:val="both"/>
              <w:rPr>
                <w:noProof/>
                <w:sz w:val="20"/>
                <w:szCs w:val="20"/>
              </w:rPr>
            </w:pPr>
            <w:r w:rsidRPr="00A25494">
              <w:rPr>
                <w:noProof/>
                <w:sz w:val="20"/>
                <w:szCs w:val="20"/>
              </w:rPr>
              <w:t>V § 73p odseku 5 sa vypúšťa posledná veta.</w:t>
            </w:r>
            <w:r w:rsidRPr="00F66263">
              <w:rPr>
                <w:noProof/>
                <w:sz w:val="20"/>
                <w:szCs w:val="20"/>
              </w:rPr>
              <w:t xml:space="preserve"> </w:t>
            </w:r>
          </w:p>
          <w:p w14:paraId="20812DF2" w14:textId="38251938" w:rsidR="00A63BC7" w:rsidRPr="00A25494" w:rsidRDefault="00197DC0" w:rsidP="00531286">
            <w:pPr>
              <w:jc w:val="both"/>
              <w:rPr>
                <w:b/>
                <w:sz w:val="20"/>
                <w:szCs w:val="20"/>
                <w:highlight w:val="yellow"/>
              </w:rPr>
            </w:pPr>
            <w:r w:rsidRPr="00A25494">
              <w:rPr>
                <w:strike/>
                <w:sz w:val="20"/>
                <w:szCs w:val="20"/>
              </w:rPr>
              <w:t xml:space="preserve">Obchodník s cennými papiermi, ktorý vykonáva pokyny klientov, je povinný pre každý druh finančných nástrojov raz ročne vypracovať a zverejniť súhrn informácií z piatich najlepších miest výkonu z hľadiska objemov obchodovania na ročnej báze, kde sa </w:t>
            </w:r>
            <w:r w:rsidRPr="00A25494">
              <w:rPr>
                <w:strike/>
                <w:sz w:val="20"/>
                <w:szCs w:val="20"/>
              </w:rPr>
              <w:lastRenderedPageBreak/>
              <w:t>vykonávali pokyny klientov v predchádzajúcom roku a údaje o dosiahnutej kvalite vykonávaných pokynov58hfc).</w:t>
            </w:r>
          </w:p>
          <w:p w14:paraId="16CC5DCE" w14:textId="77777777" w:rsidR="00A63BC7" w:rsidRDefault="00A63BC7" w:rsidP="00531286">
            <w:pPr>
              <w:jc w:val="both"/>
              <w:rPr>
                <w:b/>
                <w:sz w:val="20"/>
                <w:szCs w:val="20"/>
                <w:highlight w:val="yellow"/>
              </w:rPr>
            </w:pPr>
          </w:p>
          <w:p w14:paraId="393766DA" w14:textId="1E09CCF6" w:rsidR="00A63BC7" w:rsidRPr="00AC1613" w:rsidRDefault="00A63BC7" w:rsidP="00A63BC7">
            <w:pPr>
              <w:jc w:val="both"/>
              <w:rPr>
                <w:b/>
                <w:bCs/>
                <w:noProof/>
                <w:sz w:val="20"/>
                <w:szCs w:val="20"/>
              </w:rPr>
            </w:pPr>
            <w:r w:rsidRPr="00B21378">
              <w:rPr>
                <w:b/>
                <w:noProof/>
                <w:sz w:val="20"/>
                <w:szCs w:val="20"/>
              </w:rPr>
              <w:t xml:space="preserve">(5) </w:t>
            </w:r>
            <w:bookmarkStart w:id="4" w:name="_Hlk193986841"/>
            <w:r w:rsidR="00AC1613" w:rsidRPr="00AC1613">
              <w:rPr>
                <w:b/>
                <w:bCs/>
                <w:noProof/>
                <w:sz w:val="20"/>
                <w:szCs w:val="20"/>
                <w:shd w:val="clear" w:color="auto" w:fill="FFFFFF"/>
              </w:rPr>
              <w:t>Obchodník s cennými papiermi, ktorý vykonáva pokyny klientov, je povinný monitorovať účinnosť svojich opatrení na vykonávanie pokynov a stratégie vykonávania pokynov na účel identifikácie a v relevantných prípadoch nápravy akýchkoľvek nedostatkov. Obchodník s cennými papiermi je povinný najmä pravidelne vyhodnocovať, či miesta výkonu pokynov zahrnuté do stratégie vykonávania pokynov umožňujú získať najlepší možný výsledok pre klienta alebo či je potrebné urobiť zmeny svojich opatrení na vykonávanie pokynov. Obchodník s cennými papiermi je povinný oznamovať klientom, s ktorými má pretrvávajúci klientsky vzťah, všetky podstatné zmeny svojich opatrení na vykonávanie pokynov alebo stratégie vykonávania pokynov</w:t>
            </w:r>
            <w:bookmarkEnd w:id="4"/>
            <w:r w:rsidRPr="00AC1613">
              <w:rPr>
                <w:b/>
                <w:bCs/>
                <w:sz w:val="20"/>
                <w:szCs w:val="20"/>
                <w:shd w:val="clear" w:color="auto" w:fill="FFFFFF"/>
              </w:rPr>
              <w:t>. </w:t>
            </w:r>
          </w:p>
          <w:p w14:paraId="1D7189D2" w14:textId="77777777" w:rsidR="00A63BC7" w:rsidRPr="00AC1613" w:rsidRDefault="00A63BC7" w:rsidP="00531286">
            <w:pPr>
              <w:jc w:val="both"/>
              <w:rPr>
                <w:b/>
                <w:bCs/>
                <w:sz w:val="20"/>
                <w:szCs w:val="20"/>
                <w:highlight w:val="yellow"/>
              </w:rPr>
            </w:pPr>
          </w:p>
          <w:p w14:paraId="27C101DA" w14:textId="77777777" w:rsidR="00A63BC7" w:rsidRPr="00A63BC7" w:rsidRDefault="00A63BC7" w:rsidP="00531286">
            <w:pPr>
              <w:jc w:val="both"/>
              <w:rPr>
                <w:b/>
                <w:sz w:val="20"/>
                <w:szCs w:val="20"/>
                <w:highlight w:val="yellow"/>
              </w:rPr>
            </w:pPr>
          </w:p>
          <w:p w14:paraId="3270C364" w14:textId="77777777" w:rsidR="00A63BC7" w:rsidRPr="00A63BC7" w:rsidRDefault="00A63BC7" w:rsidP="00531286">
            <w:pPr>
              <w:jc w:val="both"/>
              <w:rPr>
                <w:b/>
                <w:sz w:val="20"/>
                <w:szCs w:val="20"/>
                <w:highlight w:val="yellow"/>
              </w:rPr>
            </w:pPr>
          </w:p>
          <w:p w14:paraId="2B0499D6" w14:textId="77777777" w:rsidR="00A63BC7" w:rsidRPr="00A63BC7" w:rsidRDefault="00A63BC7" w:rsidP="00531286">
            <w:pPr>
              <w:jc w:val="both"/>
              <w:rPr>
                <w:b/>
                <w:sz w:val="20"/>
                <w:szCs w:val="20"/>
                <w:highlight w:val="yellow"/>
              </w:rPr>
            </w:pPr>
          </w:p>
        </w:tc>
        <w:tc>
          <w:tcPr>
            <w:tcW w:w="709" w:type="dxa"/>
            <w:tcBorders>
              <w:top w:val="single" w:sz="4" w:space="0" w:color="auto"/>
              <w:left w:val="single" w:sz="4" w:space="0" w:color="auto"/>
              <w:right w:val="single" w:sz="4" w:space="0" w:color="auto"/>
            </w:tcBorders>
          </w:tcPr>
          <w:p w14:paraId="68BF8DC9" w14:textId="77777777" w:rsidR="0074512A" w:rsidRDefault="0074512A" w:rsidP="00531286">
            <w:pPr>
              <w:adjustRightInd w:val="0"/>
              <w:jc w:val="center"/>
              <w:rPr>
                <w:color w:val="000000"/>
                <w:sz w:val="22"/>
                <w:szCs w:val="22"/>
              </w:rPr>
            </w:pPr>
          </w:p>
          <w:p w14:paraId="6A8E7DA8" w14:textId="788D88A1" w:rsidR="00891F0B" w:rsidRDefault="00891F0B" w:rsidP="00531286">
            <w:pPr>
              <w:adjustRightInd w:val="0"/>
              <w:jc w:val="center"/>
              <w:rPr>
                <w:color w:val="000000"/>
                <w:sz w:val="22"/>
                <w:szCs w:val="22"/>
              </w:rPr>
            </w:pPr>
            <w:r w:rsidRPr="00531286">
              <w:rPr>
                <w:color w:val="000000"/>
                <w:sz w:val="22"/>
                <w:szCs w:val="22"/>
              </w:rPr>
              <w:t>Ú</w:t>
            </w:r>
          </w:p>
          <w:p w14:paraId="77778AD7" w14:textId="77777777" w:rsidR="00912A30" w:rsidRDefault="00912A30" w:rsidP="00531286">
            <w:pPr>
              <w:adjustRightInd w:val="0"/>
              <w:jc w:val="center"/>
              <w:rPr>
                <w:color w:val="000000"/>
                <w:sz w:val="22"/>
                <w:szCs w:val="22"/>
              </w:rPr>
            </w:pPr>
          </w:p>
          <w:p w14:paraId="40166120" w14:textId="77777777" w:rsidR="00912A30" w:rsidRDefault="00912A30" w:rsidP="00531286">
            <w:pPr>
              <w:adjustRightInd w:val="0"/>
              <w:jc w:val="center"/>
              <w:rPr>
                <w:color w:val="000000"/>
                <w:sz w:val="22"/>
                <w:szCs w:val="22"/>
              </w:rPr>
            </w:pPr>
          </w:p>
          <w:p w14:paraId="3598EEC1" w14:textId="77777777" w:rsidR="00912A30" w:rsidRDefault="00912A30" w:rsidP="00531286">
            <w:pPr>
              <w:adjustRightInd w:val="0"/>
              <w:jc w:val="center"/>
              <w:rPr>
                <w:color w:val="000000"/>
                <w:sz w:val="22"/>
                <w:szCs w:val="22"/>
              </w:rPr>
            </w:pPr>
          </w:p>
          <w:p w14:paraId="470C2BB1" w14:textId="77777777" w:rsidR="00912A30" w:rsidRDefault="00912A30" w:rsidP="00531286">
            <w:pPr>
              <w:adjustRightInd w:val="0"/>
              <w:jc w:val="center"/>
              <w:rPr>
                <w:color w:val="000000"/>
                <w:sz w:val="22"/>
                <w:szCs w:val="22"/>
              </w:rPr>
            </w:pPr>
          </w:p>
          <w:p w14:paraId="38F50D60" w14:textId="77777777" w:rsidR="00912A30" w:rsidRDefault="00912A30" w:rsidP="00531286">
            <w:pPr>
              <w:adjustRightInd w:val="0"/>
              <w:jc w:val="center"/>
              <w:rPr>
                <w:color w:val="000000"/>
                <w:sz w:val="22"/>
                <w:szCs w:val="22"/>
              </w:rPr>
            </w:pPr>
          </w:p>
          <w:p w14:paraId="2C0F012E" w14:textId="77777777" w:rsidR="00912A30" w:rsidRDefault="00912A30" w:rsidP="00531286">
            <w:pPr>
              <w:adjustRightInd w:val="0"/>
              <w:jc w:val="center"/>
              <w:rPr>
                <w:color w:val="000000"/>
                <w:sz w:val="22"/>
                <w:szCs w:val="22"/>
              </w:rPr>
            </w:pPr>
          </w:p>
          <w:p w14:paraId="56AD0B5D" w14:textId="77777777" w:rsidR="00912A30" w:rsidRDefault="00912A30" w:rsidP="00531286">
            <w:pPr>
              <w:adjustRightInd w:val="0"/>
              <w:jc w:val="center"/>
              <w:rPr>
                <w:color w:val="000000"/>
                <w:sz w:val="22"/>
                <w:szCs w:val="22"/>
              </w:rPr>
            </w:pPr>
            <w:r>
              <w:rPr>
                <w:color w:val="000000"/>
                <w:sz w:val="22"/>
                <w:szCs w:val="22"/>
              </w:rPr>
              <w:t>Ú</w:t>
            </w:r>
          </w:p>
          <w:p w14:paraId="4799DDD4" w14:textId="77777777" w:rsidR="00912A30" w:rsidRDefault="00912A30" w:rsidP="00531286">
            <w:pPr>
              <w:adjustRightInd w:val="0"/>
              <w:jc w:val="center"/>
              <w:rPr>
                <w:color w:val="000000"/>
                <w:sz w:val="22"/>
                <w:szCs w:val="22"/>
              </w:rPr>
            </w:pPr>
          </w:p>
          <w:p w14:paraId="74DFEF32" w14:textId="77777777" w:rsidR="00912A30" w:rsidRDefault="00912A30" w:rsidP="00531286">
            <w:pPr>
              <w:adjustRightInd w:val="0"/>
              <w:jc w:val="center"/>
              <w:rPr>
                <w:color w:val="000000"/>
                <w:sz w:val="22"/>
                <w:szCs w:val="22"/>
              </w:rPr>
            </w:pPr>
          </w:p>
          <w:p w14:paraId="4DE8418E" w14:textId="77777777" w:rsidR="00912A30" w:rsidRDefault="00912A30" w:rsidP="00531286">
            <w:pPr>
              <w:adjustRightInd w:val="0"/>
              <w:jc w:val="center"/>
              <w:rPr>
                <w:color w:val="000000"/>
                <w:sz w:val="22"/>
                <w:szCs w:val="22"/>
              </w:rPr>
            </w:pPr>
          </w:p>
          <w:p w14:paraId="6227D01B" w14:textId="77777777" w:rsidR="00912A30" w:rsidRDefault="00912A30" w:rsidP="00531286">
            <w:pPr>
              <w:adjustRightInd w:val="0"/>
              <w:jc w:val="center"/>
              <w:rPr>
                <w:color w:val="000000"/>
                <w:sz w:val="22"/>
                <w:szCs w:val="22"/>
              </w:rPr>
            </w:pPr>
          </w:p>
          <w:p w14:paraId="2C678EC0" w14:textId="77777777" w:rsidR="00912A30" w:rsidRDefault="00912A30" w:rsidP="00531286">
            <w:pPr>
              <w:adjustRightInd w:val="0"/>
              <w:jc w:val="center"/>
              <w:rPr>
                <w:color w:val="000000"/>
                <w:sz w:val="22"/>
                <w:szCs w:val="22"/>
              </w:rPr>
            </w:pPr>
          </w:p>
          <w:p w14:paraId="1BDC27A8" w14:textId="77777777" w:rsidR="00912A30" w:rsidRDefault="00912A30" w:rsidP="00531286">
            <w:pPr>
              <w:adjustRightInd w:val="0"/>
              <w:jc w:val="center"/>
              <w:rPr>
                <w:color w:val="000000"/>
                <w:sz w:val="22"/>
                <w:szCs w:val="22"/>
              </w:rPr>
            </w:pPr>
          </w:p>
          <w:p w14:paraId="67EA0B94" w14:textId="77777777" w:rsidR="00912A30" w:rsidRDefault="00912A30" w:rsidP="00531286">
            <w:pPr>
              <w:adjustRightInd w:val="0"/>
              <w:jc w:val="center"/>
              <w:rPr>
                <w:color w:val="000000"/>
                <w:sz w:val="22"/>
                <w:szCs w:val="22"/>
              </w:rPr>
            </w:pPr>
          </w:p>
          <w:p w14:paraId="18CB2BC6" w14:textId="77777777" w:rsidR="00A63BC7" w:rsidRDefault="00A63BC7" w:rsidP="00531286">
            <w:pPr>
              <w:adjustRightInd w:val="0"/>
              <w:jc w:val="center"/>
              <w:rPr>
                <w:color w:val="000000"/>
                <w:sz w:val="22"/>
                <w:szCs w:val="22"/>
              </w:rPr>
            </w:pPr>
          </w:p>
          <w:p w14:paraId="455AF9D6" w14:textId="77777777" w:rsidR="00A63BC7" w:rsidRDefault="00A63BC7" w:rsidP="00531286">
            <w:pPr>
              <w:adjustRightInd w:val="0"/>
              <w:jc w:val="center"/>
              <w:rPr>
                <w:color w:val="000000"/>
                <w:sz w:val="22"/>
                <w:szCs w:val="22"/>
              </w:rPr>
            </w:pPr>
          </w:p>
          <w:p w14:paraId="5B7D275F" w14:textId="77777777" w:rsidR="004A4493" w:rsidRDefault="004A4493" w:rsidP="00531286">
            <w:pPr>
              <w:adjustRightInd w:val="0"/>
              <w:jc w:val="center"/>
              <w:rPr>
                <w:color w:val="000000"/>
                <w:sz w:val="22"/>
                <w:szCs w:val="22"/>
              </w:rPr>
            </w:pPr>
          </w:p>
          <w:p w14:paraId="4E2F5557" w14:textId="77777777" w:rsidR="00912A30" w:rsidRDefault="00912A30" w:rsidP="00531286">
            <w:pPr>
              <w:adjustRightInd w:val="0"/>
              <w:jc w:val="center"/>
              <w:rPr>
                <w:color w:val="000000"/>
                <w:sz w:val="22"/>
                <w:szCs w:val="22"/>
              </w:rPr>
            </w:pPr>
          </w:p>
          <w:p w14:paraId="08E9D934" w14:textId="77777777" w:rsidR="00912A30" w:rsidRDefault="00912A30" w:rsidP="00531286">
            <w:pPr>
              <w:adjustRightInd w:val="0"/>
              <w:jc w:val="center"/>
              <w:rPr>
                <w:color w:val="000000"/>
                <w:sz w:val="22"/>
                <w:szCs w:val="22"/>
              </w:rPr>
            </w:pPr>
            <w:r>
              <w:rPr>
                <w:color w:val="000000"/>
                <w:sz w:val="22"/>
                <w:szCs w:val="22"/>
              </w:rPr>
              <w:t>Ú</w:t>
            </w:r>
          </w:p>
          <w:p w14:paraId="0E3E5744" w14:textId="77777777" w:rsidR="00912A30" w:rsidRDefault="00912A30" w:rsidP="00531286">
            <w:pPr>
              <w:adjustRightInd w:val="0"/>
              <w:jc w:val="center"/>
              <w:rPr>
                <w:color w:val="000000"/>
                <w:sz w:val="22"/>
                <w:szCs w:val="22"/>
              </w:rPr>
            </w:pPr>
          </w:p>
          <w:p w14:paraId="08A68819" w14:textId="77777777" w:rsidR="00912A30" w:rsidRDefault="00912A30" w:rsidP="00531286">
            <w:pPr>
              <w:adjustRightInd w:val="0"/>
              <w:jc w:val="center"/>
              <w:rPr>
                <w:color w:val="000000"/>
                <w:sz w:val="22"/>
                <w:szCs w:val="22"/>
              </w:rPr>
            </w:pPr>
          </w:p>
          <w:p w14:paraId="77BFE9FD" w14:textId="77777777" w:rsidR="00912A30" w:rsidRDefault="00912A30" w:rsidP="00531286">
            <w:pPr>
              <w:adjustRightInd w:val="0"/>
              <w:jc w:val="center"/>
              <w:rPr>
                <w:color w:val="000000"/>
                <w:sz w:val="22"/>
                <w:szCs w:val="22"/>
              </w:rPr>
            </w:pPr>
          </w:p>
          <w:p w14:paraId="188096FC" w14:textId="77777777" w:rsidR="00912A30" w:rsidRDefault="00912A30" w:rsidP="00531286">
            <w:pPr>
              <w:adjustRightInd w:val="0"/>
              <w:jc w:val="center"/>
              <w:rPr>
                <w:color w:val="000000"/>
                <w:sz w:val="22"/>
                <w:szCs w:val="22"/>
              </w:rPr>
            </w:pPr>
          </w:p>
          <w:p w14:paraId="182CEFA1" w14:textId="77777777" w:rsidR="00912A30" w:rsidRDefault="00912A30" w:rsidP="00531286">
            <w:pPr>
              <w:adjustRightInd w:val="0"/>
              <w:jc w:val="center"/>
              <w:rPr>
                <w:color w:val="000000"/>
                <w:sz w:val="22"/>
                <w:szCs w:val="22"/>
              </w:rPr>
            </w:pPr>
          </w:p>
          <w:p w14:paraId="0EF1C22B" w14:textId="77777777" w:rsidR="00912A30" w:rsidRDefault="00912A30" w:rsidP="00531286">
            <w:pPr>
              <w:adjustRightInd w:val="0"/>
              <w:jc w:val="center"/>
              <w:rPr>
                <w:color w:val="000000"/>
                <w:sz w:val="22"/>
                <w:szCs w:val="22"/>
              </w:rPr>
            </w:pPr>
          </w:p>
          <w:p w14:paraId="6BB29474" w14:textId="77777777" w:rsidR="00343C42" w:rsidRDefault="00343C42" w:rsidP="00531286">
            <w:pPr>
              <w:adjustRightInd w:val="0"/>
              <w:jc w:val="center"/>
              <w:rPr>
                <w:color w:val="000000"/>
                <w:sz w:val="22"/>
                <w:szCs w:val="22"/>
              </w:rPr>
            </w:pPr>
          </w:p>
          <w:p w14:paraId="3CF6261E" w14:textId="77777777" w:rsidR="00912A30" w:rsidRDefault="00912A30" w:rsidP="00531286">
            <w:pPr>
              <w:adjustRightInd w:val="0"/>
              <w:jc w:val="center"/>
              <w:rPr>
                <w:color w:val="000000"/>
                <w:sz w:val="22"/>
                <w:szCs w:val="22"/>
              </w:rPr>
            </w:pPr>
            <w:r>
              <w:rPr>
                <w:color w:val="000000"/>
                <w:sz w:val="22"/>
                <w:szCs w:val="22"/>
              </w:rPr>
              <w:t>Ú</w:t>
            </w:r>
          </w:p>
          <w:p w14:paraId="4A213007" w14:textId="77777777" w:rsidR="00912A30" w:rsidRDefault="00912A30" w:rsidP="00531286">
            <w:pPr>
              <w:adjustRightInd w:val="0"/>
              <w:jc w:val="center"/>
              <w:rPr>
                <w:color w:val="000000"/>
                <w:sz w:val="22"/>
                <w:szCs w:val="22"/>
              </w:rPr>
            </w:pPr>
          </w:p>
          <w:p w14:paraId="763C624B" w14:textId="77777777" w:rsidR="00912A30" w:rsidRDefault="00912A30" w:rsidP="00531286">
            <w:pPr>
              <w:adjustRightInd w:val="0"/>
              <w:jc w:val="center"/>
              <w:rPr>
                <w:color w:val="000000"/>
                <w:sz w:val="22"/>
                <w:szCs w:val="22"/>
              </w:rPr>
            </w:pPr>
          </w:p>
          <w:p w14:paraId="0593CAB7" w14:textId="77777777" w:rsidR="00912A30" w:rsidRDefault="00912A30" w:rsidP="00531286">
            <w:pPr>
              <w:adjustRightInd w:val="0"/>
              <w:jc w:val="center"/>
              <w:rPr>
                <w:color w:val="000000"/>
                <w:sz w:val="22"/>
                <w:szCs w:val="22"/>
              </w:rPr>
            </w:pPr>
          </w:p>
          <w:p w14:paraId="11D47E83" w14:textId="77777777" w:rsidR="00912A30" w:rsidRDefault="00912A30" w:rsidP="00531286">
            <w:pPr>
              <w:adjustRightInd w:val="0"/>
              <w:jc w:val="center"/>
              <w:rPr>
                <w:color w:val="000000"/>
                <w:sz w:val="22"/>
                <w:szCs w:val="22"/>
              </w:rPr>
            </w:pPr>
          </w:p>
          <w:p w14:paraId="20062BA1" w14:textId="77777777" w:rsidR="00912A30" w:rsidRDefault="00912A30" w:rsidP="00531286">
            <w:pPr>
              <w:adjustRightInd w:val="0"/>
              <w:jc w:val="center"/>
              <w:rPr>
                <w:color w:val="000000"/>
                <w:sz w:val="22"/>
                <w:szCs w:val="22"/>
              </w:rPr>
            </w:pPr>
          </w:p>
          <w:p w14:paraId="27C47045" w14:textId="77777777" w:rsidR="00912A30" w:rsidRDefault="00912A30" w:rsidP="00531286">
            <w:pPr>
              <w:adjustRightInd w:val="0"/>
              <w:jc w:val="center"/>
              <w:rPr>
                <w:color w:val="000000"/>
                <w:sz w:val="22"/>
                <w:szCs w:val="22"/>
              </w:rPr>
            </w:pPr>
          </w:p>
          <w:p w14:paraId="3613C40F" w14:textId="77777777" w:rsidR="00912A30" w:rsidRDefault="00912A30" w:rsidP="00531286">
            <w:pPr>
              <w:adjustRightInd w:val="0"/>
              <w:jc w:val="center"/>
              <w:rPr>
                <w:color w:val="000000"/>
                <w:sz w:val="22"/>
                <w:szCs w:val="22"/>
              </w:rPr>
            </w:pPr>
          </w:p>
          <w:p w14:paraId="2F5547BF" w14:textId="77777777" w:rsidR="00912A30" w:rsidRDefault="00912A30" w:rsidP="00531286">
            <w:pPr>
              <w:adjustRightInd w:val="0"/>
              <w:jc w:val="center"/>
              <w:rPr>
                <w:color w:val="000000"/>
                <w:sz w:val="22"/>
                <w:szCs w:val="22"/>
              </w:rPr>
            </w:pPr>
          </w:p>
          <w:p w14:paraId="75AE2B1F" w14:textId="77777777" w:rsidR="00912A30" w:rsidRDefault="00912A30" w:rsidP="00531286">
            <w:pPr>
              <w:adjustRightInd w:val="0"/>
              <w:jc w:val="center"/>
              <w:rPr>
                <w:color w:val="000000"/>
                <w:sz w:val="22"/>
                <w:szCs w:val="22"/>
              </w:rPr>
            </w:pPr>
          </w:p>
          <w:p w14:paraId="35B94211" w14:textId="77777777" w:rsidR="00912A30" w:rsidRDefault="00912A30" w:rsidP="00531286">
            <w:pPr>
              <w:adjustRightInd w:val="0"/>
              <w:jc w:val="center"/>
              <w:rPr>
                <w:color w:val="000000"/>
                <w:sz w:val="22"/>
                <w:szCs w:val="22"/>
              </w:rPr>
            </w:pPr>
          </w:p>
          <w:p w14:paraId="1F285F1E" w14:textId="77777777" w:rsidR="00912A30" w:rsidRDefault="00912A30" w:rsidP="00531286">
            <w:pPr>
              <w:adjustRightInd w:val="0"/>
              <w:jc w:val="center"/>
              <w:rPr>
                <w:color w:val="000000"/>
                <w:sz w:val="22"/>
                <w:szCs w:val="22"/>
              </w:rPr>
            </w:pPr>
          </w:p>
          <w:p w14:paraId="6AD5CCAD" w14:textId="77777777" w:rsidR="00912A30" w:rsidRDefault="00912A30" w:rsidP="00531286">
            <w:pPr>
              <w:adjustRightInd w:val="0"/>
              <w:jc w:val="center"/>
              <w:rPr>
                <w:color w:val="000000"/>
                <w:sz w:val="22"/>
                <w:szCs w:val="22"/>
              </w:rPr>
            </w:pPr>
          </w:p>
          <w:p w14:paraId="2719ED54" w14:textId="77777777" w:rsidR="00912A30" w:rsidRDefault="00912A30" w:rsidP="00531286">
            <w:pPr>
              <w:adjustRightInd w:val="0"/>
              <w:jc w:val="center"/>
              <w:rPr>
                <w:color w:val="000000"/>
                <w:sz w:val="22"/>
                <w:szCs w:val="22"/>
              </w:rPr>
            </w:pPr>
          </w:p>
          <w:p w14:paraId="28B27952" w14:textId="77777777" w:rsidR="00912A30" w:rsidRDefault="00912A30" w:rsidP="00531286">
            <w:pPr>
              <w:adjustRightInd w:val="0"/>
              <w:jc w:val="center"/>
              <w:rPr>
                <w:color w:val="000000"/>
                <w:sz w:val="22"/>
                <w:szCs w:val="22"/>
              </w:rPr>
            </w:pPr>
          </w:p>
          <w:p w14:paraId="61E51568" w14:textId="77777777" w:rsidR="00912A30" w:rsidRDefault="00912A30" w:rsidP="00531286">
            <w:pPr>
              <w:adjustRightInd w:val="0"/>
              <w:jc w:val="center"/>
              <w:rPr>
                <w:color w:val="000000"/>
                <w:sz w:val="22"/>
                <w:szCs w:val="22"/>
              </w:rPr>
            </w:pPr>
          </w:p>
          <w:p w14:paraId="2C730FB9" w14:textId="77777777" w:rsidR="00912A30" w:rsidRDefault="00912A30" w:rsidP="00531286">
            <w:pPr>
              <w:adjustRightInd w:val="0"/>
              <w:jc w:val="center"/>
              <w:rPr>
                <w:color w:val="000000"/>
                <w:sz w:val="22"/>
                <w:szCs w:val="22"/>
              </w:rPr>
            </w:pPr>
          </w:p>
          <w:p w14:paraId="552EF6FC" w14:textId="77777777" w:rsidR="00A63BC7" w:rsidRDefault="00A63BC7" w:rsidP="00531286">
            <w:pPr>
              <w:adjustRightInd w:val="0"/>
              <w:jc w:val="center"/>
              <w:rPr>
                <w:color w:val="000000"/>
                <w:sz w:val="22"/>
                <w:szCs w:val="22"/>
              </w:rPr>
            </w:pPr>
          </w:p>
          <w:p w14:paraId="05C60608" w14:textId="77777777" w:rsidR="00A63BC7" w:rsidRDefault="00A63BC7" w:rsidP="00531286">
            <w:pPr>
              <w:adjustRightInd w:val="0"/>
              <w:jc w:val="center"/>
              <w:rPr>
                <w:color w:val="000000"/>
                <w:sz w:val="22"/>
                <w:szCs w:val="22"/>
              </w:rPr>
            </w:pPr>
          </w:p>
          <w:p w14:paraId="18E20446" w14:textId="77777777" w:rsidR="00912A30" w:rsidRDefault="00912A30" w:rsidP="00531286">
            <w:pPr>
              <w:adjustRightInd w:val="0"/>
              <w:jc w:val="center"/>
              <w:rPr>
                <w:color w:val="000000"/>
                <w:sz w:val="22"/>
                <w:szCs w:val="22"/>
              </w:rPr>
            </w:pPr>
          </w:p>
          <w:p w14:paraId="31CAC114" w14:textId="77777777" w:rsidR="00912A30" w:rsidRDefault="00912A30" w:rsidP="00531286">
            <w:pPr>
              <w:adjustRightInd w:val="0"/>
              <w:jc w:val="center"/>
              <w:rPr>
                <w:color w:val="000000"/>
                <w:sz w:val="22"/>
                <w:szCs w:val="22"/>
              </w:rPr>
            </w:pPr>
          </w:p>
          <w:p w14:paraId="441632E7" w14:textId="77777777" w:rsidR="00197DC0" w:rsidRDefault="00197DC0" w:rsidP="00531286">
            <w:pPr>
              <w:adjustRightInd w:val="0"/>
              <w:jc w:val="center"/>
              <w:rPr>
                <w:color w:val="000000"/>
                <w:sz w:val="22"/>
                <w:szCs w:val="22"/>
              </w:rPr>
            </w:pPr>
          </w:p>
          <w:p w14:paraId="2DCDFCA0" w14:textId="77777777" w:rsidR="00197DC0" w:rsidRDefault="00197DC0" w:rsidP="00531286">
            <w:pPr>
              <w:adjustRightInd w:val="0"/>
              <w:jc w:val="center"/>
              <w:rPr>
                <w:color w:val="000000"/>
                <w:sz w:val="22"/>
                <w:szCs w:val="22"/>
              </w:rPr>
            </w:pPr>
          </w:p>
          <w:p w14:paraId="783BEB7C" w14:textId="77777777" w:rsidR="00197DC0" w:rsidRDefault="00197DC0" w:rsidP="00531286">
            <w:pPr>
              <w:adjustRightInd w:val="0"/>
              <w:jc w:val="center"/>
              <w:rPr>
                <w:color w:val="000000"/>
                <w:sz w:val="22"/>
                <w:szCs w:val="22"/>
              </w:rPr>
            </w:pPr>
          </w:p>
          <w:p w14:paraId="1AE2537C" w14:textId="77777777" w:rsidR="00197DC0" w:rsidRDefault="00197DC0" w:rsidP="00531286">
            <w:pPr>
              <w:adjustRightInd w:val="0"/>
              <w:jc w:val="center"/>
              <w:rPr>
                <w:color w:val="000000"/>
                <w:sz w:val="22"/>
                <w:szCs w:val="22"/>
              </w:rPr>
            </w:pPr>
          </w:p>
          <w:p w14:paraId="3BA0C869" w14:textId="77777777" w:rsidR="00197DC0" w:rsidRDefault="00197DC0" w:rsidP="00531286">
            <w:pPr>
              <w:adjustRightInd w:val="0"/>
              <w:jc w:val="center"/>
              <w:rPr>
                <w:color w:val="000000"/>
                <w:sz w:val="22"/>
                <w:szCs w:val="22"/>
              </w:rPr>
            </w:pPr>
          </w:p>
          <w:p w14:paraId="6F1F03A6" w14:textId="77777777" w:rsidR="00197DC0" w:rsidRDefault="00197DC0" w:rsidP="00531286">
            <w:pPr>
              <w:adjustRightInd w:val="0"/>
              <w:jc w:val="center"/>
              <w:rPr>
                <w:color w:val="000000"/>
                <w:sz w:val="22"/>
                <w:szCs w:val="22"/>
              </w:rPr>
            </w:pPr>
          </w:p>
          <w:p w14:paraId="75D32914" w14:textId="77777777" w:rsidR="00197DC0" w:rsidRDefault="00197DC0" w:rsidP="00531286">
            <w:pPr>
              <w:adjustRightInd w:val="0"/>
              <w:jc w:val="center"/>
              <w:rPr>
                <w:color w:val="000000"/>
                <w:sz w:val="22"/>
                <w:szCs w:val="22"/>
              </w:rPr>
            </w:pPr>
          </w:p>
          <w:p w14:paraId="4CF2D745" w14:textId="77777777" w:rsidR="00197DC0" w:rsidRDefault="00197DC0" w:rsidP="00531286">
            <w:pPr>
              <w:adjustRightInd w:val="0"/>
              <w:jc w:val="center"/>
              <w:rPr>
                <w:color w:val="000000"/>
                <w:sz w:val="22"/>
                <w:szCs w:val="22"/>
              </w:rPr>
            </w:pPr>
          </w:p>
          <w:p w14:paraId="4A5DF954" w14:textId="77777777" w:rsidR="00912A30" w:rsidRDefault="00912A30" w:rsidP="00531286">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1232D5EC" w14:textId="77777777" w:rsidR="00912A30" w:rsidRPr="00531286" w:rsidRDefault="00912A30" w:rsidP="00531286">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4345805F" w14:textId="77777777" w:rsidR="00343C42" w:rsidRDefault="00343C42" w:rsidP="00343C42">
            <w:pPr>
              <w:spacing w:line="276" w:lineRule="auto"/>
              <w:contextualSpacing/>
              <w:jc w:val="both"/>
              <w:rPr>
                <w:noProof/>
                <w:sz w:val="20"/>
                <w:szCs w:val="20"/>
              </w:rPr>
            </w:pPr>
          </w:p>
          <w:p w14:paraId="5C5A9AD8" w14:textId="77777777" w:rsidR="00343C42" w:rsidRDefault="00343C42" w:rsidP="00343C42">
            <w:pPr>
              <w:spacing w:line="276" w:lineRule="auto"/>
              <w:contextualSpacing/>
              <w:jc w:val="both"/>
              <w:rPr>
                <w:noProof/>
                <w:sz w:val="20"/>
                <w:szCs w:val="20"/>
              </w:rPr>
            </w:pPr>
          </w:p>
          <w:p w14:paraId="1AF3449C" w14:textId="77777777" w:rsidR="00343C42" w:rsidRDefault="00343C42" w:rsidP="00343C42">
            <w:pPr>
              <w:spacing w:line="276" w:lineRule="auto"/>
              <w:contextualSpacing/>
              <w:jc w:val="both"/>
              <w:rPr>
                <w:noProof/>
                <w:sz w:val="20"/>
                <w:szCs w:val="20"/>
              </w:rPr>
            </w:pPr>
          </w:p>
          <w:p w14:paraId="019BDCFB" w14:textId="77777777" w:rsidR="00343C42" w:rsidRDefault="00343C42" w:rsidP="00343C42">
            <w:pPr>
              <w:spacing w:line="276" w:lineRule="auto"/>
              <w:contextualSpacing/>
              <w:jc w:val="both"/>
              <w:rPr>
                <w:noProof/>
                <w:sz w:val="20"/>
                <w:szCs w:val="20"/>
              </w:rPr>
            </w:pPr>
          </w:p>
          <w:p w14:paraId="53794786" w14:textId="77777777" w:rsidR="00343C42" w:rsidRDefault="00343C42" w:rsidP="00343C42">
            <w:pPr>
              <w:spacing w:line="276" w:lineRule="auto"/>
              <w:contextualSpacing/>
              <w:jc w:val="both"/>
              <w:rPr>
                <w:noProof/>
                <w:sz w:val="20"/>
                <w:szCs w:val="20"/>
              </w:rPr>
            </w:pPr>
          </w:p>
          <w:p w14:paraId="6EB9BE50" w14:textId="77777777" w:rsidR="00343C42" w:rsidRDefault="00343C42" w:rsidP="00343C42">
            <w:pPr>
              <w:spacing w:line="276" w:lineRule="auto"/>
              <w:contextualSpacing/>
              <w:jc w:val="both"/>
              <w:rPr>
                <w:noProof/>
                <w:sz w:val="20"/>
                <w:szCs w:val="20"/>
              </w:rPr>
            </w:pPr>
          </w:p>
          <w:p w14:paraId="66C6F82C" w14:textId="77777777" w:rsidR="00343C42" w:rsidRDefault="00343C42" w:rsidP="00343C42">
            <w:pPr>
              <w:spacing w:line="276" w:lineRule="auto"/>
              <w:contextualSpacing/>
              <w:jc w:val="both"/>
              <w:rPr>
                <w:noProof/>
                <w:sz w:val="20"/>
                <w:szCs w:val="20"/>
              </w:rPr>
            </w:pPr>
          </w:p>
          <w:p w14:paraId="7A2BAC96" w14:textId="77777777" w:rsidR="00343C42" w:rsidRDefault="00343C42" w:rsidP="00343C42">
            <w:pPr>
              <w:spacing w:line="276" w:lineRule="auto"/>
              <w:contextualSpacing/>
              <w:jc w:val="both"/>
              <w:rPr>
                <w:noProof/>
                <w:sz w:val="20"/>
                <w:szCs w:val="20"/>
              </w:rPr>
            </w:pPr>
          </w:p>
          <w:p w14:paraId="7888F950" w14:textId="77777777" w:rsidR="00343C42" w:rsidRDefault="00343C42" w:rsidP="00343C42">
            <w:pPr>
              <w:spacing w:line="276" w:lineRule="auto"/>
              <w:contextualSpacing/>
              <w:jc w:val="both"/>
              <w:rPr>
                <w:noProof/>
                <w:sz w:val="20"/>
                <w:szCs w:val="20"/>
              </w:rPr>
            </w:pPr>
          </w:p>
          <w:p w14:paraId="39D177F6" w14:textId="77777777" w:rsidR="00343C42" w:rsidRDefault="00343C42" w:rsidP="00343C42">
            <w:pPr>
              <w:spacing w:line="276" w:lineRule="auto"/>
              <w:contextualSpacing/>
              <w:jc w:val="both"/>
              <w:rPr>
                <w:noProof/>
                <w:sz w:val="20"/>
                <w:szCs w:val="20"/>
              </w:rPr>
            </w:pPr>
          </w:p>
          <w:p w14:paraId="33F3E29F" w14:textId="77777777" w:rsidR="00343C42" w:rsidRDefault="00343C42" w:rsidP="00343C42">
            <w:pPr>
              <w:spacing w:line="276" w:lineRule="auto"/>
              <w:contextualSpacing/>
              <w:jc w:val="both"/>
              <w:rPr>
                <w:noProof/>
                <w:sz w:val="20"/>
                <w:szCs w:val="20"/>
              </w:rPr>
            </w:pPr>
          </w:p>
          <w:p w14:paraId="2E49C7D4" w14:textId="77777777" w:rsidR="00343C42" w:rsidRDefault="00343C42" w:rsidP="00343C42">
            <w:pPr>
              <w:spacing w:line="276" w:lineRule="auto"/>
              <w:contextualSpacing/>
              <w:jc w:val="both"/>
              <w:rPr>
                <w:noProof/>
                <w:sz w:val="20"/>
                <w:szCs w:val="20"/>
              </w:rPr>
            </w:pPr>
          </w:p>
          <w:p w14:paraId="5F83D03A" w14:textId="77777777" w:rsidR="00343C42" w:rsidRDefault="00343C42" w:rsidP="00343C42">
            <w:pPr>
              <w:spacing w:line="276" w:lineRule="auto"/>
              <w:contextualSpacing/>
              <w:jc w:val="both"/>
              <w:rPr>
                <w:noProof/>
                <w:sz w:val="20"/>
                <w:szCs w:val="20"/>
              </w:rPr>
            </w:pPr>
          </w:p>
          <w:p w14:paraId="5ED83475" w14:textId="77777777" w:rsidR="00343C42" w:rsidRDefault="00343C42" w:rsidP="00343C42">
            <w:pPr>
              <w:spacing w:line="276" w:lineRule="auto"/>
              <w:contextualSpacing/>
              <w:jc w:val="both"/>
              <w:rPr>
                <w:noProof/>
                <w:sz w:val="20"/>
                <w:szCs w:val="20"/>
              </w:rPr>
            </w:pPr>
          </w:p>
          <w:p w14:paraId="27616238" w14:textId="77777777" w:rsidR="00343C42" w:rsidRDefault="00343C42" w:rsidP="00343C42">
            <w:pPr>
              <w:spacing w:line="276" w:lineRule="auto"/>
              <w:contextualSpacing/>
              <w:jc w:val="both"/>
              <w:rPr>
                <w:noProof/>
                <w:sz w:val="20"/>
                <w:szCs w:val="20"/>
              </w:rPr>
            </w:pPr>
          </w:p>
          <w:p w14:paraId="5E01BF88" w14:textId="77777777" w:rsidR="00343C42" w:rsidRDefault="00343C42" w:rsidP="00343C42">
            <w:pPr>
              <w:spacing w:line="276" w:lineRule="auto"/>
              <w:contextualSpacing/>
              <w:jc w:val="both"/>
              <w:rPr>
                <w:noProof/>
                <w:sz w:val="20"/>
                <w:szCs w:val="20"/>
              </w:rPr>
            </w:pPr>
          </w:p>
          <w:p w14:paraId="041D9F4C" w14:textId="77777777" w:rsidR="00343C42" w:rsidRDefault="00343C42" w:rsidP="00343C42">
            <w:pPr>
              <w:spacing w:line="276" w:lineRule="auto"/>
              <w:contextualSpacing/>
              <w:jc w:val="both"/>
              <w:rPr>
                <w:noProof/>
                <w:sz w:val="20"/>
                <w:szCs w:val="20"/>
              </w:rPr>
            </w:pPr>
          </w:p>
          <w:p w14:paraId="7F74E6BF" w14:textId="77777777" w:rsidR="00343C42" w:rsidRDefault="00343C42" w:rsidP="00343C42">
            <w:pPr>
              <w:spacing w:line="276" w:lineRule="auto"/>
              <w:contextualSpacing/>
              <w:jc w:val="both"/>
              <w:rPr>
                <w:noProof/>
                <w:sz w:val="20"/>
                <w:szCs w:val="20"/>
              </w:rPr>
            </w:pPr>
          </w:p>
          <w:p w14:paraId="1E7BEDBF" w14:textId="77777777" w:rsidR="00891F0B" w:rsidRPr="00531286" w:rsidRDefault="00891F0B" w:rsidP="0074512A">
            <w:pPr>
              <w:spacing w:line="276" w:lineRule="auto"/>
              <w:contextualSpacing/>
              <w:jc w:val="both"/>
              <w:rPr>
                <w:sz w:val="22"/>
                <w:szCs w:val="22"/>
              </w:rPr>
            </w:pPr>
          </w:p>
        </w:tc>
        <w:tc>
          <w:tcPr>
            <w:tcW w:w="1332" w:type="dxa"/>
            <w:tcBorders>
              <w:top w:val="single" w:sz="4" w:space="0" w:color="auto"/>
              <w:left w:val="single" w:sz="4" w:space="0" w:color="auto"/>
              <w:right w:val="single" w:sz="12" w:space="0" w:color="auto"/>
            </w:tcBorders>
          </w:tcPr>
          <w:p w14:paraId="135C802C" w14:textId="77777777" w:rsidR="00891F0B" w:rsidRPr="00531286"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5EADCBE8" w14:textId="77777777" w:rsidR="00891F0B" w:rsidRPr="00531286" w:rsidRDefault="00891F0B" w:rsidP="00531286">
            <w:pPr>
              <w:spacing w:before="75" w:after="75"/>
              <w:rPr>
                <w:sz w:val="22"/>
                <w:szCs w:val="22"/>
              </w:rPr>
            </w:pPr>
          </w:p>
        </w:tc>
      </w:tr>
      <w:tr w:rsidR="00891F0B" w:rsidRPr="0066733C" w14:paraId="27E60A1B" w14:textId="77777777" w:rsidTr="003A466A">
        <w:trPr>
          <w:trHeight w:val="1117"/>
        </w:trPr>
        <w:tc>
          <w:tcPr>
            <w:tcW w:w="682" w:type="dxa"/>
            <w:tcBorders>
              <w:top w:val="single" w:sz="4" w:space="0" w:color="auto"/>
              <w:left w:val="single" w:sz="12" w:space="0" w:color="auto"/>
              <w:right w:val="single" w:sz="4" w:space="0" w:color="auto"/>
            </w:tcBorders>
          </w:tcPr>
          <w:p w14:paraId="2C2FE5DE" w14:textId="77777777" w:rsidR="00891F0B" w:rsidRPr="00531286" w:rsidRDefault="00891F0B" w:rsidP="00531286">
            <w:pPr>
              <w:jc w:val="center"/>
              <w:rPr>
                <w:sz w:val="22"/>
                <w:szCs w:val="22"/>
              </w:rPr>
            </w:pPr>
            <w:r w:rsidRPr="00531286">
              <w:rPr>
                <w:sz w:val="22"/>
                <w:szCs w:val="22"/>
              </w:rPr>
              <w:lastRenderedPageBreak/>
              <w:t>Č: 1</w:t>
            </w:r>
          </w:p>
          <w:p w14:paraId="4492461F" w14:textId="77777777" w:rsidR="00891F0B" w:rsidRPr="00531286" w:rsidRDefault="00891F0B" w:rsidP="00531286">
            <w:pPr>
              <w:jc w:val="center"/>
              <w:rPr>
                <w:sz w:val="22"/>
                <w:szCs w:val="22"/>
              </w:rPr>
            </w:pPr>
            <w:r w:rsidRPr="00531286">
              <w:rPr>
                <w:sz w:val="22"/>
                <w:szCs w:val="22"/>
              </w:rPr>
              <w:t xml:space="preserve">O: </w:t>
            </w:r>
            <w:r w:rsidR="00531286" w:rsidRPr="00531286">
              <w:rPr>
                <w:sz w:val="22"/>
                <w:szCs w:val="22"/>
              </w:rPr>
              <w:t>5</w:t>
            </w:r>
          </w:p>
          <w:p w14:paraId="3A98F040" w14:textId="77777777" w:rsidR="00891F0B" w:rsidRPr="00531286" w:rsidRDefault="00891F0B" w:rsidP="00531286">
            <w:pPr>
              <w:jc w:val="center"/>
              <w:rPr>
                <w:sz w:val="22"/>
                <w:szCs w:val="22"/>
              </w:rPr>
            </w:pPr>
          </w:p>
          <w:p w14:paraId="18458AB0" w14:textId="77777777" w:rsidR="00891F0B" w:rsidRPr="00531286" w:rsidRDefault="00891F0B" w:rsidP="00531286">
            <w:pPr>
              <w:jc w:val="center"/>
              <w:rPr>
                <w:sz w:val="22"/>
                <w:szCs w:val="22"/>
              </w:rPr>
            </w:pPr>
          </w:p>
          <w:p w14:paraId="3EE647B2" w14:textId="77777777" w:rsidR="00891F0B" w:rsidRPr="00531286" w:rsidRDefault="00891F0B" w:rsidP="00531286">
            <w:pPr>
              <w:jc w:val="center"/>
              <w:rPr>
                <w:sz w:val="22"/>
                <w:szCs w:val="22"/>
              </w:rPr>
            </w:pPr>
          </w:p>
          <w:p w14:paraId="235955A0" w14:textId="77777777" w:rsidR="00891F0B" w:rsidRPr="00531286" w:rsidRDefault="00891F0B" w:rsidP="00531286">
            <w:pPr>
              <w:jc w:val="center"/>
              <w:rPr>
                <w:sz w:val="22"/>
                <w:szCs w:val="22"/>
              </w:rPr>
            </w:pPr>
          </w:p>
          <w:p w14:paraId="3536AC6C" w14:textId="77777777" w:rsidR="00891F0B" w:rsidRPr="00531286" w:rsidRDefault="00891F0B" w:rsidP="00531286">
            <w:pPr>
              <w:jc w:val="center"/>
              <w:rPr>
                <w:sz w:val="22"/>
                <w:szCs w:val="22"/>
              </w:rPr>
            </w:pPr>
          </w:p>
          <w:p w14:paraId="0D818826" w14:textId="77777777" w:rsidR="00891F0B" w:rsidRPr="00531286" w:rsidRDefault="00891F0B" w:rsidP="00531286">
            <w:pPr>
              <w:jc w:val="center"/>
              <w:rPr>
                <w:sz w:val="22"/>
                <w:szCs w:val="22"/>
              </w:rPr>
            </w:pPr>
          </w:p>
          <w:p w14:paraId="36CA3D6F" w14:textId="1E308608" w:rsidR="00891F0B" w:rsidRPr="00531286" w:rsidRDefault="00891F0B" w:rsidP="003A466A">
            <w:pPr>
              <w:rPr>
                <w:sz w:val="22"/>
                <w:szCs w:val="22"/>
              </w:rPr>
            </w:pPr>
          </w:p>
        </w:tc>
        <w:tc>
          <w:tcPr>
            <w:tcW w:w="4620" w:type="dxa"/>
            <w:tcBorders>
              <w:top w:val="single" w:sz="4" w:space="0" w:color="auto"/>
              <w:left w:val="single" w:sz="4" w:space="0" w:color="auto"/>
              <w:right w:val="single" w:sz="4" w:space="0" w:color="auto"/>
            </w:tcBorders>
            <w:vAlign w:val="center"/>
          </w:tcPr>
          <w:p w14:paraId="624DEAC6" w14:textId="77777777" w:rsidR="00892973" w:rsidRPr="00892973" w:rsidRDefault="00892973" w:rsidP="00892973">
            <w:pPr>
              <w:pStyle w:val="PredformtovanHTML"/>
              <w:shd w:val="clear" w:color="auto" w:fill="F8F9FA"/>
              <w:rPr>
                <w:rFonts w:ascii="Times New Roman" w:eastAsia="Calibri" w:hAnsi="Times New Roman" w:cs="Times New Roman"/>
                <w:color w:val="000000"/>
                <w:sz w:val="22"/>
                <w:szCs w:val="22"/>
              </w:rPr>
            </w:pPr>
            <w:r w:rsidRPr="00892973">
              <w:rPr>
                <w:rFonts w:ascii="Times New Roman" w:eastAsia="Calibri" w:hAnsi="Times New Roman" w:cs="Times New Roman"/>
                <w:color w:val="000000"/>
                <w:sz w:val="22"/>
                <w:szCs w:val="22"/>
              </w:rPr>
              <w:t xml:space="preserve">v článku 31 ods. 1 sa dopĺňa tento </w:t>
            </w:r>
            <w:proofErr w:type="spellStart"/>
            <w:r w:rsidRPr="00892973">
              <w:rPr>
                <w:rFonts w:ascii="Times New Roman" w:eastAsia="Calibri" w:hAnsi="Times New Roman" w:cs="Times New Roman"/>
                <w:color w:val="000000"/>
                <w:sz w:val="22"/>
                <w:szCs w:val="22"/>
              </w:rPr>
              <w:t>pododsek</w:t>
            </w:r>
            <w:proofErr w:type="spellEnd"/>
            <w:r w:rsidRPr="00892973">
              <w:rPr>
                <w:rFonts w:ascii="Times New Roman" w:eastAsia="Calibri" w:hAnsi="Times New Roman" w:cs="Times New Roman"/>
                <w:color w:val="000000"/>
                <w:sz w:val="22"/>
                <w:szCs w:val="22"/>
              </w:rPr>
              <w:t>:</w:t>
            </w:r>
          </w:p>
          <w:p w14:paraId="2CA45672" w14:textId="62349EC5" w:rsidR="00891F0B" w:rsidRPr="00531286" w:rsidRDefault="00892973" w:rsidP="00892973">
            <w:pPr>
              <w:pStyle w:val="PredformtovanHTML"/>
              <w:shd w:val="clear" w:color="auto" w:fill="F8F9FA"/>
              <w:rPr>
                <w:rFonts w:eastAsia="Calibri"/>
                <w:color w:val="000000"/>
                <w:sz w:val="22"/>
                <w:szCs w:val="22"/>
              </w:rPr>
            </w:pPr>
            <w:r w:rsidRPr="00892973">
              <w:rPr>
                <w:rFonts w:ascii="Times New Roman" w:eastAsia="Calibri" w:hAnsi="Times New Roman" w:cs="Times New Roman"/>
                <w:color w:val="000000"/>
                <w:sz w:val="22"/>
                <w:szCs w:val="22"/>
              </w:rPr>
              <w:t>„Členské štáty požadujú, aby investičné spoločnosti a organizátori trhu prevádzkujúci MTF alebo OTF mali zavedené opatrenia na zabezpečenie plnenia noriem kvality údajov podľa článku 22b nariadenia (EÚ) č. 600/2014.“;</w:t>
            </w:r>
          </w:p>
        </w:tc>
        <w:tc>
          <w:tcPr>
            <w:tcW w:w="850" w:type="dxa"/>
            <w:tcBorders>
              <w:top w:val="single" w:sz="4" w:space="0" w:color="auto"/>
              <w:left w:val="single" w:sz="4" w:space="0" w:color="auto"/>
              <w:right w:val="single" w:sz="12" w:space="0" w:color="auto"/>
            </w:tcBorders>
          </w:tcPr>
          <w:p w14:paraId="379529E2" w14:textId="77777777" w:rsidR="00891F0B" w:rsidRPr="00531286" w:rsidRDefault="00891F0B" w:rsidP="00531286">
            <w:pPr>
              <w:adjustRightInd w:val="0"/>
              <w:jc w:val="center"/>
              <w:rPr>
                <w:color w:val="000000"/>
                <w:sz w:val="22"/>
                <w:szCs w:val="22"/>
              </w:rPr>
            </w:pPr>
            <w:r w:rsidRPr="00531286">
              <w:rPr>
                <w:color w:val="000000"/>
                <w:sz w:val="22"/>
                <w:szCs w:val="22"/>
              </w:rPr>
              <w:t>N</w:t>
            </w:r>
          </w:p>
        </w:tc>
        <w:tc>
          <w:tcPr>
            <w:tcW w:w="993" w:type="dxa"/>
            <w:tcBorders>
              <w:top w:val="single" w:sz="4" w:space="0" w:color="auto"/>
              <w:left w:val="nil"/>
              <w:right w:val="single" w:sz="4" w:space="0" w:color="auto"/>
            </w:tcBorders>
          </w:tcPr>
          <w:p w14:paraId="70748E1A" w14:textId="77777777" w:rsidR="00531286" w:rsidRPr="00F70257" w:rsidRDefault="00531286" w:rsidP="00531286">
            <w:pPr>
              <w:rPr>
                <w:b/>
                <w:bCs/>
                <w:sz w:val="22"/>
                <w:szCs w:val="22"/>
              </w:rPr>
            </w:pPr>
            <w:r w:rsidRPr="00F70257">
              <w:rPr>
                <w:b/>
                <w:bCs/>
                <w:sz w:val="22"/>
                <w:szCs w:val="22"/>
              </w:rPr>
              <w:t>Návrh</w:t>
            </w:r>
          </w:p>
          <w:p w14:paraId="427C74D4" w14:textId="77777777" w:rsidR="00531286" w:rsidRPr="00F70257" w:rsidRDefault="00531286" w:rsidP="00531286">
            <w:pPr>
              <w:rPr>
                <w:b/>
                <w:bCs/>
                <w:sz w:val="22"/>
                <w:szCs w:val="22"/>
              </w:rPr>
            </w:pPr>
            <w:r w:rsidRPr="00F70257">
              <w:rPr>
                <w:b/>
                <w:bCs/>
                <w:sz w:val="22"/>
                <w:szCs w:val="22"/>
              </w:rPr>
              <w:t xml:space="preserve">Čl. </w:t>
            </w:r>
            <w:r w:rsidR="00FE3B57" w:rsidRPr="00F70257">
              <w:rPr>
                <w:b/>
                <w:bCs/>
                <w:sz w:val="22"/>
                <w:szCs w:val="22"/>
              </w:rPr>
              <w:t>I</w:t>
            </w:r>
            <w:r w:rsidRPr="00F70257">
              <w:rPr>
                <w:b/>
                <w:bCs/>
                <w:sz w:val="22"/>
                <w:szCs w:val="22"/>
              </w:rPr>
              <w:t xml:space="preserve">I. </w:t>
            </w:r>
          </w:p>
          <w:p w14:paraId="3B9ACCBF" w14:textId="19814AC2" w:rsidR="00531286" w:rsidRPr="00531286" w:rsidRDefault="00531286" w:rsidP="00531286">
            <w:pPr>
              <w:adjustRightInd w:val="0"/>
              <w:rPr>
                <w:color w:val="000000"/>
                <w:sz w:val="22"/>
                <w:szCs w:val="22"/>
              </w:rPr>
            </w:pPr>
            <w:r w:rsidRPr="00007B33">
              <w:rPr>
                <w:b/>
                <w:bCs/>
                <w:sz w:val="22"/>
                <w:szCs w:val="22"/>
              </w:rPr>
              <w:t xml:space="preserve">Bod </w:t>
            </w:r>
            <w:r w:rsidR="004A4493" w:rsidRPr="00007B33">
              <w:rPr>
                <w:b/>
                <w:bCs/>
                <w:sz w:val="22"/>
                <w:szCs w:val="22"/>
              </w:rPr>
              <w:t>2</w:t>
            </w:r>
            <w:r w:rsidR="00055CC7">
              <w:rPr>
                <w:b/>
                <w:bCs/>
                <w:sz w:val="22"/>
                <w:szCs w:val="22"/>
              </w:rPr>
              <w:t>5</w:t>
            </w:r>
          </w:p>
          <w:p w14:paraId="3CAD8C29" w14:textId="77777777" w:rsidR="00891F0B" w:rsidRPr="00531286" w:rsidRDefault="00891F0B" w:rsidP="00531286">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68E6D363" w14:textId="77777777" w:rsidR="00A63BC7" w:rsidRPr="00531286" w:rsidRDefault="00A63BC7" w:rsidP="00A63BC7">
            <w:pPr>
              <w:jc w:val="center"/>
              <w:rPr>
                <w:b/>
                <w:sz w:val="22"/>
                <w:szCs w:val="22"/>
              </w:rPr>
            </w:pPr>
            <w:r w:rsidRPr="00531286">
              <w:rPr>
                <w:b/>
                <w:sz w:val="22"/>
                <w:szCs w:val="22"/>
              </w:rPr>
              <w:t>§</w:t>
            </w:r>
            <w:r>
              <w:rPr>
                <w:b/>
                <w:sz w:val="22"/>
                <w:szCs w:val="22"/>
              </w:rPr>
              <w:t xml:space="preserve"> 52</w:t>
            </w:r>
            <w:r w:rsidRPr="00531286">
              <w:rPr>
                <w:b/>
                <w:sz w:val="22"/>
                <w:szCs w:val="22"/>
              </w:rPr>
              <w:t xml:space="preserve"> </w:t>
            </w:r>
          </w:p>
          <w:p w14:paraId="7A487CA4" w14:textId="77777777" w:rsidR="00A63BC7" w:rsidRDefault="00A63BC7" w:rsidP="00A63BC7">
            <w:pPr>
              <w:jc w:val="center"/>
              <w:rPr>
                <w:b/>
                <w:sz w:val="22"/>
                <w:szCs w:val="22"/>
              </w:rPr>
            </w:pPr>
            <w:r w:rsidRPr="00531286">
              <w:rPr>
                <w:b/>
                <w:sz w:val="22"/>
                <w:szCs w:val="22"/>
              </w:rPr>
              <w:t xml:space="preserve">O: </w:t>
            </w:r>
            <w:r>
              <w:rPr>
                <w:b/>
                <w:sz w:val="22"/>
                <w:szCs w:val="22"/>
              </w:rPr>
              <w:t>9</w:t>
            </w:r>
          </w:p>
          <w:p w14:paraId="49E28D33" w14:textId="77777777" w:rsidR="00891F0B" w:rsidRPr="00FE3B57" w:rsidRDefault="00891F0B" w:rsidP="00531286">
            <w:pPr>
              <w:jc w:val="center"/>
              <w:rPr>
                <w:b/>
                <w:sz w:val="22"/>
                <w:szCs w:val="22"/>
              </w:rPr>
            </w:pPr>
          </w:p>
          <w:p w14:paraId="134FAD7B" w14:textId="77777777" w:rsidR="00891F0B" w:rsidRPr="00531286" w:rsidRDefault="00891F0B" w:rsidP="00531286">
            <w:pPr>
              <w:jc w:val="center"/>
              <w:rPr>
                <w:b/>
                <w:sz w:val="22"/>
                <w:szCs w:val="22"/>
                <w:highlight w:val="yellow"/>
              </w:rPr>
            </w:pPr>
          </w:p>
          <w:p w14:paraId="72BEF3E3" w14:textId="77777777" w:rsidR="00891F0B" w:rsidRPr="00531286" w:rsidRDefault="00891F0B" w:rsidP="00531286">
            <w:pPr>
              <w:jc w:val="center"/>
              <w:rPr>
                <w:b/>
                <w:sz w:val="22"/>
                <w:szCs w:val="22"/>
                <w:highlight w:val="yellow"/>
              </w:rPr>
            </w:pPr>
          </w:p>
          <w:p w14:paraId="229F521D" w14:textId="77777777" w:rsidR="00891F0B" w:rsidRPr="00531286" w:rsidRDefault="00891F0B" w:rsidP="00531286">
            <w:pPr>
              <w:jc w:val="center"/>
              <w:rPr>
                <w:b/>
                <w:sz w:val="22"/>
                <w:szCs w:val="22"/>
                <w:highlight w:val="yellow"/>
              </w:rPr>
            </w:pPr>
          </w:p>
          <w:p w14:paraId="551DE5BF" w14:textId="77777777" w:rsidR="00891F0B" w:rsidRPr="00531286" w:rsidRDefault="00891F0B" w:rsidP="00531286">
            <w:pPr>
              <w:jc w:val="center"/>
              <w:rPr>
                <w:b/>
                <w:sz w:val="22"/>
                <w:szCs w:val="22"/>
                <w:highlight w:val="yellow"/>
              </w:rPr>
            </w:pPr>
          </w:p>
          <w:p w14:paraId="47804F2D" w14:textId="3FF7E01C" w:rsidR="00891F0B" w:rsidRPr="00531286" w:rsidRDefault="00891F0B" w:rsidP="003A466A">
            <w:pP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758C374F" w14:textId="739652B1" w:rsidR="003A466A" w:rsidRPr="009F059B" w:rsidRDefault="00A63BC7" w:rsidP="003A466A">
            <w:pPr>
              <w:contextualSpacing/>
              <w:jc w:val="both"/>
              <w:rPr>
                <w:rStyle w:val="y2iqfc"/>
                <w:b/>
                <w:noProof/>
                <w:sz w:val="20"/>
                <w:szCs w:val="20"/>
              </w:rPr>
            </w:pPr>
            <w:r w:rsidRPr="009F059B">
              <w:rPr>
                <w:b/>
                <w:noProof/>
                <w:sz w:val="20"/>
                <w:szCs w:val="20"/>
              </w:rPr>
              <w:t xml:space="preserve">(9) </w:t>
            </w:r>
            <w:bookmarkStart w:id="5" w:name="_Hlk196463620"/>
            <w:r w:rsidR="00C03F1A" w:rsidRPr="009F059B">
              <w:rPr>
                <w:b/>
                <w:noProof/>
                <w:sz w:val="20"/>
                <w:szCs w:val="20"/>
              </w:rPr>
              <w:t>Burza a ob</w:t>
            </w:r>
            <w:r w:rsidR="00C03F1A" w:rsidRPr="009F059B">
              <w:rPr>
                <w:rStyle w:val="y2iqfc"/>
                <w:b/>
                <w:noProof/>
                <w:sz w:val="20"/>
                <w:szCs w:val="20"/>
              </w:rPr>
              <w:t>chodník s cennými papiermi organizujúci mnohostranný obchodný systém alebo organizovaný obchodný systém sú povinní zaviesť opatrenia na zabezpečenie spĺňania  noriem kvality údajov podľa osobitného predpisu</w:t>
            </w:r>
            <w:bookmarkEnd w:id="5"/>
            <w:r w:rsidR="00C03F1A" w:rsidRPr="009F059B">
              <w:rPr>
                <w:rStyle w:val="y2iqfc"/>
                <w:b/>
                <w:noProof/>
                <w:sz w:val="20"/>
                <w:szCs w:val="20"/>
              </w:rPr>
              <w:t>.</w:t>
            </w:r>
            <w:r w:rsidR="00C03F1A" w:rsidRPr="009F059B">
              <w:rPr>
                <w:rStyle w:val="y2iqfc"/>
                <w:b/>
                <w:noProof/>
                <w:sz w:val="20"/>
                <w:szCs w:val="20"/>
                <w:vertAlign w:val="superscript"/>
              </w:rPr>
              <w:t>22ab</w:t>
            </w:r>
            <w:r w:rsidR="004A4493" w:rsidRPr="009F059B">
              <w:rPr>
                <w:rStyle w:val="y2iqfc"/>
                <w:b/>
                <w:noProof/>
                <w:sz w:val="20"/>
                <w:szCs w:val="20"/>
              </w:rPr>
              <w:t xml:space="preserve">)   </w:t>
            </w:r>
          </w:p>
          <w:p w14:paraId="7A46ECB3" w14:textId="77777777" w:rsidR="00E3597A" w:rsidRDefault="00E3597A" w:rsidP="003A466A">
            <w:pPr>
              <w:contextualSpacing/>
              <w:jc w:val="both"/>
              <w:rPr>
                <w:rStyle w:val="y2iqfc"/>
                <w:noProof/>
              </w:rPr>
            </w:pPr>
          </w:p>
          <w:p w14:paraId="0DF37BAD" w14:textId="6BC89EED" w:rsidR="00E3597A" w:rsidRPr="00E3597A" w:rsidRDefault="00E3597A" w:rsidP="00E3597A">
            <w:pPr>
              <w:jc w:val="both"/>
              <w:rPr>
                <w:b/>
                <w:bCs/>
                <w:noProof/>
                <w:sz w:val="20"/>
                <w:szCs w:val="20"/>
                <w:shd w:val="clear" w:color="auto" w:fill="FFFFFF"/>
              </w:rPr>
            </w:pPr>
            <w:r w:rsidRPr="00E3597A">
              <w:rPr>
                <w:b/>
                <w:bCs/>
                <w:noProof/>
                <w:sz w:val="20"/>
                <w:szCs w:val="20"/>
                <w:vertAlign w:val="superscript"/>
              </w:rPr>
              <w:t>22a</w:t>
            </w:r>
            <w:r w:rsidR="00C03F1A">
              <w:rPr>
                <w:b/>
                <w:bCs/>
                <w:noProof/>
                <w:sz w:val="20"/>
                <w:szCs w:val="20"/>
                <w:vertAlign w:val="superscript"/>
              </w:rPr>
              <w:t>b</w:t>
            </w:r>
            <w:r w:rsidRPr="00E3597A">
              <w:rPr>
                <w:b/>
                <w:bCs/>
                <w:noProof/>
                <w:sz w:val="20"/>
                <w:szCs w:val="20"/>
              </w:rPr>
              <w:t xml:space="preserve">) Čl. 22b </w:t>
            </w:r>
            <w:r w:rsidRPr="00E3597A">
              <w:rPr>
                <w:b/>
                <w:bCs/>
                <w:noProof/>
                <w:sz w:val="20"/>
                <w:szCs w:val="20"/>
                <w:shd w:val="clear" w:color="auto" w:fill="FFFFFF"/>
              </w:rPr>
              <w:t>nariadenia (EÚ) č. </w:t>
            </w:r>
            <w:hyperlink r:id="rId10" w:tooltip="Nariadenie Európskeho parlamentu a Rady (EÚ) č. 600/2014 z  15. mája 2014 o trhoch s finančnými nástrojmi, ktorým sa mení nariadenie (EÚ) č. 648/2012 Text s významom pre EHP" w:history="1">
              <w:r w:rsidRPr="00E3597A">
                <w:rPr>
                  <w:rStyle w:val="Hypertextovprepojenie"/>
                  <w:b/>
                  <w:bCs/>
                  <w:noProof/>
                  <w:color w:val="auto"/>
                  <w:sz w:val="20"/>
                  <w:szCs w:val="20"/>
                  <w:u w:val="none"/>
                  <w:shd w:val="clear" w:color="auto" w:fill="FFFFFF"/>
                </w:rPr>
                <w:t>600/2014</w:t>
              </w:r>
            </w:hyperlink>
            <w:r w:rsidRPr="00E3597A">
              <w:rPr>
                <w:b/>
                <w:bCs/>
                <w:noProof/>
                <w:sz w:val="20"/>
                <w:szCs w:val="20"/>
              </w:rPr>
              <w:t xml:space="preserve"> v platnom znení</w:t>
            </w:r>
            <w:r w:rsidRPr="00E3597A">
              <w:rPr>
                <w:b/>
                <w:bCs/>
                <w:noProof/>
                <w:sz w:val="20"/>
                <w:szCs w:val="20"/>
                <w:shd w:val="clear" w:color="auto" w:fill="FFFFFF"/>
              </w:rPr>
              <w:t>.</w:t>
            </w:r>
          </w:p>
          <w:p w14:paraId="206A59E0" w14:textId="52FBEB64" w:rsidR="00E3597A" w:rsidRPr="004A4493" w:rsidRDefault="00E3597A" w:rsidP="003A466A">
            <w:pPr>
              <w:contextualSpacing/>
              <w:jc w:val="both"/>
              <w:rPr>
                <w:b/>
                <w:sz w:val="20"/>
                <w:szCs w:val="20"/>
                <w:highlight w:val="yellow"/>
              </w:rPr>
            </w:pPr>
          </w:p>
        </w:tc>
        <w:tc>
          <w:tcPr>
            <w:tcW w:w="709" w:type="dxa"/>
            <w:tcBorders>
              <w:top w:val="single" w:sz="4" w:space="0" w:color="auto"/>
              <w:left w:val="single" w:sz="4" w:space="0" w:color="auto"/>
              <w:right w:val="single" w:sz="4" w:space="0" w:color="auto"/>
            </w:tcBorders>
          </w:tcPr>
          <w:p w14:paraId="2B06A8C3" w14:textId="77777777" w:rsidR="00891F0B" w:rsidRPr="00531286" w:rsidRDefault="00891F0B" w:rsidP="00531286">
            <w:pPr>
              <w:adjustRightInd w:val="0"/>
              <w:jc w:val="center"/>
              <w:rPr>
                <w:color w:val="000000"/>
                <w:sz w:val="22"/>
                <w:szCs w:val="22"/>
              </w:rPr>
            </w:pPr>
            <w:r w:rsidRPr="00531286">
              <w:rPr>
                <w:color w:val="000000"/>
                <w:sz w:val="22"/>
                <w:szCs w:val="22"/>
              </w:rPr>
              <w:t>Ú</w:t>
            </w:r>
          </w:p>
        </w:tc>
        <w:tc>
          <w:tcPr>
            <w:tcW w:w="1077" w:type="dxa"/>
            <w:tcBorders>
              <w:top w:val="single" w:sz="4" w:space="0" w:color="auto"/>
              <w:left w:val="single" w:sz="4" w:space="0" w:color="auto"/>
              <w:right w:val="single" w:sz="4" w:space="0" w:color="auto"/>
            </w:tcBorders>
          </w:tcPr>
          <w:p w14:paraId="39851822" w14:textId="77777777" w:rsidR="00891F0B" w:rsidRPr="00531286" w:rsidRDefault="00891F0B"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41FB9B48" w14:textId="77777777" w:rsidR="00891F0B" w:rsidRPr="00531286"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6C80E535" w14:textId="77777777" w:rsidR="00891F0B" w:rsidRPr="00531286" w:rsidRDefault="00891F0B" w:rsidP="00531286">
            <w:pPr>
              <w:spacing w:before="75" w:after="75"/>
              <w:rPr>
                <w:sz w:val="22"/>
                <w:szCs w:val="22"/>
              </w:rPr>
            </w:pPr>
          </w:p>
        </w:tc>
      </w:tr>
      <w:tr w:rsidR="00891F0B" w:rsidRPr="0066733C" w14:paraId="69F5817C" w14:textId="77777777" w:rsidTr="000B214D">
        <w:trPr>
          <w:trHeight w:val="1408"/>
        </w:trPr>
        <w:tc>
          <w:tcPr>
            <w:tcW w:w="682" w:type="dxa"/>
            <w:tcBorders>
              <w:top w:val="single" w:sz="4" w:space="0" w:color="auto"/>
              <w:left w:val="single" w:sz="12" w:space="0" w:color="auto"/>
              <w:right w:val="single" w:sz="4" w:space="0" w:color="auto"/>
            </w:tcBorders>
          </w:tcPr>
          <w:p w14:paraId="3F1E7E5B" w14:textId="77777777" w:rsidR="00891F0B" w:rsidRPr="00531286" w:rsidRDefault="00891F0B" w:rsidP="00531286">
            <w:pPr>
              <w:jc w:val="center"/>
              <w:rPr>
                <w:sz w:val="22"/>
                <w:szCs w:val="22"/>
              </w:rPr>
            </w:pPr>
            <w:r w:rsidRPr="00531286">
              <w:rPr>
                <w:sz w:val="22"/>
                <w:szCs w:val="22"/>
              </w:rPr>
              <w:t>Č: 1</w:t>
            </w:r>
          </w:p>
          <w:p w14:paraId="0FE24D04" w14:textId="77777777" w:rsidR="00891F0B" w:rsidRPr="00531286" w:rsidRDefault="00891F0B" w:rsidP="00531286">
            <w:pPr>
              <w:jc w:val="center"/>
              <w:rPr>
                <w:sz w:val="22"/>
                <w:szCs w:val="22"/>
              </w:rPr>
            </w:pPr>
            <w:r w:rsidRPr="00531286">
              <w:rPr>
                <w:sz w:val="22"/>
                <w:szCs w:val="22"/>
              </w:rPr>
              <w:t>O:</w:t>
            </w:r>
            <w:r w:rsidR="00C524AF" w:rsidRPr="00531286">
              <w:rPr>
                <w:sz w:val="22"/>
                <w:szCs w:val="22"/>
              </w:rPr>
              <w:t>6</w:t>
            </w:r>
          </w:p>
          <w:p w14:paraId="77B151C4" w14:textId="77777777" w:rsidR="00891F0B" w:rsidRPr="00531286" w:rsidRDefault="00891F0B" w:rsidP="00531286">
            <w:pPr>
              <w:jc w:val="center"/>
              <w:rPr>
                <w:sz w:val="22"/>
                <w:szCs w:val="22"/>
              </w:rPr>
            </w:pPr>
          </w:p>
          <w:p w14:paraId="689AB8B2" w14:textId="77777777" w:rsidR="00891F0B" w:rsidRPr="00531286" w:rsidRDefault="00891F0B" w:rsidP="00531286">
            <w:pPr>
              <w:jc w:val="center"/>
              <w:rPr>
                <w:sz w:val="22"/>
                <w:szCs w:val="22"/>
              </w:rPr>
            </w:pPr>
          </w:p>
          <w:p w14:paraId="12AC8578" w14:textId="77777777" w:rsidR="00891F0B" w:rsidRPr="00531286" w:rsidRDefault="00891F0B" w:rsidP="00531286">
            <w:pPr>
              <w:jc w:val="center"/>
              <w:rPr>
                <w:sz w:val="22"/>
                <w:szCs w:val="22"/>
              </w:rPr>
            </w:pPr>
          </w:p>
          <w:p w14:paraId="7F890948" w14:textId="77777777" w:rsidR="00891F0B" w:rsidRPr="00531286" w:rsidRDefault="00891F0B" w:rsidP="00531286">
            <w:pPr>
              <w:jc w:val="center"/>
              <w:rPr>
                <w:sz w:val="22"/>
                <w:szCs w:val="22"/>
              </w:rPr>
            </w:pPr>
          </w:p>
          <w:p w14:paraId="4736144E" w14:textId="77777777" w:rsidR="00891F0B" w:rsidRPr="00531286" w:rsidRDefault="00891F0B" w:rsidP="00531286">
            <w:pPr>
              <w:jc w:val="center"/>
              <w:rPr>
                <w:sz w:val="22"/>
                <w:szCs w:val="22"/>
              </w:rPr>
            </w:pPr>
          </w:p>
          <w:p w14:paraId="00B5C5A3" w14:textId="77777777" w:rsidR="00891F0B" w:rsidRPr="00531286" w:rsidRDefault="00891F0B" w:rsidP="00531286">
            <w:pPr>
              <w:jc w:val="center"/>
              <w:rPr>
                <w:sz w:val="22"/>
                <w:szCs w:val="22"/>
              </w:rPr>
            </w:pPr>
          </w:p>
          <w:p w14:paraId="586BB4C3" w14:textId="77777777" w:rsidR="00891F0B" w:rsidRPr="00531286" w:rsidRDefault="00891F0B" w:rsidP="00531286">
            <w:pPr>
              <w:jc w:val="center"/>
              <w:rPr>
                <w:sz w:val="22"/>
                <w:szCs w:val="22"/>
              </w:rPr>
            </w:pPr>
          </w:p>
          <w:p w14:paraId="37027FAC" w14:textId="77777777" w:rsidR="00891F0B" w:rsidRPr="00531286" w:rsidRDefault="00891F0B" w:rsidP="00531286">
            <w:pPr>
              <w:jc w:val="center"/>
              <w:rPr>
                <w:sz w:val="22"/>
                <w:szCs w:val="22"/>
              </w:rPr>
            </w:pPr>
          </w:p>
          <w:p w14:paraId="75E8BED3" w14:textId="77777777" w:rsidR="00891F0B" w:rsidRPr="00531286" w:rsidRDefault="00891F0B" w:rsidP="00531286">
            <w:pPr>
              <w:jc w:val="center"/>
              <w:rPr>
                <w:sz w:val="22"/>
                <w:szCs w:val="22"/>
              </w:rPr>
            </w:pPr>
          </w:p>
          <w:p w14:paraId="7CEDA095" w14:textId="77777777" w:rsidR="00891F0B" w:rsidRPr="00531286" w:rsidRDefault="00891F0B" w:rsidP="00531286">
            <w:pPr>
              <w:jc w:val="center"/>
              <w:rPr>
                <w:sz w:val="22"/>
                <w:szCs w:val="22"/>
              </w:rPr>
            </w:pPr>
          </w:p>
          <w:p w14:paraId="43365EC1" w14:textId="77777777" w:rsidR="00891F0B" w:rsidRPr="00531286" w:rsidRDefault="00891F0B" w:rsidP="00531286">
            <w:pPr>
              <w:jc w:val="center"/>
              <w:rPr>
                <w:sz w:val="22"/>
                <w:szCs w:val="22"/>
              </w:rPr>
            </w:pPr>
          </w:p>
          <w:p w14:paraId="17DDD7E0" w14:textId="77777777" w:rsidR="00891F0B" w:rsidRPr="00531286" w:rsidRDefault="00891F0B" w:rsidP="00531286">
            <w:pPr>
              <w:jc w:val="center"/>
              <w:rPr>
                <w:sz w:val="22"/>
                <w:szCs w:val="22"/>
              </w:rPr>
            </w:pPr>
          </w:p>
        </w:tc>
        <w:tc>
          <w:tcPr>
            <w:tcW w:w="4620" w:type="dxa"/>
            <w:tcBorders>
              <w:top w:val="single" w:sz="4" w:space="0" w:color="auto"/>
              <w:left w:val="single" w:sz="4" w:space="0" w:color="auto"/>
              <w:right w:val="single" w:sz="4" w:space="0" w:color="auto"/>
            </w:tcBorders>
          </w:tcPr>
          <w:p w14:paraId="34AF63F9" w14:textId="77777777" w:rsidR="004A690B" w:rsidRPr="004A690B" w:rsidRDefault="00C524AF" w:rsidP="004A690B">
            <w:pPr>
              <w:pStyle w:val="oj-normal"/>
              <w:shd w:val="clear" w:color="auto" w:fill="FFFFFF"/>
              <w:spacing w:before="120" w:beforeAutospacing="0" w:after="0" w:afterAutospacing="0"/>
              <w:jc w:val="both"/>
              <w:rPr>
                <w:color w:val="000000"/>
              </w:rPr>
            </w:pPr>
            <w:r w:rsidRPr="00531286">
              <w:rPr>
                <w:rStyle w:val="y2iqfc"/>
                <w:color w:val="202124"/>
                <w:sz w:val="22"/>
                <w:szCs w:val="22"/>
              </w:rPr>
              <w:lastRenderedPageBreak/>
              <w:t xml:space="preserve">v článku 47 ods. 1 sa dopĺňajú </w:t>
            </w:r>
            <w:r w:rsidR="004A690B" w:rsidRPr="004A690B">
              <w:rPr>
                <w:color w:val="000000"/>
              </w:rPr>
              <w:t>tieto písmená:</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348"/>
            </w:tblGrid>
            <w:tr w:rsidR="004A690B" w:rsidRPr="004A690B" w14:paraId="77E08AF7" w14:textId="77777777" w:rsidTr="004A690B">
              <w:tc>
                <w:tcPr>
                  <w:tcW w:w="186" w:type="dxa"/>
                  <w:shd w:val="clear" w:color="auto" w:fill="FFFFFF"/>
                  <w:hideMark/>
                </w:tcPr>
                <w:p w14:paraId="479B18C1" w14:textId="77777777" w:rsidR="004A690B" w:rsidRPr="004A690B" w:rsidRDefault="0070398B" w:rsidP="0070398B">
                  <w:pPr>
                    <w:autoSpaceDE/>
                    <w:autoSpaceDN/>
                    <w:spacing w:before="120"/>
                    <w:jc w:val="both"/>
                    <w:rPr>
                      <w:color w:val="000000"/>
                      <w:sz w:val="22"/>
                      <w:szCs w:val="22"/>
                    </w:rPr>
                  </w:pPr>
                  <w:r>
                    <w:rPr>
                      <w:color w:val="000000"/>
                      <w:sz w:val="22"/>
                      <w:szCs w:val="22"/>
                    </w:rPr>
                    <w:t>„</w:t>
                  </w:r>
                  <w:r w:rsidRPr="004A690B">
                    <w:rPr>
                      <w:color w:val="000000"/>
                      <w:sz w:val="22"/>
                      <w:szCs w:val="22"/>
                    </w:rPr>
                    <w:t xml:space="preserve">g) </w:t>
                  </w:r>
                </w:p>
              </w:tc>
              <w:tc>
                <w:tcPr>
                  <w:tcW w:w="4348" w:type="dxa"/>
                  <w:shd w:val="clear" w:color="auto" w:fill="FFFFFF"/>
                  <w:hideMark/>
                </w:tcPr>
                <w:p w14:paraId="24118107" w14:textId="77777777" w:rsidR="0070398B" w:rsidRDefault="0070398B" w:rsidP="004A690B">
                  <w:pPr>
                    <w:autoSpaceDE/>
                    <w:autoSpaceDN/>
                    <w:spacing w:before="120"/>
                    <w:jc w:val="both"/>
                    <w:rPr>
                      <w:color w:val="000000"/>
                      <w:sz w:val="22"/>
                      <w:szCs w:val="22"/>
                    </w:rPr>
                  </w:pPr>
                </w:p>
                <w:p w14:paraId="4E8FA602"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mal zavedené opatrenia na zabezpečenie plnenia noriem kvality údajov podľa článku 22b nariadenia (EÚ) č. 600/2014;</w:t>
                  </w:r>
                </w:p>
              </w:tc>
            </w:tr>
          </w:tbl>
          <w:p w14:paraId="7C4029AD" w14:textId="77777777" w:rsidR="004A690B" w:rsidRPr="004A690B" w:rsidRDefault="004A690B" w:rsidP="004A690B">
            <w:pPr>
              <w:autoSpaceDE/>
              <w:autoSpaceDN/>
              <w:rPr>
                <w:vanish/>
                <w:sz w:val="22"/>
                <w:szCs w:val="22"/>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348"/>
            </w:tblGrid>
            <w:tr w:rsidR="004A690B" w:rsidRPr="004A690B" w14:paraId="6C3EA52A" w14:textId="77777777" w:rsidTr="004A690B">
              <w:tc>
                <w:tcPr>
                  <w:tcW w:w="186" w:type="dxa"/>
                  <w:shd w:val="clear" w:color="auto" w:fill="FFFFFF"/>
                  <w:hideMark/>
                </w:tcPr>
                <w:p w14:paraId="448BCD1B"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h)</w:t>
                  </w:r>
                </w:p>
              </w:tc>
              <w:tc>
                <w:tcPr>
                  <w:tcW w:w="4348" w:type="dxa"/>
                  <w:shd w:val="clear" w:color="auto" w:fill="FFFFFF"/>
                  <w:hideMark/>
                </w:tcPr>
                <w:p w14:paraId="42485701"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 xml:space="preserve">mal aspoň troch reálne aktívnych členov alebo používateľov, pričom každý z nich má možnosť </w:t>
                  </w:r>
                  <w:r w:rsidRPr="004A690B">
                    <w:rPr>
                      <w:color w:val="000000"/>
                      <w:sz w:val="22"/>
                      <w:szCs w:val="22"/>
                    </w:rPr>
                    <w:lastRenderedPageBreak/>
                    <w:t>vstupovať so všetkými ostatnými do interakcie, pokiaľ ide o tvorbu cien.“</w:t>
                  </w:r>
                </w:p>
              </w:tc>
            </w:tr>
          </w:tbl>
          <w:p w14:paraId="3A533A5D" w14:textId="77777777" w:rsidR="00891F0B" w:rsidRPr="00531286" w:rsidRDefault="00891F0B" w:rsidP="00531286">
            <w:pPr>
              <w:pStyle w:val="Normlny0"/>
              <w:rPr>
                <w:bCs/>
                <w:sz w:val="22"/>
                <w:szCs w:val="22"/>
              </w:rPr>
            </w:pPr>
          </w:p>
        </w:tc>
        <w:tc>
          <w:tcPr>
            <w:tcW w:w="850" w:type="dxa"/>
            <w:tcBorders>
              <w:top w:val="single" w:sz="4" w:space="0" w:color="auto"/>
              <w:left w:val="single" w:sz="4" w:space="0" w:color="auto"/>
              <w:right w:val="single" w:sz="12" w:space="0" w:color="auto"/>
            </w:tcBorders>
          </w:tcPr>
          <w:p w14:paraId="25F2D03D" w14:textId="77777777" w:rsidR="00891F0B" w:rsidRPr="00531286" w:rsidRDefault="00891F0B" w:rsidP="00531286">
            <w:pPr>
              <w:adjustRightInd w:val="0"/>
              <w:jc w:val="center"/>
              <w:rPr>
                <w:color w:val="000000"/>
                <w:sz w:val="22"/>
                <w:szCs w:val="22"/>
              </w:rPr>
            </w:pPr>
            <w:r w:rsidRPr="00531286">
              <w:rPr>
                <w:color w:val="000000"/>
                <w:sz w:val="22"/>
                <w:szCs w:val="22"/>
              </w:rPr>
              <w:lastRenderedPageBreak/>
              <w:t>N</w:t>
            </w:r>
          </w:p>
          <w:p w14:paraId="6F2B6E74" w14:textId="77777777" w:rsidR="00891F0B" w:rsidRPr="00531286" w:rsidRDefault="00891F0B" w:rsidP="00531286">
            <w:pPr>
              <w:adjustRightInd w:val="0"/>
              <w:jc w:val="center"/>
              <w:rPr>
                <w:color w:val="000000"/>
                <w:sz w:val="22"/>
                <w:szCs w:val="22"/>
              </w:rPr>
            </w:pPr>
          </w:p>
          <w:p w14:paraId="70393E1E" w14:textId="77777777" w:rsidR="00891F0B" w:rsidRPr="00531286" w:rsidRDefault="00891F0B" w:rsidP="00531286">
            <w:pPr>
              <w:adjustRightInd w:val="0"/>
              <w:jc w:val="center"/>
              <w:rPr>
                <w:color w:val="000000"/>
                <w:sz w:val="22"/>
                <w:szCs w:val="22"/>
              </w:rPr>
            </w:pPr>
          </w:p>
          <w:p w14:paraId="5F10E6FA" w14:textId="77777777" w:rsidR="00891F0B" w:rsidRPr="00531286" w:rsidRDefault="00891F0B" w:rsidP="00531286">
            <w:pPr>
              <w:adjustRightInd w:val="0"/>
              <w:jc w:val="center"/>
              <w:rPr>
                <w:color w:val="000000"/>
                <w:sz w:val="22"/>
                <w:szCs w:val="22"/>
              </w:rPr>
            </w:pPr>
          </w:p>
          <w:p w14:paraId="2679FC2F" w14:textId="77777777" w:rsidR="00891F0B" w:rsidRPr="00531286" w:rsidRDefault="00891F0B" w:rsidP="00531286">
            <w:pPr>
              <w:adjustRightInd w:val="0"/>
              <w:jc w:val="center"/>
              <w:rPr>
                <w:color w:val="000000"/>
                <w:sz w:val="22"/>
                <w:szCs w:val="22"/>
              </w:rPr>
            </w:pPr>
          </w:p>
        </w:tc>
        <w:tc>
          <w:tcPr>
            <w:tcW w:w="993" w:type="dxa"/>
            <w:tcBorders>
              <w:top w:val="single" w:sz="4" w:space="0" w:color="auto"/>
              <w:left w:val="nil"/>
              <w:right w:val="single" w:sz="4" w:space="0" w:color="auto"/>
            </w:tcBorders>
          </w:tcPr>
          <w:p w14:paraId="2A5D1D7D" w14:textId="32E3F78C" w:rsidR="00891F0B" w:rsidRPr="00A01AAB" w:rsidRDefault="00891F0B" w:rsidP="00531286">
            <w:pPr>
              <w:rPr>
                <w:b/>
                <w:bCs/>
                <w:sz w:val="22"/>
                <w:szCs w:val="22"/>
              </w:rPr>
            </w:pPr>
            <w:r w:rsidRPr="00F70257">
              <w:rPr>
                <w:b/>
                <w:bCs/>
                <w:sz w:val="22"/>
                <w:szCs w:val="22"/>
              </w:rPr>
              <w:t>Návrh</w:t>
            </w:r>
          </w:p>
          <w:p w14:paraId="51410CCA" w14:textId="77777777" w:rsidR="00891F0B" w:rsidRPr="00A01AAB" w:rsidRDefault="00891F0B" w:rsidP="00531286">
            <w:pPr>
              <w:rPr>
                <w:b/>
                <w:bCs/>
                <w:sz w:val="22"/>
                <w:szCs w:val="22"/>
              </w:rPr>
            </w:pPr>
            <w:r w:rsidRPr="00A01AAB">
              <w:rPr>
                <w:b/>
                <w:bCs/>
                <w:sz w:val="22"/>
                <w:szCs w:val="22"/>
              </w:rPr>
              <w:t xml:space="preserve">Čl. </w:t>
            </w:r>
            <w:r w:rsidR="00A63BC7" w:rsidRPr="00A01AAB">
              <w:rPr>
                <w:b/>
                <w:bCs/>
                <w:sz w:val="22"/>
                <w:szCs w:val="22"/>
              </w:rPr>
              <w:t>I</w:t>
            </w:r>
            <w:r w:rsidRPr="00A01AAB">
              <w:rPr>
                <w:b/>
                <w:bCs/>
                <w:sz w:val="22"/>
                <w:szCs w:val="22"/>
              </w:rPr>
              <w:t xml:space="preserve">I. </w:t>
            </w:r>
          </w:p>
          <w:p w14:paraId="47948D0E" w14:textId="5324DC86" w:rsidR="00891F0B" w:rsidRPr="00A01AAB" w:rsidRDefault="00891F0B" w:rsidP="00531286">
            <w:pPr>
              <w:rPr>
                <w:b/>
                <w:bCs/>
                <w:sz w:val="22"/>
                <w:szCs w:val="22"/>
              </w:rPr>
            </w:pPr>
            <w:r w:rsidRPr="00A01AAB">
              <w:rPr>
                <w:b/>
                <w:bCs/>
                <w:sz w:val="22"/>
                <w:szCs w:val="22"/>
              </w:rPr>
              <w:t xml:space="preserve">Bod </w:t>
            </w:r>
            <w:r w:rsidR="00007B33">
              <w:rPr>
                <w:b/>
                <w:bCs/>
                <w:sz w:val="22"/>
                <w:szCs w:val="22"/>
              </w:rPr>
              <w:t>2</w:t>
            </w:r>
          </w:p>
          <w:p w14:paraId="28F42C9A" w14:textId="77777777" w:rsidR="00891F0B" w:rsidRPr="00531286" w:rsidRDefault="00891F0B" w:rsidP="00531286">
            <w:pPr>
              <w:rPr>
                <w:b/>
                <w:bCs/>
                <w:sz w:val="22"/>
                <w:szCs w:val="22"/>
                <w:highlight w:val="yellow"/>
              </w:rPr>
            </w:pPr>
          </w:p>
          <w:p w14:paraId="3A5FD39B" w14:textId="77777777" w:rsidR="00891F0B" w:rsidRPr="00531286" w:rsidRDefault="00891F0B" w:rsidP="00531286">
            <w:pPr>
              <w:rPr>
                <w:b/>
                <w:bCs/>
                <w:sz w:val="22"/>
                <w:szCs w:val="22"/>
                <w:highlight w:val="yellow"/>
              </w:rPr>
            </w:pPr>
          </w:p>
          <w:p w14:paraId="0945BBFA" w14:textId="77777777" w:rsidR="00891F0B" w:rsidRPr="00531286" w:rsidRDefault="00891F0B" w:rsidP="00531286">
            <w:pPr>
              <w:rPr>
                <w:bCs/>
                <w:sz w:val="22"/>
                <w:szCs w:val="22"/>
                <w:highlight w:val="yellow"/>
              </w:rPr>
            </w:pPr>
          </w:p>
          <w:p w14:paraId="5349110E" w14:textId="77777777" w:rsidR="00891F0B" w:rsidRPr="00531286" w:rsidRDefault="00891F0B" w:rsidP="00531286">
            <w:pPr>
              <w:rPr>
                <w:bCs/>
                <w:sz w:val="22"/>
                <w:szCs w:val="22"/>
                <w:highlight w:val="yellow"/>
              </w:rPr>
            </w:pPr>
          </w:p>
        </w:tc>
        <w:tc>
          <w:tcPr>
            <w:tcW w:w="992" w:type="dxa"/>
            <w:tcBorders>
              <w:top w:val="single" w:sz="4" w:space="0" w:color="auto"/>
              <w:left w:val="single" w:sz="4" w:space="0" w:color="auto"/>
              <w:right w:val="single" w:sz="4" w:space="0" w:color="auto"/>
            </w:tcBorders>
          </w:tcPr>
          <w:p w14:paraId="35201882" w14:textId="77777777" w:rsidR="00A63BC7" w:rsidRPr="00704300" w:rsidRDefault="00A63BC7" w:rsidP="00A63BC7">
            <w:pPr>
              <w:jc w:val="center"/>
              <w:rPr>
                <w:b/>
                <w:sz w:val="22"/>
                <w:szCs w:val="22"/>
              </w:rPr>
            </w:pPr>
            <w:r w:rsidRPr="00704300">
              <w:rPr>
                <w:b/>
                <w:sz w:val="22"/>
                <w:szCs w:val="22"/>
              </w:rPr>
              <w:t>§ 14</w:t>
            </w:r>
          </w:p>
          <w:p w14:paraId="2B590593" w14:textId="77777777" w:rsidR="00A63BC7" w:rsidRPr="00704300" w:rsidRDefault="00A63BC7" w:rsidP="00A63BC7">
            <w:pPr>
              <w:jc w:val="center"/>
              <w:rPr>
                <w:b/>
                <w:sz w:val="22"/>
                <w:szCs w:val="22"/>
              </w:rPr>
            </w:pPr>
            <w:r w:rsidRPr="00704300">
              <w:rPr>
                <w:b/>
                <w:sz w:val="22"/>
                <w:szCs w:val="22"/>
              </w:rPr>
              <w:t>O: 5</w:t>
            </w:r>
          </w:p>
          <w:p w14:paraId="6E9A42DC" w14:textId="77777777" w:rsidR="003A466A" w:rsidRPr="00704300" w:rsidRDefault="003A466A" w:rsidP="00531286">
            <w:pPr>
              <w:jc w:val="center"/>
              <w:rPr>
                <w:b/>
                <w:sz w:val="22"/>
                <w:szCs w:val="22"/>
              </w:rPr>
            </w:pPr>
            <w:r w:rsidRPr="00704300">
              <w:rPr>
                <w:b/>
                <w:sz w:val="22"/>
                <w:szCs w:val="22"/>
              </w:rPr>
              <w:t xml:space="preserve">P: h) </w:t>
            </w:r>
          </w:p>
          <w:p w14:paraId="1137A3C9" w14:textId="30C7732D" w:rsidR="00891F0B" w:rsidRPr="00704300" w:rsidRDefault="003A466A" w:rsidP="00531286">
            <w:pPr>
              <w:jc w:val="center"/>
              <w:rPr>
                <w:b/>
                <w:sz w:val="22"/>
                <w:szCs w:val="22"/>
              </w:rPr>
            </w:pPr>
            <w:r w:rsidRPr="00704300">
              <w:rPr>
                <w:b/>
                <w:sz w:val="22"/>
                <w:szCs w:val="22"/>
              </w:rPr>
              <w:t>a i)</w:t>
            </w:r>
          </w:p>
          <w:p w14:paraId="1E92FF28" w14:textId="77777777" w:rsidR="00891F0B" w:rsidRPr="00704300" w:rsidRDefault="00891F0B" w:rsidP="00531286">
            <w:pPr>
              <w:jc w:val="center"/>
              <w:rPr>
                <w:b/>
                <w:sz w:val="22"/>
                <w:szCs w:val="22"/>
              </w:rPr>
            </w:pPr>
          </w:p>
          <w:p w14:paraId="085370A9" w14:textId="77777777" w:rsidR="00891F0B" w:rsidRPr="00704300" w:rsidRDefault="00891F0B" w:rsidP="00531286">
            <w:pPr>
              <w:jc w:val="center"/>
              <w:rPr>
                <w:b/>
                <w:sz w:val="22"/>
                <w:szCs w:val="22"/>
              </w:rPr>
            </w:pPr>
          </w:p>
          <w:p w14:paraId="0415AFAE" w14:textId="77777777" w:rsidR="00891F0B" w:rsidRPr="00704300" w:rsidRDefault="00891F0B" w:rsidP="00531286">
            <w:pPr>
              <w:jc w:val="center"/>
              <w:rPr>
                <w:b/>
                <w:sz w:val="22"/>
                <w:szCs w:val="22"/>
              </w:rPr>
            </w:pPr>
          </w:p>
          <w:p w14:paraId="4F016719" w14:textId="77777777" w:rsidR="00891F0B" w:rsidRPr="00704300" w:rsidRDefault="00891F0B" w:rsidP="00531286">
            <w:pPr>
              <w:jc w:val="center"/>
              <w:rPr>
                <w:b/>
                <w:sz w:val="22"/>
                <w:szCs w:val="22"/>
              </w:rPr>
            </w:pPr>
          </w:p>
        </w:tc>
        <w:tc>
          <w:tcPr>
            <w:tcW w:w="3402" w:type="dxa"/>
            <w:tcBorders>
              <w:top w:val="single" w:sz="4" w:space="0" w:color="auto"/>
              <w:left w:val="single" w:sz="4" w:space="0" w:color="auto"/>
              <w:right w:val="single" w:sz="4" w:space="0" w:color="auto"/>
            </w:tcBorders>
          </w:tcPr>
          <w:p w14:paraId="5580D3A5" w14:textId="11C1ED0D" w:rsidR="00007B33" w:rsidRPr="00AA0225" w:rsidRDefault="00A63BC7" w:rsidP="00007B33">
            <w:pPr>
              <w:jc w:val="both"/>
              <w:rPr>
                <w:b/>
                <w:bCs/>
                <w:noProof/>
                <w:sz w:val="20"/>
                <w:szCs w:val="20"/>
              </w:rPr>
            </w:pPr>
            <w:r w:rsidRPr="00AA0225">
              <w:rPr>
                <w:rStyle w:val="y2iqfc"/>
                <w:b/>
                <w:sz w:val="20"/>
                <w:szCs w:val="20"/>
              </w:rPr>
              <w:t xml:space="preserve">h) </w:t>
            </w:r>
            <w:bookmarkStart w:id="6" w:name="_Hlk196463139"/>
            <w:r w:rsidR="00007B33" w:rsidRPr="00AA0225">
              <w:rPr>
                <w:b/>
                <w:bCs/>
                <w:noProof/>
                <w:sz w:val="20"/>
                <w:szCs w:val="20"/>
              </w:rPr>
              <w:t>vhodné opatrenia na zabezpečenie spĺňania noriem kvality údajov na regulovanom trhu podľa osobitného predpisu,</w:t>
            </w:r>
            <w:r w:rsidR="00007B33" w:rsidRPr="00AA0225">
              <w:rPr>
                <w:b/>
                <w:bCs/>
                <w:noProof/>
                <w:sz w:val="20"/>
                <w:szCs w:val="20"/>
                <w:vertAlign w:val="superscript"/>
              </w:rPr>
              <w:t>22a</w:t>
            </w:r>
            <w:r w:rsidR="00A25494" w:rsidRPr="00AA0225">
              <w:rPr>
                <w:b/>
                <w:bCs/>
                <w:noProof/>
                <w:sz w:val="20"/>
                <w:szCs w:val="20"/>
                <w:vertAlign w:val="superscript"/>
              </w:rPr>
              <w:t>b</w:t>
            </w:r>
            <w:r w:rsidR="00007B33" w:rsidRPr="00AA0225">
              <w:rPr>
                <w:b/>
                <w:bCs/>
                <w:noProof/>
                <w:sz w:val="20"/>
                <w:szCs w:val="20"/>
              </w:rPr>
              <w:t xml:space="preserve">)  </w:t>
            </w:r>
          </w:p>
          <w:p w14:paraId="69B19055" w14:textId="4A44565B" w:rsidR="00A63BC7" w:rsidRPr="00AA0225" w:rsidRDefault="00007B33" w:rsidP="00007B33">
            <w:pPr>
              <w:pStyle w:val="PredformtovanHTML"/>
              <w:shd w:val="clear" w:color="auto" w:fill="F8F9FA"/>
              <w:jc w:val="both"/>
              <w:rPr>
                <w:rFonts w:ascii="Times New Roman" w:hAnsi="Times New Roman" w:cs="Times New Roman"/>
                <w:b/>
              </w:rPr>
            </w:pPr>
            <w:r w:rsidRPr="00AA0225">
              <w:rPr>
                <w:rFonts w:ascii="Times New Roman" w:hAnsi="Times New Roman" w:cs="Times New Roman"/>
                <w:b/>
                <w:bCs/>
                <w:noProof/>
              </w:rPr>
              <w:t>i) vhodné opatrenia s cieľom zabezpečiť obchodovanie  aspoň troch skutočne aktívnych členov alebo používateľov na regulovanom trhu, z ktorých každý má možnosť vstupovať do interakcie s ostatnými členmi alebo používateľmi, ak ide o tvorbu cien</w:t>
            </w:r>
            <w:bookmarkEnd w:id="6"/>
            <w:r w:rsidR="00A63BC7" w:rsidRPr="00AA0225">
              <w:rPr>
                <w:rStyle w:val="y2iqfc"/>
                <w:rFonts w:ascii="Times New Roman" w:hAnsi="Times New Roman" w:cs="Times New Roman"/>
                <w:b/>
                <w:bCs/>
              </w:rPr>
              <w:t>.</w:t>
            </w:r>
          </w:p>
          <w:p w14:paraId="5BFAEE6F" w14:textId="77777777" w:rsidR="00891F0B" w:rsidRPr="00AA0225" w:rsidRDefault="00891F0B" w:rsidP="00531286">
            <w:pPr>
              <w:contextualSpacing/>
              <w:jc w:val="both"/>
              <w:rPr>
                <w:b/>
                <w:sz w:val="20"/>
                <w:szCs w:val="20"/>
              </w:rPr>
            </w:pPr>
          </w:p>
          <w:p w14:paraId="449A0532" w14:textId="14E835D0" w:rsidR="001E53D2" w:rsidRPr="00AA0225" w:rsidRDefault="001E53D2" w:rsidP="001E53D2">
            <w:pPr>
              <w:contextualSpacing/>
              <w:jc w:val="both"/>
              <w:rPr>
                <w:b/>
                <w:sz w:val="20"/>
                <w:szCs w:val="20"/>
              </w:rPr>
            </w:pPr>
            <w:r w:rsidRPr="00AA0225">
              <w:rPr>
                <w:b/>
                <w:sz w:val="20"/>
                <w:szCs w:val="20"/>
              </w:rPr>
              <w:t xml:space="preserve">Poznámka pod čiarou k odkazu </w:t>
            </w:r>
            <w:r w:rsidR="00704300" w:rsidRPr="00AA0225">
              <w:rPr>
                <w:b/>
                <w:sz w:val="20"/>
                <w:szCs w:val="20"/>
              </w:rPr>
              <w:t>22a</w:t>
            </w:r>
            <w:r w:rsidR="00A25494" w:rsidRPr="00AA0225">
              <w:rPr>
                <w:b/>
                <w:sz w:val="20"/>
                <w:szCs w:val="20"/>
              </w:rPr>
              <w:t>b</w:t>
            </w:r>
            <w:r w:rsidRPr="00AA0225">
              <w:rPr>
                <w:b/>
                <w:sz w:val="20"/>
                <w:szCs w:val="20"/>
              </w:rPr>
              <w:t xml:space="preserve"> znie:</w:t>
            </w:r>
          </w:p>
          <w:p w14:paraId="2AB4BFEA" w14:textId="651A6823" w:rsidR="00704300" w:rsidRPr="00AA0225" w:rsidRDefault="00704300" w:rsidP="00704300">
            <w:pPr>
              <w:jc w:val="both"/>
              <w:rPr>
                <w:b/>
                <w:bCs/>
                <w:noProof/>
                <w:sz w:val="20"/>
                <w:szCs w:val="20"/>
                <w:shd w:val="clear" w:color="auto" w:fill="FFFFFF"/>
              </w:rPr>
            </w:pPr>
            <w:bookmarkStart w:id="7" w:name="_Hlk194053746"/>
            <w:r w:rsidRPr="00AA0225">
              <w:rPr>
                <w:b/>
                <w:bCs/>
                <w:noProof/>
                <w:sz w:val="20"/>
                <w:szCs w:val="20"/>
                <w:vertAlign w:val="superscript"/>
              </w:rPr>
              <w:t>22a</w:t>
            </w:r>
            <w:r w:rsidR="00A25494" w:rsidRPr="00AA0225">
              <w:rPr>
                <w:b/>
                <w:bCs/>
                <w:noProof/>
                <w:sz w:val="20"/>
                <w:szCs w:val="20"/>
                <w:vertAlign w:val="superscript"/>
              </w:rPr>
              <w:t>b</w:t>
            </w:r>
            <w:r w:rsidRPr="00AA0225">
              <w:rPr>
                <w:b/>
                <w:bCs/>
                <w:noProof/>
                <w:sz w:val="20"/>
                <w:szCs w:val="20"/>
              </w:rPr>
              <w:t xml:space="preserve">) Čl. 22b </w:t>
            </w:r>
            <w:r w:rsidRPr="00AA0225">
              <w:rPr>
                <w:b/>
                <w:bCs/>
                <w:noProof/>
                <w:sz w:val="20"/>
                <w:szCs w:val="20"/>
                <w:shd w:val="clear" w:color="auto" w:fill="FFFFFF"/>
              </w:rPr>
              <w:t>nariadenia (EÚ) č. </w:t>
            </w:r>
            <w:hyperlink r:id="rId11" w:tooltip="Nariadenie Európskeho parlamentu a Rady (EÚ) č. 600/2014 z  15. mája 2014 o trhoch s finančnými nástrojmi, ktorým sa mení nariadenie (EÚ) č. 648/2012 Text s významom pre EHP" w:history="1">
              <w:r w:rsidRPr="00AA0225">
                <w:rPr>
                  <w:rStyle w:val="Hypertextovprepojenie"/>
                  <w:b/>
                  <w:bCs/>
                  <w:noProof/>
                  <w:color w:val="auto"/>
                  <w:sz w:val="20"/>
                  <w:szCs w:val="20"/>
                  <w:u w:val="none"/>
                  <w:shd w:val="clear" w:color="auto" w:fill="FFFFFF"/>
                </w:rPr>
                <w:t>600/2014</w:t>
              </w:r>
            </w:hyperlink>
            <w:r w:rsidRPr="00AA0225">
              <w:rPr>
                <w:b/>
                <w:bCs/>
                <w:noProof/>
                <w:sz w:val="20"/>
                <w:szCs w:val="20"/>
              </w:rPr>
              <w:t xml:space="preserve"> v platnom znení</w:t>
            </w:r>
            <w:r w:rsidRPr="00AA0225">
              <w:rPr>
                <w:b/>
                <w:bCs/>
                <w:noProof/>
                <w:sz w:val="20"/>
                <w:szCs w:val="20"/>
                <w:shd w:val="clear" w:color="auto" w:fill="FFFFFF"/>
              </w:rPr>
              <w:t>.</w:t>
            </w:r>
          </w:p>
          <w:bookmarkEnd w:id="7"/>
          <w:p w14:paraId="63C62614" w14:textId="47ABF3CC" w:rsidR="001E53D2" w:rsidRPr="00AA0225" w:rsidRDefault="001E53D2" w:rsidP="001E53D2">
            <w:pPr>
              <w:contextualSpacing/>
              <w:jc w:val="both"/>
              <w:rPr>
                <w:b/>
                <w:sz w:val="20"/>
                <w:szCs w:val="20"/>
              </w:rPr>
            </w:pPr>
          </w:p>
        </w:tc>
        <w:tc>
          <w:tcPr>
            <w:tcW w:w="709" w:type="dxa"/>
            <w:tcBorders>
              <w:top w:val="single" w:sz="4" w:space="0" w:color="auto"/>
              <w:left w:val="single" w:sz="4" w:space="0" w:color="auto"/>
              <w:right w:val="single" w:sz="4" w:space="0" w:color="auto"/>
            </w:tcBorders>
          </w:tcPr>
          <w:p w14:paraId="43AFC214" w14:textId="77777777" w:rsidR="00891F0B" w:rsidRPr="00531286" w:rsidRDefault="00891F0B" w:rsidP="00531286">
            <w:pPr>
              <w:adjustRightInd w:val="0"/>
              <w:jc w:val="center"/>
              <w:rPr>
                <w:color w:val="000000"/>
                <w:sz w:val="22"/>
                <w:szCs w:val="22"/>
              </w:rPr>
            </w:pPr>
            <w:r w:rsidRPr="00531286">
              <w:rPr>
                <w:color w:val="000000"/>
                <w:sz w:val="22"/>
                <w:szCs w:val="22"/>
              </w:rPr>
              <w:lastRenderedPageBreak/>
              <w:t>Ú</w:t>
            </w:r>
          </w:p>
          <w:p w14:paraId="48B559EC" w14:textId="77777777" w:rsidR="00891F0B" w:rsidRPr="00531286" w:rsidRDefault="00891F0B" w:rsidP="00531286">
            <w:pPr>
              <w:adjustRightInd w:val="0"/>
              <w:jc w:val="center"/>
              <w:rPr>
                <w:color w:val="000000"/>
                <w:sz w:val="22"/>
                <w:szCs w:val="22"/>
              </w:rPr>
            </w:pPr>
          </w:p>
          <w:p w14:paraId="704798B6" w14:textId="77777777" w:rsidR="00891F0B" w:rsidRPr="00531286" w:rsidRDefault="00891F0B" w:rsidP="00531286">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05BA6021" w14:textId="77777777" w:rsidR="00891F0B" w:rsidRPr="00531286" w:rsidRDefault="00891F0B"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5A067594" w14:textId="77777777" w:rsidR="00891F0B" w:rsidRPr="00531286"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44D99352" w14:textId="77777777" w:rsidR="00891F0B" w:rsidRPr="00531286" w:rsidRDefault="00891F0B" w:rsidP="00531286">
            <w:pPr>
              <w:spacing w:before="75" w:after="75"/>
              <w:rPr>
                <w:sz w:val="22"/>
                <w:szCs w:val="22"/>
              </w:rPr>
            </w:pPr>
          </w:p>
        </w:tc>
      </w:tr>
      <w:tr w:rsidR="00891F0B" w:rsidRPr="009A16A9" w14:paraId="382BE898" w14:textId="77777777" w:rsidTr="004B4186">
        <w:tc>
          <w:tcPr>
            <w:tcW w:w="682" w:type="dxa"/>
            <w:tcBorders>
              <w:top w:val="single" w:sz="4" w:space="0" w:color="auto"/>
              <w:left w:val="single" w:sz="12" w:space="0" w:color="auto"/>
              <w:right w:val="single" w:sz="4" w:space="0" w:color="auto"/>
            </w:tcBorders>
          </w:tcPr>
          <w:p w14:paraId="0A7563F1" w14:textId="77777777" w:rsidR="00891F0B" w:rsidRPr="009A16A9" w:rsidRDefault="00891F0B" w:rsidP="00531286">
            <w:pPr>
              <w:jc w:val="center"/>
              <w:rPr>
                <w:sz w:val="22"/>
                <w:szCs w:val="22"/>
              </w:rPr>
            </w:pPr>
            <w:r w:rsidRPr="009A16A9">
              <w:rPr>
                <w:sz w:val="22"/>
                <w:szCs w:val="22"/>
              </w:rPr>
              <w:t>Č: 1</w:t>
            </w:r>
          </w:p>
          <w:p w14:paraId="5487CB9F" w14:textId="77777777" w:rsidR="00891F0B" w:rsidRPr="009A16A9" w:rsidRDefault="00891F0B" w:rsidP="00531286">
            <w:pPr>
              <w:jc w:val="center"/>
              <w:rPr>
                <w:sz w:val="22"/>
                <w:szCs w:val="22"/>
              </w:rPr>
            </w:pPr>
            <w:r w:rsidRPr="009A16A9">
              <w:rPr>
                <w:sz w:val="22"/>
                <w:szCs w:val="22"/>
              </w:rPr>
              <w:t xml:space="preserve">O: </w:t>
            </w:r>
            <w:r w:rsidR="00531286" w:rsidRPr="009A16A9">
              <w:rPr>
                <w:sz w:val="22"/>
                <w:szCs w:val="22"/>
              </w:rPr>
              <w:t>7</w:t>
            </w:r>
          </w:p>
          <w:p w14:paraId="789B8001" w14:textId="77777777" w:rsidR="00891F0B" w:rsidRPr="009A16A9" w:rsidRDefault="00891F0B" w:rsidP="00531286">
            <w:pPr>
              <w:jc w:val="center"/>
              <w:rPr>
                <w:sz w:val="22"/>
                <w:szCs w:val="22"/>
              </w:rPr>
            </w:pPr>
          </w:p>
          <w:p w14:paraId="008AA020" w14:textId="77777777" w:rsidR="00891F0B" w:rsidRPr="009A16A9" w:rsidRDefault="00891F0B" w:rsidP="00531286">
            <w:pPr>
              <w:jc w:val="center"/>
              <w:rPr>
                <w:sz w:val="22"/>
                <w:szCs w:val="22"/>
              </w:rPr>
            </w:pPr>
          </w:p>
          <w:p w14:paraId="612DA58B" w14:textId="77777777" w:rsidR="00891F0B" w:rsidRPr="009A16A9" w:rsidRDefault="00891F0B" w:rsidP="00531286">
            <w:pPr>
              <w:jc w:val="center"/>
              <w:rPr>
                <w:sz w:val="22"/>
                <w:szCs w:val="22"/>
              </w:rPr>
            </w:pPr>
          </w:p>
          <w:p w14:paraId="2F34AEFF" w14:textId="77777777" w:rsidR="00891F0B" w:rsidRPr="009A16A9" w:rsidRDefault="00891F0B" w:rsidP="00531286">
            <w:pPr>
              <w:jc w:val="center"/>
              <w:rPr>
                <w:sz w:val="22"/>
                <w:szCs w:val="22"/>
              </w:rPr>
            </w:pPr>
          </w:p>
          <w:p w14:paraId="132A485A" w14:textId="77777777" w:rsidR="00891F0B" w:rsidRPr="009A16A9" w:rsidRDefault="00891F0B" w:rsidP="00531286">
            <w:pPr>
              <w:jc w:val="center"/>
              <w:rPr>
                <w:sz w:val="22"/>
                <w:szCs w:val="22"/>
              </w:rPr>
            </w:pPr>
          </w:p>
          <w:p w14:paraId="582664C2" w14:textId="77777777" w:rsidR="00891F0B" w:rsidRPr="009A16A9" w:rsidRDefault="00891F0B" w:rsidP="00531286">
            <w:pPr>
              <w:jc w:val="center"/>
              <w:rPr>
                <w:sz w:val="22"/>
                <w:szCs w:val="22"/>
              </w:rPr>
            </w:pPr>
          </w:p>
          <w:p w14:paraId="53F44BEE" w14:textId="77777777" w:rsidR="00891F0B" w:rsidRPr="009A16A9" w:rsidRDefault="00891F0B" w:rsidP="00531286">
            <w:pPr>
              <w:jc w:val="center"/>
              <w:rPr>
                <w:sz w:val="22"/>
                <w:szCs w:val="22"/>
              </w:rPr>
            </w:pPr>
          </w:p>
          <w:p w14:paraId="5E11C10D" w14:textId="77777777" w:rsidR="00891F0B" w:rsidRPr="009A16A9" w:rsidRDefault="00891F0B" w:rsidP="00531286">
            <w:pPr>
              <w:jc w:val="center"/>
              <w:rPr>
                <w:sz w:val="22"/>
                <w:szCs w:val="22"/>
              </w:rPr>
            </w:pPr>
          </w:p>
          <w:p w14:paraId="6A27F686" w14:textId="77777777" w:rsidR="00891F0B" w:rsidRPr="009A16A9" w:rsidRDefault="00891F0B" w:rsidP="00531286">
            <w:pPr>
              <w:jc w:val="center"/>
              <w:rPr>
                <w:sz w:val="22"/>
                <w:szCs w:val="22"/>
              </w:rPr>
            </w:pPr>
          </w:p>
          <w:p w14:paraId="1A29549D" w14:textId="77777777" w:rsidR="00891F0B" w:rsidRPr="009A16A9" w:rsidRDefault="00891F0B" w:rsidP="00531286">
            <w:pPr>
              <w:jc w:val="center"/>
              <w:rPr>
                <w:sz w:val="22"/>
                <w:szCs w:val="22"/>
              </w:rPr>
            </w:pPr>
          </w:p>
          <w:p w14:paraId="3E9FCE05" w14:textId="77777777" w:rsidR="00891F0B" w:rsidRPr="009A16A9" w:rsidRDefault="00891F0B" w:rsidP="00531286">
            <w:pPr>
              <w:jc w:val="center"/>
              <w:rPr>
                <w:sz w:val="22"/>
                <w:szCs w:val="22"/>
              </w:rPr>
            </w:pPr>
          </w:p>
          <w:p w14:paraId="13AF7E7F" w14:textId="77777777" w:rsidR="00891F0B" w:rsidRPr="009A16A9" w:rsidRDefault="00891F0B" w:rsidP="00531286">
            <w:pPr>
              <w:jc w:val="center"/>
              <w:rPr>
                <w:sz w:val="22"/>
                <w:szCs w:val="22"/>
              </w:rPr>
            </w:pPr>
          </w:p>
          <w:p w14:paraId="4E947819" w14:textId="77777777" w:rsidR="00891F0B" w:rsidRPr="009A16A9" w:rsidRDefault="00891F0B" w:rsidP="00531286">
            <w:pPr>
              <w:jc w:val="center"/>
              <w:rPr>
                <w:sz w:val="22"/>
                <w:szCs w:val="22"/>
              </w:rPr>
            </w:pPr>
          </w:p>
          <w:p w14:paraId="30D02622" w14:textId="77777777" w:rsidR="00891F0B" w:rsidRPr="009A16A9" w:rsidRDefault="00891F0B" w:rsidP="00531286">
            <w:pPr>
              <w:jc w:val="center"/>
              <w:rPr>
                <w:sz w:val="22"/>
                <w:szCs w:val="22"/>
              </w:rPr>
            </w:pPr>
          </w:p>
          <w:p w14:paraId="3C53B208" w14:textId="77777777" w:rsidR="00891F0B" w:rsidRPr="009A16A9" w:rsidRDefault="00891F0B" w:rsidP="00531286">
            <w:pPr>
              <w:jc w:val="center"/>
              <w:rPr>
                <w:sz w:val="22"/>
                <w:szCs w:val="22"/>
              </w:rPr>
            </w:pPr>
          </w:p>
          <w:p w14:paraId="71E1A1EA" w14:textId="77777777" w:rsidR="00891F0B" w:rsidRPr="009A16A9" w:rsidRDefault="00891F0B" w:rsidP="00531286">
            <w:pPr>
              <w:jc w:val="center"/>
              <w:rPr>
                <w:sz w:val="22"/>
                <w:szCs w:val="22"/>
              </w:rPr>
            </w:pPr>
          </w:p>
          <w:p w14:paraId="780D7302" w14:textId="77777777" w:rsidR="00891F0B" w:rsidRPr="009A16A9" w:rsidRDefault="00891F0B" w:rsidP="00531286">
            <w:pPr>
              <w:jc w:val="center"/>
              <w:rPr>
                <w:sz w:val="22"/>
                <w:szCs w:val="22"/>
              </w:rPr>
            </w:pPr>
          </w:p>
          <w:p w14:paraId="37020E3C" w14:textId="77777777" w:rsidR="00891F0B" w:rsidRPr="009A16A9" w:rsidRDefault="00891F0B" w:rsidP="00531286">
            <w:pPr>
              <w:jc w:val="center"/>
              <w:rPr>
                <w:sz w:val="22"/>
                <w:szCs w:val="22"/>
              </w:rPr>
            </w:pPr>
          </w:p>
          <w:p w14:paraId="64E8ED09" w14:textId="77777777" w:rsidR="00891F0B" w:rsidRPr="009A16A9" w:rsidRDefault="00891F0B" w:rsidP="00531286">
            <w:pPr>
              <w:jc w:val="center"/>
              <w:rPr>
                <w:sz w:val="22"/>
                <w:szCs w:val="22"/>
              </w:rPr>
            </w:pPr>
          </w:p>
          <w:p w14:paraId="56DA58EC" w14:textId="77777777" w:rsidR="00891F0B" w:rsidRPr="009A16A9" w:rsidRDefault="00891F0B" w:rsidP="00531286">
            <w:pPr>
              <w:jc w:val="center"/>
              <w:rPr>
                <w:sz w:val="22"/>
                <w:szCs w:val="22"/>
              </w:rPr>
            </w:pPr>
          </w:p>
          <w:p w14:paraId="119229BB" w14:textId="77777777" w:rsidR="00891F0B" w:rsidRPr="009A16A9" w:rsidRDefault="00891F0B" w:rsidP="00531286">
            <w:pPr>
              <w:jc w:val="center"/>
              <w:rPr>
                <w:sz w:val="22"/>
                <w:szCs w:val="22"/>
              </w:rPr>
            </w:pPr>
          </w:p>
          <w:p w14:paraId="2F57B62A" w14:textId="77777777" w:rsidR="00891F0B" w:rsidRPr="009A16A9" w:rsidRDefault="00891F0B" w:rsidP="00531286">
            <w:pPr>
              <w:jc w:val="center"/>
              <w:rPr>
                <w:sz w:val="22"/>
                <w:szCs w:val="22"/>
              </w:rPr>
            </w:pPr>
          </w:p>
          <w:p w14:paraId="52F42AD2" w14:textId="77777777" w:rsidR="00891F0B" w:rsidRPr="009A16A9" w:rsidRDefault="00891F0B" w:rsidP="00531286">
            <w:pPr>
              <w:jc w:val="center"/>
              <w:rPr>
                <w:sz w:val="22"/>
                <w:szCs w:val="22"/>
              </w:rPr>
            </w:pPr>
          </w:p>
          <w:p w14:paraId="7C1B91A7" w14:textId="77777777" w:rsidR="00891F0B" w:rsidRPr="009A16A9" w:rsidRDefault="00891F0B" w:rsidP="00531286">
            <w:pPr>
              <w:jc w:val="center"/>
              <w:rPr>
                <w:sz w:val="22"/>
                <w:szCs w:val="22"/>
              </w:rPr>
            </w:pPr>
          </w:p>
          <w:p w14:paraId="48AFABED" w14:textId="77777777" w:rsidR="00891F0B" w:rsidRPr="009A16A9" w:rsidRDefault="00891F0B" w:rsidP="00531286">
            <w:pPr>
              <w:jc w:val="center"/>
              <w:rPr>
                <w:sz w:val="22"/>
                <w:szCs w:val="22"/>
              </w:rPr>
            </w:pPr>
          </w:p>
          <w:p w14:paraId="16639178" w14:textId="77777777" w:rsidR="00891F0B" w:rsidRPr="009A16A9" w:rsidRDefault="00891F0B" w:rsidP="00531286">
            <w:pPr>
              <w:jc w:val="center"/>
              <w:rPr>
                <w:sz w:val="22"/>
                <w:szCs w:val="22"/>
              </w:rPr>
            </w:pPr>
          </w:p>
          <w:p w14:paraId="04D0716E" w14:textId="77777777" w:rsidR="00891F0B" w:rsidRPr="009A16A9" w:rsidRDefault="00891F0B" w:rsidP="00531286">
            <w:pPr>
              <w:jc w:val="center"/>
              <w:rPr>
                <w:sz w:val="22"/>
                <w:szCs w:val="22"/>
              </w:rPr>
            </w:pPr>
          </w:p>
          <w:p w14:paraId="4B9C2B5A" w14:textId="77777777" w:rsidR="00891F0B" w:rsidRPr="009A16A9" w:rsidRDefault="00891F0B" w:rsidP="00531286">
            <w:pPr>
              <w:jc w:val="center"/>
              <w:rPr>
                <w:sz w:val="22"/>
                <w:szCs w:val="22"/>
              </w:rPr>
            </w:pPr>
          </w:p>
          <w:p w14:paraId="413803D9" w14:textId="77777777" w:rsidR="00891F0B" w:rsidRPr="009A16A9" w:rsidRDefault="00891F0B" w:rsidP="00531286">
            <w:pPr>
              <w:jc w:val="center"/>
              <w:rPr>
                <w:sz w:val="22"/>
                <w:szCs w:val="22"/>
              </w:rPr>
            </w:pPr>
          </w:p>
          <w:p w14:paraId="1CF861BE" w14:textId="77777777" w:rsidR="00891F0B" w:rsidRPr="009A16A9" w:rsidRDefault="00891F0B" w:rsidP="00531286">
            <w:pPr>
              <w:jc w:val="center"/>
              <w:rPr>
                <w:sz w:val="22"/>
                <w:szCs w:val="22"/>
              </w:rPr>
            </w:pPr>
          </w:p>
          <w:p w14:paraId="7FCA7B8E" w14:textId="77777777" w:rsidR="00891F0B" w:rsidRPr="009A16A9" w:rsidRDefault="00891F0B" w:rsidP="00531286">
            <w:pPr>
              <w:jc w:val="center"/>
              <w:rPr>
                <w:sz w:val="22"/>
                <w:szCs w:val="22"/>
              </w:rPr>
            </w:pPr>
          </w:p>
          <w:p w14:paraId="15F2E602" w14:textId="77777777" w:rsidR="00891F0B" w:rsidRPr="009A16A9" w:rsidRDefault="00891F0B" w:rsidP="00531286">
            <w:pPr>
              <w:jc w:val="center"/>
              <w:rPr>
                <w:sz w:val="22"/>
                <w:szCs w:val="22"/>
              </w:rPr>
            </w:pPr>
          </w:p>
          <w:p w14:paraId="226E921A" w14:textId="77777777" w:rsidR="00891F0B" w:rsidRPr="009A16A9" w:rsidRDefault="00891F0B" w:rsidP="00531286">
            <w:pPr>
              <w:jc w:val="center"/>
              <w:rPr>
                <w:sz w:val="22"/>
                <w:szCs w:val="22"/>
              </w:rPr>
            </w:pPr>
          </w:p>
          <w:p w14:paraId="06E7ABD7" w14:textId="77777777" w:rsidR="00891F0B" w:rsidRPr="009A16A9" w:rsidRDefault="00891F0B" w:rsidP="00531286">
            <w:pPr>
              <w:jc w:val="center"/>
              <w:rPr>
                <w:sz w:val="22"/>
                <w:szCs w:val="22"/>
              </w:rPr>
            </w:pPr>
          </w:p>
          <w:p w14:paraId="00B81A05" w14:textId="77777777" w:rsidR="00891F0B" w:rsidRPr="009A16A9" w:rsidRDefault="00891F0B" w:rsidP="00531286">
            <w:pPr>
              <w:jc w:val="center"/>
              <w:rPr>
                <w:sz w:val="22"/>
                <w:szCs w:val="22"/>
              </w:rPr>
            </w:pPr>
          </w:p>
          <w:p w14:paraId="31CAED29" w14:textId="77777777" w:rsidR="00891F0B" w:rsidRPr="009A16A9" w:rsidRDefault="00891F0B" w:rsidP="00531286">
            <w:pPr>
              <w:jc w:val="center"/>
              <w:rPr>
                <w:sz w:val="22"/>
                <w:szCs w:val="22"/>
              </w:rPr>
            </w:pPr>
          </w:p>
          <w:p w14:paraId="50F91257" w14:textId="77777777" w:rsidR="00891F0B" w:rsidRPr="009A16A9" w:rsidRDefault="00891F0B" w:rsidP="00531286">
            <w:pPr>
              <w:jc w:val="center"/>
              <w:rPr>
                <w:sz w:val="22"/>
                <w:szCs w:val="22"/>
              </w:rPr>
            </w:pPr>
          </w:p>
          <w:p w14:paraId="7E416DC7" w14:textId="77777777" w:rsidR="00891F0B" w:rsidRPr="009A16A9" w:rsidRDefault="00891F0B" w:rsidP="00531286">
            <w:pPr>
              <w:jc w:val="center"/>
              <w:rPr>
                <w:sz w:val="22"/>
                <w:szCs w:val="22"/>
              </w:rPr>
            </w:pPr>
          </w:p>
          <w:p w14:paraId="2F1D6F78" w14:textId="77777777" w:rsidR="00891F0B" w:rsidRPr="009A16A9" w:rsidRDefault="00891F0B" w:rsidP="00531286">
            <w:pPr>
              <w:jc w:val="center"/>
              <w:rPr>
                <w:sz w:val="22"/>
                <w:szCs w:val="22"/>
              </w:rPr>
            </w:pPr>
          </w:p>
          <w:p w14:paraId="174A11F5" w14:textId="77777777" w:rsidR="00891F0B" w:rsidRPr="009A16A9" w:rsidRDefault="00891F0B" w:rsidP="00531286">
            <w:pPr>
              <w:jc w:val="center"/>
              <w:rPr>
                <w:sz w:val="22"/>
                <w:szCs w:val="22"/>
              </w:rPr>
            </w:pPr>
          </w:p>
          <w:p w14:paraId="0F9FA2CC" w14:textId="77777777" w:rsidR="00891F0B" w:rsidRPr="009A16A9" w:rsidRDefault="00891F0B" w:rsidP="00531286">
            <w:pPr>
              <w:jc w:val="center"/>
              <w:rPr>
                <w:sz w:val="22"/>
                <w:szCs w:val="22"/>
              </w:rPr>
            </w:pPr>
          </w:p>
          <w:p w14:paraId="7A3527D3" w14:textId="77777777" w:rsidR="00891F0B" w:rsidRPr="009A16A9" w:rsidRDefault="00891F0B" w:rsidP="00531286">
            <w:pPr>
              <w:jc w:val="center"/>
              <w:rPr>
                <w:sz w:val="22"/>
                <w:szCs w:val="22"/>
              </w:rPr>
            </w:pPr>
          </w:p>
          <w:p w14:paraId="6445C0F0" w14:textId="77777777" w:rsidR="00891F0B" w:rsidRPr="009A16A9" w:rsidRDefault="00891F0B" w:rsidP="00531286">
            <w:pPr>
              <w:jc w:val="center"/>
              <w:rPr>
                <w:sz w:val="22"/>
                <w:szCs w:val="22"/>
              </w:rPr>
            </w:pPr>
          </w:p>
          <w:p w14:paraId="6307979E" w14:textId="77777777" w:rsidR="00891F0B" w:rsidRPr="009A16A9" w:rsidRDefault="00891F0B" w:rsidP="00531286">
            <w:pPr>
              <w:jc w:val="center"/>
              <w:rPr>
                <w:sz w:val="22"/>
                <w:szCs w:val="22"/>
              </w:rPr>
            </w:pPr>
          </w:p>
        </w:tc>
        <w:tc>
          <w:tcPr>
            <w:tcW w:w="4620" w:type="dxa"/>
            <w:tcBorders>
              <w:top w:val="single" w:sz="4" w:space="0" w:color="auto"/>
              <w:left w:val="single" w:sz="4" w:space="0" w:color="auto"/>
              <w:right w:val="single" w:sz="4" w:space="0" w:color="auto"/>
            </w:tcBorders>
          </w:tcPr>
          <w:p w14:paraId="35507FD6" w14:textId="77777777" w:rsidR="004F20A1" w:rsidRPr="009A16A9" w:rsidRDefault="004F20A1" w:rsidP="004F20A1">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lastRenderedPageBreak/>
              <w:t>Článok 48 sa mení takto:</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2"/>
              <w:gridCol w:w="4162"/>
            </w:tblGrid>
            <w:tr w:rsidR="004A690B" w:rsidRPr="004A690B" w14:paraId="18858EE3" w14:textId="77777777" w:rsidTr="004A690B">
              <w:tc>
                <w:tcPr>
                  <w:tcW w:w="727" w:type="dxa"/>
                  <w:shd w:val="clear" w:color="auto" w:fill="FFFFFF"/>
                  <w:hideMark/>
                </w:tcPr>
                <w:p w14:paraId="6C44FCBF"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a)</w:t>
                  </w:r>
                </w:p>
              </w:tc>
              <w:tc>
                <w:tcPr>
                  <w:tcW w:w="8345" w:type="dxa"/>
                  <w:shd w:val="clear" w:color="auto" w:fill="FFFFFF"/>
                  <w:hideMark/>
                </w:tcPr>
                <w:p w14:paraId="2DA11A95"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odsek 5 sa mení takto:</w:t>
                  </w:r>
                </w:p>
              </w:tc>
            </w:tr>
          </w:tbl>
          <w:p w14:paraId="56C75C40" w14:textId="77777777" w:rsidR="00B162C8" w:rsidRPr="009A16A9" w:rsidRDefault="00B162C8" w:rsidP="00B162C8">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 xml:space="preserve">i) prvý </w:t>
            </w:r>
            <w:proofErr w:type="spellStart"/>
            <w:r w:rsidRPr="009A16A9">
              <w:rPr>
                <w:rStyle w:val="y2iqfc"/>
                <w:rFonts w:ascii="Times New Roman" w:hAnsi="Times New Roman" w:cs="Times New Roman"/>
                <w:color w:val="202124"/>
                <w:sz w:val="22"/>
                <w:szCs w:val="22"/>
              </w:rPr>
              <w:t>pododsek</w:t>
            </w:r>
            <w:proofErr w:type="spellEnd"/>
            <w:r w:rsidRPr="009A16A9">
              <w:rPr>
                <w:rStyle w:val="y2iqfc"/>
                <w:rFonts w:ascii="Times New Roman" w:hAnsi="Times New Roman" w:cs="Times New Roman"/>
                <w:color w:val="202124"/>
                <w:sz w:val="22"/>
                <w:szCs w:val="22"/>
              </w:rPr>
              <w:t xml:space="preserve"> sa nahrádza takto:</w:t>
            </w:r>
          </w:p>
          <w:p w14:paraId="3F33AD37" w14:textId="69514314" w:rsidR="00C524AF" w:rsidRDefault="00B162C8" w:rsidP="00B162C8">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w:t>
            </w:r>
            <w:r w:rsidR="004A690B" w:rsidRPr="009A16A9">
              <w:rPr>
                <w:rFonts w:ascii="Times New Roman" w:hAnsi="Times New Roman" w:cs="Times New Roman"/>
                <w:color w:val="000000"/>
                <w:sz w:val="22"/>
                <w:szCs w:val="22"/>
                <w:shd w:val="clear" w:color="auto" w:fill="FFFFFF"/>
              </w:rPr>
              <w:t>Členské štáty vyžadujú, aby regulovaný trh mohol dočasne zastaviť alebo obmedziť obchodovanie v </w:t>
            </w:r>
            <w:r w:rsidR="004A690B" w:rsidRPr="00F66263">
              <w:rPr>
                <w:rFonts w:ascii="Times New Roman" w:hAnsi="Times New Roman" w:cs="Times New Roman"/>
                <w:sz w:val="22"/>
                <w:szCs w:val="22"/>
                <w:shd w:val="clear" w:color="auto" w:fill="FFFFFF"/>
              </w:rPr>
              <w:t xml:space="preserve">mimoriadnych situáciách </w:t>
            </w:r>
            <w:r w:rsidR="004A690B" w:rsidRPr="009A16A9">
              <w:rPr>
                <w:rFonts w:ascii="Times New Roman" w:hAnsi="Times New Roman" w:cs="Times New Roman"/>
                <w:color w:val="000000"/>
                <w:sz w:val="22"/>
                <w:szCs w:val="22"/>
                <w:shd w:val="clear" w:color="auto" w:fill="FFFFFF"/>
              </w:rPr>
              <w:t xml:space="preserve">alebo v prípade významného pohybu ceny finančného nástroja na danom trhu alebo súvisiacom trhu počas krátkeho obdobia a aby vo </w:t>
            </w:r>
            <w:r w:rsidR="004A690B" w:rsidRPr="00CE0344">
              <w:rPr>
                <w:rFonts w:ascii="Times New Roman" w:hAnsi="Times New Roman" w:cs="Times New Roman"/>
                <w:sz w:val="22"/>
                <w:szCs w:val="22"/>
                <w:shd w:val="clear" w:color="auto" w:fill="FFFFFF"/>
              </w:rPr>
              <w:t xml:space="preserve">výnimočných prípadoch </w:t>
            </w:r>
            <w:r w:rsidR="004A690B" w:rsidRPr="009A16A9">
              <w:rPr>
                <w:rFonts w:ascii="Times New Roman" w:hAnsi="Times New Roman" w:cs="Times New Roman"/>
                <w:color w:val="000000"/>
                <w:sz w:val="22"/>
                <w:szCs w:val="22"/>
                <w:shd w:val="clear" w:color="auto" w:fill="FFFFFF"/>
              </w:rPr>
              <w:t>mohol zrušiť, zmeniť alebo opraviť akúkoľvek transakciu. Členské štáty vyžadujú, aby regulovaný trh zabezpečil, že parametre pre zastavenie alebo obmedzenie obchodovania sú vhodne nastavené spôsobom, ktorý zohľadní likviditu jednotlivých tried a podtried aktív, povahu trhového modelu a typy používateľov a ktorý je dostačujúci na to, aby sa zabránilo významným narušeniam riadneho obchodovania</w:t>
            </w:r>
            <w:r w:rsidRPr="009A16A9">
              <w:rPr>
                <w:rStyle w:val="y2iqfc"/>
                <w:rFonts w:ascii="Times New Roman" w:hAnsi="Times New Roman" w:cs="Times New Roman"/>
                <w:color w:val="202124"/>
                <w:sz w:val="22"/>
                <w:szCs w:val="22"/>
              </w:rPr>
              <w:t>.“;</w:t>
            </w:r>
          </w:p>
          <w:tbl>
            <w:tblPr>
              <w:tblW w:w="4733" w:type="pct"/>
              <w:shd w:val="clear" w:color="auto" w:fill="FFFFFF"/>
              <w:tblLayout w:type="fixed"/>
              <w:tblCellMar>
                <w:left w:w="0" w:type="dxa"/>
                <w:right w:w="0" w:type="dxa"/>
              </w:tblCellMar>
              <w:tblLook w:val="04A0" w:firstRow="1" w:lastRow="0" w:firstColumn="1" w:lastColumn="0" w:noHBand="0" w:noVBand="1"/>
            </w:tblPr>
            <w:tblGrid>
              <w:gridCol w:w="309"/>
              <w:gridCol w:w="3983"/>
            </w:tblGrid>
            <w:tr w:rsidR="004A690B" w:rsidRPr="004A690B" w14:paraId="5F0BD7BF" w14:textId="77777777" w:rsidTr="00732B35">
              <w:trPr>
                <w:trHeight w:val="4573"/>
              </w:trPr>
              <w:tc>
                <w:tcPr>
                  <w:tcW w:w="309" w:type="dxa"/>
                  <w:shd w:val="clear" w:color="auto" w:fill="FFFFFF"/>
                  <w:hideMark/>
                </w:tcPr>
                <w:p w14:paraId="734DD247" w14:textId="3FA2F301" w:rsidR="004A690B" w:rsidRPr="004A690B" w:rsidRDefault="004A690B" w:rsidP="004A690B">
                  <w:pPr>
                    <w:autoSpaceDE/>
                    <w:autoSpaceDN/>
                    <w:spacing w:before="120"/>
                    <w:jc w:val="both"/>
                    <w:rPr>
                      <w:color w:val="000000"/>
                      <w:sz w:val="22"/>
                      <w:szCs w:val="22"/>
                    </w:rPr>
                  </w:pPr>
                </w:p>
              </w:tc>
              <w:tc>
                <w:tcPr>
                  <w:tcW w:w="3983" w:type="dxa"/>
                  <w:shd w:val="clear" w:color="auto" w:fill="FFFFFF"/>
                  <w:hideMark/>
                </w:tcPr>
                <w:p w14:paraId="0B88F57E"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 xml:space="preserve">dopĺňajú sa tieto </w:t>
                  </w:r>
                  <w:proofErr w:type="spellStart"/>
                  <w:r w:rsidRPr="004A690B">
                    <w:rPr>
                      <w:color w:val="000000"/>
                      <w:sz w:val="22"/>
                      <w:szCs w:val="22"/>
                    </w:rPr>
                    <w:t>pododseky</w:t>
                  </w:r>
                  <w:proofErr w:type="spellEnd"/>
                  <w:r w:rsidRPr="004A690B">
                    <w:rPr>
                      <w:color w:val="000000"/>
                      <w:sz w:val="22"/>
                      <w:szCs w:val="22"/>
                    </w:rPr>
                    <w:t>:</w:t>
                  </w:r>
                </w:p>
                <w:p w14:paraId="203E9474" w14:textId="77777777" w:rsidR="004A690B" w:rsidRPr="004A690B" w:rsidRDefault="004A690B" w:rsidP="004A690B">
                  <w:pPr>
                    <w:autoSpaceDE/>
                    <w:autoSpaceDN/>
                    <w:spacing w:before="120"/>
                    <w:jc w:val="both"/>
                    <w:rPr>
                      <w:color w:val="000000"/>
                      <w:sz w:val="22"/>
                      <w:szCs w:val="22"/>
                    </w:rPr>
                  </w:pPr>
                  <w:r w:rsidRPr="004A690B">
                    <w:rPr>
                      <w:color w:val="000000"/>
                      <w:sz w:val="22"/>
                      <w:szCs w:val="22"/>
                    </w:rPr>
                    <w:t>„Členské štáty vyžadujú, aby regulovaný trh na svojom webovom sídle zverejňoval informácie o okolnostiach, ktoré viedli k zastaveniu alebo obmedzeniu obchodovania, a o zásadách stanovenia hlavných technických parametrov, ktoré sa na to použili.</w:t>
                  </w:r>
                </w:p>
                <w:p w14:paraId="1BD1EA07" w14:textId="6AC6073E" w:rsidR="004A690B" w:rsidRPr="004A690B" w:rsidRDefault="004A690B" w:rsidP="004A690B">
                  <w:pPr>
                    <w:autoSpaceDE/>
                    <w:autoSpaceDN/>
                    <w:spacing w:before="120"/>
                    <w:jc w:val="both"/>
                    <w:rPr>
                      <w:color w:val="000000"/>
                      <w:sz w:val="22"/>
                      <w:szCs w:val="22"/>
                    </w:rPr>
                  </w:pPr>
                  <w:r w:rsidRPr="004A690B">
                    <w:rPr>
                      <w:color w:val="000000"/>
                      <w:sz w:val="22"/>
                      <w:szCs w:val="22"/>
                    </w:rPr>
                    <w:t xml:space="preserve">Členské štáty zabezpečia, aby v prípade, keď regulovaný trh nezastaví alebo neobmedzí obchodovanie, ako sa uvádza v prvom </w:t>
                  </w:r>
                  <w:proofErr w:type="spellStart"/>
                  <w:r w:rsidRPr="004A690B">
                    <w:rPr>
                      <w:color w:val="000000"/>
                      <w:sz w:val="22"/>
                      <w:szCs w:val="22"/>
                    </w:rPr>
                    <w:t>pododseku</w:t>
                  </w:r>
                  <w:proofErr w:type="spellEnd"/>
                  <w:r w:rsidRPr="004A690B">
                    <w:rPr>
                      <w:color w:val="000000"/>
                      <w:sz w:val="22"/>
                      <w:szCs w:val="22"/>
                    </w:rPr>
                    <w:t xml:space="preserve">, napriek tomu, že významný pohyb ceny finančného nástroja alebo súvisiacich finančných nástrojov viedol k narušeniu podmienok obchodovania na jednom alebo viacerých trhoch, príslušné orgány mohli prijať vhodné opatrenia na obnovenie normálneho fungovania trhov vrátane použitia právomocí </w:t>
                  </w:r>
                  <w:r w:rsidRPr="001E53D2">
                    <w:rPr>
                      <w:sz w:val="22"/>
                      <w:szCs w:val="22"/>
                    </w:rPr>
                    <w:t xml:space="preserve">v oblasti </w:t>
                  </w:r>
                  <w:r w:rsidRPr="00F66263">
                    <w:rPr>
                      <w:sz w:val="22"/>
                      <w:szCs w:val="22"/>
                    </w:rPr>
                    <w:t>dohľadu uvedených v článku 69 ods. 2 písm. m)</w:t>
                  </w:r>
                  <w:r w:rsidR="00732B35">
                    <w:rPr>
                      <w:sz w:val="22"/>
                      <w:szCs w:val="22"/>
                    </w:rPr>
                    <w:t xml:space="preserve"> až p).“;</w:t>
                  </w:r>
                </w:p>
              </w:tc>
            </w:tr>
          </w:tbl>
          <w:p w14:paraId="6460A5FB" w14:textId="77777777" w:rsidR="004A690B" w:rsidRPr="009A16A9" w:rsidRDefault="004A690B" w:rsidP="00B162C8">
            <w:pPr>
              <w:pStyle w:val="PredformtovanHTML"/>
              <w:shd w:val="clear" w:color="auto" w:fill="F8F9FA"/>
              <w:rPr>
                <w:rStyle w:val="y2iqfc"/>
                <w:rFonts w:ascii="Times New Roman" w:hAnsi="Times New Roman" w:cs="Times New Roman"/>
                <w:color w:val="202124"/>
                <w:sz w:val="22"/>
                <w:szCs w:val="22"/>
              </w:rPr>
            </w:pPr>
          </w:p>
          <w:p w14:paraId="6ACC8817" w14:textId="77777777" w:rsidR="004A690B" w:rsidRDefault="004A690B" w:rsidP="00B162C8">
            <w:pPr>
              <w:pStyle w:val="PredformtovanHTML"/>
              <w:shd w:val="clear" w:color="auto" w:fill="F8F9FA"/>
              <w:rPr>
                <w:rStyle w:val="y2iqfc"/>
                <w:rFonts w:ascii="Times New Roman" w:hAnsi="Times New Roman" w:cs="Times New Roman"/>
                <w:color w:val="202124"/>
                <w:sz w:val="22"/>
                <w:szCs w:val="22"/>
              </w:rPr>
            </w:pPr>
          </w:p>
          <w:p w14:paraId="438DC880" w14:textId="77777777" w:rsidR="00BF388D" w:rsidRPr="009A16A9" w:rsidRDefault="00BF388D" w:rsidP="00B162C8">
            <w:pPr>
              <w:pStyle w:val="PredformtovanHTML"/>
              <w:shd w:val="clear" w:color="auto" w:fill="F8F9FA"/>
              <w:rPr>
                <w:rStyle w:val="y2iqfc"/>
                <w:rFonts w:ascii="Times New Roman" w:hAnsi="Times New Roman" w:cs="Times New Roman"/>
                <w:color w:val="202124"/>
                <w:sz w:val="22"/>
                <w:szCs w:val="22"/>
              </w:rPr>
            </w:pPr>
          </w:p>
          <w:p w14:paraId="3151B0F1" w14:textId="77777777" w:rsidR="00C524AF" w:rsidRPr="009A16A9" w:rsidRDefault="00C524AF" w:rsidP="00B162C8">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b) odsek 12 sa mení takto:</w:t>
            </w:r>
          </w:p>
          <w:p w14:paraId="25FDCA3F" w14:textId="77777777" w:rsidR="00C524AF" w:rsidRPr="009A16A9" w:rsidRDefault="00C524AF" w:rsidP="00B162C8">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 xml:space="preserve">i) v prvom </w:t>
            </w:r>
            <w:proofErr w:type="spellStart"/>
            <w:r w:rsidRPr="009A16A9">
              <w:rPr>
                <w:rStyle w:val="y2iqfc"/>
                <w:rFonts w:ascii="Times New Roman" w:hAnsi="Times New Roman" w:cs="Times New Roman"/>
                <w:color w:val="202124"/>
                <w:sz w:val="22"/>
                <w:szCs w:val="22"/>
              </w:rPr>
              <w:t>pododseku</w:t>
            </w:r>
            <w:proofErr w:type="spellEnd"/>
            <w:r w:rsidRPr="009A16A9">
              <w:rPr>
                <w:rStyle w:val="y2iqfc"/>
                <w:rFonts w:ascii="Times New Roman" w:hAnsi="Times New Roman" w:cs="Times New Roman"/>
                <w:color w:val="202124"/>
                <w:sz w:val="22"/>
                <w:szCs w:val="22"/>
              </w:rPr>
              <w:t xml:space="preserve"> sa dopĺňajú tieto </w:t>
            </w:r>
            <w:r w:rsidR="004A690B" w:rsidRPr="009A16A9">
              <w:rPr>
                <w:rStyle w:val="y2iqfc"/>
                <w:rFonts w:ascii="Times New Roman" w:hAnsi="Times New Roman" w:cs="Times New Roman"/>
                <w:color w:val="202124"/>
                <w:sz w:val="22"/>
                <w:szCs w:val="22"/>
              </w:rPr>
              <w:t>písmená</w:t>
            </w:r>
            <w:r w:rsidRPr="009A16A9">
              <w:rPr>
                <w:rStyle w:val="y2iqfc"/>
                <w:rFonts w:ascii="Times New Roman" w:hAnsi="Times New Roman" w:cs="Times New Roman"/>
                <w:color w:val="202124"/>
                <w:sz w:val="22"/>
                <w:szCs w:val="22"/>
              </w:rPr>
              <w:t>:</w:t>
            </w:r>
          </w:p>
          <w:p w14:paraId="14448B50" w14:textId="77777777" w:rsidR="00C524AF" w:rsidRPr="009A16A9" w:rsidRDefault="00C524AF" w:rsidP="00B162C8">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 xml:space="preserve">„h) </w:t>
            </w:r>
            <w:r w:rsidR="004A690B" w:rsidRPr="009A16A9">
              <w:rPr>
                <w:rFonts w:ascii="Times New Roman" w:hAnsi="Times New Roman" w:cs="Times New Roman"/>
                <w:color w:val="000000"/>
                <w:sz w:val="22"/>
                <w:szCs w:val="22"/>
                <w:shd w:val="clear" w:color="auto" w:fill="FFFFFF"/>
              </w:rPr>
              <w:t xml:space="preserve">zásady, ktoré majú regulované trhy zohľadniť pri stanovení svojich mechanizmov na zastavenie alebo obmedzenie obchodovania v súlade s odsekom 5, pričom sa zohľadňuje likvidita rôznych tried a podtried aktív, povaha trhového modelu a typy používateľov, a to bez toho, aby bola dotknutá </w:t>
            </w:r>
            <w:proofErr w:type="spellStart"/>
            <w:r w:rsidR="004A690B" w:rsidRPr="009A16A9">
              <w:rPr>
                <w:rFonts w:ascii="Times New Roman" w:hAnsi="Times New Roman" w:cs="Times New Roman"/>
                <w:color w:val="000000"/>
                <w:sz w:val="22"/>
                <w:szCs w:val="22"/>
                <w:shd w:val="clear" w:color="auto" w:fill="FFFFFF"/>
              </w:rPr>
              <w:t>diskrečná</w:t>
            </w:r>
            <w:proofErr w:type="spellEnd"/>
            <w:r w:rsidR="004A690B" w:rsidRPr="009A16A9">
              <w:rPr>
                <w:rFonts w:ascii="Times New Roman" w:hAnsi="Times New Roman" w:cs="Times New Roman"/>
                <w:color w:val="000000"/>
                <w:sz w:val="22"/>
                <w:szCs w:val="22"/>
                <w:shd w:val="clear" w:color="auto" w:fill="FFFFFF"/>
              </w:rPr>
              <w:t xml:space="preserve"> právomoc regulovaných trhov pri stanovovaní týchto mechanizmov</w:t>
            </w:r>
            <w:r w:rsidRPr="009A16A9">
              <w:rPr>
                <w:rStyle w:val="y2iqfc"/>
                <w:rFonts w:ascii="Times New Roman" w:hAnsi="Times New Roman" w:cs="Times New Roman"/>
                <w:color w:val="202124"/>
                <w:sz w:val="22"/>
                <w:szCs w:val="22"/>
              </w:rPr>
              <w:t>;</w:t>
            </w:r>
          </w:p>
          <w:p w14:paraId="24A126EC" w14:textId="77777777" w:rsidR="004A690B" w:rsidRPr="009A16A9" w:rsidRDefault="00C524AF" w:rsidP="004A690B">
            <w:pPr>
              <w:pStyle w:val="PredformtovanHTML"/>
              <w:shd w:val="clear" w:color="auto" w:fill="F8F9FA"/>
              <w:rPr>
                <w:rFonts w:ascii="Times New Roman" w:hAnsi="Times New Roman" w:cs="Times New Roman"/>
                <w:color w:val="000000"/>
                <w:sz w:val="22"/>
                <w:szCs w:val="22"/>
              </w:rPr>
            </w:pPr>
            <w:r w:rsidRPr="009A16A9">
              <w:rPr>
                <w:rStyle w:val="y2iqfc"/>
                <w:rFonts w:ascii="Times New Roman" w:hAnsi="Times New Roman" w:cs="Times New Roman"/>
                <w:color w:val="202124"/>
                <w:sz w:val="22"/>
                <w:szCs w:val="22"/>
              </w:rPr>
              <w:t xml:space="preserve">i) </w:t>
            </w:r>
            <w:r w:rsidR="004A690B" w:rsidRPr="009A16A9">
              <w:rPr>
                <w:rFonts w:ascii="Times New Roman" w:hAnsi="Times New Roman" w:cs="Times New Roman"/>
                <w:color w:val="000000"/>
                <w:sz w:val="22"/>
                <w:szCs w:val="22"/>
              </w:rPr>
              <w:t xml:space="preserve">informácie, ktoré majú regulované trhy zverejňovať, vrátane parametrov pre zastavenie obchodovania, ktoré majú regulované trhy </w:t>
            </w:r>
            <w:r w:rsidR="004A690B" w:rsidRPr="009A16A9">
              <w:rPr>
                <w:rFonts w:ascii="Times New Roman" w:hAnsi="Times New Roman" w:cs="Times New Roman"/>
                <w:color w:val="000000"/>
                <w:sz w:val="22"/>
                <w:szCs w:val="22"/>
              </w:rPr>
              <w:lastRenderedPageBreak/>
              <w:t>oznamovať príslušným orgánom, podľa odseku 5.“.</w:t>
            </w:r>
          </w:p>
          <w:p w14:paraId="555F01AD" w14:textId="77777777" w:rsidR="004A690B" w:rsidRPr="009A16A9" w:rsidRDefault="004A690B" w:rsidP="00B162C8">
            <w:pPr>
              <w:pStyle w:val="PredformtovanHTML"/>
              <w:shd w:val="clear" w:color="auto" w:fill="F8F9FA"/>
              <w:rPr>
                <w:rStyle w:val="y2iqfc"/>
                <w:rFonts w:ascii="Times New Roman" w:hAnsi="Times New Roman" w:cs="Times New Roman"/>
                <w:color w:val="202124"/>
                <w:sz w:val="22"/>
                <w:szCs w:val="22"/>
              </w:rPr>
            </w:pPr>
          </w:p>
          <w:p w14:paraId="38D030CD" w14:textId="77777777" w:rsidR="00C524AF" w:rsidRPr="009A16A9" w:rsidRDefault="00C524AF" w:rsidP="00B162C8">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 xml:space="preserve">ii) druhý a tretí </w:t>
            </w:r>
            <w:proofErr w:type="spellStart"/>
            <w:r w:rsidRPr="009A16A9">
              <w:rPr>
                <w:rStyle w:val="y2iqfc"/>
                <w:rFonts w:ascii="Times New Roman" w:hAnsi="Times New Roman" w:cs="Times New Roman"/>
                <w:color w:val="202124"/>
                <w:sz w:val="22"/>
                <w:szCs w:val="22"/>
              </w:rPr>
              <w:t>pododsek</w:t>
            </w:r>
            <w:proofErr w:type="spellEnd"/>
            <w:r w:rsidRPr="009A16A9">
              <w:rPr>
                <w:rStyle w:val="y2iqfc"/>
                <w:rFonts w:ascii="Times New Roman" w:hAnsi="Times New Roman" w:cs="Times New Roman"/>
                <w:color w:val="202124"/>
                <w:sz w:val="22"/>
                <w:szCs w:val="22"/>
              </w:rPr>
              <w:t xml:space="preserve"> sa nahrádzajú takto:</w:t>
            </w:r>
          </w:p>
          <w:p w14:paraId="25ECF1FB" w14:textId="77777777" w:rsidR="004A690B" w:rsidRPr="009A16A9" w:rsidRDefault="00C524AF" w:rsidP="004A690B">
            <w:pPr>
              <w:pStyle w:val="oj-normal"/>
              <w:shd w:val="clear" w:color="auto" w:fill="FFFFFF"/>
              <w:spacing w:before="120" w:beforeAutospacing="0" w:after="0" w:afterAutospacing="0"/>
              <w:jc w:val="both"/>
              <w:rPr>
                <w:color w:val="000000"/>
                <w:sz w:val="22"/>
                <w:szCs w:val="22"/>
              </w:rPr>
            </w:pPr>
            <w:r w:rsidRPr="009A16A9">
              <w:rPr>
                <w:rStyle w:val="y2iqfc"/>
                <w:color w:val="202124"/>
                <w:sz w:val="22"/>
                <w:szCs w:val="22"/>
              </w:rPr>
              <w:t>„</w:t>
            </w:r>
            <w:r w:rsidR="004A690B" w:rsidRPr="009A16A9">
              <w:rPr>
                <w:color w:val="000000"/>
                <w:sz w:val="22"/>
                <w:szCs w:val="22"/>
              </w:rPr>
              <w:t>Orgán ESMA predloží návrh týchto regulačných technických predpisov Komisii do 29. marca 2025.</w:t>
            </w:r>
          </w:p>
          <w:p w14:paraId="0E0BE4EE" w14:textId="77777777" w:rsidR="00C524AF" w:rsidRDefault="004A690B" w:rsidP="004A690B">
            <w:pPr>
              <w:pStyle w:val="oj-normal"/>
              <w:shd w:val="clear" w:color="auto" w:fill="FFFFFF"/>
              <w:spacing w:before="120" w:beforeAutospacing="0" w:after="0" w:afterAutospacing="0"/>
              <w:jc w:val="both"/>
              <w:rPr>
                <w:rStyle w:val="y2iqfc"/>
                <w:color w:val="202124"/>
                <w:sz w:val="22"/>
                <w:szCs w:val="22"/>
              </w:rPr>
            </w:pPr>
            <w:r w:rsidRPr="009A16A9">
              <w:rPr>
                <w:color w:val="000000"/>
                <w:sz w:val="22"/>
                <w:szCs w:val="22"/>
              </w:rPr>
              <w:t xml:space="preserve">Komisii sa udeľuje právomoc doplniť túto smernicu prijatím regulačných technických predpisov uvedených v prvom </w:t>
            </w:r>
            <w:proofErr w:type="spellStart"/>
            <w:r w:rsidRPr="009A16A9">
              <w:rPr>
                <w:color w:val="000000"/>
                <w:sz w:val="22"/>
                <w:szCs w:val="22"/>
              </w:rPr>
              <w:t>pododseku</w:t>
            </w:r>
            <w:proofErr w:type="spellEnd"/>
            <w:r w:rsidRPr="009A16A9">
              <w:rPr>
                <w:color w:val="000000"/>
                <w:sz w:val="22"/>
                <w:szCs w:val="22"/>
              </w:rPr>
              <w:t xml:space="preserve"> v súlade s článkami 10 až 14 nariadenia (EÚ) č. 1095/2010.“</w:t>
            </w:r>
            <w:r w:rsidR="00C524AF" w:rsidRPr="009A16A9">
              <w:rPr>
                <w:rStyle w:val="y2iqfc"/>
                <w:color w:val="202124"/>
                <w:sz w:val="22"/>
                <w:szCs w:val="22"/>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92"/>
              <w:gridCol w:w="4142"/>
            </w:tblGrid>
            <w:tr w:rsidR="009A16A9" w:rsidRPr="009A16A9" w14:paraId="3FC9FBB8" w14:textId="77777777" w:rsidTr="009A16A9">
              <w:tc>
                <w:tcPr>
                  <w:tcW w:w="768" w:type="dxa"/>
                  <w:shd w:val="clear" w:color="auto" w:fill="FFFFFF"/>
                  <w:hideMark/>
                </w:tcPr>
                <w:p w14:paraId="795A4185" w14:textId="77777777" w:rsidR="009A16A9" w:rsidRPr="009A16A9" w:rsidRDefault="009A16A9" w:rsidP="009A16A9">
                  <w:pPr>
                    <w:autoSpaceDE/>
                    <w:autoSpaceDN/>
                    <w:spacing w:before="120"/>
                    <w:jc w:val="both"/>
                    <w:rPr>
                      <w:rFonts w:ascii="inherit" w:hAnsi="inherit"/>
                      <w:color w:val="000000"/>
                    </w:rPr>
                  </w:pPr>
                  <w:r w:rsidRPr="009A16A9">
                    <w:rPr>
                      <w:rFonts w:ascii="inherit" w:hAnsi="inherit"/>
                      <w:color w:val="000000"/>
                    </w:rPr>
                    <w:t>c)</w:t>
                  </w:r>
                </w:p>
              </w:tc>
              <w:tc>
                <w:tcPr>
                  <w:tcW w:w="8304" w:type="dxa"/>
                  <w:shd w:val="clear" w:color="auto" w:fill="FFFFFF"/>
                  <w:hideMark/>
                </w:tcPr>
                <w:p w14:paraId="16907AF6" w14:textId="77777777" w:rsidR="009A16A9" w:rsidRPr="009A16A9" w:rsidRDefault="009A16A9" w:rsidP="009A16A9">
                  <w:pPr>
                    <w:autoSpaceDE/>
                    <w:autoSpaceDN/>
                    <w:spacing w:before="120"/>
                    <w:jc w:val="both"/>
                    <w:rPr>
                      <w:rFonts w:ascii="inherit" w:hAnsi="inherit"/>
                      <w:color w:val="000000"/>
                    </w:rPr>
                  </w:pPr>
                  <w:r w:rsidRPr="009A16A9">
                    <w:rPr>
                      <w:rFonts w:ascii="inherit" w:hAnsi="inherit"/>
                      <w:color w:val="000000"/>
                    </w:rPr>
                    <w:t>odsek 13 sa vypúšťa.</w:t>
                  </w:r>
                </w:p>
              </w:tc>
            </w:tr>
          </w:tbl>
          <w:p w14:paraId="42CA9F34" w14:textId="77777777" w:rsidR="009A16A9" w:rsidRPr="009A16A9" w:rsidRDefault="009A16A9" w:rsidP="004A690B">
            <w:pPr>
              <w:pStyle w:val="oj-normal"/>
              <w:shd w:val="clear" w:color="auto" w:fill="FFFFFF"/>
              <w:spacing w:before="120" w:beforeAutospacing="0" w:after="0" w:afterAutospacing="0"/>
              <w:jc w:val="both"/>
              <w:rPr>
                <w:color w:val="202124"/>
                <w:sz w:val="22"/>
                <w:szCs w:val="22"/>
              </w:rPr>
            </w:pPr>
          </w:p>
          <w:p w14:paraId="724A742A" w14:textId="77777777" w:rsidR="00891F0B" w:rsidRPr="009A16A9" w:rsidRDefault="00891F0B" w:rsidP="00B162C8">
            <w:pPr>
              <w:pStyle w:val="Normlny0"/>
              <w:jc w:val="both"/>
              <w:rPr>
                <w:bCs/>
                <w:sz w:val="22"/>
                <w:szCs w:val="22"/>
              </w:rPr>
            </w:pPr>
          </w:p>
        </w:tc>
        <w:tc>
          <w:tcPr>
            <w:tcW w:w="850" w:type="dxa"/>
            <w:tcBorders>
              <w:top w:val="single" w:sz="4" w:space="0" w:color="auto"/>
              <w:left w:val="single" w:sz="4" w:space="0" w:color="auto"/>
              <w:right w:val="single" w:sz="12" w:space="0" w:color="auto"/>
            </w:tcBorders>
          </w:tcPr>
          <w:p w14:paraId="2D576D24" w14:textId="77777777" w:rsidR="00891F0B" w:rsidRPr="009A16A9" w:rsidRDefault="00891F0B" w:rsidP="00531286">
            <w:pPr>
              <w:adjustRightInd w:val="0"/>
              <w:jc w:val="center"/>
              <w:rPr>
                <w:color w:val="000000"/>
                <w:sz w:val="22"/>
                <w:szCs w:val="22"/>
              </w:rPr>
            </w:pPr>
            <w:r w:rsidRPr="009A16A9">
              <w:rPr>
                <w:color w:val="000000"/>
                <w:sz w:val="22"/>
                <w:szCs w:val="22"/>
              </w:rPr>
              <w:lastRenderedPageBreak/>
              <w:t>N</w:t>
            </w:r>
          </w:p>
          <w:p w14:paraId="0E02B78D" w14:textId="77777777" w:rsidR="00891F0B" w:rsidRPr="009A16A9" w:rsidRDefault="00891F0B" w:rsidP="00531286">
            <w:pPr>
              <w:adjustRightInd w:val="0"/>
              <w:jc w:val="center"/>
              <w:rPr>
                <w:color w:val="000000"/>
                <w:sz w:val="22"/>
                <w:szCs w:val="22"/>
              </w:rPr>
            </w:pPr>
          </w:p>
          <w:p w14:paraId="19485BEA" w14:textId="77777777" w:rsidR="00891F0B" w:rsidRPr="009A16A9" w:rsidRDefault="00891F0B" w:rsidP="00531286">
            <w:pPr>
              <w:adjustRightInd w:val="0"/>
              <w:jc w:val="center"/>
              <w:rPr>
                <w:color w:val="000000"/>
                <w:sz w:val="22"/>
                <w:szCs w:val="22"/>
              </w:rPr>
            </w:pPr>
          </w:p>
          <w:p w14:paraId="07FAE29F" w14:textId="77777777" w:rsidR="00891F0B" w:rsidRPr="009A16A9" w:rsidRDefault="00891F0B" w:rsidP="00531286">
            <w:pPr>
              <w:adjustRightInd w:val="0"/>
              <w:jc w:val="center"/>
              <w:rPr>
                <w:color w:val="000000"/>
                <w:sz w:val="22"/>
                <w:szCs w:val="22"/>
              </w:rPr>
            </w:pPr>
          </w:p>
          <w:p w14:paraId="3ED4B398" w14:textId="77777777" w:rsidR="00891F0B" w:rsidRPr="009A16A9" w:rsidRDefault="00891F0B" w:rsidP="00531286">
            <w:pPr>
              <w:adjustRightInd w:val="0"/>
              <w:jc w:val="center"/>
              <w:rPr>
                <w:color w:val="000000"/>
                <w:sz w:val="22"/>
                <w:szCs w:val="22"/>
              </w:rPr>
            </w:pPr>
          </w:p>
          <w:p w14:paraId="00FAB327" w14:textId="77777777" w:rsidR="00891F0B" w:rsidRPr="009A16A9" w:rsidRDefault="00891F0B" w:rsidP="00531286">
            <w:pPr>
              <w:adjustRightInd w:val="0"/>
              <w:jc w:val="center"/>
              <w:rPr>
                <w:color w:val="000000"/>
                <w:sz w:val="22"/>
                <w:szCs w:val="22"/>
              </w:rPr>
            </w:pPr>
          </w:p>
          <w:p w14:paraId="2CB785FB" w14:textId="77777777" w:rsidR="00891F0B" w:rsidRPr="009A16A9" w:rsidRDefault="00891F0B" w:rsidP="00531286">
            <w:pPr>
              <w:adjustRightInd w:val="0"/>
              <w:jc w:val="center"/>
              <w:rPr>
                <w:color w:val="000000"/>
                <w:sz w:val="22"/>
                <w:szCs w:val="22"/>
              </w:rPr>
            </w:pPr>
          </w:p>
          <w:p w14:paraId="179BCB79" w14:textId="77777777" w:rsidR="00891F0B" w:rsidRPr="009A16A9" w:rsidRDefault="00891F0B" w:rsidP="00531286">
            <w:pPr>
              <w:adjustRightInd w:val="0"/>
              <w:jc w:val="center"/>
              <w:rPr>
                <w:color w:val="000000"/>
                <w:sz w:val="22"/>
                <w:szCs w:val="22"/>
              </w:rPr>
            </w:pPr>
          </w:p>
          <w:p w14:paraId="4ED9A567" w14:textId="77777777" w:rsidR="00891F0B" w:rsidRPr="009A16A9" w:rsidRDefault="00891F0B" w:rsidP="00531286">
            <w:pPr>
              <w:adjustRightInd w:val="0"/>
              <w:jc w:val="center"/>
              <w:rPr>
                <w:color w:val="000000"/>
                <w:sz w:val="22"/>
                <w:szCs w:val="22"/>
              </w:rPr>
            </w:pPr>
          </w:p>
          <w:p w14:paraId="0EAB4AB5" w14:textId="77777777" w:rsidR="00891F0B" w:rsidRPr="009A16A9" w:rsidRDefault="00891F0B" w:rsidP="00531286">
            <w:pPr>
              <w:adjustRightInd w:val="0"/>
              <w:jc w:val="center"/>
              <w:rPr>
                <w:color w:val="000000"/>
                <w:sz w:val="22"/>
                <w:szCs w:val="22"/>
              </w:rPr>
            </w:pPr>
          </w:p>
          <w:p w14:paraId="5C5DBB4C" w14:textId="77777777" w:rsidR="00891F0B" w:rsidRPr="009A16A9" w:rsidRDefault="00891F0B" w:rsidP="00531286">
            <w:pPr>
              <w:adjustRightInd w:val="0"/>
              <w:jc w:val="center"/>
              <w:rPr>
                <w:color w:val="000000"/>
                <w:sz w:val="22"/>
                <w:szCs w:val="22"/>
              </w:rPr>
            </w:pPr>
          </w:p>
          <w:p w14:paraId="12E73FA2" w14:textId="77777777" w:rsidR="00891F0B" w:rsidRPr="009A16A9" w:rsidRDefault="00891F0B" w:rsidP="00531286">
            <w:pPr>
              <w:adjustRightInd w:val="0"/>
              <w:jc w:val="center"/>
              <w:rPr>
                <w:color w:val="000000"/>
                <w:sz w:val="22"/>
                <w:szCs w:val="22"/>
              </w:rPr>
            </w:pPr>
          </w:p>
          <w:p w14:paraId="4C80E857" w14:textId="77777777" w:rsidR="00891F0B" w:rsidRDefault="00891F0B" w:rsidP="00531286">
            <w:pPr>
              <w:adjustRightInd w:val="0"/>
              <w:jc w:val="center"/>
              <w:rPr>
                <w:color w:val="000000"/>
                <w:sz w:val="22"/>
                <w:szCs w:val="22"/>
              </w:rPr>
            </w:pPr>
          </w:p>
          <w:p w14:paraId="085E3E2E" w14:textId="77777777" w:rsidR="00403DE2" w:rsidRDefault="00403DE2" w:rsidP="00531286">
            <w:pPr>
              <w:adjustRightInd w:val="0"/>
              <w:jc w:val="center"/>
              <w:rPr>
                <w:color w:val="000000"/>
                <w:sz w:val="22"/>
                <w:szCs w:val="22"/>
              </w:rPr>
            </w:pPr>
          </w:p>
          <w:p w14:paraId="228425C2" w14:textId="77777777" w:rsidR="00403DE2" w:rsidRPr="009A16A9" w:rsidRDefault="00403DE2" w:rsidP="00531286">
            <w:pPr>
              <w:adjustRightInd w:val="0"/>
              <w:jc w:val="center"/>
              <w:rPr>
                <w:color w:val="000000"/>
                <w:sz w:val="22"/>
                <w:szCs w:val="22"/>
              </w:rPr>
            </w:pPr>
          </w:p>
          <w:p w14:paraId="42A93C0C" w14:textId="77777777" w:rsidR="00891F0B" w:rsidRPr="009A16A9" w:rsidRDefault="00891F0B" w:rsidP="00531286">
            <w:pPr>
              <w:adjustRightInd w:val="0"/>
              <w:jc w:val="center"/>
              <w:rPr>
                <w:color w:val="000000"/>
                <w:sz w:val="22"/>
                <w:szCs w:val="22"/>
              </w:rPr>
            </w:pPr>
          </w:p>
          <w:p w14:paraId="71717784" w14:textId="77777777" w:rsidR="00891F0B" w:rsidRPr="009A16A9" w:rsidRDefault="00891F0B" w:rsidP="00531286">
            <w:pPr>
              <w:adjustRightInd w:val="0"/>
              <w:jc w:val="center"/>
              <w:rPr>
                <w:color w:val="000000"/>
                <w:sz w:val="22"/>
                <w:szCs w:val="22"/>
              </w:rPr>
            </w:pPr>
          </w:p>
          <w:p w14:paraId="2902F705" w14:textId="77777777" w:rsidR="00891F0B" w:rsidRPr="009A16A9" w:rsidRDefault="00891F0B" w:rsidP="00531286">
            <w:pPr>
              <w:adjustRightInd w:val="0"/>
              <w:jc w:val="center"/>
              <w:rPr>
                <w:color w:val="000000"/>
                <w:sz w:val="22"/>
                <w:szCs w:val="22"/>
              </w:rPr>
            </w:pPr>
          </w:p>
          <w:p w14:paraId="71CB3C3A" w14:textId="77777777" w:rsidR="00891F0B" w:rsidRPr="009A16A9" w:rsidRDefault="00891F0B" w:rsidP="00531286">
            <w:pPr>
              <w:adjustRightInd w:val="0"/>
              <w:jc w:val="center"/>
              <w:rPr>
                <w:color w:val="000000"/>
                <w:sz w:val="22"/>
                <w:szCs w:val="22"/>
              </w:rPr>
            </w:pPr>
          </w:p>
          <w:p w14:paraId="1CD26CDE" w14:textId="77777777" w:rsidR="00891F0B" w:rsidRDefault="00891F0B" w:rsidP="00531286">
            <w:pPr>
              <w:adjustRightInd w:val="0"/>
              <w:jc w:val="center"/>
              <w:rPr>
                <w:color w:val="000000"/>
                <w:sz w:val="22"/>
                <w:szCs w:val="22"/>
              </w:rPr>
            </w:pPr>
          </w:p>
          <w:p w14:paraId="700AFE1F" w14:textId="77777777" w:rsidR="002E2A86" w:rsidRDefault="002E2A86" w:rsidP="00531286">
            <w:pPr>
              <w:adjustRightInd w:val="0"/>
              <w:jc w:val="center"/>
              <w:rPr>
                <w:color w:val="000000"/>
                <w:sz w:val="22"/>
                <w:szCs w:val="22"/>
              </w:rPr>
            </w:pPr>
          </w:p>
          <w:p w14:paraId="26CB4A60" w14:textId="77777777" w:rsidR="002E2A86" w:rsidRDefault="002E2A86" w:rsidP="00531286">
            <w:pPr>
              <w:adjustRightInd w:val="0"/>
              <w:jc w:val="center"/>
              <w:rPr>
                <w:color w:val="000000"/>
                <w:sz w:val="22"/>
                <w:szCs w:val="22"/>
              </w:rPr>
            </w:pPr>
          </w:p>
          <w:p w14:paraId="3F316FCB" w14:textId="77777777" w:rsidR="002E2A86" w:rsidRDefault="002E2A86" w:rsidP="00531286">
            <w:pPr>
              <w:adjustRightInd w:val="0"/>
              <w:jc w:val="center"/>
              <w:rPr>
                <w:color w:val="000000"/>
                <w:sz w:val="22"/>
                <w:szCs w:val="22"/>
              </w:rPr>
            </w:pPr>
          </w:p>
          <w:p w14:paraId="51E29AED" w14:textId="77777777" w:rsidR="002E2A86" w:rsidRDefault="002E2A86" w:rsidP="00531286">
            <w:pPr>
              <w:adjustRightInd w:val="0"/>
              <w:jc w:val="center"/>
              <w:rPr>
                <w:color w:val="000000"/>
                <w:sz w:val="22"/>
                <w:szCs w:val="22"/>
              </w:rPr>
            </w:pPr>
          </w:p>
          <w:p w14:paraId="259242D8" w14:textId="77777777" w:rsidR="002E2A86" w:rsidRDefault="002E2A86" w:rsidP="00531286">
            <w:pPr>
              <w:adjustRightInd w:val="0"/>
              <w:jc w:val="center"/>
              <w:rPr>
                <w:color w:val="000000"/>
                <w:sz w:val="22"/>
                <w:szCs w:val="22"/>
              </w:rPr>
            </w:pPr>
          </w:p>
          <w:p w14:paraId="682F6056" w14:textId="77777777" w:rsidR="002E2A86" w:rsidRDefault="002E2A86" w:rsidP="00531286">
            <w:pPr>
              <w:adjustRightInd w:val="0"/>
              <w:jc w:val="center"/>
              <w:rPr>
                <w:color w:val="000000"/>
                <w:sz w:val="22"/>
                <w:szCs w:val="22"/>
              </w:rPr>
            </w:pPr>
          </w:p>
          <w:p w14:paraId="2FF3D8FD" w14:textId="77777777" w:rsidR="002E2A86" w:rsidRDefault="002E2A86" w:rsidP="00531286">
            <w:pPr>
              <w:adjustRightInd w:val="0"/>
              <w:jc w:val="center"/>
              <w:rPr>
                <w:color w:val="000000"/>
                <w:sz w:val="22"/>
                <w:szCs w:val="22"/>
              </w:rPr>
            </w:pPr>
          </w:p>
          <w:p w14:paraId="56A7B264" w14:textId="77777777" w:rsidR="002E2A86" w:rsidRDefault="002E2A86" w:rsidP="00531286">
            <w:pPr>
              <w:adjustRightInd w:val="0"/>
              <w:jc w:val="center"/>
              <w:rPr>
                <w:color w:val="000000"/>
                <w:sz w:val="22"/>
                <w:szCs w:val="22"/>
              </w:rPr>
            </w:pPr>
          </w:p>
          <w:p w14:paraId="3EF9E169" w14:textId="77777777" w:rsidR="002E2A86" w:rsidRDefault="002E2A86" w:rsidP="00531286">
            <w:pPr>
              <w:adjustRightInd w:val="0"/>
              <w:jc w:val="center"/>
              <w:rPr>
                <w:color w:val="000000"/>
                <w:sz w:val="22"/>
                <w:szCs w:val="22"/>
              </w:rPr>
            </w:pPr>
          </w:p>
          <w:p w14:paraId="7E1B6990" w14:textId="77777777" w:rsidR="002E2A86" w:rsidRDefault="002E2A86" w:rsidP="00531286">
            <w:pPr>
              <w:adjustRightInd w:val="0"/>
              <w:jc w:val="center"/>
              <w:rPr>
                <w:color w:val="000000"/>
                <w:sz w:val="22"/>
                <w:szCs w:val="22"/>
              </w:rPr>
            </w:pPr>
          </w:p>
          <w:p w14:paraId="2D4BAA61" w14:textId="77777777" w:rsidR="002E2A86" w:rsidRDefault="002E2A86" w:rsidP="00531286">
            <w:pPr>
              <w:adjustRightInd w:val="0"/>
              <w:jc w:val="center"/>
              <w:rPr>
                <w:color w:val="000000"/>
                <w:sz w:val="22"/>
                <w:szCs w:val="22"/>
              </w:rPr>
            </w:pPr>
          </w:p>
          <w:p w14:paraId="4FA7346C" w14:textId="77777777" w:rsidR="006B0AF1" w:rsidRDefault="006B0AF1" w:rsidP="00531286">
            <w:pPr>
              <w:adjustRightInd w:val="0"/>
              <w:jc w:val="center"/>
              <w:rPr>
                <w:color w:val="000000"/>
                <w:sz w:val="22"/>
                <w:szCs w:val="22"/>
              </w:rPr>
            </w:pPr>
          </w:p>
          <w:p w14:paraId="5C9300C7" w14:textId="77777777" w:rsidR="006B0AF1" w:rsidRDefault="006B0AF1" w:rsidP="00531286">
            <w:pPr>
              <w:adjustRightInd w:val="0"/>
              <w:jc w:val="center"/>
              <w:rPr>
                <w:color w:val="000000"/>
                <w:sz w:val="22"/>
                <w:szCs w:val="22"/>
              </w:rPr>
            </w:pPr>
          </w:p>
          <w:p w14:paraId="0E91C191" w14:textId="77777777" w:rsidR="006B0AF1" w:rsidRPr="009A16A9" w:rsidRDefault="006B0AF1" w:rsidP="00531286">
            <w:pPr>
              <w:adjustRightInd w:val="0"/>
              <w:jc w:val="center"/>
              <w:rPr>
                <w:color w:val="000000"/>
                <w:sz w:val="22"/>
                <w:szCs w:val="22"/>
              </w:rPr>
            </w:pPr>
          </w:p>
          <w:p w14:paraId="08BB810A" w14:textId="77777777" w:rsidR="00891F0B" w:rsidRPr="009A16A9" w:rsidRDefault="00891F0B" w:rsidP="00531286">
            <w:pPr>
              <w:adjustRightInd w:val="0"/>
              <w:jc w:val="center"/>
              <w:rPr>
                <w:color w:val="000000"/>
                <w:sz w:val="22"/>
                <w:szCs w:val="22"/>
              </w:rPr>
            </w:pPr>
            <w:r w:rsidRPr="009A16A9">
              <w:rPr>
                <w:color w:val="000000"/>
                <w:sz w:val="22"/>
                <w:szCs w:val="22"/>
              </w:rPr>
              <w:lastRenderedPageBreak/>
              <w:t>N</w:t>
            </w:r>
          </w:p>
          <w:p w14:paraId="1C521A4D" w14:textId="77777777" w:rsidR="00891F0B" w:rsidRPr="009A16A9" w:rsidRDefault="00891F0B" w:rsidP="00531286">
            <w:pPr>
              <w:adjustRightInd w:val="0"/>
              <w:jc w:val="center"/>
              <w:rPr>
                <w:color w:val="000000"/>
                <w:sz w:val="22"/>
                <w:szCs w:val="22"/>
              </w:rPr>
            </w:pPr>
          </w:p>
          <w:p w14:paraId="14C7C242" w14:textId="77777777" w:rsidR="00891F0B" w:rsidRPr="009A16A9" w:rsidRDefault="00891F0B" w:rsidP="00531286">
            <w:pPr>
              <w:adjustRightInd w:val="0"/>
              <w:jc w:val="center"/>
              <w:rPr>
                <w:color w:val="000000"/>
                <w:sz w:val="22"/>
                <w:szCs w:val="22"/>
              </w:rPr>
            </w:pPr>
          </w:p>
          <w:p w14:paraId="4E741FFD" w14:textId="77777777" w:rsidR="00891F0B" w:rsidRPr="009A16A9" w:rsidRDefault="00891F0B" w:rsidP="00531286">
            <w:pPr>
              <w:adjustRightInd w:val="0"/>
              <w:jc w:val="center"/>
              <w:rPr>
                <w:color w:val="000000"/>
                <w:sz w:val="22"/>
                <w:szCs w:val="22"/>
              </w:rPr>
            </w:pPr>
          </w:p>
          <w:p w14:paraId="57FC07B9" w14:textId="77777777" w:rsidR="00891F0B" w:rsidRPr="009A16A9" w:rsidRDefault="00891F0B" w:rsidP="00531286">
            <w:pPr>
              <w:adjustRightInd w:val="0"/>
              <w:jc w:val="center"/>
              <w:rPr>
                <w:color w:val="000000"/>
                <w:sz w:val="22"/>
                <w:szCs w:val="22"/>
              </w:rPr>
            </w:pPr>
          </w:p>
          <w:p w14:paraId="7AC123BD" w14:textId="77777777" w:rsidR="00891F0B" w:rsidRPr="009A16A9" w:rsidRDefault="00891F0B" w:rsidP="00531286">
            <w:pPr>
              <w:adjustRightInd w:val="0"/>
              <w:jc w:val="center"/>
              <w:rPr>
                <w:color w:val="000000"/>
                <w:sz w:val="22"/>
                <w:szCs w:val="22"/>
              </w:rPr>
            </w:pPr>
          </w:p>
          <w:p w14:paraId="5E84FA33" w14:textId="77777777" w:rsidR="00B162C8" w:rsidRPr="009A16A9" w:rsidRDefault="00B162C8" w:rsidP="00531286">
            <w:pPr>
              <w:adjustRightInd w:val="0"/>
              <w:jc w:val="center"/>
              <w:rPr>
                <w:color w:val="000000"/>
                <w:sz w:val="22"/>
                <w:szCs w:val="22"/>
              </w:rPr>
            </w:pPr>
          </w:p>
          <w:p w14:paraId="2E7F7023" w14:textId="77777777" w:rsidR="00B162C8" w:rsidRPr="009A16A9" w:rsidRDefault="00B162C8" w:rsidP="00531286">
            <w:pPr>
              <w:adjustRightInd w:val="0"/>
              <w:jc w:val="center"/>
              <w:rPr>
                <w:color w:val="000000"/>
                <w:sz w:val="22"/>
                <w:szCs w:val="22"/>
              </w:rPr>
            </w:pPr>
          </w:p>
          <w:p w14:paraId="69FDC0FC" w14:textId="77777777" w:rsidR="00B162C8" w:rsidRPr="009A16A9" w:rsidRDefault="00B162C8" w:rsidP="00531286">
            <w:pPr>
              <w:adjustRightInd w:val="0"/>
              <w:jc w:val="center"/>
              <w:rPr>
                <w:color w:val="000000"/>
                <w:sz w:val="22"/>
                <w:szCs w:val="22"/>
              </w:rPr>
            </w:pPr>
            <w:r w:rsidRPr="009A16A9">
              <w:rPr>
                <w:color w:val="000000"/>
                <w:sz w:val="22"/>
                <w:szCs w:val="22"/>
              </w:rPr>
              <w:t>N</w:t>
            </w:r>
          </w:p>
          <w:p w14:paraId="46E16E52" w14:textId="77777777" w:rsidR="00B162C8" w:rsidRPr="009A16A9" w:rsidRDefault="00B162C8" w:rsidP="00531286">
            <w:pPr>
              <w:adjustRightInd w:val="0"/>
              <w:jc w:val="center"/>
              <w:rPr>
                <w:color w:val="000000"/>
                <w:sz w:val="22"/>
                <w:szCs w:val="22"/>
              </w:rPr>
            </w:pPr>
          </w:p>
          <w:p w14:paraId="51521369" w14:textId="77777777" w:rsidR="00B162C8" w:rsidRPr="009A16A9" w:rsidRDefault="00B162C8" w:rsidP="00531286">
            <w:pPr>
              <w:adjustRightInd w:val="0"/>
              <w:jc w:val="center"/>
              <w:rPr>
                <w:color w:val="000000"/>
                <w:sz w:val="22"/>
                <w:szCs w:val="22"/>
              </w:rPr>
            </w:pPr>
          </w:p>
          <w:p w14:paraId="54BF71E5" w14:textId="77777777" w:rsidR="00531286" w:rsidRPr="009A16A9" w:rsidRDefault="00531286" w:rsidP="00531286">
            <w:pPr>
              <w:adjustRightInd w:val="0"/>
              <w:jc w:val="center"/>
              <w:rPr>
                <w:color w:val="000000"/>
                <w:sz w:val="22"/>
                <w:szCs w:val="22"/>
              </w:rPr>
            </w:pPr>
          </w:p>
          <w:p w14:paraId="4F81345C" w14:textId="77777777" w:rsidR="007A4073" w:rsidRDefault="007A4073" w:rsidP="00531286">
            <w:pPr>
              <w:adjustRightInd w:val="0"/>
              <w:jc w:val="center"/>
              <w:rPr>
                <w:color w:val="000000"/>
                <w:sz w:val="22"/>
                <w:szCs w:val="22"/>
              </w:rPr>
            </w:pPr>
          </w:p>
          <w:p w14:paraId="2AC282EB" w14:textId="77777777" w:rsidR="00403DE2" w:rsidRDefault="00403DE2" w:rsidP="00531286">
            <w:pPr>
              <w:adjustRightInd w:val="0"/>
              <w:jc w:val="center"/>
              <w:rPr>
                <w:color w:val="000000"/>
                <w:sz w:val="22"/>
                <w:szCs w:val="22"/>
              </w:rPr>
            </w:pPr>
          </w:p>
          <w:p w14:paraId="03252E84" w14:textId="77777777" w:rsidR="00403DE2" w:rsidRDefault="00403DE2" w:rsidP="00531286">
            <w:pPr>
              <w:adjustRightInd w:val="0"/>
              <w:jc w:val="center"/>
              <w:rPr>
                <w:color w:val="000000"/>
                <w:sz w:val="22"/>
                <w:szCs w:val="22"/>
              </w:rPr>
            </w:pPr>
          </w:p>
          <w:p w14:paraId="447639D2" w14:textId="77777777" w:rsidR="00403DE2" w:rsidRDefault="00403DE2" w:rsidP="00531286">
            <w:pPr>
              <w:adjustRightInd w:val="0"/>
              <w:jc w:val="center"/>
              <w:rPr>
                <w:color w:val="000000"/>
                <w:sz w:val="22"/>
                <w:szCs w:val="22"/>
              </w:rPr>
            </w:pPr>
          </w:p>
          <w:p w14:paraId="06950C28" w14:textId="77777777" w:rsidR="00403DE2" w:rsidRDefault="00403DE2" w:rsidP="00531286">
            <w:pPr>
              <w:adjustRightInd w:val="0"/>
              <w:jc w:val="center"/>
              <w:rPr>
                <w:color w:val="000000"/>
                <w:sz w:val="22"/>
                <w:szCs w:val="22"/>
              </w:rPr>
            </w:pPr>
          </w:p>
          <w:p w14:paraId="1EFFFD00" w14:textId="77777777" w:rsidR="00403DE2" w:rsidRDefault="00403DE2" w:rsidP="00531286">
            <w:pPr>
              <w:adjustRightInd w:val="0"/>
              <w:jc w:val="center"/>
              <w:rPr>
                <w:color w:val="000000"/>
                <w:sz w:val="22"/>
                <w:szCs w:val="22"/>
              </w:rPr>
            </w:pPr>
          </w:p>
          <w:p w14:paraId="5D99B1C1" w14:textId="77777777" w:rsidR="00403DE2" w:rsidRDefault="00403DE2" w:rsidP="00531286">
            <w:pPr>
              <w:adjustRightInd w:val="0"/>
              <w:jc w:val="center"/>
              <w:rPr>
                <w:color w:val="000000"/>
                <w:sz w:val="22"/>
                <w:szCs w:val="22"/>
              </w:rPr>
            </w:pPr>
          </w:p>
          <w:p w14:paraId="6C452143" w14:textId="77777777" w:rsidR="00403DE2" w:rsidRDefault="00403DE2" w:rsidP="00531286">
            <w:pPr>
              <w:adjustRightInd w:val="0"/>
              <w:jc w:val="center"/>
              <w:rPr>
                <w:color w:val="000000"/>
                <w:sz w:val="22"/>
                <w:szCs w:val="22"/>
              </w:rPr>
            </w:pPr>
          </w:p>
          <w:p w14:paraId="3319F39D" w14:textId="77777777" w:rsidR="00403DE2" w:rsidRDefault="00403DE2" w:rsidP="00531286">
            <w:pPr>
              <w:adjustRightInd w:val="0"/>
              <w:jc w:val="center"/>
              <w:rPr>
                <w:color w:val="000000"/>
                <w:sz w:val="22"/>
                <w:szCs w:val="22"/>
              </w:rPr>
            </w:pPr>
          </w:p>
          <w:p w14:paraId="05A393A6" w14:textId="77777777" w:rsidR="00403DE2" w:rsidRDefault="00403DE2" w:rsidP="00531286">
            <w:pPr>
              <w:adjustRightInd w:val="0"/>
              <w:jc w:val="center"/>
              <w:rPr>
                <w:color w:val="000000"/>
                <w:sz w:val="22"/>
                <w:szCs w:val="22"/>
              </w:rPr>
            </w:pPr>
          </w:p>
          <w:p w14:paraId="6F63F0F6" w14:textId="77777777" w:rsidR="00BF388D" w:rsidRDefault="00BF388D" w:rsidP="00531286">
            <w:pPr>
              <w:adjustRightInd w:val="0"/>
              <w:jc w:val="center"/>
              <w:rPr>
                <w:color w:val="000000"/>
                <w:sz w:val="22"/>
                <w:szCs w:val="22"/>
              </w:rPr>
            </w:pPr>
          </w:p>
          <w:p w14:paraId="68200D45" w14:textId="77777777" w:rsidR="00403DE2" w:rsidRDefault="00403DE2" w:rsidP="00531286">
            <w:pPr>
              <w:adjustRightInd w:val="0"/>
              <w:jc w:val="center"/>
              <w:rPr>
                <w:color w:val="000000"/>
                <w:sz w:val="22"/>
                <w:szCs w:val="22"/>
              </w:rPr>
            </w:pPr>
          </w:p>
          <w:p w14:paraId="27FA668E" w14:textId="77777777" w:rsidR="002E2A86" w:rsidRPr="009A16A9" w:rsidRDefault="002E2A86" w:rsidP="00531286">
            <w:pPr>
              <w:adjustRightInd w:val="0"/>
              <w:jc w:val="center"/>
              <w:rPr>
                <w:color w:val="000000"/>
                <w:sz w:val="22"/>
                <w:szCs w:val="22"/>
              </w:rPr>
            </w:pPr>
          </w:p>
          <w:p w14:paraId="30A9EC4E" w14:textId="77777777" w:rsidR="00531286" w:rsidRPr="009A16A9" w:rsidRDefault="0081721F" w:rsidP="00531286">
            <w:pPr>
              <w:adjustRightInd w:val="0"/>
              <w:jc w:val="center"/>
              <w:rPr>
                <w:color w:val="000000"/>
                <w:sz w:val="22"/>
                <w:szCs w:val="22"/>
              </w:rPr>
            </w:pPr>
            <w:proofErr w:type="spellStart"/>
            <w:r w:rsidRPr="009A16A9">
              <w:rPr>
                <w:color w:val="000000"/>
                <w:sz w:val="22"/>
                <w:szCs w:val="22"/>
              </w:rPr>
              <w:t>n.a</w:t>
            </w:r>
            <w:proofErr w:type="spellEnd"/>
            <w:r w:rsidRPr="009A16A9">
              <w:rPr>
                <w:color w:val="000000"/>
                <w:sz w:val="22"/>
                <w:szCs w:val="22"/>
              </w:rPr>
              <w:t>.</w:t>
            </w:r>
          </w:p>
          <w:p w14:paraId="01DB36D2" w14:textId="77777777" w:rsidR="00531286" w:rsidRPr="009A16A9" w:rsidRDefault="00531286" w:rsidP="00531286">
            <w:pPr>
              <w:adjustRightInd w:val="0"/>
              <w:jc w:val="center"/>
              <w:rPr>
                <w:color w:val="000000"/>
                <w:sz w:val="22"/>
                <w:szCs w:val="22"/>
              </w:rPr>
            </w:pPr>
          </w:p>
          <w:p w14:paraId="51D2B888" w14:textId="77777777" w:rsidR="00531286" w:rsidRPr="009A16A9" w:rsidRDefault="00531286" w:rsidP="00531286">
            <w:pPr>
              <w:adjustRightInd w:val="0"/>
              <w:jc w:val="center"/>
              <w:rPr>
                <w:color w:val="000000"/>
                <w:sz w:val="22"/>
                <w:szCs w:val="22"/>
              </w:rPr>
            </w:pPr>
          </w:p>
          <w:p w14:paraId="1BFE13A0" w14:textId="77777777" w:rsidR="00531286" w:rsidRPr="009A16A9" w:rsidRDefault="00531286" w:rsidP="00531286">
            <w:pPr>
              <w:adjustRightInd w:val="0"/>
              <w:jc w:val="center"/>
              <w:rPr>
                <w:color w:val="000000"/>
                <w:sz w:val="22"/>
                <w:szCs w:val="22"/>
              </w:rPr>
            </w:pPr>
          </w:p>
          <w:p w14:paraId="7D439FE9" w14:textId="77777777" w:rsidR="00531286" w:rsidRDefault="00531286" w:rsidP="00531286">
            <w:pPr>
              <w:adjustRightInd w:val="0"/>
              <w:jc w:val="center"/>
              <w:rPr>
                <w:color w:val="000000"/>
                <w:sz w:val="22"/>
                <w:szCs w:val="22"/>
              </w:rPr>
            </w:pPr>
          </w:p>
          <w:p w14:paraId="265AB617" w14:textId="77777777" w:rsidR="00403DE2" w:rsidRDefault="00403DE2" w:rsidP="00531286">
            <w:pPr>
              <w:adjustRightInd w:val="0"/>
              <w:jc w:val="center"/>
              <w:rPr>
                <w:color w:val="000000"/>
                <w:sz w:val="22"/>
                <w:szCs w:val="22"/>
              </w:rPr>
            </w:pPr>
          </w:p>
          <w:p w14:paraId="0108615B" w14:textId="77777777" w:rsidR="00403DE2" w:rsidRDefault="00403DE2" w:rsidP="00531286">
            <w:pPr>
              <w:adjustRightInd w:val="0"/>
              <w:jc w:val="center"/>
              <w:rPr>
                <w:color w:val="000000"/>
                <w:sz w:val="22"/>
                <w:szCs w:val="22"/>
              </w:rPr>
            </w:pPr>
          </w:p>
          <w:p w14:paraId="398BA119" w14:textId="77777777" w:rsidR="00403DE2" w:rsidRDefault="00403DE2" w:rsidP="00531286">
            <w:pPr>
              <w:adjustRightInd w:val="0"/>
              <w:jc w:val="center"/>
              <w:rPr>
                <w:color w:val="000000"/>
                <w:sz w:val="22"/>
                <w:szCs w:val="22"/>
              </w:rPr>
            </w:pPr>
          </w:p>
          <w:p w14:paraId="3CB00909" w14:textId="77777777" w:rsidR="00403DE2" w:rsidRDefault="00403DE2" w:rsidP="00531286">
            <w:pPr>
              <w:adjustRightInd w:val="0"/>
              <w:jc w:val="center"/>
              <w:rPr>
                <w:color w:val="000000"/>
                <w:sz w:val="22"/>
                <w:szCs w:val="22"/>
              </w:rPr>
            </w:pPr>
          </w:p>
          <w:p w14:paraId="4857721D" w14:textId="77777777" w:rsidR="00403DE2" w:rsidRDefault="00403DE2" w:rsidP="00531286">
            <w:pPr>
              <w:adjustRightInd w:val="0"/>
              <w:jc w:val="center"/>
              <w:rPr>
                <w:color w:val="000000"/>
                <w:sz w:val="22"/>
                <w:szCs w:val="22"/>
              </w:rPr>
            </w:pPr>
          </w:p>
          <w:p w14:paraId="5DC1A630" w14:textId="77777777" w:rsidR="00403DE2" w:rsidRDefault="00403DE2" w:rsidP="00531286">
            <w:pPr>
              <w:adjustRightInd w:val="0"/>
              <w:jc w:val="center"/>
              <w:rPr>
                <w:color w:val="000000"/>
                <w:sz w:val="22"/>
                <w:szCs w:val="22"/>
              </w:rPr>
            </w:pPr>
          </w:p>
          <w:p w14:paraId="69116F9A" w14:textId="77777777" w:rsidR="00403DE2" w:rsidRDefault="00403DE2" w:rsidP="00531286">
            <w:pPr>
              <w:adjustRightInd w:val="0"/>
              <w:jc w:val="center"/>
              <w:rPr>
                <w:color w:val="000000"/>
                <w:sz w:val="22"/>
                <w:szCs w:val="22"/>
              </w:rPr>
            </w:pPr>
          </w:p>
          <w:p w14:paraId="5CF363ED" w14:textId="77777777" w:rsidR="00403DE2" w:rsidRDefault="00403DE2" w:rsidP="00531286">
            <w:pPr>
              <w:adjustRightInd w:val="0"/>
              <w:jc w:val="center"/>
              <w:rPr>
                <w:color w:val="000000"/>
                <w:sz w:val="22"/>
                <w:szCs w:val="22"/>
              </w:rPr>
            </w:pPr>
          </w:p>
          <w:p w14:paraId="004D540B" w14:textId="77777777" w:rsidR="002E19C6" w:rsidRDefault="002E19C6" w:rsidP="00531286">
            <w:pPr>
              <w:adjustRightInd w:val="0"/>
              <w:jc w:val="center"/>
              <w:rPr>
                <w:color w:val="000000"/>
                <w:sz w:val="22"/>
                <w:szCs w:val="22"/>
              </w:rPr>
            </w:pPr>
          </w:p>
          <w:p w14:paraId="319DCE6A" w14:textId="77777777" w:rsidR="00403DE2" w:rsidRPr="009A16A9" w:rsidRDefault="00403DE2" w:rsidP="00531286">
            <w:pPr>
              <w:adjustRightInd w:val="0"/>
              <w:jc w:val="center"/>
              <w:rPr>
                <w:color w:val="000000"/>
                <w:sz w:val="22"/>
                <w:szCs w:val="22"/>
              </w:rPr>
            </w:pPr>
          </w:p>
          <w:p w14:paraId="0E0476A1" w14:textId="77777777" w:rsidR="00531286" w:rsidRPr="009A16A9" w:rsidRDefault="00531286" w:rsidP="00531286">
            <w:pPr>
              <w:adjustRightInd w:val="0"/>
              <w:jc w:val="center"/>
              <w:rPr>
                <w:color w:val="000000"/>
                <w:sz w:val="22"/>
                <w:szCs w:val="22"/>
              </w:rPr>
            </w:pPr>
          </w:p>
          <w:p w14:paraId="69E482E7" w14:textId="77777777" w:rsidR="002E2A86" w:rsidRDefault="002E2A86" w:rsidP="00531286">
            <w:pPr>
              <w:adjustRightInd w:val="0"/>
              <w:jc w:val="center"/>
              <w:rPr>
                <w:color w:val="000000"/>
                <w:sz w:val="22"/>
                <w:szCs w:val="22"/>
              </w:rPr>
            </w:pPr>
          </w:p>
          <w:p w14:paraId="5FA3D80F" w14:textId="77777777" w:rsidR="002E2A86" w:rsidRDefault="002E2A86" w:rsidP="00531286">
            <w:pPr>
              <w:adjustRightInd w:val="0"/>
              <w:jc w:val="center"/>
              <w:rPr>
                <w:color w:val="000000"/>
                <w:sz w:val="22"/>
                <w:szCs w:val="22"/>
              </w:rPr>
            </w:pPr>
          </w:p>
          <w:p w14:paraId="5C47B03D" w14:textId="7E7EC04A" w:rsidR="00531286" w:rsidRPr="009A16A9" w:rsidRDefault="00531286" w:rsidP="00531286">
            <w:pPr>
              <w:adjustRightInd w:val="0"/>
              <w:jc w:val="center"/>
              <w:rPr>
                <w:color w:val="000000"/>
                <w:sz w:val="22"/>
                <w:szCs w:val="22"/>
              </w:rPr>
            </w:pPr>
            <w:proofErr w:type="spellStart"/>
            <w:r w:rsidRPr="009A16A9">
              <w:rPr>
                <w:color w:val="000000"/>
                <w:sz w:val="22"/>
                <w:szCs w:val="22"/>
              </w:rPr>
              <w:t>n.a</w:t>
            </w:r>
            <w:proofErr w:type="spellEnd"/>
            <w:r w:rsidRPr="009A16A9">
              <w:rPr>
                <w:color w:val="000000"/>
                <w:sz w:val="22"/>
                <w:szCs w:val="22"/>
              </w:rPr>
              <w:t>.</w:t>
            </w:r>
          </w:p>
          <w:p w14:paraId="45410560" w14:textId="77777777" w:rsidR="00891F0B" w:rsidRPr="009A16A9" w:rsidRDefault="00891F0B" w:rsidP="00531286">
            <w:pPr>
              <w:adjustRightInd w:val="0"/>
              <w:jc w:val="center"/>
              <w:rPr>
                <w:color w:val="000000"/>
                <w:sz w:val="22"/>
                <w:szCs w:val="22"/>
              </w:rPr>
            </w:pPr>
          </w:p>
          <w:p w14:paraId="6A781F52" w14:textId="77777777" w:rsidR="00891F0B" w:rsidRPr="009A16A9" w:rsidRDefault="00891F0B" w:rsidP="00531286">
            <w:pPr>
              <w:adjustRightInd w:val="0"/>
              <w:jc w:val="center"/>
              <w:rPr>
                <w:color w:val="000000"/>
                <w:sz w:val="22"/>
                <w:szCs w:val="22"/>
              </w:rPr>
            </w:pPr>
          </w:p>
          <w:p w14:paraId="1D5678C3" w14:textId="77777777" w:rsidR="00891F0B" w:rsidRPr="009A16A9" w:rsidRDefault="00891F0B" w:rsidP="00531286">
            <w:pPr>
              <w:adjustRightInd w:val="0"/>
              <w:jc w:val="center"/>
              <w:rPr>
                <w:color w:val="000000"/>
                <w:sz w:val="22"/>
                <w:szCs w:val="22"/>
              </w:rPr>
            </w:pPr>
          </w:p>
          <w:p w14:paraId="1963A0DE" w14:textId="77777777" w:rsidR="00891F0B" w:rsidRPr="009A16A9" w:rsidRDefault="00891F0B" w:rsidP="00531286">
            <w:pPr>
              <w:adjustRightInd w:val="0"/>
              <w:jc w:val="center"/>
              <w:rPr>
                <w:color w:val="000000"/>
                <w:sz w:val="22"/>
                <w:szCs w:val="22"/>
              </w:rPr>
            </w:pPr>
          </w:p>
          <w:p w14:paraId="1E1F17D4" w14:textId="77777777" w:rsidR="00891F0B" w:rsidRPr="009A16A9" w:rsidRDefault="00891F0B" w:rsidP="00531286">
            <w:pPr>
              <w:adjustRightInd w:val="0"/>
              <w:jc w:val="center"/>
              <w:rPr>
                <w:color w:val="000000"/>
                <w:sz w:val="22"/>
                <w:szCs w:val="22"/>
              </w:rPr>
            </w:pPr>
          </w:p>
          <w:p w14:paraId="29E1D5D1" w14:textId="77777777" w:rsidR="00891F0B" w:rsidRPr="009A16A9" w:rsidRDefault="00891F0B" w:rsidP="00531286">
            <w:pPr>
              <w:adjustRightInd w:val="0"/>
              <w:jc w:val="center"/>
              <w:rPr>
                <w:color w:val="000000"/>
                <w:sz w:val="22"/>
                <w:szCs w:val="22"/>
              </w:rPr>
            </w:pPr>
          </w:p>
          <w:p w14:paraId="57D4766F" w14:textId="77777777" w:rsidR="00403DE2" w:rsidRDefault="00403DE2" w:rsidP="00531286">
            <w:pPr>
              <w:adjustRightInd w:val="0"/>
              <w:jc w:val="center"/>
              <w:rPr>
                <w:color w:val="000000"/>
                <w:sz w:val="22"/>
                <w:szCs w:val="22"/>
              </w:rPr>
            </w:pPr>
          </w:p>
          <w:p w14:paraId="0CD0736B" w14:textId="77777777" w:rsidR="00403DE2" w:rsidRPr="009A16A9" w:rsidRDefault="00403DE2" w:rsidP="00403DE2">
            <w:pPr>
              <w:adjustRightInd w:val="0"/>
              <w:jc w:val="center"/>
              <w:rPr>
                <w:color w:val="000000"/>
                <w:sz w:val="22"/>
                <w:szCs w:val="22"/>
              </w:rPr>
            </w:pPr>
            <w:proofErr w:type="spellStart"/>
            <w:r w:rsidRPr="009A16A9">
              <w:rPr>
                <w:color w:val="000000"/>
                <w:sz w:val="22"/>
                <w:szCs w:val="22"/>
              </w:rPr>
              <w:t>n.a</w:t>
            </w:r>
            <w:proofErr w:type="spellEnd"/>
            <w:r w:rsidRPr="009A16A9">
              <w:rPr>
                <w:color w:val="000000"/>
                <w:sz w:val="22"/>
                <w:szCs w:val="22"/>
              </w:rPr>
              <w:t>.</w:t>
            </w:r>
          </w:p>
          <w:p w14:paraId="33E88359" w14:textId="77777777" w:rsidR="00403DE2" w:rsidRPr="009A16A9" w:rsidRDefault="00403DE2" w:rsidP="00531286">
            <w:pPr>
              <w:adjustRightInd w:val="0"/>
              <w:jc w:val="center"/>
              <w:rPr>
                <w:color w:val="000000"/>
                <w:sz w:val="22"/>
                <w:szCs w:val="22"/>
              </w:rPr>
            </w:pPr>
          </w:p>
        </w:tc>
        <w:tc>
          <w:tcPr>
            <w:tcW w:w="993" w:type="dxa"/>
            <w:tcBorders>
              <w:top w:val="single" w:sz="4" w:space="0" w:color="auto"/>
              <w:left w:val="nil"/>
              <w:right w:val="single" w:sz="4" w:space="0" w:color="auto"/>
            </w:tcBorders>
          </w:tcPr>
          <w:p w14:paraId="6D75755D" w14:textId="77777777" w:rsidR="00197DC0" w:rsidRPr="00A01AAB" w:rsidRDefault="00531286" w:rsidP="00197DC0">
            <w:pPr>
              <w:adjustRightInd w:val="0"/>
              <w:rPr>
                <w:color w:val="000000"/>
                <w:sz w:val="22"/>
                <w:szCs w:val="22"/>
              </w:rPr>
            </w:pPr>
            <w:r w:rsidRPr="00A01AAB">
              <w:rPr>
                <w:color w:val="000000"/>
                <w:sz w:val="22"/>
                <w:szCs w:val="22"/>
              </w:rPr>
              <w:lastRenderedPageBreak/>
              <w:t xml:space="preserve"> </w:t>
            </w:r>
            <w:r w:rsidR="00197DC0">
              <w:rPr>
                <w:color w:val="000000"/>
                <w:sz w:val="22"/>
                <w:szCs w:val="22"/>
              </w:rPr>
              <w:t>429</w:t>
            </w:r>
            <w:r w:rsidR="00197DC0" w:rsidRPr="00A01AAB">
              <w:rPr>
                <w:color w:val="000000"/>
                <w:sz w:val="22"/>
                <w:szCs w:val="22"/>
              </w:rPr>
              <w:t>/2002</w:t>
            </w:r>
          </w:p>
          <w:p w14:paraId="4E24581D" w14:textId="77777777" w:rsidR="00197DC0" w:rsidRPr="00A01AAB" w:rsidRDefault="00197DC0" w:rsidP="00197DC0">
            <w:pPr>
              <w:rPr>
                <w:b/>
                <w:bCs/>
                <w:sz w:val="22"/>
                <w:szCs w:val="22"/>
              </w:rPr>
            </w:pPr>
            <w:r w:rsidRPr="00A01AAB">
              <w:rPr>
                <w:color w:val="000000"/>
                <w:sz w:val="22"/>
                <w:szCs w:val="22"/>
              </w:rPr>
              <w:t xml:space="preserve"> </w:t>
            </w:r>
            <w:r w:rsidRPr="00A01AAB">
              <w:rPr>
                <w:b/>
                <w:bCs/>
                <w:sz w:val="22"/>
                <w:szCs w:val="22"/>
              </w:rPr>
              <w:t>Návrh</w:t>
            </w:r>
          </w:p>
          <w:p w14:paraId="63552221" w14:textId="77777777" w:rsidR="00197DC0" w:rsidRPr="00A01AAB" w:rsidRDefault="00197DC0" w:rsidP="00197DC0">
            <w:pPr>
              <w:rPr>
                <w:b/>
                <w:bCs/>
                <w:sz w:val="22"/>
                <w:szCs w:val="22"/>
              </w:rPr>
            </w:pPr>
            <w:r w:rsidRPr="00A01AAB">
              <w:rPr>
                <w:b/>
                <w:bCs/>
                <w:sz w:val="22"/>
                <w:szCs w:val="22"/>
              </w:rPr>
              <w:t xml:space="preserve">Čl. II. </w:t>
            </w:r>
          </w:p>
          <w:p w14:paraId="540B44C6" w14:textId="60110729" w:rsidR="00197DC0" w:rsidRPr="009A16A9" w:rsidRDefault="00197DC0" w:rsidP="00197DC0">
            <w:pPr>
              <w:adjustRightInd w:val="0"/>
              <w:rPr>
                <w:color w:val="000000"/>
                <w:sz w:val="22"/>
                <w:szCs w:val="22"/>
              </w:rPr>
            </w:pPr>
            <w:r w:rsidRPr="00E22102">
              <w:rPr>
                <w:b/>
                <w:bCs/>
                <w:sz w:val="22"/>
                <w:szCs w:val="22"/>
              </w:rPr>
              <w:t xml:space="preserve">Bod </w:t>
            </w:r>
            <w:r>
              <w:rPr>
                <w:b/>
                <w:bCs/>
                <w:sz w:val="22"/>
                <w:szCs w:val="22"/>
              </w:rPr>
              <w:t>2</w:t>
            </w:r>
            <w:r w:rsidR="00055CC7">
              <w:rPr>
                <w:b/>
                <w:bCs/>
                <w:sz w:val="22"/>
                <w:szCs w:val="22"/>
              </w:rPr>
              <w:t>2</w:t>
            </w:r>
          </w:p>
          <w:p w14:paraId="79DA343B" w14:textId="4F5A3246" w:rsidR="00891F0B" w:rsidRPr="009A16A9" w:rsidRDefault="00891F0B" w:rsidP="00531286">
            <w:pPr>
              <w:rPr>
                <w:bCs/>
                <w:sz w:val="22"/>
                <w:szCs w:val="22"/>
                <w:highlight w:val="yellow"/>
              </w:rPr>
            </w:pPr>
          </w:p>
          <w:p w14:paraId="4312C5FA" w14:textId="77777777" w:rsidR="00531286" w:rsidRPr="009A16A9" w:rsidRDefault="00531286" w:rsidP="00531286">
            <w:pPr>
              <w:rPr>
                <w:bCs/>
                <w:sz w:val="22"/>
                <w:szCs w:val="22"/>
                <w:highlight w:val="yellow"/>
              </w:rPr>
            </w:pPr>
          </w:p>
          <w:p w14:paraId="4241DC1D" w14:textId="77777777" w:rsidR="00531286" w:rsidRPr="009A16A9" w:rsidRDefault="00531286" w:rsidP="00531286">
            <w:pPr>
              <w:rPr>
                <w:bCs/>
                <w:sz w:val="22"/>
                <w:szCs w:val="22"/>
                <w:highlight w:val="yellow"/>
              </w:rPr>
            </w:pPr>
          </w:p>
          <w:p w14:paraId="73A62BA2" w14:textId="77777777" w:rsidR="00531286" w:rsidRPr="009A16A9" w:rsidRDefault="00531286" w:rsidP="00531286">
            <w:pPr>
              <w:rPr>
                <w:bCs/>
                <w:sz w:val="22"/>
                <w:szCs w:val="22"/>
                <w:highlight w:val="yellow"/>
              </w:rPr>
            </w:pPr>
          </w:p>
          <w:p w14:paraId="60A70D46" w14:textId="09CBE7FB" w:rsidR="004429E4" w:rsidRPr="009A16A9" w:rsidRDefault="004429E4" w:rsidP="004429E4">
            <w:pPr>
              <w:adjustRightInd w:val="0"/>
              <w:rPr>
                <w:color w:val="000000"/>
                <w:sz w:val="22"/>
                <w:szCs w:val="22"/>
              </w:rPr>
            </w:pPr>
          </w:p>
          <w:p w14:paraId="03B52687" w14:textId="77777777" w:rsidR="00531286" w:rsidRPr="009A16A9" w:rsidRDefault="00531286" w:rsidP="00531286">
            <w:pPr>
              <w:rPr>
                <w:bCs/>
                <w:sz w:val="22"/>
                <w:szCs w:val="22"/>
                <w:highlight w:val="yellow"/>
              </w:rPr>
            </w:pPr>
          </w:p>
          <w:p w14:paraId="5793B254" w14:textId="77777777" w:rsidR="00531286" w:rsidRPr="009A16A9" w:rsidRDefault="00531286" w:rsidP="00531286">
            <w:pPr>
              <w:rPr>
                <w:bCs/>
                <w:sz w:val="22"/>
                <w:szCs w:val="22"/>
                <w:highlight w:val="yellow"/>
              </w:rPr>
            </w:pPr>
          </w:p>
          <w:p w14:paraId="582D1D93" w14:textId="77777777" w:rsidR="00531286" w:rsidRPr="009A16A9" w:rsidRDefault="00531286" w:rsidP="00531286">
            <w:pPr>
              <w:rPr>
                <w:bCs/>
                <w:sz w:val="22"/>
                <w:szCs w:val="22"/>
                <w:highlight w:val="yellow"/>
              </w:rPr>
            </w:pPr>
          </w:p>
          <w:p w14:paraId="55D4812B" w14:textId="77777777" w:rsidR="00531286" w:rsidRDefault="00531286" w:rsidP="00531286">
            <w:pPr>
              <w:rPr>
                <w:bCs/>
                <w:sz w:val="22"/>
                <w:szCs w:val="22"/>
                <w:highlight w:val="yellow"/>
              </w:rPr>
            </w:pPr>
          </w:p>
          <w:p w14:paraId="546C369F" w14:textId="77777777" w:rsidR="00403DE2" w:rsidRDefault="00403DE2" w:rsidP="00531286">
            <w:pPr>
              <w:rPr>
                <w:bCs/>
                <w:sz w:val="22"/>
                <w:szCs w:val="22"/>
                <w:highlight w:val="yellow"/>
              </w:rPr>
            </w:pPr>
          </w:p>
          <w:p w14:paraId="56785018" w14:textId="77777777" w:rsidR="00403DE2" w:rsidRPr="009A16A9" w:rsidRDefault="00403DE2" w:rsidP="00531286">
            <w:pPr>
              <w:rPr>
                <w:bCs/>
                <w:sz w:val="22"/>
                <w:szCs w:val="22"/>
                <w:highlight w:val="yellow"/>
              </w:rPr>
            </w:pPr>
          </w:p>
          <w:p w14:paraId="60A59CDB" w14:textId="77777777" w:rsidR="00B162C8" w:rsidRPr="009A16A9" w:rsidRDefault="00B162C8" w:rsidP="00531286">
            <w:pPr>
              <w:rPr>
                <w:bCs/>
                <w:sz w:val="22"/>
                <w:szCs w:val="22"/>
                <w:highlight w:val="yellow"/>
              </w:rPr>
            </w:pPr>
          </w:p>
          <w:p w14:paraId="4C7F6C3A" w14:textId="77777777" w:rsidR="00B162C8" w:rsidRPr="009A16A9" w:rsidRDefault="00B162C8" w:rsidP="00531286">
            <w:pPr>
              <w:rPr>
                <w:bCs/>
                <w:sz w:val="22"/>
                <w:szCs w:val="22"/>
                <w:highlight w:val="yellow"/>
              </w:rPr>
            </w:pPr>
          </w:p>
          <w:p w14:paraId="4F67D1C6" w14:textId="77777777" w:rsidR="00B162C8" w:rsidRPr="009A16A9" w:rsidRDefault="00B162C8" w:rsidP="00531286">
            <w:pPr>
              <w:rPr>
                <w:bCs/>
                <w:sz w:val="22"/>
                <w:szCs w:val="22"/>
                <w:highlight w:val="yellow"/>
              </w:rPr>
            </w:pPr>
          </w:p>
          <w:p w14:paraId="5CE77790" w14:textId="2DD3D2F1" w:rsidR="006B0AF1" w:rsidRDefault="006B0AF1" w:rsidP="00531286">
            <w:pPr>
              <w:rPr>
                <w:bCs/>
                <w:sz w:val="22"/>
                <w:szCs w:val="22"/>
                <w:highlight w:val="yellow"/>
              </w:rPr>
            </w:pPr>
          </w:p>
          <w:p w14:paraId="42CB398C" w14:textId="77777777" w:rsidR="002E2A86" w:rsidRDefault="002E2A86" w:rsidP="00531286">
            <w:pPr>
              <w:rPr>
                <w:bCs/>
                <w:sz w:val="22"/>
                <w:szCs w:val="22"/>
                <w:highlight w:val="yellow"/>
              </w:rPr>
            </w:pPr>
          </w:p>
          <w:p w14:paraId="7E96DDCC" w14:textId="77777777" w:rsidR="002E2A86" w:rsidRDefault="002E2A86" w:rsidP="00531286">
            <w:pPr>
              <w:rPr>
                <w:bCs/>
                <w:sz w:val="22"/>
                <w:szCs w:val="22"/>
                <w:highlight w:val="yellow"/>
              </w:rPr>
            </w:pPr>
          </w:p>
          <w:p w14:paraId="1AD096D4" w14:textId="77777777" w:rsidR="002E2A86" w:rsidRDefault="002E2A86" w:rsidP="00531286">
            <w:pPr>
              <w:rPr>
                <w:bCs/>
                <w:sz w:val="22"/>
                <w:szCs w:val="22"/>
                <w:highlight w:val="yellow"/>
              </w:rPr>
            </w:pPr>
          </w:p>
          <w:p w14:paraId="0CBD38E0" w14:textId="77777777" w:rsidR="002E2A86" w:rsidRDefault="002E2A86" w:rsidP="00531286">
            <w:pPr>
              <w:rPr>
                <w:bCs/>
                <w:sz w:val="22"/>
                <w:szCs w:val="22"/>
                <w:highlight w:val="yellow"/>
              </w:rPr>
            </w:pPr>
          </w:p>
          <w:p w14:paraId="57500296" w14:textId="77777777" w:rsidR="002E2A86" w:rsidRDefault="002E2A86" w:rsidP="00531286">
            <w:pPr>
              <w:rPr>
                <w:bCs/>
                <w:sz w:val="22"/>
                <w:szCs w:val="22"/>
                <w:highlight w:val="yellow"/>
              </w:rPr>
            </w:pPr>
          </w:p>
          <w:p w14:paraId="53CC57E0" w14:textId="77777777" w:rsidR="002E2A86" w:rsidRDefault="002E2A86" w:rsidP="00531286">
            <w:pPr>
              <w:rPr>
                <w:bCs/>
                <w:sz w:val="22"/>
                <w:szCs w:val="22"/>
                <w:highlight w:val="yellow"/>
              </w:rPr>
            </w:pPr>
          </w:p>
          <w:p w14:paraId="72259F21" w14:textId="77777777" w:rsidR="002E2A86" w:rsidRDefault="002E2A86" w:rsidP="00531286">
            <w:pPr>
              <w:rPr>
                <w:bCs/>
                <w:sz w:val="22"/>
                <w:szCs w:val="22"/>
                <w:highlight w:val="yellow"/>
              </w:rPr>
            </w:pPr>
          </w:p>
          <w:p w14:paraId="1F5B429B" w14:textId="77777777" w:rsidR="002E2A86" w:rsidRDefault="002E2A86" w:rsidP="00531286">
            <w:pPr>
              <w:rPr>
                <w:bCs/>
                <w:sz w:val="22"/>
                <w:szCs w:val="22"/>
                <w:highlight w:val="yellow"/>
              </w:rPr>
            </w:pPr>
          </w:p>
          <w:p w14:paraId="09A431BD" w14:textId="77777777" w:rsidR="002E2A86" w:rsidRDefault="002E2A86" w:rsidP="00531286">
            <w:pPr>
              <w:rPr>
                <w:bCs/>
                <w:sz w:val="22"/>
                <w:szCs w:val="22"/>
                <w:highlight w:val="yellow"/>
              </w:rPr>
            </w:pPr>
          </w:p>
          <w:p w14:paraId="6753EA23" w14:textId="77777777" w:rsidR="002E2A86" w:rsidRDefault="002E2A86" w:rsidP="00531286">
            <w:pPr>
              <w:rPr>
                <w:bCs/>
                <w:sz w:val="22"/>
                <w:szCs w:val="22"/>
                <w:highlight w:val="yellow"/>
              </w:rPr>
            </w:pPr>
          </w:p>
          <w:p w14:paraId="4E2B25C1" w14:textId="77777777" w:rsidR="002E2A86" w:rsidRDefault="002E2A86" w:rsidP="00531286">
            <w:pPr>
              <w:rPr>
                <w:bCs/>
                <w:sz w:val="22"/>
                <w:szCs w:val="22"/>
                <w:highlight w:val="yellow"/>
              </w:rPr>
            </w:pPr>
          </w:p>
          <w:p w14:paraId="00DB8B2E" w14:textId="77777777" w:rsidR="002E2A86" w:rsidRDefault="002E2A86" w:rsidP="00531286">
            <w:pPr>
              <w:rPr>
                <w:bCs/>
                <w:sz w:val="22"/>
                <w:szCs w:val="22"/>
                <w:highlight w:val="yellow"/>
              </w:rPr>
            </w:pPr>
          </w:p>
          <w:p w14:paraId="50D29D55" w14:textId="77777777" w:rsidR="002E2A86" w:rsidRDefault="002E2A86" w:rsidP="00531286">
            <w:pPr>
              <w:rPr>
                <w:bCs/>
                <w:sz w:val="22"/>
                <w:szCs w:val="22"/>
                <w:highlight w:val="yellow"/>
              </w:rPr>
            </w:pPr>
          </w:p>
          <w:p w14:paraId="59B135F0" w14:textId="77777777" w:rsidR="002E2A86" w:rsidRDefault="002E2A86" w:rsidP="00531286">
            <w:pPr>
              <w:rPr>
                <w:bCs/>
                <w:sz w:val="22"/>
                <w:szCs w:val="22"/>
                <w:highlight w:val="yellow"/>
              </w:rPr>
            </w:pPr>
          </w:p>
          <w:p w14:paraId="3250242C" w14:textId="77777777" w:rsidR="00C8622D" w:rsidRPr="009A16A9" w:rsidRDefault="00C8622D" w:rsidP="00531286">
            <w:pPr>
              <w:rPr>
                <w:bCs/>
                <w:sz w:val="22"/>
                <w:szCs w:val="22"/>
                <w:highlight w:val="yellow"/>
              </w:rPr>
            </w:pPr>
          </w:p>
          <w:p w14:paraId="36E2B8F6" w14:textId="77777777" w:rsidR="00531286" w:rsidRPr="00F70257" w:rsidRDefault="00531286" w:rsidP="00531286">
            <w:pPr>
              <w:rPr>
                <w:b/>
                <w:bCs/>
                <w:sz w:val="22"/>
                <w:szCs w:val="22"/>
              </w:rPr>
            </w:pPr>
            <w:r w:rsidRPr="00A01AAB">
              <w:rPr>
                <w:color w:val="000000"/>
                <w:sz w:val="22"/>
                <w:szCs w:val="22"/>
              </w:rPr>
              <w:lastRenderedPageBreak/>
              <w:t xml:space="preserve"> </w:t>
            </w:r>
            <w:r w:rsidRPr="00F70257">
              <w:rPr>
                <w:b/>
                <w:bCs/>
                <w:sz w:val="22"/>
                <w:szCs w:val="22"/>
              </w:rPr>
              <w:t>Návrh</w:t>
            </w:r>
          </w:p>
          <w:p w14:paraId="32DE938E" w14:textId="77777777" w:rsidR="00531286" w:rsidRPr="00F70257" w:rsidRDefault="00531286" w:rsidP="00531286">
            <w:pPr>
              <w:rPr>
                <w:b/>
                <w:bCs/>
                <w:sz w:val="22"/>
                <w:szCs w:val="22"/>
              </w:rPr>
            </w:pPr>
            <w:r w:rsidRPr="00F70257">
              <w:rPr>
                <w:b/>
                <w:bCs/>
                <w:sz w:val="22"/>
                <w:szCs w:val="22"/>
              </w:rPr>
              <w:t xml:space="preserve">Čl. </w:t>
            </w:r>
            <w:r w:rsidR="002E19C6" w:rsidRPr="00F70257">
              <w:rPr>
                <w:b/>
                <w:bCs/>
                <w:sz w:val="22"/>
                <w:szCs w:val="22"/>
              </w:rPr>
              <w:t>I</w:t>
            </w:r>
            <w:r w:rsidRPr="00F70257">
              <w:rPr>
                <w:b/>
                <w:bCs/>
                <w:sz w:val="22"/>
                <w:szCs w:val="22"/>
              </w:rPr>
              <w:t xml:space="preserve">I. </w:t>
            </w:r>
          </w:p>
          <w:p w14:paraId="1FCF6E6D" w14:textId="7D048F2E" w:rsidR="00531286" w:rsidRPr="00A01AAB" w:rsidRDefault="00531286" w:rsidP="00531286">
            <w:pPr>
              <w:adjustRightInd w:val="0"/>
              <w:rPr>
                <w:color w:val="000000"/>
                <w:sz w:val="22"/>
                <w:szCs w:val="22"/>
              </w:rPr>
            </w:pPr>
            <w:r w:rsidRPr="00F70257">
              <w:rPr>
                <w:b/>
                <w:bCs/>
                <w:sz w:val="22"/>
                <w:szCs w:val="22"/>
              </w:rPr>
              <w:t xml:space="preserve">Bod </w:t>
            </w:r>
            <w:r w:rsidR="00704300">
              <w:rPr>
                <w:b/>
                <w:bCs/>
                <w:sz w:val="22"/>
                <w:szCs w:val="22"/>
              </w:rPr>
              <w:t>2</w:t>
            </w:r>
            <w:r w:rsidR="00055CC7">
              <w:rPr>
                <w:b/>
                <w:bCs/>
                <w:sz w:val="22"/>
                <w:szCs w:val="22"/>
              </w:rPr>
              <w:t>3</w:t>
            </w:r>
          </w:p>
          <w:p w14:paraId="73CC1C25" w14:textId="77777777" w:rsidR="00531286" w:rsidRPr="00A01AAB" w:rsidRDefault="00531286" w:rsidP="00531286">
            <w:pPr>
              <w:rPr>
                <w:bCs/>
                <w:sz w:val="22"/>
                <w:szCs w:val="22"/>
              </w:rPr>
            </w:pPr>
          </w:p>
          <w:p w14:paraId="78609B65" w14:textId="77777777" w:rsidR="00531286" w:rsidRPr="009A16A9" w:rsidRDefault="00531286" w:rsidP="00531286">
            <w:pPr>
              <w:rPr>
                <w:bCs/>
                <w:sz w:val="22"/>
                <w:szCs w:val="22"/>
                <w:highlight w:val="yellow"/>
              </w:rPr>
            </w:pPr>
          </w:p>
          <w:p w14:paraId="2D365785" w14:textId="77777777" w:rsidR="00531286" w:rsidRPr="009A16A9" w:rsidRDefault="00531286" w:rsidP="00531286">
            <w:pPr>
              <w:rPr>
                <w:bCs/>
                <w:sz w:val="22"/>
                <w:szCs w:val="22"/>
                <w:highlight w:val="yellow"/>
              </w:rPr>
            </w:pPr>
          </w:p>
          <w:p w14:paraId="18C85D77" w14:textId="77777777" w:rsidR="00531286" w:rsidRPr="009A16A9" w:rsidRDefault="00531286" w:rsidP="00531286">
            <w:pPr>
              <w:rPr>
                <w:bCs/>
                <w:sz w:val="22"/>
                <w:szCs w:val="22"/>
                <w:highlight w:val="yellow"/>
              </w:rPr>
            </w:pPr>
          </w:p>
          <w:p w14:paraId="59B65108" w14:textId="77777777" w:rsidR="00531286" w:rsidRPr="009A16A9" w:rsidRDefault="00531286" w:rsidP="00531286">
            <w:pPr>
              <w:rPr>
                <w:bCs/>
                <w:sz w:val="22"/>
                <w:szCs w:val="22"/>
                <w:highlight w:val="yellow"/>
              </w:rPr>
            </w:pPr>
          </w:p>
          <w:p w14:paraId="424F7F97" w14:textId="77777777" w:rsidR="00531286" w:rsidRPr="009A16A9" w:rsidRDefault="00531286" w:rsidP="00531286">
            <w:pPr>
              <w:rPr>
                <w:bCs/>
                <w:sz w:val="22"/>
                <w:szCs w:val="22"/>
                <w:highlight w:val="yellow"/>
              </w:rPr>
            </w:pPr>
          </w:p>
          <w:p w14:paraId="7EDE9BF8" w14:textId="77777777" w:rsidR="00531286" w:rsidRPr="009A16A9" w:rsidRDefault="00531286" w:rsidP="00531286">
            <w:pPr>
              <w:rPr>
                <w:bCs/>
                <w:sz w:val="22"/>
                <w:szCs w:val="22"/>
                <w:highlight w:val="yellow"/>
              </w:rPr>
            </w:pPr>
          </w:p>
          <w:p w14:paraId="3D126A50" w14:textId="77777777" w:rsidR="00531286" w:rsidRPr="009A16A9" w:rsidRDefault="00531286" w:rsidP="00531286">
            <w:pPr>
              <w:rPr>
                <w:bCs/>
                <w:sz w:val="22"/>
                <w:szCs w:val="22"/>
                <w:highlight w:val="yellow"/>
              </w:rPr>
            </w:pPr>
          </w:p>
          <w:p w14:paraId="0685443A" w14:textId="77777777" w:rsidR="00531286" w:rsidRPr="009A16A9" w:rsidRDefault="00531286" w:rsidP="00531286">
            <w:pPr>
              <w:rPr>
                <w:bCs/>
                <w:sz w:val="22"/>
                <w:szCs w:val="22"/>
                <w:highlight w:val="yellow"/>
              </w:rPr>
            </w:pPr>
          </w:p>
          <w:p w14:paraId="41970B49" w14:textId="77777777" w:rsidR="00531286" w:rsidRPr="009A16A9" w:rsidRDefault="00531286" w:rsidP="00531286">
            <w:pPr>
              <w:rPr>
                <w:bCs/>
                <w:sz w:val="22"/>
                <w:szCs w:val="22"/>
                <w:highlight w:val="yellow"/>
              </w:rPr>
            </w:pPr>
          </w:p>
          <w:p w14:paraId="5A98BB6C" w14:textId="77777777" w:rsidR="00531286" w:rsidRPr="009A16A9" w:rsidRDefault="00531286" w:rsidP="00531286">
            <w:pPr>
              <w:rPr>
                <w:bCs/>
                <w:sz w:val="22"/>
                <w:szCs w:val="22"/>
                <w:highlight w:val="yellow"/>
              </w:rPr>
            </w:pPr>
          </w:p>
          <w:p w14:paraId="305AF826" w14:textId="77777777" w:rsidR="00531286" w:rsidRPr="009A16A9" w:rsidRDefault="00531286" w:rsidP="00531286">
            <w:pPr>
              <w:rPr>
                <w:bCs/>
                <w:sz w:val="22"/>
                <w:szCs w:val="22"/>
                <w:highlight w:val="yellow"/>
              </w:rPr>
            </w:pPr>
          </w:p>
          <w:p w14:paraId="2CEEA272" w14:textId="77777777" w:rsidR="00531286" w:rsidRPr="009A16A9" w:rsidRDefault="00531286" w:rsidP="00531286">
            <w:pPr>
              <w:rPr>
                <w:bCs/>
                <w:sz w:val="22"/>
                <w:szCs w:val="22"/>
                <w:highlight w:val="yellow"/>
              </w:rPr>
            </w:pPr>
          </w:p>
          <w:p w14:paraId="59DAC4AE" w14:textId="77777777" w:rsidR="00531286" w:rsidRPr="009A16A9" w:rsidRDefault="00531286" w:rsidP="00531286">
            <w:pPr>
              <w:rPr>
                <w:bCs/>
                <w:sz w:val="22"/>
                <w:szCs w:val="22"/>
                <w:highlight w:val="yellow"/>
              </w:rPr>
            </w:pPr>
          </w:p>
          <w:p w14:paraId="38B83C2D" w14:textId="77777777" w:rsidR="00531286" w:rsidRPr="009A16A9" w:rsidRDefault="00531286" w:rsidP="00531286">
            <w:pPr>
              <w:rPr>
                <w:bCs/>
                <w:sz w:val="22"/>
                <w:szCs w:val="22"/>
                <w:highlight w:val="yellow"/>
              </w:rPr>
            </w:pPr>
          </w:p>
          <w:p w14:paraId="0EE95295" w14:textId="77777777" w:rsidR="00531286" w:rsidRPr="009A16A9" w:rsidRDefault="00531286" w:rsidP="00531286">
            <w:pPr>
              <w:rPr>
                <w:bCs/>
                <w:sz w:val="22"/>
                <w:szCs w:val="22"/>
                <w:highlight w:val="yellow"/>
              </w:rPr>
            </w:pPr>
          </w:p>
          <w:p w14:paraId="2811D581" w14:textId="77777777" w:rsidR="00531286" w:rsidRPr="009A16A9" w:rsidRDefault="00531286" w:rsidP="00531286">
            <w:pPr>
              <w:rPr>
                <w:bCs/>
                <w:sz w:val="22"/>
                <w:szCs w:val="22"/>
                <w:highlight w:val="yellow"/>
              </w:rPr>
            </w:pPr>
          </w:p>
          <w:p w14:paraId="4F387241" w14:textId="77777777" w:rsidR="00531286" w:rsidRPr="009A16A9" w:rsidRDefault="00531286" w:rsidP="00531286">
            <w:pPr>
              <w:rPr>
                <w:bCs/>
                <w:sz w:val="22"/>
                <w:szCs w:val="22"/>
                <w:highlight w:val="yellow"/>
              </w:rPr>
            </w:pPr>
          </w:p>
          <w:p w14:paraId="438410E3" w14:textId="77777777" w:rsidR="00531286" w:rsidRPr="009A16A9" w:rsidRDefault="00531286" w:rsidP="00531286">
            <w:pPr>
              <w:rPr>
                <w:bCs/>
                <w:sz w:val="22"/>
                <w:szCs w:val="22"/>
                <w:highlight w:val="yellow"/>
              </w:rPr>
            </w:pPr>
          </w:p>
          <w:p w14:paraId="3C88B62C" w14:textId="77777777" w:rsidR="00531286" w:rsidRPr="009A16A9" w:rsidRDefault="00531286" w:rsidP="00531286">
            <w:pPr>
              <w:rPr>
                <w:bCs/>
                <w:sz w:val="22"/>
                <w:szCs w:val="22"/>
                <w:highlight w:val="yellow"/>
              </w:rPr>
            </w:pPr>
          </w:p>
          <w:p w14:paraId="63C18A6D" w14:textId="77777777" w:rsidR="00531286" w:rsidRPr="009A16A9" w:rsidRDefault="00531286" w:rsidP="00531286">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2806F82D" w14:textId="77777777" w:rsidR="00197DC0" w:rsidRPr="00704300" w:rsidRDefault="00197DC0" w:rsidP="00197DC0">
            <w:pPr>
              <w:jc w:val="center"/>
              <w:rPr>
                <w:b/>
                <w:sz w:val="22"/>
                <w:szCs w:val="22"/>
              </w:rPr>
            </w:pPr>
            <w:r w:rsidRPr="00704300">
              <w:rPr>
                <w:b/>
                <w:sz w:val="22"/>
                <w:szCs w:val="22"/>
              </w:rPr>
              <w:lastRenderedPageBreak/>
              <w:t>§ 38a</w:t>
            </w:r>
          </w:p>
          <w:p w14:paraId="2E6BAC84" w14:textId="3469BA3D" w:rsidR="00197DC0" w:rsidRPr="00704300" w:rsidRDefault="00197DC0" w:rsidP="00197DC0">
            <w:pPr>
              <w:jc w:val="center"/>
              <w:rPr>
                <w:b/>
                <w:sz w:val="22"/>
                <w:szCs w:val="22"/>
              </w:rPr>
            </w:pPr>
            <w:r w:rsidRPr="00704300">
              <w:rPr>
                <w:b/>
                <w:sz w:val="22"/>
                <w:szCs w:val="22"/>
              </w:rPr>
              <w:t xml:space="preserve">O: </w:t>
            </w:r>
            <w:r>
              <w:rPr>
                <w:b/>
                <w:sz w:val="22"/>
                <w:szCs w:val="22"/>
              </w:rPr>
              <w:t>2</w:t>
            </w:r>
            <w:r w:rsidRPr="00704300">
              <w:rPr>
                <w:b/>
                <w:sz w:val="22"/>
                <w:szCs w:val="22"/>
              </w:rPr>
              <w:t xml:space="preserve"> </w:t>
            </w:r>
          </w:p>
          <w:p w14:paraId="02C45420" w14:textId="77777777" w:rsidR="00891F0B" w:rsidRDefault="00891F0B" w:rsidP="00531286">
            <w:pPr>
              <w:jc w:val="center"/>
              <w:rPr>
                <w:b/>
                <w:sz w:val="22"/>
                <w:szCs w:val="22"/>
                <w:highlight w:val="yellow"/>
              </w:rPr>
            </w:pPr>
          </w:p>
          <w:p w14:paraId="1B84EBEB" w14:textId="77777777" w:rsidR="00197DC0" w:rsidRPr="009A16A9" w:rsidRDefault="00197DC0" w:rsidP="00531286">
            <w:pPr>
              <w:jc w:val="center"/>
              <w:rPr>
                <w:b/>
                <w:sz w:val="22"/>
                <w:szCs w:val="22"/>
                <w:highlight w:val="yellow"/>
              </w:rPr>
            </w:pPr>
          </w:p>
          <w:p w14:paraId="40DC0C64" w14:textId="77777777" w:rsidR="00891F0B" w:rsidRDefault="00891F0B" w:rsidP="00531286">
            <w:pPr>
              <w:jc w:val="center"/>
              <w:rPr>
                <w:b/>
                <w:sz w:val="22"/>
                <w:szCs w:val="22"/>
                <w:highlight w:val="yellow"/>
              </w:rPr>
            </w:pPr>
          </w:p>
          <w:p w14:paraId="54D43E15" w14:textId="77777777" w:rsidR="002E19C6" w:rsidRDefault="002E19C6" w:rsidP="00531286">
            <w:pPr>
              <w:jc w:val="center"/>
              <w:rPr>
                <w:b/>
                <w:sz w:val="22"/>
                <w:szCs w:val="22"/>
                <w:highlight w:val="yellow"/>
              </w:rPr>
            </w:pPr>
          </w:p>
          <w:p w14:paraId="6D5E8FBB" w14:textId="77777777" w:rsidR="002E19C6" w:rsidRDefault="002E19C6" w:rsidP="00531286">
            <w:pPr>
              <w:jc w:val="center"/>
              <w:rPr>
                <w:b/>
                <w:sz w:val="22"/>
                <w:szCs w:val="22"/>
                <w:highlight w:val="yellow"/>
              </w:rPr>
            </w:pPr>
          </w:p>
          <w:p w14:paraId="5FBCEC8C" w14:textId="77777777" w:rsidR="002E19C6" w:rsidRDefault="002E19C6" w:rsidP="00531286">
            <w:pPr>
              <w:jc w:val="center"/>
              <w:rPr>
                <w:b/>
                <w:sz w:val="22"/>
                <w:szCs w:val="22"/>
                <w:highlight w:val="yellow"/>
              </w:rPr>
            </w:pPr>
          </w:p>
          <w:p w14:paraId="6DCB9B30" w14:textId="77777777" w:rsidR="002E19C6" w:rsidRDefault="002E19C6" w:rsidP="00531286">
            <w:pPr>
              <w:jc w:val="center"/>
              <w:rPr>
                <w:b/>
                <w:sz w:val="22"/>
                <w:szCs w:val="22"/>
                <w:highlight w:val="yellow"/>
              </w:rPr>
            </w:pPr>
          </w:p>
          <w:p w14:paraId="370D6298" w14:textId="77777777" w:rsidR="002E19C6" w:rsidRPr="00704300" w:rsidRDefault="002E19C6" w:rsidP="00531286">
            <w:pPr>
              <w:jc w:val="center"/>
              <w:rPr>
                <w:b/>
                <w:sz w:val="22"/>
                <w:szCs w:val="22"/>
              </w:rPr>
            </w:pPr>
          </w:p>
          <w:p w14:paraId="797D8339" w14:textId="77777777" w:rsidR="002E19C6" w:rsidRPr="00704300" w:rsidRDefault="002E19C6" w:rsidP="00531286">
            <w:pPr>
              <w:jc w:val="center"/>
              <w:rPr>
                <w:b/>
                <w:sz w:val="22"/>
                <w:szCs w:val="22"/>
              </w:rPr>
            </w:pPr>
          </w:p>
          <w:p w14:paraId="5F201146" w14:textId="77777777" w:rsidR="002E19C6" w:rsidRDefault="002E19C6" w:rsidP="00531286">
            <w:pPr>
              <w:jc w:val="center"/>
              <w:rPr>
                <w:b/>
                <w:sz w:val="22"/>
                <w:szCs w:val="22"/>
                <w:highlight w:val="yellow"/>
              </w:rPr>
            </w:pPr>
          </w:p>
          <w:p w14:paraId="6C439619" w14:textId="77777777" w:rsidR="002E19C6" w:rsidRDefault="002E19C6" w:rsidP="00531286">
            <w:pPr>
              <w:jc w:val="center"/>
              <w:rPr>
                <w:b/>
                <w:sz w:val="22"/>
                <w:szCs w:val="22"/>
                <w:highlight w:val="yellow"/>
              </w:rPr>
            </w:pPr>
          </w:p>
          <w:p w14:paraId="77E23DF5" w14:textId="77777777" w:rsidR="002E19C6" w:rsidRDefault="002E19C6" w:rsidP="00531286">
            <w:pPr>
              <w:jc w:val="center"/>
              <w:rPr>
                <w:b/>
                <w:sz w:val="22"/>
                <w:szCs w:val="22"/>
                <w:highlight w:val="yellow"/>
              </w:rPr>
            </w:pPr>
          </w:p>
          <w:p w14:paraId="3D6FCA07" w14:textId="77777777" w:rsidR="002E19C6" w:rsidRDefault="002E19C6" w:rsidP="00531286">
            <w:pPr>
              <w:jc w:val="center"/>
              <w:rPr>
                <w:b/>
                <w:sz w:val="22"/>
                <w:szCs w:val="22"/>
                <w:highlight w:val="yellow"/>
              </w:rPr>
            </w:pPr>
          </w:p>
          <w:p w14:paraId="04A64949" w14:textId="77777777" w:rsidR="002E19C6" w:rsidRDefault="002E19C6" w:rsidP="00531286">
            <w:pPr>
              <w:jc w:val="center"/>
              <w:rPr>
                <w:b/>
                <w:sz w:val="22"/>
                <w:szCs w:val="22"/>
                <w:highlight w:val="yellow"/>
              </w:rPr>
            </w:pPr>
          </w:p>
          <w:p w14:paraId="7A5627B8" w14:textId="77777777" w:rsidR="002E19C6" w:rsidRDefault="002E19C6" w:rsidP="00531286">
            <w:pPr>
              <w:jc w:val="center"/>
              <w:rPr>
                <w:b/>
                <w:sz w:val="22"/>
                <w:szCs w:val="22"/>
                <w:highlight w:val="yellow"/>
              </w:rPr>
            </w:pPr>
          </w:p>
          <w:p w14:paraId="563EB282" w14:textId="77777777" w:rsidR="002E19C6" w:rsidRDefault="002E19C6" w:rsidP="00531286">
            <w:pPr>
              <w:jc w:val="center"/>
              <w:rPr>
                <w:b/>
                <w:sz w:val="22"/>
                <w:szCs w:val="22"/>
                <w:highlight w:val="yellow"/>
              </w:rPr>
            </w:pPr>
          </w:p>
          <w:p w14:paraId="3E52F806" w14:textId="77777777" w:rsidR="002E19C6" w:rsidRDefault="002E19C6" w:rsidP="00531286">
            <w:pPr>
              <w:jc w:val="center"/>
              <w:rPr>
                <w:b/>
                <w:sz w:val="22"/>
                <w:szCs w:val="22"/>
                <w:highlight w:val="yellow"/>
              </w:rPr>
            </w:pPr>
          </w:p>
          <w:p w14:paraId="1001CD02" w14:textId="77777777" w:rsidR="002E19C6" w:rsidRDefault="002E19C6" w:rsidP="00531286">
            <w:pPr>
              <w:jc w:val="center"/>
              <w:rPr>
                <w:b/>
                <w:sz w:val="22"/>
                <w:szCs w:val="22"/>
                <w:highlight w:val="yellow"/>
              </w:rPr>
            </w:pPr>
          </w:p>
          <w:p w14:paraId="30227C80" w14:textId="77777777" w:rsidR="002E19C6" w:rsidRDefault="002E19C6" w:rsidP="00531286">
            <w:pPr>
              <w:jc w:val="center"/>
              <w:rPr>
                <w:b/>
                <w:sz w:val="22"/>
                <w:szCs w:val="22"/>
                <w:highlight w:val="yellow"/>
              </w:rPr>
            </w:pPr>
          </w:p>
          <w:p w14:paraId="360F0BE0" w14:textId="77777777" w:rsidR="002E19C6" w:rsidRDefault="002E19C6" w:rsidP="00531286">
            <w:pPr>
              <w:jc w:val="center"/>
              <w:rPr>
                <w:b/>
                <w:sz w:val="22"/>
                <w:szCs w:val="22"/>
                <w:highlight w:val="yellow"/>
              </w:rPr>
            </w:pPr>
          </w:p>
          <w:p w14:paraId="7A474DE3" w14:textId="77777777" w:rsidR="002E19C6" w:rsidRDefault="002E19C6" w:rsidP="00531286">
            <w:pPr>
              <w:jc w:val="center"/>
              <w:rPr>
                <w:b/>
                <w:sz w:val="22"/>
                <w:szCs w:val="22"/>
                <w:highlight w:val="yellow"/>
              </w:rPr>
            </w:pPr>
          </w:p>
          <w:p w14:paraId="059D8D85" w14:textId="77777777" w:rsidR="002E2A86" w:rsidRDefault="002E2A86" w:rsidP="00531286">
            <w:pPr>
              <w:jc w:val="center"/>
              <w:rPr>
                <w:b/>
                <w:sz w:val="22"/>
                <w:szCs w:val="22"/>
                <w:highlight w:val="yellow"/>
              </w:rPr>
            </w:pPr>
          </w:p>
          <w:p w14:paraId="3CFD154B" w14:textId="77777777" w:rsidR="002E2A86" w:rsidRDefault="002E2A86" w:rsidP="00531286">
            <w:pPr>
              <w:jc w:val="center"/>
              <w:rPr>
                <w:b/>
                <w:sz w:val="22"/>
                <w:szCs w:val="22"/>
                <w:highlight w:val="yellow"/>
              </w:rPr>
            </w:pPr>
          </w:p>
          <w:p w14:paraId="6E1A6285" w14:textId="77777777" w:rsidR="002E2A86" w:rsidRDefault="002E2A86" w:rsidP="00531286">
            <w:pPr>
              <w:jc w:val="center"/>
              <w:rPr>
                <w:b/>
                <w:sz w:val="22"/>
                <w:szCs w:val="22"/>
                <w:highlight w:val="yellow"/>
              </w:rPr>
            </w:pPr>
          </w:p>
          <w:p w14:paraId="6500621D" w14:textId="77777777" w:rsidR="002E2A86" w:rsidRDefault="002E2A86" w:rsidP="00531286">
            <w:pPr>
              <w:jc w:val="center"/>
              <w:rPr>
                <w:b/>
                <w:sz w:val="22"/>
                <w:szCs w:val="22"/>
                <w:highlight w:val="yellow"/>
              </w:rPr>
            </w:pPr>
          </w:p>
          <w:p w14:paraId="32BDA16B" w14:textId="77777777" w:rsidR="002E2A86" w:rsidRDefault="002E2A86" w:rsidP="00531286">
            <w:pPr>
              <w:jc w:val="center"/>
              <w:rPr>
                <w:b/>
                <w:sz w:val="22"/>
                <w:szCs w:val="22"/>
                <w:highlight w:val="yellow"/>
              </w:rPr>
            </w:pPr>
          </w:p>
          <w:p w14:paraId="309CE133" w14:textId="77777777" w:rsidR="002E2A86" w:rsidRDefault="002E2A86" w:rsidP="00531286">
            <w:pPr>
              <w:jc w:val="center"/>
              <w:rPr>
                <w:b/>
                <w:sz w:val="22"/>
                <w:szCs w:val="22"/>
                <w:highlight w:val="yellow"/>
              </w:rPr>
            </w:pPr>
          </w:p>
          <w:p w14:paraId="57EC3DEF" w14:textId="77777777" w:rsidR="002E2A86" w:rsidRDefault="002E2A86" w:rsidP="00531286">
            <w:pPr>
              <w:jc w:val="center"/>
              <w:rPr>
                <w:b/>
                <w:sz w:val="22"/>
                <w:szCs w:val="22"/>
                <w:highlight w:val="yellow"/>
              </w:rPr>
            </w:pPr>
          </w:p>
          <w:p w14:paraId="28FC9949" w14:textId="77777777" w:rsidR="002E2A86" w:rsidRDefault="002E2A86" w:rsidP="00531286">
            <w:pPr>
              <w:jc w:val="center"/>
              <w:rPr>
                <w:b/>
                <w:sz w:val="22"/>
                <w:szCs w:val="22"/>
                <w:highlight w:val="yellow"/>
              </w:rPr>
            </w:pPr>
          </w:p>
          <w:p w14:paraId="4B2F932C" w14:textId="77777777" w:rsidR="002E2A86" w:rsidRDefault="002E2A86" w:rsidP="00531286">
            <w:pPr>
              <w:jc w:val="center"/>
              <w:rPr>
                <w:b/>
                <w:sz w:val="22"/>
                <w:szCs w:val="22"/>
                <w:highlight w:val="yellow"/>
              </w:rPr>
            </w:pPr>
          </w:p>
          <w:p w14:paraId="2BC3C738" w14:textId="77777777" w:rsidR="002E2A86" w:rsidRDefault="002E2A86" w:rsidP="00531286">
            <w:pPr>
              <w:jc w:val="center"/>
              <w:rPr>
                <w:b/>
                <w:sz w:val="22"/>
                <w:szCs w:val="22"/>
                <w:highlight w:val="yellow"/>
              </w:rPr>
            </w:pPr>
          </w:p>
          <w:p w14:paraId="1C84028A" w14:textId="77777777" w:rsidR="00A01AAB" w:rsidRDefault="00A01AAB" w:rsidP="002E19C6">
            <w:pPr>
              <w:jc w:val="center"/>
              <w:rPr>
                <w:b/>
                <w:sz w:val="22"/>
                <w:szCs w:val="22"/>
              </w:rPr>
            </w:pPr>
          </w:p>
          <w:p w14:paraId="0F623264" w14:textId="77777777" w:rsidR="002E19C6" w:rsidRPr="00531286" w:rsidRDefault="002E19C6" w:rsidP="002E19C6">
            <w:pPr>
              <w:jc w:val="center"/>
              <w:rPr>
                <w:b/>
                <w:sz w:val="22"/>
                <w:szCs w:val="22"/>
              </w:rPr>
            </w:pPr>
            <w:r w:rsidRPr="00531286">
              <w:rPr>
                <w:b/>
                <w:sz w:val="22"/>
                <w:szCs w:val="22"/>
              </w:rPr>
              <w:lastRenderedPageBreak/>
              <w:t>§</w:t>
            </w:r>
            <w:r>
              <w:rPr>
                <w:b/>
                <w:sz w:val="22"/>
                <w:szCs w:val="22"/>
              </w:rPr>
              <w:t xml:space="preserve"> </w:t>
            </w:r>
            <w:r w:rsidR="00A01AAB">
              <w:rPr>
                <w:b/>
                <w:sz w:val="22"/>
                <w:szCs w:val="22"/>
              </w:rPr>
              <w:t>38a</w:t>
            </w:r>
          </w:p>
          <w:p w14:paraId="4533DA07" w14:textId="23BD9FE3" w:rsidR="002E19C6" w:rsidRDefault="002E19C6" w:rsidP="002E19C6">
            <w:pPr>
              <w:jc w:val="center"/>
              <w:rPr>
                <w:b/>
                <w:sz w:val="22"/>
                <w:szCs w:val="22"/>
              </w:rPr>
            </w:pPr>
            <w:r w:rsidRPr="00531286">
              <w:rPr>
                <w:b/>
                <w:sz w:val="22"/>
                <w:szCs w:val="22"/>
              </w:rPr>
              <w:t xml:space="preserve">O: </w:t>
            </w:r>
            <w:r w:rsidR="00704300">
              <w:rPr>
                <w:b/>
                <w:sz w:val="22"/>
                <w:szCs w:val="22"/>
              </w:rPr>
              <w:t>5</w:t>
            </w:r>
            <w:r w:rsidR="00BF388D">
              <w:rPr>
                <w:b/>
                <w:sz w:val="22"/>
                <w:szCs w:val="22"/>
              </w:rPr>
              <w:t xml:space="preserve"> a </w:t>
            </w:r>
            <w:r w:rsidR="00704300">
              <w:rPr>
                <w:b/>
                <w:sz w:val="22"/>
                <w:szCs w:val="22"/>
              </w:rPr>
              <w:t>6</w:t>
            </w:r>
          </w:p>
          <w:p w14:paraId="7140251E" w14:textId="77777777" w:rsidR="002E19C6" w:rsidRDefault="002E19C6" w:rsidP="00531286">
            <w:pPr>
              <w:jc w:val="center"/>
              <w:rPr>
                <w:b/>
                <w:sz w:val="22"/>
                <w:szCs w:val="22"/>
                <w:highlight w:val="yellow"/>
              </w:rPr>
            </w:pPr>
          </w:p>
          <w:p w14:paraId="44DCE34A" w14:textId="77777777" w:rsidR="002E19C6" w:rsidRDefault="002E19C6" w:rsidP="00531286">
            <w:pPr>
              <w:jc w:val="center"/>
              <w:rPr>
                <w:b/>
                <w:sz w:val="22"/>
                <w:szCs w:val="22"/>
                <w:highlight w:val="yellow"/>
              </w:rPr>
            </w:pPr>
          </w:p>
          <w:p w14:paraId="69085D3B" w14:textId="77777777" w:rsidR="002E19C6" w:rsidRDefault="002E19C6" w:rsidP="00531286">
            <w:pPr>
              <w:jc w:val="center"/>
              <w:rPr>
                <w:b/>
                <w:sz w:val="22"/>
                <w:szCs w:val="22"/>
                <w:highlight w:val="yellow"/>
              </w:rPr>
            </w:pPr>
          </w:p>
          <w:p w14:paraId="00ED87FD" w14:textId="77777777" w:rsidR="002E19C6" w:rsidRDefault="002E19C6" w:rsidP="00531286">
            <w:pPr>
              <w:jc w:val="center"/>
              <w:rPr>
                <w:b/>
                <w:sz w:val="22"/>
                <w:szCs w:val="22"/>
                <w:highlight w:val="yellow"/>
              </w:rPr>
            </w:pPr>
          </w:p>
          <w:p w14:paraId="3386A970" w14:textId="77777777" w:rsidR="002E19C6" w:rsidRDefault="002E19C6" w:rsidP="00531286">
            <w:pPr>
              <w:jc w:val="center"/>
              <w:rPr>
                <w:b/>
                <w:sz w:val="22"/>
                <w:szCs w:val="22"/>
                <w:highlight w:val="yellow"/>
              </w:rPr>
            </w:pPr>
          </w:p>
          <w:p w14:paraId="501EEDD4" w14:textId="77777777" w:rsidR="002E19C6" w:rsidRDefault="002E19C6" w:rsidP="00531286">
            <w:pPr>
              <w:jc w:val="center"/>
              <w:rPr>
                <w:b/>
                <w:sz w:val="22"/>
                <w:szCs w:val="22"/>
                <w:highlight w:val="yellow"/>
              </w:rPr>
            </w:pPr>
          </w:p>
          <w:p w14:paraId="4D96AF93" w14:textId="77777777" w:rsidR="002E19C6" w:rsidRDefault="002E19C6" w:rsidP="00531286">
            <w:pPr>
              <w:jc w:val="center"/>
              <w:rPr>
                <w:b/>
                <w:sz w:val="22"/>
                <w:szCs w:val="22"/>
                <w:highlight w:val="yellow"/>
              </w:rPr>
            </w:pPr>
          </w:p>
          <w:p w14:paraId="28DA7C8F" w14:textId="77777777" w:rsidR="002E19C6" w:rsidRDefault="002E19C6" w:rsidP="00531286">
            <w:pPr>
              <w:jc w:val="center"/>
              <w:rPr>
                <w:b/>
                <w:sz w:val="22"/>
                <w:szCs w:val="22"/>
                <w:highlight w:val="yellow"/>
              </w:rPr>
            </w:pPr>
          </w:p>
          <w:p w14:paraId="60E951D7" w14:textId="77777777" w:rsidR="002E19C6" w:rsidRDefault="002E19C6" w:rsidP="00531286">
            <w:pPr>
              <w:jc w:val="center"/>
              <w:rPr>
                <w:b/>
                <w:sz w:val="22"/>
                <w:szCs w:val="22"/>
                <w:highlight w:val="yellow"/>
              </w:rPr>
            </w:pPr>
          </w:p>
          <w:p w14:paraId="71F5816A" w14:textId="77777777" w:rsidR="002E19C6" w:rsidRPr="009A16A9" w:rsidRDefault="002E19C6" w:rsidP="00531286">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35EF8959" w14:textId="1B395F50" w:rsidR="00A63BC7" w:rsidRPr="002E19C6" w:rsidRDefault="00A63BC7" w:rsidP="00197DC0">
            <w:pPr>
              <w:pStyle w:val="Odsekzoznamu"/>
              <w:numPr>
                <w:ilvl w:val="0"/>
                <w:numId w:val="48"/>
              </w:numPr>
              <w:jc w:val="both"/>
            </w:pPr>
            <w:r w:rsidRPr="002E19C6">
              <w:lastRenderedPageBreak/>
              <w:t xml:space="preserve">Burza je oprávnená vo výnimočných situáciách zrušiť, zmeniť alebo opraviť </w:t>
            </w:r>
            <w:r w:rsidRPr="00197DC0">
              <w:t xml:space="preserve">akúkoľvek transakciu. Burza je povinná zabezpečiť, že parametre pre zastavenie </w:t>
            </w:r>
            <w:r w:rsidRPr="00197DC0">
              <w:rPr>
                <w:bCs/>
              </w:rPr>
              <w:t>obchodovania</w:t>
            </w:r>
            <w:r w:rsidRPr="00197DC0">
              <w:rPr>
                <w:b/>
              </w:rPr>
              <w:t xml:space="preserve"> alebo obmedzenie obchodovania </w:t>
            </w:r>
            <w:r w:rsidRPr="002E19C6">
              <w:t>na regulovanom trhu sú vhodne nastavené spôsobom, ktorý berie do úvahy likviditu jednotlivých tried a podtried aktív, povahu trhového modelu a typy používateľov a ktorý je dostačujúci na to, aby sa zabránilo významným narušeniam riadneho obchodovania.</w:t>
            </w:r>
          </w:p>
          <w:p w14:paraId="4174FCF7" w14:textId="77777777" w:rsidR="00A63BC7" w:rsidRPr="002E19C6" w:rsidRDefault="00A63BC7" w:rsidP="00A63BC7">
            <w:pPr>
              <w:jc w:val="both"/>
              <w:rPr>
                <w:noProof/>
                <w:sz w:val="20"/>
                <w:szCs w:val="20"/>
              </w:rPr>
            </w:pPr>
          </w:p>
          <w:p w14:paraId="072A3CFE" w14:textId="77777777" w:rsidR="002E2A86" w:rsidRDefault="002E2A86" w:rsidP="00007B33">
            <w:pPr>
              <w:jc w:val="both"/>
              <w:rPr>
                <w:rStyle w:val="y2iqfc"/>
                <w:b/>
              </w:rPr>
            </w:pPr>
          </w:p>
          <w:p w14:paraId="1A51AFC9" w14:textId="77777777" w:rsidR="002E2A86" w:rsidRDefault="002E2A86" w:rsidP="00007B33">
            <w:pPr>
              <w:jc w:val="both"/>
              <w:rPr>
                <w:rStyle w:val="y2iqfc"/>
                <w:b/>
              </w:rPr>
            </w:pPr>
          </w:p>
          <w:p w14:paraId="5D60941E" w14:textId="77777777" w:rsidR="002E2A86" w:rsidRDefault="002E2A86" w:rsidP="00007B33">
            <w:pPr>
              <w:jc w:val="both"/>
              <w:rPr>
                <w:rStyle w:val="y2iqfc"/>
                <w:b/>
              </w:rPr>
            </w:pPr>
          </w:p>
          <w:p w14:paraId="11C5E07C" w14:textId="77777777" w:rsidR="002E2A86" w:rsidRDefault="002E2A86" w:rsidP="00007B33">
            <w:pPr>
              <w:jc w:val="both"/>
              <w:rPr>
                <w:rStyle w:val="y2iqfc"/>
                <w:b/>
              </w:rPr>
            </w:pPr>
          </w:p>
          <w:p w14:paraId="464F5E51" w14:textId="77777777" w:rsidR="002E2A86" w:rsidRDefault="002E2A86" w:rsidP="00007B33">
            <w:pPr>
              <w:jc w:val="both"/>
              <w:rPr>
                <w:rStyle w:val="y2iqfc"/>
                <w:b/>
              </w:rPr>
            </w:pPr>
          </w:p>
          <w:p w14:paraId="158CCF1B" w14:textId="77777777" w:rsidR="002E2A86" w:rsidRDefault="002E2A86" w:rsidP="00007B33">
            <w:pPr>
              <w:jc w:val="both"/>
              <w:rPr>
                <w:rStyle w:val="y2iqfc"/>
                <w:b/>
              </w:rPr>
            </w:pPr>
          </w:p>
          <w:p w14:paraId="75B6435E" w14:textId="77777777" w:rsidR="002E2A86" w:rsidRDefault="002E2A86" w:rsidP="00007B33">
            <w:pPr>
              <w:jc w:val="both"/>
              <w:rPr>
                <w:rStyle w:val="y2iqfc"/>
                <w:b/>
              </w:rPr>
            </w:pPr>
          </w:p>
          <w:p w14:paraId="714E2CDF" w14:textId="77777777" w:rsidR="002E2A86" w:rsidRDefault="002E2A86" w:rsidP="00007B33">
            <w:pPr>
              <w:jc w:val="both"/>
              <w:rPr>
                <w:rStyle w:val="y2iqfc"/>
                <w:b/>
              </w:rPr>
            </w:pPr>
          </w:p>
          <w:p w14:paraId="5DDECFAD" w14:textId="77777777" w:rsidR="002E2A86" w:rsidRDefault="002E2A86" w:rsidP="00007B33">
            <w:pPr>
              <w:jc w:val="both"/>
              <w:rPr>
                <w:rStyle w:val="y2iqfc"/>
                <w:b/>
              </w:rPr>
            </w:pPr>
          </w:p>
          <w:p w14:paraId="60AEE0B7" w14:textId="77777777" w:rsidR="002E2A86" w:rsidRDefault="002E2A86" w:rsidP="00007B33">
            <w:pPr>
              <w:jc w:val="both"/>
              <w:rPr>
                <w:rStyle w:val="y2iqfc"/>
                <w:b/>
              </w:rPr>
            </w:pPr>
          </w:p>
          <w:p w14:paraId="1AC06773" w14:textId="77777777" w:rsidR="002E2A86" w:rsidRDefault="002E2A86" w:rsidP="00007B33">
            <w:pPr>
              <w:jc w:val="both"/>
              <w:rPr>
                <w:rStyle w:val="y2iqfc"/>
                <w:b/>
              </w:rPr>
            </w:pPr>
          </w:p>
          <w:p w14:paraId="50C7F087" w14:textId="77777777" w:rsidR="002E2A86" w:rsidRDefault="002E2A86" w:rsidP="00007B33">
            <w:pPr>
              <w:jc w:val="both"/>
              <w:rPr>
                <w:rStyle w:val="y2iqfc"/>
                <w:b/>
              </w:rPr>
            </w:pPr>
          </w:p>
          <w:p w14:paraId="7B27E34F" w14:textId="77777777" w:rsidR="002E2A86" w:rsidRDefault="002E2A86" w:rsidP="00007B33">
            <w:pPr>
              <w:jc w:val="both"/>
              <w:rPr>
                <w:rStyle w:val="y2iqfc"/>
                <w:b/>
              </w:rPr>
            </w:pPr>
          </w:p>
          <w:p w14:paraId="2506C6E9" w14:textId="77777777" w:rsidR="002E2A86" w:rsidRDefault="002E2A86" w:rsidP="00007B33">
            <w:pPr>
              <w:jc w:val="both"/>
              <w:rPr>
                <w:rStyle w:val="y2iqfc"/>
                <w:b/>
              </w:rPr>
            </w:pPr>
          </w:p>
          <w:p w14:paraId="5CB84BBF" w14:textId="77777777" w:rsidR="002E2A86" w:rsidRDefault="002E2A86" w:rsidP="00007B33">
            <w:pPr>
              <w:jc w:val="both"/>
              <w:rPr>
                <w:rStyle w:val="y2iqfc"/>
                <w:b/>
              </w:rPr>
            </w:pPr>
          </w:p>
          <w:p w14:paraId="74B51DA4" w14:textId="77777777" w:rsidR="002E2A86" w:rsidRDefault="002E2A86" w:rsidP="00007B33">
            <w:pPr>
              <w:jc w:val="both"/>
              <w:rPr>
                <w:rStyle w:val="y2iqfc"/>
                <w:b/>
              </w:rPr>
            </w:pPr>
          </w:p>
          <w:p w14:paraId="0634A282" w14:textId="77777777" w:rsidR="002E2A86" w:rsidRDefault="002E2A86" w:rsidP="00007B33">
            <w:pPr>
              <w:jc w:val="both"/>
              <w:rPr>
                <w:rStyle w:val="y2iqfc"/>
                <w:b/>
              </w:rPr>
            </w:pPr>
          </w:p>
          <w:p w14:paraId="5790BC6E" w14:textId="77777777" w:rsidR="002E2A86" w:rsidRDefault="002E2A86" w:rsidP="00007B33">
            <w:pPr>
              <w:jc w:val="both"/>
              <w:rPr>
                <w:rStyle w:val="y2iqfc"/>
                <w:b/>
              </w:rPr>
            </w:pPr>
          </w:p>
          <w:p w14:paraId="2FF7DA9A" w14:textId="77777777" w:rsidR="002E2A86" w:rsidRDefault="002E2A86" w:rsidP="00007B33">
            <w:pPr>
              <w:jc w:val="both"/>
              <w:rPr>
                <w:rStyle w:val="y2iqfc"/>
                <w:b/>
              </w:rPr>
            </w:pPr>
          </w:p>
          <w:p w14:paraId="447043F2" w14:textId="6DE216AD" w:rsidR="00007B33" w:rsidRPr="00007B33" w:rsidRDefault="002E19C6" w:rsidP="00007B33">
            <w:pPr>
              <w:jc w:val="both"/>
              <w:rPr>
                <w:b/>
                <w:bCs/>
                <w:noProof/>
                <w:sz w:val="20"/>
                <w:szCs w:val="20"/>
              </w:rPr>
            </w:pPr>
            <w:r w:rsidRPr="00B21378">
              <w:rPr>
                <w:rStyle w:val="y2iqfc"/>
                <w:b/>
              </w:rPr>
              <w:lastRenderedPageBreak/>
              <w:t>(</w:t>
            </w:r>
            <w:r w:rsidR="00704300">
              <w:rPr>
                <w:rStyle w:val="y2iqfc"/>
                <w:b/>
              </w:rPr>
              <w:t>5</w:t>
            </w:r>
            <w:r w:rsidRPr="00B21378">
              <w:rPr>
                <w:rStyle w:val="y2iqfc"/>
                <w:b/>
              </w:rPr>
              <w:t xml:space="preserve">) </w:t>
            </w:r>
            <w:bookmarkStart w:id="8" w:name="_Hlk196463569"/>
            <w:r w:rsidR="00007B33" w:rsidRPr="00007B33">
              <w:rPr>
                <w:b/>
                <w:bCs/>
                <w:noProof/>
                <w:sz w:val="20"/>
                <w:szCs w:val="20"/>
              </w:rPr>
              <w:t>Burza je povinná na svojom webovom sídle zverejniť informácie o okolnostiach, ktoré viedli k zastaveniu obchodovania alebo obmedzeniu obchodovania na regulovanom trhu a o zásadách určenia hlavných technických parametrov, ktoré sa na zastavenie obchodovania alebo obmedzenie obchodovania použili.</w:t>
            </w:r>
          </w:p>
          <w:p w14:paraId="7744FA8B" w14:textId="19D6BB73" w:rsidR="00A63BC7" w:rsidRPr="00007B33" w:rsidRDefault="00007B33" w:rsidP="00007B33">
            <w:pPr>
              <w:jc w:val="both"/>
              <w:rPr>
                <w:b/>
                <w:bCs/>
                <w:noProof/>
                <w:sz w:val="20"/>
                <w:szCs w:val="20"/>
              </w:rPr>
            </w:pPr>
            <w:r w:rsidRPr="00007B33">
              <w:rPr>
                <w:b/>
                <w:bCs/>
                <w:noProof/>
                <w:sz w:val="20"/>
                <w:szCs w:val="20"/>
              </w:rPr>
              <w:t xml:space="preserve">(6) Ak burza nezastaví obchodovanie alebo neobmedzí obchodovanie na regulovanom trhu podľa odseku </w:t>
            </w:r>
            <w:r w:rsidR="00055CC7">
              <w:rPr>
                <w:b/>
                <w:bCs/>
                <w:noProof/>
                <w:sz w:val="20"/>
                <w:szCs w:val="20"/>
              </w:rPr>
              <w:t>1</w:t>
            </w:r>
            <w:r w:rsidRPr="00007B33">
              <w:rPr>
                <w:b/>
                <w:bCs/>
                <w:noProof/>
                <w:sz w:val="20"/>
                <w:szCs w:val="20"/>
              </w:rPr>
              <w:t xml:space="preserve"> napriek skutočnosti, že významný pohyb ceny finančného nástroja alebo súvisiacich finančných nástrojov viedol k narušeniu podmienok obchodovania na jednom regulovanom trhu alebo na viacerých regulovaných trhoch, Národná banka Slovenska môže prijať vhodné opatrenia na obnovenie normálneho fungovania regulovaných trhov vrátane využitia právomocí dohľadu uvedených v § 63</w:t>
            </w:r>
            <w:bookmarkEnd w:id="8"/>
            <w:r w:rsidR="002E19C6" w:rsidRPr="00007B33">
              <w:rPr>
                <w:rStyle w:val="y2iqfc"/>
                <w:b/>
                <w:bCs/>
                <w:sz w:val="20"/>
                <w:szCs w:val="20"/>
              </w:rPr>
              <w:t xml:space="preserve">.            </w:t>
            </w:r>
          </w:p>
          <w:p w14:paraId="2C4CA9FF" w14:textId="77777777" w:rsidR="00A63BC7" w:rsidRPr="002E19C6" w:rsidRDefault="00A63BC7" w:rsidP="00A63BC7">
            <w:pPr>
              <w:jc w:val="both"/>
              <w:rPr>
                <w:noProof/>
                <w:sz w:val="20"/>
                <w:szCs w:val="20"/>
              </w:rPr>
            </w:pPr>
          </w:p>
          <w:p w14:paraId="14226D16" w14:textId="77777777" w:rsidR="00891F0B" w:rsidRPr="002E19C6" w:rsidRDefault="00891F0B" w:rsidP="00531286">
            <w:pPr>
              <w:spacing w:before="240"/>
              <w:jc w:val="both"/>
              <w:rPr>
                <w:b/>
                <w:sz w:val="20"/>
                <w:szCs w:val="20"/>
                <w:highlight w:val="yellow"/>
              </w:rPr>
            </w:pPr>
          </w:p>
        </w:tc>
        <w:tc>
          <w:tcPr>
            <w:tcW w:w="709" w:type="dxa"/>
            <w:tcBorders>
              <w:top w:val="single" w:sz="4" w:space="0" w:color="auto"/>
              <w:left w:val="single" w:sz="4" w:space="0" w:color="auto"/>
              <w:right w:val="single" w:sz="4" w:space="0" w:color="auto"/>
            </w:tcBorders>
          </w:tcPr>
          <w:p w14:paraId="07BFA97B" w14:textId="77777777" w:rsidR="00891F0B" w:rsidRPr="009A16A9" w:rsidRDefault="00891F0B" w:rsidP="00531286">
            <w:pPr>
              <w:adjustRightInd w:val="0"/>
              <w:jc w:val="center"/>
              <w:rPr>
                <w:color w:val="000000"/>
                <w:sz w:val="22"/>
                <w:szCs w:val="22"/>
              </w:rPr>
            </w:pPr>
            <w:r w:rsidRPr="009A16A9">
              <w:rPr>
                <w:color w:val="000000"/>
                <w:sz w:val="22"/>
                <w:szCs w:val="22"/>
              </w:rPr>
              <w:lastRenderedPageBreak/>
              <w:t>Ú</w:t>
            </w:r>
          </w:p>
          <w:p w14:paraId="5ED587E8" w14:textId="77777777" w:rsidR="0081721F" w:rsidRPr="009A16A9" w:rsidRDefault="0081721F" w:rsidP="00531286">
            <w:pPr>
              <w:adjustRightInd w:val="0"/>
              <w:jc w:val="center"/>
              <w:rPr>
                <w:color w:val="000000"/>
                <w:sz w:val="22"/>
                <w:szCs w:val="22"/>
              </w:rPr>
            </w:pPr>
          </w:p>
          <w:p w14:paraId="40CBC046" w14:textId="77777777" w:rsidR="0081721F" w:rsidRPr="009A16A9" w:rsidRDefault="0081721F" w:rsidP="00531286">
            <w:pPr>
              <w:adjustRightInd w:val="0"/>
              <w:jc w:val="center"/>
              <w:rPr>
                <w:color w:val="000000"/>
                <w:sz w:val="22"/>
                <w:szCs w:val="22"/>
              </w:rPr>
            </w:pPr>
          </w:p>
          <w:p w14:paraId="639C13F8" w14:textId="77777777" w:rsidR="0081721F" w:rsidRPr="009A16A9" w:rsidRDefault="0081721F" w:rsidP="00531286">
            <w:pPr>
              <w:adjustRightInd w:val="0"/>
              <w:jc w:val="center"/>
              <w:rPr>
                <w:color w:val="000000"/>
                <w:sz w:val="22"/>
                <w:szCs w:val="22"/>
              </w:rPr>
            </w:pPr>
          </w:p>
          <w:p w14:paraId="75B7096D" w14:textId="77777777" w:rsidR="0081721F" w:rsidRPr="009A16A9" w:rsidRDefault="0081721F" w:rsidP="00531286">
            <w:pPr>
              <w:adjustRightInd w:val="0"/>
              <w:jc w:val="center"/>
              <w:rPr>
                <w:color w:val="000000"/>
                <w:sz w:val="22"/>
                <w:szCs w:val="22"/>
              </w:rPr>
            </w:pPr>
          </w:p>
          <w:p w14:paraId="09F18FDD" w14:textId="77777777" w:rsidR="0081721F" w:rsidRPr="009A16A9" w:rsidRDefault="0081721F" w:rsidP="00531286">
            <w:pPr>
              <w:adjustRightInd w:val="0"/>
              <w:jc w:val="center"/>
              <w:rPr>
                <w:color w:val="000000"/>
                <w:sz w:val="22"/>
                <w:szCs w:val="22"/>
              </w:rPr>
            </w:pPr>
          </w:p>
          <w:p w14:paraId="1328CF1B" w14:textId="77777777" w:rsidR="0081721F" w:rsidRPr="009A16A9" w:rsidRDefault="0081721F" w:rsidP="00531286">
            <w:pPr>
              <w:adjustRightInd w:val="0"/>
              <w:jc w:val="center"/>
              <w:rPr>
                <w:color w:val="000000"/>
                <w:sz w:val="22"/>
                <w:szCs w:val="22"/>
              </w:rPr>
            </w:pPr>
          </w:p>
          <w:p w14:paraId="1F9DECAB" w14:textId="77777777" w:rsidR="0081721F" w:rsidRPr="009A16A9" w:rsidRDefault="0081721F" w:rsidP="00531286">
            <w:pPr>
              <w:adjustRightInd w:val="0"/>
              <w:jc w:val="center"/>
              <w:rPr>
                <w:color w:val="000000"/>
                <w:sz w:val="22"/>
                <w:szCs w:val="22"/>
              </w:rPr>
            </w:pPr>
          </w:p>
          <w:p w14:paraId="088D15E5" w14:textId="77777777" w:rsidR="0081721F" w:rsidRPr="009A16A9" w:rsidRDefault="0081721F" w:rsidP="00531286">
            <w:pPr>
              <w:adjustRightInd w:val="0"/>
              <w:jc w:val="center"/>
              <w:rPr>
                <w:color w:val="000000"/>
                <w:sz w:val="22"/>
                <w:szCs w:val="22"/>
              </w:rPr>
            </w:pPr>
          </w:p>
          <w:p w14:paraId="278DA764" w14:textId="77777777" w:rsidR="0081721F" w:rsidRPr="009A16A9" w:rsidRDefault="0081721F" w:rsidP="00531286">
            <w:pPr>
              <w:adjustRightInd w:val="0"/>
              <w:jc w:val="center"/>
              <w:rPr>
                <w:color w:val="000000"/>
                <w:sz w:val="22"/>
                <w:szCs w:val="22"/>
              </w:rPr>
            </w:pPr>
          </w:p>
          <w:p w14:paraId="005B7FD3" w14:textId="77777777" w:rsidR="0081721F" w:rsidRPr="009A16A9" w:rsidRDefault="0081721F" w:rsidP="00531286">
            <w:pPr>
              <w:adjustRightInd w:val="0"/>
              <w:jc w:val="center"/>
              <w:rPr>
                <w:color w:val="000000"/>
                <w:sz w:val="22"/>
                <w:szCs w:val="22"/>
              </w:rPr>
            </w:pPr>
          </w:p>
          <w:p w14:paraId="5143629F" w14:textId="77777777" w:rsidR="0081721F" w:rsidRPr="009A16A9" w:rsidRDefault="0081721F" w:rsidP="00531286">
            <w:pPr>
              <w:adjustRightInd w:val="0"/>
              <w:jc w:val="center"/>
              <w:rPr>
                <w:color w:val="000000"/>
                <w:sz w:val="22"/>
                <w:szCs w:val="22"/>
              </w:rPr>
            </w:pPr>
          </w:p>
          <w:p w14:paraId="212B449B" w14:textId="77777777" w:rsidR="0081721F" w:rsidRPr="009A16A9" w:rsidRDefault="0081721F" w:rsidP="00531286">
            <w:pPr>
              <w:adjustRightInd w:val="0"/>
              <w:jc w:val="center"/>
              <w:rPr>
                <w:color w:val="000000"/>
                <w:sz w:val="22"/>
                <w:szCs w:val="22"/>
              </w:rPr>
            </w:pPr>
          </w:p>
          <w:p w14:paraId="13F3C42E" w14:textId="77777777" w:rsidR="0081721F" w:rsidRDefault="0081721F" w:rsidP="00531286">
            <w:pPr>
              <w:adjustRightInd w:val="0"/>
              <w:jc w:val="center"/>
              <w:rPr>
                <w:color w:val="000000"/>
                <w:sz w:val="22"/>
                <w:szCs w:val="22"/>
              </w:rPr>
            </w:pPr>
          </w:p>
          <w:p w14:paraId="09B9D256" w14:textId="77777777" w:rsidR="00403DE2" w:rsidRPr="009A16A9" w:rsidRDefault="00403DE2" w:rsidP="00531286">
            <w:pPr>
              <w:adjustRightInd w:val="0"/>
              <w:jc w:val="center"/>
              <w:rPr>
                <w:color w:val="000000"/>
                <w:sz w:val="22"/>
                <w:szCs w:val="22"/>
              </w:rPr>
            </w:pPr>
          </w:p>
          <w:p w14:paraId="38C6D481" w14:textId="77777777" w:rsidR="00B162C8" w:rsidRPr="009A16A9" w:rsidRDefault="00B162C8" w:rsidP="00531286">
            <w:pPr>
              <w:adjustRightInd w:val="0"/>
              <w:jc w:val="center"/>
              <w:rPr>
                <w:color w:val="000000"/>
                <w:sz w:val="22"/>
                <w:szCs w:val="22"/>
              </w:rPr>
            </w:pPr>
          </w:p>
          <w:p w14:paraId="3ED33999" w14:textId="77777777" w:rsidR="00B162C8" w:rsidRPr="009A16A9" w:rsidRDefault="00B162C8" w:rsidP="00531286">
            <w:pPr>
              <w:adjustRightInd w:val="0"/>
              <w:jc w:val="center"/>
              <w:rPr>
                <w:color w:val="000000"/>
                <w:sz w:val="22"/>
                <w:szCs w:val="22"/>
              </w:rPr>
            </w:pPr>
          </w:p>
          <w:p w14:paraId="4855692A" w14:textId="77777777" w:rsidR="00B162C8" w:rsidRDefault="00B162C8" w:rsidP="00531286">
            <w:pPr>
              <w:adjustRightInd w:val="0"/>
              <w:jc w:val="center"/>
              <w:rPr>
                <w:color w:val="000000"/>
                <w:sz w:val="22"/>
                <w:szCs w:val="22"/>
              </w:rPr>
            </w:pPr>
          </w:p>
          <w:p w14:paraId="0FB04E25" w14:textId="77777777" w:rsidR="006B0AF1" w:rsidRDefault="006B0AF1" w:rsidP="00531286">
            <w:pPr>
              <w:adjustRightInd w:val="0"/>
              <w:jc w:val="center"/>
              <w:rPr>
                <w:color w:val="000000"/>
                <w:sz w:val="22"/>
                <w:szCs w:val="22"/>
              </w:rPr>
            </w:pPr>
          </w:p>
          <w:p w14:paraId="79B2ABC4" w14:textId="77777777" w:rsidR="006B0AF1" w:rsidRDefault="006B0AF1" w:rsidP="00531286">
            <w:pPr>
              <w:adjustRightInd w:val="0"/>
              <w:jc w:val="center"/>
              <w:rPr>
                <w:color w:val="000000"/>
                <w:sz w:val="22"/>
                <w:szCs w:val="22"/>
              </w:rPr>
            </w:pPr>
          </w:p>
          <w:p w14:paraId="56748599" w14:textId="77777777" w:rsidR="006B0AF1" w:rsidRDefault="006B0AF1" w:rsidP="00531286">
            <w:pPr>
              <w:adjustRightInd w:val="0"/>
              <w:jc w:val="center"/>
              <w:rPr>
                <w:color w:val="000000"/>
                <w:sz w:val="22"/>
                <w:szCs w:val="22"/>
              </w:rPr>
            </w:pPr>
          </w:p>
          <w:p w14:paraId="4F36211D" w14:textId="77777777" w:rsidR="006B0AF1" w:rsidRDefault="006B0AF1" w:rsidP="00531286">
            <w:pPr>
              <w:adjustRightInd w:val="0"/>
              <w:jc w:val="center"/>
              <w:rPr>
                <w:color w:val="000000"/>
                <w:sz w:val="22"/>
                <w:szCs w:val="22"/>
              </w:rPr>
            </w:pPr>
          </w:p>
          <w:p w14:paraId="1576F046" w14:textId="77777777" w:rsidR="002E2A86" w:rsidRDefault="002E2A86" w:rsidP="00531286">
            <w:pPr>
              <w:adjustRightInd w:val="0"/>
              <w:jc w:val="center"/>
              <w:rPr>
                <w:color w:val="000000"/>
                <w:sz w:val="22"/>
                <w:szCs w:val="22"/>
              </w:rPr>
            </w:pPr>
          </w:p>
          <w:p w14:paraId="217EA5B7" w14:textId="77777777" w:rsidR="002E2A86" w:rsidRDefault="002E2A86" w:rsidP="00531286">
            <w:pPr>
              <w:adjustRightInd w:val="0"/>
              <w:jc w:val="center"/>
              <w:rPr>
                <w:color w:val="000000"/>
                <w:sz w:val="22"/>
                <w:szCs w:val="22"/>
              </w:rPr>
            </w:pPr>
          </w:p>
          <w:p w14:paraId="59E93BC3" w14:textId="77777777" w:rsidR="002E2A86" w:rsidRDefault="002E2A86" w:rsidP="00531286">
            <w:pPr>
              <w:adjustRightInd w:val="0"/>
              <w:jc w:val="center"/>
              <w:rPr>
                <w:color w:val="000000"/>
                <w:sz w:val="22"/>
                <w:szCs w:val="22"/>
              </w:rPr>
            </w:pPr>
          </w:p>
          <w:p w14:paraId="080B87E4" w14:textId="77777777" w:rsidR="002E2A86" w:rsidRDefault="002E2A86" w:rsidP="00531286">
            <w:pPr>
              <w:adjustRightInd w:val="0"/>
              <w:jc w:val="center"/>
              <w:rPr>
                <w:color w:val="000000"/>
                <w:sz w:val="22"/>
                <w:szCs w:val="22"/>
              </w:rPr>
            </w:pPr>
          </w:p>
          <w:p w14:paraId="7F12ACC0" w14:textId="77777777" w:rsidR="002E2A86" w:rsidRDefault="002E2A86" w:rsidP="00531286">
            <w:pPr>
              <w:adjustRightInd w:val="0"/>
              <w:jc w:val="center"/>
              <w:rPr>
                <w:color w:val="000000"/>
                <w:sz w:val="22"/>
                <w:szCs w:val="22"/>
              </w:rPr>
            </w:pPr>
          </w:p>
          <w:p w14:paraId="104C534A" w14:textId="77777777" w:rsidR="002E2A86" w:rsidRDefault="002E2A86" w:rsidP="00531286">
            <w:pPr>
              <w:adjustRightInd w:val="0"/>
              <w:jc w:val="center"/>
              <w:rPr>
                <w:color w:val="000000"/>
                <w:sz w:val="22"/>
                <w:szCs w:val="22"/>
              </w:rPr>
            </w:pPr>
          </w:p>
          <w:p w14:paraId="0CEC483A" w14:textId="77777777" w:rsidR="002E2A86" w:rsidRDefault="002E2A86" w:rsidP="00531286">
            <w:pPr>
              <w:adjustRightInd w:val="0"/>
              <w:jc w:val="center"/>
              <w:rPr>
                <w:color w:val="000000"/>
                <w:sz w:val="22"/>
                <w:szCs w:val="22"/>
              </w:rPr>
            </w:pPr>
          </w:p>
          <w:p w14:paraId="6DF88231" w14:textId="77777777" w:rsidR="002E2A86" w:rsidRDefault="002E2A86" w:rsidP="00531286">
            <w:pPr>
              <w:adjustRightInd w:val="0"/>
              <w:jc w:val="center"/>
              <w:rPr>
                <w:color w:val="000000"/>
                <w:sz w:val="22"/>
                <w:szCs w:val="22"/>
              </w:rPr>
            </w:pPr>
          </w:p>
          <w:p w14:paraId="4303B46C" w14:textId="77777777" w:rsidR="002E2A86" w:rsidRDefault="002E2A86" w:rsidP="00531286">
            <w:pPr>
              <w:adjustRightInd w:val="0"/>
              <w:jc w:val="center"/>
              <w:rPr>
                <w:color w:val="000000"/>
                <w:sz w:val="22"/>
                <w:szCs w:val="22"/>
              </w:rPr>
            </w:pPr>
          </w:p>
          <w:p w14:paraId="66DE64AE" w14:textId="77777777" w:rsidR="002E2A86" w:rsidRDefault="002E2A86" w:rsidP="00531286">
            <w:pPr>
              <w:adjustRightInd w:val="0"/>
              <w:jc w:val="center"/>
              <w:rPr>
                <w:color w:val="000000"/>
                <w:sz w:val="22"/>
                <w:szCs w:val="22"/>
              </w:rPr>
            </w:pPr>
          </w:p>
          <w:p w14:paraId="52A00F73" w14:textId="77777777" w:rsidR="002E2A86" w:rsidRPr="009A16A9" w:rsidRDefault="002E2A86" w:rsidP="00531286">
            <w:pPr>
              <w:adjustRightInd w:val="0"/>
              <w:jc w:val="center"/>
              <w:rPr>
                <w:color w:val="000000"/>
                <w:sz w:val="22"/>
                <w:szCs w:val="22"/>
              </w:rPr>
            </w:pPr>
          </w:p>
          <w:p w14:paraId="6AA129E7" w14:textId="77777777" w:rsidR="0081721F" w:rsidRPr="009A16A9" w:rsidRDefault="0081721F" w:rsidP="00531286">
            <w:pPr>
              <w:adjustRightInd w:val="0"/>
              <w:jc w:val="center"/>
              <w:rPr>
                <w:color w:val="000000"/>
                <w:sz w:val="22"/>
                <w:szCs w:val="22"/>
              </w:rPr>
            </w:pPr>
          </w:p>
          <w:p w14:paraId="43D170FD" w14:textId="77777777" w:rsidR="0081721F" w:rsidRPr="009A16A9" w:rsidRDefault="0081721F" w:rsidP="00531286">
            <w:pPr>
              <w:adjustRightInd w:val="0"/>
              <w:jc w:val="center"/>
              <w:rPr>
                <w:color w:val="000000"/>
                <w:sz w:val="22"/>
                <w:szCs w:val="22"/>
              </w:rPr>
            </w:pPr>
            <w:r w:rsidRPr="009A16A9">
              <w:rPr>
                <w:color w:val="000000"/>
                <w:sz w:val="22"/>
                <w:szCs w:val="22"/>
              </w:rPr>
              <w:lastRenderedPageBreak/>
              <w:t>Ú</w:t>
            </w:r>
          </w:p>
          <w:p w14:paraId="54E86D3B" w14:textId="77777777" w:rsidR="0081721F" w:rsidRPr="009A16A9" w:rsidRDefault="0081721F" w:rsidP="00531286">
            <w:pPr>
              <w:adjustRightInd w:val="0"/>
              <w:jc w:val="center"/>
              <w:rPr>
                <w:color w:val="000000"/>
                <w:sz w:val="22"/>
                <w:szCs w:val="22"/>
              </w:rPr>
            </w:pPr>
          </w:p>
          <w:p w14:paraId="73B349AC" w14:textId="77777777" w:rsidR="0081721F" w:rsidRPr="009A16A9" w:rsidRDefault="0081721F" w:rsidP="00531286">
            <w:pPr>
              <w:adjustRightInd w:val="0"/>
              <w:jc w:val="center"/>
              <w:rPr>
                <w:color w:val="000000"/>
                <w:sz w:val="22"/>
                <w:szCs w:val="22"/>
              </w:rPr>
            </w:pPr>
          </w:p>
          <w:p w14:paraId="401E3223" w14:textId="77777777" w:rsidR="0081721F" w:rsidRPr="009A16A9" w:rsidRDefault="0081721F" w:rsidP="00531286">
            <w:pPr>
              <w:adjustRightInd w:val="0"/>
              <w:jc w:val="center"/>
              <w:rPr>
                <w:color w:val="000000"/>
                <w:sz w:val="22"/>
                <w:szCs w:val="22"/>
              </w:rPr>
            </w:pPr>
          </w:p>
          <w:p w14:paraId="61763CDC" w14:textId="77777777" w:rsidR="0081721F" w:rsidRPr="009A16A9" w:rsidRDefault="0081721F" w:rsidP="00531286">
            <w:pPr>
              <w:adjustRightInd w:val="0"/>
              <w:jc w:val="center"/>
              <w:rPr>
                <w:color w:val="000000"/>
                <w:sz w:val="22"/>
                <w:szCs w:val="22"/>
              </w:rPr>
            </w:pPr>
          </w:p>
          <w:p w14:paraId="10099D17" w14:textId="77777777" w:rsidR="0081721F" w:rsidRPr="009A16A9" w:rsidRDefault="0081721F" w:rsidP="00531286">
            <w:pPr>
              <w:adjustRightInd w:val="0"/>
              <w:jc w:val="center"/>
              <w:rPr>
                <w:color w:val="000000"/>
                <w:sz w:val="22"/>
                <w:szCs w:val="22"/>
              </w:rPr>
            </w:pPr>
          </w:p>
          <w:p w14:paraId="5BDC34AD" w14:textId="77777777" w:rsidR="0081721F" w:rsidRPr="009A16A9" w:rsidRDefault="0081721F" w:rsidP="00531286">
            <w:pPr>
              <w:adjustRightInd w:val="0"/>
              <w:jc w:val="center"/>
              <w:rPr>
                <w:color w:val="000000"/>
                <w:sz w:val="22"/>
                <w:szCs w:val="22"/>
              </w:rPr>
            </w:pPr>
          </w:p>
          <w:p w14:paraId="29DDA8F7" w14:textId="77777777" w:rsidR="0081721F" w:rsidRPr="009A16A9" w:rsidRDefault="0081721F" w:rsidP="00531286">
            <w:pPr>
              <w:adjustRightInd w:val="0"/>
              <w:jc w:val="center"/>
              <w:rPr>
                <w:color w:val="000000"/>
                <w:sz w:val="22"/>
                <w:szCs w:val="22"/>
              </w:rPr>
            </w:pPr>
          </w:p>
          <w:p w14:paraId="37A7D696" w14:textId="77777777" w:rsidR="0081721F" w:rsidRPr="009A16A9" w:rsidRDefault="0081721F" w:rsidP="00531286">
            <w:pPr>
              <w:adjustRightInd w:val="0"/>
              <w:jc w:val="center"/>
              <w:rPr>
                <w:color w:val="000000"/>
                <w:sz w:val="22"/>
                <w:szCs w:val="22"/>
              </w:rPr>
            </w:pPr>
            <w:r w:rsidRPr="009A16A9">
              <w:rPr>
                <w:color w:val="000000"/>
                <w:sz w:val="22"/>
                <w:szCs w:val="22"/>
              </w:rPr>
              <w:t>Ú</w:t>
            </w:r>
          </w:p>
          <w:p w14:paraId="3CDFFD94" w14:textId="77777777" w:rsidR="0081721F" w:rsidRPr="009A16A9" w:rsidRDefault="0081721F" w:rsidP="00531286">
            <w:pPr>
              <w:adjustRightInd w:val="0"/>
              <w:jc w:val="center"/>
              <w:rPr>
                <w:color w:val="000000"/>
                <w:sz w:val="22"/>
                <w:szCs w:val="22"/>
              </w:rPr>
            </w:pPr>
          </w:p>
          <w:p w14:paraId="780FDC5F" w14:textId="77777777" w:rsidR="0081721F" w:rsidRPr="009A16A9" w:rsidRDefault="0081721F" w:rsidP="00531286">
            <w:pPr>
              <w:adjustRightInd w:val="0"/>
              <w:jc w:val="center"/>
              <w:rPr>
                <w:color w:val="000000"/>
                <w:sz w:val="22"/>
                <w:szCs w:val="22"/>
              </w:rPr>
            </w:pPr>
          </w:p>
          <w:p w14:paraId="13861EE7" w14:textId="77777777" w:rsidR="007A4073" w:rsidRDefault="007A4073" w:rsidP="00531286">
            <w:pPr>
              <w:adjustRightInd w:val="0"/>
              <w:jc w:val="center"/>
              <w:rPr>
                <w:color w:val="000000"/>
                <w:sz w:val="22"/>
                <w:szCs w:val="22"/>
              </w:rPr>
            </w:pPr>
          </w:p>
          <w:p w14:paraId="1B5C3719" w14:textId="77777777" w:rsidR="00403DE2" w:rsidRDefault="00403DE2" w:rsidP="00531286">
            <w:pPr>
              <w:adjustRightInd w:val="0"/>
              <w:jc w:val="center"/>
              <w:rPr>
                <w:color w:val="000000"/>
                <w:sz w:val="22"/>
                <w:szCs w:val="22"/>
              </w:rPr>
            </w:pPr>
          </w:p>
          <w:p w14:paraId="3BBA6FE2" w14:textId="77777777" w:rsidR="00403DE2" w:rsidRDefault="00403DE2" w:rsidP="00531286">
            <w:pPr>
              <w:adjustRightInd w:val="0"/>
              <w:jc w:val="center"/>
              <w:rPr>
                <w:color w:val="000000"/>
                <w:sz w:val="22"/>
                <w:szCs w:val="22"/>
              </w:rPr>
            </w:pPr>
          </w:p>
          <w:p w14:paraId="7A62F49C" w14:textId="77777777" w:rsidR="00403DE2" w:rsidRDefault="00403DE2" w:rsidP="00531286">
            <w:pPr>
              <w:adjustRightInd w:val="0"/>
              <w:jc w:val="center"/>
              <w:rPr>
                <w:color w:val="000000"/>
                <w:sz w:val="22"/>
                <w:szCs w:val="22"/>
              </w:rPr>
            </w:pPr>
          </w:p>
          <w:p w14:paraId="414EF7C3" w14:textId="77777777" w:rsidR="00403DE2" w:rsidRDefault="00403DE2" w:rsidP="00531286">
            <w:pPr>
              <w:adjustRightInd w:val="0"/>
              <w:jc w:val="center"/>
              <w:rPr>
                <w:color w:val="000000"/>
                <w:sz w:val="22"/>
                <w:szCs w:val="22"/>
              </w:rPr>
            </w:pPr>
          </w:p>
          <w:p w14:paraId="0D83CDAF" w14:textId="77777777" w:rsidR="00403DE2" w:rsidRDefault="00403DE2" w:rsidP="00531286">
            <w:pPr>
              <w:adjustRightInd w:val="0"/>
              <w:jc w:val="center"/>
              <w:rPr>
                <w:color w:val="000000"/>
                <w:sz w:val="22"/>
                <w:szCs w:val="22"/>
              </w:rPr>
            </w:pPr>
          </w:p>
          <w:p w14:paraId="14765DE3" w14:textId="77777777" w:rsidR="00403DE2" w:rsidRDefault="00403DE2" w:rsidP="00531286">
            <w:pPr>
              <w:adjustRightInd w:val="0"/>
              <w:jc w:val="center"/>
              <w:rPr>
                <w:color w:val="000000"/>
                <w:sz w:val="22"/>
                <w:szCs w:val="22"/>
              </w:rPr>
            </w:pPr>
          </w:p>
          <w:p w14:paraId="1BFC807E" w14:textId="77777777" w:rsidR="00403DE2" w:rsidRPr="009A16A9" w:rsidRDefault="00403DE2" w:rsidP="00531286">
            <w:pPr>
              <w:adjustRightInd w:val="0"/>
              <w:jc w:val="center"/>
              <w:rPr>
                <w:color w:val="000000"/>
                <w:sz w:val="22"/>
                <w:szCs w:val="22"/>
              </w:rPr>
            </w:pPr>
          </w:p>
          <w:p w14:paraId="40DA3000" w14:textId="77777777" w:rsidR="0081721F" w:rsidRDefault="0081721F" w:rsidP="00531286">
            <w:pPr>
              <w:adjustRightInd w:val="0"/>
              <w:jc w:val="center"/>
              <w:rPr>
                <w:color w:val="000000"/>
                <w:sz w:val="22"/>
                <w:szCs w:val="22"/>
              </w:rPr>
            </w:pPr>
          </w:p>
          <w:p w14:paraId="0D703BC2" w14:textId="77777777" w:rsidR="002E19C6" w:rsidRDefault="002E19C6" w:rsidP="00531286">
            <w:pPr>
              <w:adjustRightInd w:val="0"/>
              <w:jc w:val="center"/>
              <w:rPr>
                <w:color w:val="000000"/>
                <w:sz w:val="22"/>
                <w:szCs w:val="22"/>
              </w:rPr>
            </w:pPr>
          </w:p>
          <w:p w14:paraId="25B12718" w14:textId="77777777" w:rsidR="00BF388D" w:rsidRDefault="00BF388D" w:rsidP="00531286">
            <w:pPr>
              <w:adjustRightInd w:val="0"/>
              <w:jc w:val="center"/>
              <w:rPr>
                <w:color w:val="000000"/>
                <w:sz w:val="22"/>
                <w:szCs w:val="22"/>
              </w:rPr>
            </w:pPr>
          </w:p>
          <w:p w14:paraId="18357E3E" w14:textId="77777777" w:rsidR="002E19C6" w:rsidRDefault="002E19C6" w:rsidP="00531286">
            <w:pPr>
              <w:adjustRightInd w:val="0"/>
              <w:jc w:val="center"/>
              <w:rPr>
                <w:color w:val="000000"/>
                <w:sz w:val="22"/>
                <w:szCs w:val="22"/>
              </w:rPr>
            </w:pPr>
          </w:p>
          <w:p w14:paraId="5738BEAE" w14:textId="77777777" w:rsidR="00BF388D" w:rsidRDefault="00BF388D" w:rsidP="00531286">
            <w:pPr>
              <w:adjustRightInd w:val="0"/>
              <w:jc w:val="center"/>
              <w:rPr>
                <w:color w:val="000000"/>
                <w:sz w:val="22"/>
                <w:szCs w:val="22"/>
              </w:rPr>
            </w:pPr>
          </w:p>
          <w:p w14:paraId="5FC7977F" w14:textId="77777777" w:rsidR="002E2A86" w:rsidRPr="009A16A9" w:rsidRDefault="002E2A86" w:rsidP="00531286">
            <w:pPr>
              <w:adjustRightInd w:val="0"/>
              <w:jc w:val="center"/>
              <w:rPr>
                <w:color w:val="000000"/>
                <w:sz w:val="22"/>
                <w:szCs w:val="22"/>
              </w:rPr>
            </w:pPr>
          </w:p>
          <w:p w14:paraId="36F7EEDB" w14:textId="77777777" w:rsidR="0081721F" w:rsidRPr="009A16A9" w:rsidRDefault="00B162C8" w:rsidP="00531286">
            <w:pPr>
              <w:adjustRightInd w:val="0"/>
              <w:jc w:val="center"/>
              <w:rPr>
                <w:color w:val="000000"/>
                <w:sz w:val="22"/>
                <w:szCs w:val="22"/>
              </w:rPr>
            </w:pPr>
            <w:proofErr w:type="spellStart"/>
            <w:r w:rsidRPr="009A16A9">
              <w:rPr>
                <w:color w:val="000000"/>
                <w:sz w:val="22"/>
                <w:szCs w:val="22"/>
              </w:rPr>
              <w:t>n.a</w:t>
            </w:r>
            <w:proofErr w:type="spellEnd"/>
            <w:r w:rsidRPr="009A16A9">
              <w:rPr>
                <w:color w:val="000000"/>
                <w:sz w:val="22"/>
                <w:szCs w:val="22"/>
              </w:rPr>
              <w:t>.</w:t>
            </w:r>
          </w:p>
          <w:p w14:paraId="609312A3" w14:textId="77777777" w:rsidR="0081721F" w:rsidRPr="009A16A9" w:rsidRDefault="0081721F" w:rsidP="00531286">
            <w:pPr>
              <w:adjustRightInd w:val="0"/>
              <w:jc w:val="center"/>
              <w:rPr>
                <w:color w:val="000000"/>
                <w:sz w:val="22"/>
                <w:szCs w:val="22"/>
              </w:rPr>
            </w:pPr>
          </w:p>
          <w:p w14:paraId="053ED135" w14:textId="77777777" w:rsidR="0081721F" w:rsidRPr="009A16A9" w:rsidRDefault="0081721F" w:rsidP="00531286">
            <w:pPr>
              <w:adjustRightInd w:val="0"/>
              <w:jc w:val="center"/>
              <w:rPr>
                <w:color w:val="000000"/>
                <w:sz w:val="22"/>
                <w:szCs w:val="22"/>
              </w:rPr>
            </w:pPr>
          </w:p>
          <w:p w14:paraId="55EC9780" w14:textId="77777777" w:rsidR="00B162C8" w:rsidRPr="009A16A9" w:rsidRDefault="00B162C8" w:rsidP="00531286">
            <w:pPr>
              <w:adjustRightInd w:val="0"/>
              <w:jc w:val="center"/>
              <w:rPr>
                <w:color w:val="000000"/>
                <w:sz w:val="22"/>
                <w:szCs w:val="22"/>
              </w:rPr>
            </w:pPr>
          </w:p>
          <w:p w14:paraId="707CDAA5" w14:textId="77777777" w:rsidR="00B162C8" w:rsidRDefault="00B162C8" w:rsidP="00531286">
            <w:pPr>
              <w:adjustRightInd w:val="0"/>
              <w:jc w:val="center"/>
              <w:rPr>
                <w:color w:val="000000"/>
                <w:sz w:val="22"/>
                <w:szCs w:val="22"/>
              </w:rPr>
            </w:pPr>
          </w:p>
          <w:p w14:paraId="00DCE149" w14:textId="77777777" w:rsidR="00403DE2" w:rsidRDefault="00403DE2" w:rsidP="00531286">
            <w:pPr>
              <w:adjustRightInd w:val="0"/>
              <w:jc w:val="center"/>
              <w:rPr>
                <w:color w:val="000000"/>
                <w:sz w:val="22"/>
                <w:szCs w:val="22"/>
              </w:rPr>
            </w:pPr>
          </w:p>
          <w:p w14:paraId="34BB4C04" w14:textId="77777777" w:rsidR="00403DE2" w:rsidRDefault="00403DE2" w:rsidP="00531286">
            <w:pPr>
              <w:adjustRightInd w:val="0"/>
              <w:jc w:val="center"/>
              <w:rPr>
                <w:color w:val="000000"/>
                <w:sz w:val="22"/>
                <w:szCs w:val="22"/>
              </w:rPr>
            </w:pPr>
          </w:p>
          <w:p w14:paraId="10600C86" w14:textId="77777777" w:rsidR="00403DE2" w:rsidRDefault="00403DE2" w:rsidP="00531286">
            <w:pPr>
              <w:adjustRightInd w:val="0"/>
              <w:jc w:val="center"/>
              <w:rPr>
                <w:color w:val="000000"/>
                <w:sz w:val="22"/>
                <w:szCs w:val="22"/>
              </w:rPr>
            </w:pPr>
          </w:p>
          <w:p w14:paraId="4FCD3234" w14:textId="77777777" w:rsidR="00403DE2" w:rsidRDefault="00403DE2" w:rsidP="00531286">
            <w:pPr>
              <w:adjustRightInd w:val="0"/>
              <w:jc w:val="center"/>
              <w:rPr>
                <w:color w:val="000000"/>
                <w:sz w:val="22"/>
                <w:szCs w:val="22"/>
              </w:rPr>
            </w:pPr>
          </w:p>
          <w:p w14:paraId="0E0BDBF5" w14:textId="77777777" w:rsidR="00403DE2" w:rsidRDefault="00403DE2" w:rsidP="00531286">
            <w:pPr>
              <w:adjustRightInd w:val="0"/>
              <w:jc w:val="center"/>
              <w:rPr>
                <w:color w:val="000000"/>
                <w:sz w:val="22"/>
                <w:szCs w:val="22"/>
              </w:rPr>
            </w:pPr>
          </w:p>
          <w:p w14:paraId="780206BD" w14:textId="77777777" w:rsidR="00403DE2" w:rsidRDefault="00403DE2" w:rsidP="00531286">
            <w:pPr>
              <w:adjustRightInd w:val="0"/>
              <w:jc w:val="center"/>
              <w:rPr>
                <w:color w:val="000000"/>
                <w:sz w:val="22"/>
                <w:szCs w:val="22"/>
              </w:rPr>
            </w:pPr>
          </w:p>
          <w:p w14:paraId="00C97E78" w14:textId="77777777" w:rsidR="00403DE2" w:rsidRDefault="00403DE2" w:rsidP="00531286">
            <w:pPr>
              <w:adjustRightInd w:val="0"/>
              <w:jc w:val="center"/>
              <w:rPr>
                <w:color w:val="000000"/>
                <w:sz w:val="22"/>
                <w:szCs w:val="22"/>
              </w:rPr>
            </w:pPr>
          </w:p>
          <w:p w14:paraId="4D05742B" w14:textId="77777777" w:rsidR="00403DE2" w:rsidRDefault="00403DE2" w:rsidP="00531286">
            <w:pPr>
              <w:adjustRightInd w:val="0"/>
              <w:jc w:val="center"/>
              <w:rPr>
                <w:color w:val="000000"/>
                <w:sz w:val="22"/>
                <w:szCs w:val="22"/>
              </w:rPr>
            </w:pPr>
          </w:p>
          <w:p w14:paraId="654686C3" w14:textId="77777777" w:rsidR="00403DE2" w:rsidRDefault="00403DE2" w:rsidP="00531286">
            <w:pPr>
              <w:adjustRightInd w:val="0"/>
              <w:jc w:val="center"/>
              <w:rPr>
                <w:color w:val="000000"/>
                <w:sz w:val="22"/>
                <w:szCs w:val="22"/>
              </w:rPr>
            </w:pPr>
          </w:p>
          <w:p w14:paraId="5DACD6C8" w14:textId="77777777" w:rsidR="00403DE2" w:rsidRDefault="00403DE2" w:rsidP="00531286">
            <w:pPr>
              <w:adjustRightInd w:val="0"/>
              <w:jc w:val="center"/>
              <w:rPr>
                <w:color w:val="000000"/>
                <w:sz w:val="22"/>
                <w:szCs w:val="22"/>
              </w:rPr>
            </w:pPr>
          </w:p>
          <w:p w14:paraId="4AB89EBB" w14:textId="77777777" w:rsidR="002E19C6" w:rsidRPr="009A16A9" w:rsidRDefault="002E19C6" w:rsidP="00531286">
            <w:pPr>
              <w:adjustRightInd w:val="0"/>
              <w:jc w:val="center"/>
              <w:rPr>
                <w:color w:val="000000"/>
                <w:sz w:val="22"/>
                <w:szCs w:val="22"/>
              </w:rPr>
            </w:pPr>
          </w:p>
          <w:p w14:paraId="27AE513D" w14:textId="77777777" w:rsidR="00B162C8" w:rsidRPr="009A16A9" w:rsidRDefault="00B162C8" w:rsidP="00531286">
            <w:pPr>
              <w:adjustRightInd w:val="0"/>
              <w:jc w:val="center"/>
              <w:rPr>
                <w:color w:val="000000"/>
                <w:sz w:val="22"/>
                <w:szCs w:val="22"/>
              </w:rPr>
            </w:pPr>
          </w:p>
          <w:p w14:paraId="64410BB9" w14:textId="77777777" w:rsidR="002E2A86" w:rsidRDefault="002E2A86" w:rsidP="00531286">
            <w:pPr>
              <w:adjustRightInd w:val="0"/>
              <w:jc w:val="center"/>
              <w:rPr>
                <w:color w:val="000000"/>
                <w:sz w:val="22"/>
                <w:szCs w:val="22"/>
              </w:rPr>
            </w:pPr>
          </w:p>
          <w:p w14:paraId="748BB174" w14:textId="77777777" w:rsidR="002E2A86" w:rsidRDefault="002E2A86" w:rsidP="00531286">
            <w:pPr>
              <w:adjustRightInd w:val="0"/>
              <w:jc w:val="center"/>
              <w:rPr>
                <w:color w:val="000000"/>
                <w:sz w:val="22"/>
                <w:szCs w:val="22"/>
              </w:rPr>
            </w:pPr>
          </w:p>
          <w:p w14:paraId="656F5AD0" w14:textId="2E6BB1AB" w:rsidR="0081721F" w:rsidRPr="009A16A9" w:rsidRDefault="0081721F" w:rsidP="00531286">
            <w:pPr>
              <w:adjustRightInd w:val="0"/>
              <w:jc w:val="center"/>
              <w:rPr>
                <w:color w:val="000000"/>
                <w:sz w:val="22"/>
                <w:szCs w:val="22"/>
              </w:rPr>
            </w:pPr>
            <w:proofErr w:type="spellStart"/>
            <w:r w:rsidRPr="009A16A9">
              <w:rPr>
                <w:color w:val="000000"/>
                <w:sz w:val="22"/>
                <w:szCs w:val="22"/>
              </w:rPr>
              <w:t>n.a</w:t>
            </w:r>
            <w:proofErr w:type="spellEnd"/>
            <w:r w:rsidRPr="009A16A9">
              <w:rPr>
                <w:color w:val="000000"/>
                <w:sz w:val="22"/>
                <w:szCs w:val="22"/>
              </w:rPr>
              <w:t>.</w:t>
            </w:r>
          </w:p>
          <w:p w14:paraId="7BFBCC9A" w14:textId="77777777" w:rsidR="0081721F" w:rsidRDefault="0081721F" w:rsidP="00531286">
            <w:pPr>
              <w:adjustRightInd w:val="0"/>
              <w:jc w:val="center"/>
              <w:rPr>
                <w:color w:val="000000"/>
                <w:sz w:val="22"/>
                <w:szCs w:val="22"/>
              </w:rPr>
            </w:pPr>
          </w:p>
          <w:p w14:paraId="05E5377F" w14:textId="77777777" w:rsidR="00403DE2" w:rsidRDefault="00403DE2" w:rsidP="00531286">
            <w:pPr>
              <w:adjustRightInd w:val="0"/>
              <w:jc w:val="center"/>
              <w:rPr>
                <w:color w:val="000000"/>
                <w:sz w:val="22"/>
                <w:szCs w:val="22"/>
              </w:rPr>
            </w:pPr>
          </w:p>
          <w:p w14:paraId="458EA6E1" w14:textId="77777777" w:rsidR="00403DE2" w:rsidRDefault="00403DE2" w:rsidP="00531286">
            <w:pPr>
              <w:adjustRightInd w:val="0"/>
              <w:jc w:val="center"/>
              <w:rPr>
                <w:color w:val="000000"/>
                <w:sz w:val="22"/>
                <w:szCs w:val="22"/>
              </w:rPr>
            </w:pPr>
          </w:p>
          <w:p w14:paraId="0CA4D1DE" w14:textId="77777777" w:rsidR="00403DE2" w:rsidRDefault="00403DE2" w:rsidP="00531286">
            <w:pPr>
              <w:adjustRightInd w:val="0"/>
              <w:jc w:val="center"/>
              <w:rPr>
                <w:color w:val="000000"/>
                <w:sz w:val="22"/>
                <w:szCs w:val="22"/>
              </w:rPr>
            </w:pPr>
          </w:p>
          <w:p w14:paraId="2A13FA1B" w14:textId="77777777" w:rsidR="00403DE2" w:rsidRDefault="00403DE2" w:rsidP="00531286">
            <w:pPr>
              <w:adjustRightInd w:val="0"/>
              <w:jc w:val="center"/>
              <w:rPr>
                <w:color w:val="000000"/>
                <w:sz w:val="22"/>
                <w:szCs w:val="22"/>
              </w:rPr>
            </w:pPr>
          </w:p>
          <w:p w14:paraId="5B6EAA16" w14:textId="77777777" w:rsidR="00403DE2" w:rsidRDefault="00403DE2" w:rsidP="00531286">
            <w:pPr>
              <w:adjustRightInd w:val="0"/>
              <w:jc w:val="center"/>
              <w:rPr>
                <w:color w:val="000000"/>
                <w:sz w:val="22"/>
                <w:szCs w:val="22"/>
              </w:rPr>
            </w:pPr>
          </w:p>
          <w:p w14:paraId="3F7FE463" w14:textId="77777777" w:rsidR="00403DE2" w:rsidRDefault="00403DE2" w:rsidP="00531286">
            <w:pPr>
              <w:adjustRightInd w:val="0"/>
              <w:jc w:val="center"/>
              <w:rPr>
                <w:color w:val="000000"/>
                <w:sz w:val="22"/>
                <w:szCs w:val="22"/>
              </w:rPr>
            </w:pPr>
          </w:p>
          <w:p w14:paraId="28696E00" w14:textId="77777777" w:rsidR="00403DE2" w:rsidRPr="009A16A9" w:rsidRDefault="00403DE2" w:rsidP="00403DE2">
            <w:pPr>
              <w:adjustRightInd w:val="0"/>
              <w:jc w:val="center"/>
              <w:rPr>
                <w:color w:val="000000"/>
                <w:sz w:val="22"/>
                <w:szCs w:val="22"/>
              </w:rPr>
            </w:pPr>
            <w:proofErr w:type="spellStart"/>
            <w:r w:rsidRPr="009A16A9">
              <w:rPr>
                <w:color w:val="000000"/>
                <w:sz w:val="22"/>
                <w:szCs w:val="22"/>
              </w:rPr>
              <w:t>n.a</w:t>
            </w:r>
            <w:proofErr w:type="spellEnd"/>
            <w:r w:rsidRPr="009A16A9">
              <w:rPr>
                <w:color w:val="000000"/>
                <w:sz w:val="22"/>
                <w:szCs w:val="22"/>
              </w:rPr>
              <w:t>.</w:t>
            </w:r>
          </w:p>
          <w:p w14:paraId="6FADCD24" w14:textId="77777777" w:rsidR="00403DE2" w:rsidRPr="009A16A9" w:rsidRDefault="00403DE2" w:rsidP="00531286">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79A3C16E" w14:textId="77777777" w:rsidR="00891F0B" w:rsidRPr="009A16A9" w:rsidRDefault="00891F0B"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1A4093C5" w14:textId="77777777" w:rsidR="00891F0B" w:rsidRPr="009A16A9"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3A71BB51" w14:textId="77777777" w:rsidR="00891F0B" w:rsidRPr="009A16A9" w:rsidRDefault="00891F0B" w:rsidP="00531286">
            <w:pPr>
              <w:spacing w:before="75" w:after="75"/>
              <w:rPr>
                <w:sz w:val="22"/>
                <w:szCs w:val="22"/>
              </w:rPr>
            </w:pPr>
          </w:p>
        </w:tc>
      </w:tr>
      <w:tr w:rsidR="00891F0B" w:rsidRPr="0066733C" w14:paraId="248EA4CF" w14:textId="77777777" w:rsidTr="00B7275B">
        <w:trPr>
          <w:trHeight w:val="4747"/>
        </w:trPr>
        <w:tc>
          <w:tcPr>
            <w:tcW w:w="682" w:type="dxa"/>
            <w:tcBorders>
              <w:top w:val="single" w:sz="4" w:space="0" w:color="auto"/>
              <w:left w:val="single" w:sz="12" w:space="0" w:color="auto"/>
              <w:right w:val="single" w:sz="4" w:space="0" w:color="auto"/>
            </w:tcBorders>
          </w:tcPr>
          <w:p w14:paraId="0786E4B7" w14:textId="77777777" w:rsidR="00891F0B" w:rsidRPr="00531286" w:rsidRDefault="00891F0B" w:rsidP="00531286">
            <w:pPr>
              <w:jc w:val="center"/>
              <w:rPr>
                <w:sz w:val="22"/>
                <w:szCs w:val="22"/>
              </w:rPr>
            </w:pPr>
            <w:r w:rsidRPr="00531286">
              <w:rPr>
                <w:sz w:val="22"/>
                <w:szCs w:val="22"/>
              </w:rPr>
              <w:lastRenderedPageBreak/>
              <w:t>Č: 1</w:t>
            </w:r>
          </w:p>
          <w:p w14:paraId="5D00FD9F" w14:textId="77777777" w:rsidR="00531286" w:rsidRPr="00531286" w:rsidRDefault="00531286" w:rsidP="00531286">
            <w:pPr>
              <w:jc w:val="center"/>
              <w:rPr>
                <w:sz w:val="22"/>
                <w:szCs w:val="22"/>
              </w:rPr>
            </w:pPr>
            <w:r w:rsidRPr="00531286">
              <w:rPr>
                <w:sz w:val="22"/>
                <w:szCs w:val="22"/>
              </w:rPr>
              <w:t>O: 8</w:t>
            </w:r>
          </w:p>
          <w:p w14:paraId="0A0E9EFF" w14:textId="77777777" w:rsidR="00891F0B" w:rsidRPr="00531286" w:rsidRDefault="00891F0B" w:rsidP="00531286">
            <w:pPr>
              <w:jc w:val="center"/>
              <w:rPr>
                <w:sz w:val="22"/>
                <w:szCs w:val="22"/>
              </w:rPr>
            </w:pPr>
          </w:p>
        </w:tc>
        <w:tc>
          <w:tcPr>
            <w:tcW w:w="4620" w:type="dxa"/>
            <w:tcBorders>
              <w:top w:val="single" w:sz="4" w:space="0" w:color="auto"/>
              <w:left w:val="single" w:sz="4" w:space="0" w:color="auto"/>
              <w:right w:val="single" w:sz="4" w:space="0" w:color="auto"/>
            </w:tcBorders>
            <w:vAlign w:val="center"/>
          </w:tcPr>
          <w:p w14:paraId="6DF65521" w14:textId="77777777" w:rsidR="00C524AF" w:rsidRPr="009A16A9" w:rsidRDefault="009A16A9" w:rsidP="00531286">
            <w:pPr>
              <w:pStyle w:val="PredformtovanHTML"/>
              <w:shd w:val="clear" w:color="auto" w:fill="F8F9FA"/>
              <w:rPr>
                <w:rStyle w:val="y2iqfc"/>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V</w:t>
            </w:r>
            <w:r w:rsidR="00C524AF" w:rsidRPr="009A16A9">
              <w:rPr>
                <w:rStyle w:val="y2iqfc"/>
                <w:rFonts w:ascii="Times New Roman" w:hAnsi="Times New Roman" w:cs="Times New Roman"/>
                <w:color w:val="202124"/>
                <w:sz w:val="22"/>
                <w:szCs w:val="22"/>
              </w:rPr>
              <w:t xml:space="preserve"> článku 49 ods. 2 sa dopĺňa tento </w:t>
            </w:r>
            <w:proofErr w:type="spellStart"/>
            <w:r w:rsidR="00C524AF" w:rsidRPr="009A16A9">
              <w:rPr>
                <w:rStyle w:val="y2iqfc"/>
                <w:rFonts w:ascii="Times New Roman" w:hAnsi="Times New Roman" w:cs="Times New Roman"/>
                <w:color w:val="202124"/>
                <w:sz w:val="22"/>
                <w:szCs w:val="22"/>
              </w:rPr>
              <w:t>pododsek</w:t>
            </w:r>
            <w:proofErr w:type="spellEnd"/>
            <w:r w:rsidR="00C524AF" w:rsidRPr="009A16A9">
              <w:rPr>
                <w:rStyle w:val="y2iqfc"/>
                <w:rFonts w:ascii="Times New Roman" w:hAnsi="Times New Roman" w:cs="Times New Roman"/>
                <w:color w:val="202124"/>
                <w:sz w:val="22"/>
                <w:szCs w:val="22"/>
              </w:rPr>
              <w:t>:</w:t>
            </w:r>
          </w:p>
          <w:p w14:paraId="1E2CD18B" w14:textId="77777777" w:rsidR="00C524AF" w:rsidRPr="009A16A9" w:rsidRDefault="00C524AF" w:rsidP="00531286">
            <w:pPr>
              <w:pStyle w:val="PredformtovanHTML"/>
              <w:shd w:val="clear" w:color="auto" w:fill="F8F9FA"/>
              <w:rPr>
                <w:rFonts w:ascii="Times New Roman" w:hAnsi="Times New Roman" w:cs="Times New Roman"/>
                <w:color w:val="202124"/>
                <w:sz w:val="22"/>
                <w:szCs w:val="22"/>
              </w:rPr>
            </w:pPr>
            <w:r w:rsidRPr="009A16A9">
              <w:rPr>
                <w:rStyle w:val="y2iqfc"/>
                <w:rFonts w:ascii="Times New Roman" w:hAnsi="Times New Roman" w:cs="Times New Roman"/>
                <w:color w:val="202124"/>
                <w:sz w:val="22"/>
                <w:szCs w:val="22"/>
              </w:rPr>
              <w:t>„</w:t>
            </w:r>
            <w:r w:rsidR="009A16A9" w:rsidRPr="009A16A9">
              <w:rPr>
                <w:rFonts w:ascii="Times New Roman" w:hAnsi="Times New Roman" w:cs="Times New Roman"/>
                <w:color w:val="000000"/>
                <w:sz w:val="22"/>
                <w:szCs w:val="22"/>
                <w:shd w:val="clear" w:color="auto" w:fill="FFFFFF"/>
              </w:rPr>
              <w:t xml:space="preserve">Pokiaľ ide o akcie s medzinárodným identifikačným číslom cenných papierov (ďalej len ‚ISIN‘) vydaným mimo Európskeho hospodárskeho priestoru (ďalej len ‚EHP‘) alebo akcie, ktoré majú ISIN z EHP a s ktorými sa obchoduje na obchodnom mieste </w:t>
            </w:r>
            <w:r w:rsidR="009A16A9" w:rsidRPr="006D2E0E">
              <w:rPr>
                <w:rFonts w:ascii="Times New Roman" w:hAnsi="Times New Roman" w:cs="Times New Roman"/>
                <w:sz w:val="22"/>
                <w:szCs w:val="22"/>
                <w:shd w:val="clear" w:color="auto" w:fill="FFFFFF"/>
              </w:rPr>
              <w:t xml:space="preserve">v tretej krajine </w:t>
            </w:r>
            <w:r w:rsidR="009A16A9" w:rsidRPr="009A16A9">
              <w:rPr>
                <w:rFonts w:ascii="Times New Roman" w:hAnsi="Times New Roman" w:cs="Times New Roman"/>
                <w:color w:val="000000"/>
                <w:sz w:val="22"/>
                <w:szCs w:val="22"/>
                <w:shd w:val="clear" w:color="auto" w:fill="FFFFFF"/>
              </w:rPr>
              <w:t>v miestnej mene alebo v mene, ktorá nie je menou EHP, ako sa uvádza v článku 23 ods. 1 písm. a) nariadenia (EÚ) č. 600/2014, pre ktoré sa obchodné miesto, ktoré je najvýznamnejším trhom z hľadiska likvidity, nachádza v tretej krajine, môžu regulované trhy stanoviť rovnakú veľkosť tiku, aká sa uplatňuje na danom mieste</w:t>
            </w:r>
            <w:r w:rsidRPr="009A16A9">
              <w:rPr>
                <w:rStyle w:val="y2iqfc"/>
                <w:rFonts w:ascii="Times New Roman" w:hAnsi="Times New Roman" w:cs="Times New Roman"/>
                <w:color w:val="202124"/>
                <w:sz w:val="22"/>
                <w:szCs w:val="22"/>
              </w:rPr>
              <w:t>.“;</w:t>
            </w:r>
          </w:p>
          <w:p w14:paraId="386F9365" w14:textId="77777777" w:rsidR="00891F0B" w:rsidRPr="009A16A9" w:rsidRDefault="00891F0B" w:rsidP="00531286">
            <w:pPr>
              <w:rPr>
                <w:rFonts w:eastAsia="Calibri"/>
                <w:color w:val="000000"/>
                <w:sz w:val="22"/>
                <w:szCs w:val="22"/>
              </w:rPr>
            </w:pPr>
          </w:p>
        </w:tc>
        <w:tc>
          <w:tcPr>
            <w:tcW w:w="850" w:type="dxa"/>
            <w:tcBorders>
              <w:top w:val="single" w:sz="4" w:space="0" w:color="auto"/>
              <w:left w:val="single" w:sz="4" w:space="0" w:color="auto"/>
              <w:right w:val="single" w:sz="12" w:space="0" w:color="auto"/>
            </w:tcBorders>
          </w:tcPr>
          <w:p w14:paraId="2B7651A0" w14:textId="77777777" w:rsidR="00891F0B" w:rsidRPr="00531286" w:rsidRDefault="00891F0B" w:rsidP="00531286">
            <w:pPr>
              <w:adjustRightInd w:val="0"/>
              <w:jc w:val="center"/>
              <w:rPr>
                <w:color w:val="000000"/>
                <w:sz w:val="22"/>
                <w:szCs w:val="22"/>
              </w:rPr>
            </w:pPr>
            <w:r w:rsidRPr="00531286">
              <w:rPr>
                <w:color w:val="000000"/>
                <w:sz w:val="22"/>
                <w:szCs w:val="22"/>
              </w:rPr>
              <w:t>N</w:t>
            </w:r>
          </w:p>
        </w:tc>
        <w:tc>
          <w:tcPr>
            <w:tcW w:w="993" w:type="dxa"/>
            <w:tcBorders>
              <w:top w:val="single" w:sz="4" w:space="0" w:color="auto"/>
              <w:left w:val="nil"/>
              <w:right w:val="single" w:sz="4" w:space="0" w:color="auto"/>
            </w:tcBorders>
          </w:tcPr>
          <w:p w14:paraId="752628FC" w14:textId="77777777" w:rsidR="00531286" w:rsidRPr="00F70257" w:rsidRDefault="00531286" w:rsidP="00531286">
            <w:pPr>
              <w:rPr>
                <w:b/>
                <w:bCs/>
                <w:sz w:val="22"/>
                <w:szCs w:val="22"/>
              </w:rPr>
            </w:pPr>
            <w:r w:rsidRPr="00F70257">
              <w:rPr>
                <w:b/>
                <w:bCs/>
                <w:sz w:val="22"/>
                <w:szCs w:val="22"/>
              </w:rPr>
              <w:t>Návrh</w:t>
            </w:r>
          </w:p>
          <w:p w14:paraId="53FF3EC9" w14:textId="77777777" w:rsidR="00531286" w:rsidRPr="00F70257" w:rsidRDefault="00531286" w:rsidP="00531286">
            <w:pPr>
              <w:rPr>
                <w:b/>
                <w:bCs/>
                <w:sz w:val="22"/>
                <w:szCs w:val="22"/>
              </w:rPr>
            </w:pPr>
            <w:r w:rsidRPr="00F70257">
              <w:rPr>
                <w:b/>
                <w:bCs/>
                <w:sz w:val="22"/>
                <w:szCs w:val="22"/>
              </w:rPr>
              <w:t xml:space="preserve">Čl. </w:t>
            </w:r>
            <w:r w:rsidR="00F60AEE" w:rsidRPr="00F70257">
              <w:rPr>
                <w:b/>
                <w:bCs/>
                <w:sz w:val="22"/>
                <w:szCs w:val="22"/>
              </w:rPr>
              <w:t>I</w:t>
            </w:r>
            <w:r w:rsidR="006E1247" w:rsidRPr="00F70257">
              <w:rPr>
                <w:b/>
                <w:bCs/>
                <w:sz w:val="22"/>
                <w:szCs w:val="22"/>
              </w:rPr>
              <w:t>I</w:t>
            </w:r>
            <w:r w:rsidRPr="00F70257">
              <w:rPr>
                <w:b/>
                <w:bCs/>
                <w:sz w:val="22"/>
                <w:szCs w:val="22"/>
              </w:rPr>
              <w:t xml:space="preserve"> </w:t>
            </w:r>
          </w:p>
          <w:p w14:paraId="02188CF3" w14:textId="12D6F47F" w:rsidR="00531286" w:rsidRPr="00531286" w:rsidRDefault="00531286" w:rsidP="00531286">
            <w:pPr>
              <w:adjustRightInd w:val="0"/>
              <w:rPr>
                <w:color w:val="000000"/>
                <w:sz w:val="22"/>
                <w:szCs w:val="22"/>
              </w:rPr>
            </w:pPr>
            <w:r w:rsidRPr="00F70257">
              <w:rPr>
                <w:b/>
                <w:bCs/>
                <w:sz w:val="22"/>
                <w:szCs w:val="22"/>
              </w:rPr>
              <w:t xml:space="preserve">Bod </w:t>
            </w:r>
            <w:r w:rsidR="00A25494">
              <w:rPr>
                <w:b/>
                <w:bCs/>
                <w:sz w:val="22"/>
                <w:szCs w:val="22"/>
              </w:rPr>
              <w:t>6</w:t>
            </w:r>
          </w:p>
          <w:p w14:paraId="02E3F749" w14:textId="77777777" w:rsidR="00891F0B" w:rsidRPr="00531286" w:rsidRDefault="00891F0B" w:rsidP="00531286">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7E92570D" w14:textId="77777777" w:rsidR="00F60AEE" w:rsidRPr="00531286" w:rsidRDefault="00F60AEE" w:rsidP="00F60AEE">
            <w:pPr>
              <w:jc w:val="center"/>
              <w:rPr>
                <w:b/>
                <w:sz w:val="22"/>
                <w:szCs w:val="22"/>
              </w:rPr>
            </w:pPr>
            <w:r w:rsidRPr="00531286">
              <w:rPr>
                <w:b/>
                <w:sz w:val="22"/>
                <w:szCs w:val="22"/>
              </w:rPr>
              <w:t>§</w:t>
            </w:r>
            <w:r>
              <w:rPr>
                <w:b/>
                <w:sz w:val="22"/>
                <w:szCs w:val="22"/>
              </w:rPr>
              <w:t xml:space="preserve"> 25</w:t>
            </w:r>
          </w:p>
          <w:p w14:paraId="4F229304" w14:textId="77777777" w:rsidR="00F60AEE" w:rsidRDefault="00F60AEE" w:rsidP="00F60AEE">
            <w:pPr>
              <w:jc w:val="center"/>
              <w:rPr>
                <w:b/>
                <w:sz w:val="22"/>
                <w:szCs w:val="22"/>
              </w:rPr>
            </w:pPr>
            <w:r w:rsidRPr="00531286">
              <w:rPr>
                <w:b/>
                <w:sz w:val="22"/>
                <w:szCs w:val="22"/>
              </w:rPr>
              <w:t xml:space="preserve">O: </w:t>
            </w:r>
            <w:r>
              <w:rPr>
                <w:b/>
                <w:sz w:val="22"/>
                <w:szCs w:val="22"/>
              </w:rPr>
              <w:t>8</w:t>
            </w:r>
          </w:p>
          <w:p w14:paraId="7C6ED80A" w14:textId="77777777" w:rsidR="00891F0B" w:rsidRPr="00531286" w:rsidRDefault="00891F0B" w:rsidP="00531286">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5EC247F7" w14:textId="746D69BF" w:rsidR="00704300" w:rsidRPr="00007B33" w:rsidRDefault="00D15D8E" w:rsidP="00C531AE">
            <w:pPr>
              <w:jc w:val="both"/>
              <w:rPr>
                <w:b/>
                <w:noProof/>
                <w:sz w:val="20"/>
                <w:szCs w:val="20"/>
              </w:rPr>
            </w:pPr>
            <w:r w:rsidRPr="00704300">
              <w:rPr>
                <w:b/>
                <w:sz w:val="20"/>
                <w:szCs w:val="20"/>
              </w:rPr>
              <w:t>(8</w:t>
            </w:r>
            <w:r w:rsidRPr="00007B33">
              <w:rPr>
                <w:b/>
                <w:sz w:val="20"/>
                <w:szCs w:val="20"/>
              </w:rPr>
              <w:t xml:space="preserve">) </w:t>
            </w:r>
            <w:bookmarkStart w:id="9" w:name="_Hlk196463343"/>
            <w:r w:rsidR="00007B33" w:rsidRPr="00007B33">
              <w:rPr>
                <w:b/>
                <w:noProof/>
                <w:sz w:val="20"/>
                <w:szCs w:val="20"/>
              </w:rPr>
              <w:t>Ak ide o akcie s kódom ISIN vydaným  mimo Európskeho hospodárskeho priestoru, alebo ak ide o akcie, ktoré majú kód ISIN vydaný v rámci Európskeho hospodárskeho priestoru a s ktorými sa obchoduje na obchodnom mieste v nečlenskom štáte v mene tohto nečlenského štátu alebo v mene, ktorá nie je menou používanou v rámci Európskeho hospodárskeho priestoru,</w:t>
            </w:r>
            <w:r w:rsidR="00007B33" w:rsidRPr="00007B33">
              <w:rPr>
                <w:b/>
                <w:noProof/>
                <w:sz w:val="20"/>
                <w:szCs w:val="20"/>
                <w:vertAlign w:val="superscript"/>
              </w:rPr>
              <w:t>40a</w:t>
            </w:r>
            <w:r w:rsidR="00007B33" w:rsidRPr="00007B33">
              <w:rPr>
                <w:b/>
                <w:noProof/>
                <w:sz w:val="20"/>
                <w:szCs w:val="20"/>
              </w:rPr>
              <w:t>) pre ktoré sa obchodné miesto, ktoré je najvýznamnejším trhom z hľadiska likvidity, nachádza v nečlenskom štáte, môže regulovaný trh určiť rovnakú veľkosť tiku, aká sa uplatňuje na obchodnom mieste, ktoré je najvýznamnejším trhom z hľadiska likvidity</w:t>
            </w:r>
            <w:bookmarkEnd w:id="9"/>
            <w:r w:rsidR="00704300" w:rsidRPr="00007B33">
              <w:rPr>
                <w:b/>
                <w:noProof/>
                <w:sz w:val="20"/>
                <w:szCs w:val="20"/>
              </w:rPr>
              <w:t>.</w:t>
            </w:r>
          </w:p>
          <w:p w14:paraId="32478C19" w14:textId="77777777" w:rsidR="00704300" w:rsidRPr="00704300" w:rsidRDefault="00704300" w:rsidP="00C531AE">
            <w:pPr>
              <w:jc w:val="both"/>
              <w:rPr>
                <w:noProof/>
                <w:sz w:val="20"/>
                <w:szCs w:val="20"/>
              </w:rPr>
            </w:pPr>
          </w:p>
          <w:p w14:paraId="4F20972B" w14:textId="1FE0B3A5" w:rsidR="00704300" w:rsidRPr="00704300" w:rsidRDefault="00704300" w:rsidP="00704300">
            <w:pPr>
              <w:jc w:val="both"/>
              <w:rPr>
                <w:b/>
                <w:bCs/>
                <w:noProof/>
                <w:sz w:val="20"/>
                <w:szCs w:val="20"/>
                <w:shd w:val="clear" w:color="auto" w:fill="FFFFFF"/>
              </w:rPr>
            </w:pPr>
            <w:bookmarkStart w:id="10" w:name="_Hlk194053813"/>
            <w:r w:rsidRPr="00704300">
              <w:rPr>
                <w:b/>
                <w:bCs/>
                <w:noProof/>
                <w:sz w:val="20"/>
                <w:szCs w:val="20"/>
                <w:vertAlign w:val="superscript"/>
              </w:rPr>
              <w:t>40a</w:t>
            </w:r>
            <w:r w:rsidRPr="00704300">
              <w:rPr>
                <w:b/>
                <w:bCs/>
                <w:noProof/>
                <w:sz w:val="20"/>
                <w:szCs w:val="20"/>
              </w:rPr>
              <w:t xml:space="preserve">) Čl. </w:t>
            </w:r>
            <w:r w:rsidRPr="00704300">
              <w:rPr>
                <w:rStyle w:val="y2iqfc"/>
                <w:b/>
                <w:bCs/>
                <w:noProof/>
                <w:sz w:val="20"/>
                <w:szCs w:val="20"/>
              </w:rPr>
              <w:t>23 ods. 1 písm. a) nariadenia (EÚ) č. 600/2014</w:t>
            </w:r>
            <w:r w:rsidRPr="00704300">
              <w:rPr>
                <w:b/>
                <w:bCs/>
                <w:noProof/>
                <w:sz w:val="20"/>
                <w:szCs w:val="20"/>
                <w:shd w:val="clear" w:color="auto" w:fill="FFFFFF"/>
              </w:rPr>
              <w:t xml:space="preserve"> v </w:t>
            </w:r>
            <w:r w:rsidRPr="00704300">
              <w:rPr>
                <w:b/>
                <w:bCs/>
                <w:noProof/>
                <w:sz w:val="20"/>
                <w:szCs w:val="20"/>
              </w:rPr>
              <w:t>platnom znení</w:t>
            </w:r>
            <w:r w:rsidRPr="00704300">
              <w:rPr>
                <w:b/>
                <w:bCs/>
                <w:noProof/>
                <w:sz w:val="20"/>
                <w:szCs w:val="20"/>
                <w:shd w:val="clear" w:color="auto" w:fill="FFFFFF"/>
              </w:rPr>
              <w:t>.</w:t>
            </w:r>
          </w:p>
          <w:bookmarkEnd w:id="10"/>
          <w:p w14:paraId="30541D18" w14:textId="77777777" w:rsidR="00704300" w:rsidRPr="00D467F6" w:rsidRDefault="00704300" w:rsidP="00704300">
            <w:pPr>
              <w:spacing w:line="278" w:lineRule="auto"/>
              <w:jc w:val="both"/>
              <w:rPr>
                <w:noProof/>
              </w:rPr>
            </w:pPr>
          </w:p>
          <w:p w14:paraId="436304CC" w14:textId="22B6954E" w:rsidR="00891F0B" w:rsidRPr="00704300" w:rsidRDefault="00891F0B" w:rsidP="00C531AE">
            <w:pPr>
              <w:jc w:val="both"/>
              <w:rPr>
                <w:b/>
                <w:noProof/>
                <w:sz w:val="20"/>
                <w:szCs w:val="20"/>
                <w:u w:val="single"/>
              </w:rPr>
            </w:pPr>
          </w:p>
        </w:tc>
        <w:tc>
          <w:tcPr>
            <w:tcW w:w="709" w:type="dxa"/>
            <w:tcBorders>
              <w:top w:val="single" w:sz="4" w:space="0" w:color="auto"/>
              <w:left w:val="single" w:sz="4" w:space="0" w:color="auto"/>
              <w:right w:val="single" w:sz="4" w:space="0" w:color="auto"/>
            </w:tcBorders>
          </w:tcPr>
          <w:p w14:paraId="48BBE80A" w14:textId="77777777" w:rsidR="00891F0B" w:rsidRPr="00531286" w:rsidRDefault="00891F0B" w:rsidP="00531286">
            <w:pPr>
              <w:adjustRightInd w:val="0"/>
              <w:jc w:val="center"/>
              <w:rPr>
                <w:color w:val="000000"/>
                <w:sz w:val="22"/>
                <w:szCs w:val="22"/>
              </w:rPr>
            </w:pPr>
            <w:r w:rsidRPr="00531286">
              <w:rPr>
                <w:color w:val="000000"/>
                <w:sz w:val="22"/>
                <w:szCs w:val="22"/>
              </w:rPr>
              <w:t>Ú</w:t>
            </w:r>
          </w:p>
        </w:tc>
        <w:tc>
          <w:tcPr>
            <w:tcW w:w="1077" w:type="dxa"/>
            <w:tcBorders>
              <w:top w:val="single" w:sz="4" w:space="0" w:color="auto"/>
              <w:left w:val="single" w:sz="4" w:space="0" w:color="auto"/>
              <w:right w:val="single" w:sz="4" w:space="0" w:color="auto"/>
            </w:tcBorders>
          </w:tcPr>
          <w:p w14:paraId="6BC1B0FB" w14:textId="77777777" w:rsidR="00891F0B" w:rsidRPr="00531286" w:rsidRDefault="00891F0B" w:rsidP="00531286">
            <w:pPr>
              <w:spacing w:before="75" w:after="75"/>
              <w:rPr>
                <w:sz w:val="22"/>
                <w:szCs w:val="22"/>
              </w:rPr>
            </w:pPr>
          </w:p>
        </w:tc>
        <w:tc>
          <w:tcPr>
            <w:tcW w:w="1332" w:type="dxa"/>
            <w:tcBorders>
              <w:top w:val="single" w:sz="4" w:space="0" w:color="auto"/>
              <w:left w:val="single" w:sz="4" w:space="0" w:color="auto"/>
              <w:right w:val="single" w:sz="12" w:space="0" w:color="auto"/>
            </w:tcBorders>
          </w:tcPr>
          <w:p w14:paraId="00AF75DD" w14:textId="77777777" w:rsidR="00891F0B" w:rsidRPr="00531286" w:rsidRDefault="00D67DDC" w:rsidP="00D67DDC">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66494951" w14:textId="77777777" w:rsidR="00891F0B" w:rsidRPr="00531286" w:rsidRDefault="00891F0B" w:rsidP="00531286">
            <w:pPr>
              <w:spacing w:before="75" w:after="75"/>
              <w:rPr>
                <w:sz w:val="22"/>
                <w:szCs w:val="22"/>
              </w:rPr>
            </w:pPr>
          </w:p>
        </w:tc>
      </w:tr>
      <w:tr w:rsidR="004137E7" w:rsidRPr="0066733C" w14:paraId="1C840EBA" w14:textId="77777777" w:rsidTr="004B4186">
        <w:tc>
          <w:tcPr>
            <w:tcW w:w="682" w:type="dxa"/>
            <w:tcBorders>
              <w:top w:val="single" w:sz="4" w:space="0" w:color="auto"/>
              <w:left w:val="single" w:sz="12" w:space="0" w:color="auto"/>
              <w:right w:val="single" w:sz="4" w:space="0" w:color="auto"/>
            </w:tcBorders>
          </w:tcPr>
          <w:p w14:paraId="0F556C39" w14:textId="77777777" w:rsidR="004137E7" w:rsidRPr="00531286" w:rsidRDefault="004137E7" w:rsidP="004137E7">
            <w:pPr>
              <w:jc w:val="center"/>
              <w:rPr>
                <w:sz w:val="22"/>
                <w:szCs w:val="22"/>
              </w:rPr>
            </w:pPr>
            <w:r w:rsidRPr="00531286">
              <w:rPr>
                <w:sz w:val="22"/>
                <w:szCs w:val="22"/>
              </w:rPr>
              <w:t>Č: 1</w:t>
            </w:r>
          </w:p>
          <w:p w14:paraId="5B258412" w14:textId="77777777" w:rsidR="004137E7" w:rsidRPr="00531286" w:rsidRDefault="004137E7" w:rsidP="004137E7">
            <w:pPr>
              <w:jc w:val="center"/>
              <w:rPr>
                <w:sz w:val="22"/>
                <w:szCs w:val="22"/>
              </w:rPr>
            </w:pPr>
            <w:r w:rsidRPr="00531286">
              <w:rPr>
                <w:sz w:val="22"/>
                <w:szCs w:val="22"/>
              </w:rPr>
              <w:t>O: 9</w:t>
            </w:r>
          </w:p>
          <w:p w14:paraId="49489DAD"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01D5C859" w14:textId="77777777" w:rsidR="004137E7" w:rsidRPr="00531286" w:rsidRDefault="004137E7" w:rsidP="004137E7">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Článok 50 sa vypúšťa;</w:t>
            </w:r>
          </w:p>
          <w:p w14:paraId="0173B14A" w14:textId="77777777" w:rsidR="004137E7" w:rsidRPr="00531286" w:rsidRDefault="004137E7" w:rsidP="004137E7">
            <w:pPr>
              <w:pStyle w:val="PredformtovanHTML"/>
              <w:shd w:val="clear" w:color="auto" w:fill="F8F9FA"/>
              <w:rPr>
                <w:rFonts w:ascii="Times New Roman" w:hAnsi="Times New Roman" w:cs="Times New Roman"/>
                <w:color w:val="202124"/>
                <w:sz w:val="22"/>
                <w:szCs w:val="22"/>
              </w:rPr>
            </w:pPr>
          </w:p>
          <w:p w14:paraId="4E6504C7" w14:textId="77777777" w:rsidR="004137E7" w:rsidRPr="00531286" w:rsidRDefault="004137E7" w:rsidP="004137E7">
            <w:pPr>
              <w:pStyle w:val="Normlny0"/>
              <w:rPr>
                <w:bCs/>
                <w:sz w:val="22"/>
                <w:szCs w:val="22"/>
              </w:rPr>
            </w:pPr>
          </w:p>
        </w:tc>
        <w:tc>
          <w:tcPr>
            <w:tcW w:w="850" w:type="dxa"/>
            <w:tcBorders>
              <w:top w:val="single" w:sz="4" w:space="0" w:color="auto"/>
              <w:left w:val="single" w:sz="4" w:space="0" w:color="auto"/>
              <w:right w:val="single" w:sz="12" w:space="0" w:color="auto"/>
            </w:tcBorders>
          </w:tcPr>
          <w:p w14:paraId="14752D2B" w14:textId="77777777" w:rsidR="004137E7" w:rsidRPr="00531286" w:rsidRDefault="004137E7" w:rsidP="004137E7">
            <w:pPr>
              <w:adjustRightInd w:val="0"/>
              <w:jc w:val="center"/>
              <w:rPr>
                <w:color w:val="000000"/>
                <w:sz w:val="22"/>
                <w:szCs w:val="22"/>
              </w:rPr>
            </w:pPr>
            <w:r>
              <w:rPr>
                <w:color w:val="000000"/>
                <w:sz w:val="22"/>
                <w:szCs w:val="22"/>
              </w:rPr>
              <w:t>N</w:t>
            </w:r>
          </w:p>
        </w:tc>
        <w:tc>
          <w:tcPr>
            <w:tcW w:w="993" w:type="dxa"/>
            <w:tcBorders>
              <w:top w:val="single" w:sz="4" w:space="0" w:color="auto"/>
              <w:left w:val="nil"/>
              <w:right w:val="single" w:sz="4" w:space="0" w:color="auto"/>
            </w:tcBorders>
          </w:tcPr>
          <w:p w14:paraId="0EC54512" w14:textId="77777777" w:rsidR="00F70257" w:rsidRPr="00F70257" w:rsidRDefault="00F70257" w:rsidP="00F70257">
            <w:pPr>
              <w:rPr>
                <w:b/>
                <w:bCs/>
                <w:sz w:val="22"/>
                <w:szCs w:val="22"/>
              </w:rPr>
            </w:pPr>
            <w:r w:rsidRPr="00F70257">
              <w:rPr>
                <w:b/>
                <w:bCs/>
                <w:sz w:val="22"/>
                <w:szCs w:val="22"/>
              </w:rPr>
              <w:t>Návrh</w:t>
            </w:r>
          </w:p>
          <w:p w14:paraId="40F78540" w14:textId="77777777" w:rsidR="00F70257" w:rsidRPr="00F70257" w:rsidRDefault="00F70257" w:rsidP="00F70257">
            <w:pPr>
              <w:rPr>
                <w:b/>
                <w:bCs/>
                <w:sz w:val="22"/>
                <w:szCs w:val="22"/>
              </w:rPr>
            </w:pPr>
            <w:r w:rsidRPr="00F70257">
              <w:rPr>
                <w:b/>
                <w:bCs/>
                <w:sz w:val="22"/>
                <w:szCs w:val="22"/>
              </w:rPr>
              <w:t xml:space="preserve">Čl. II. </w:t>
            </w:r>
          </w:p>
          <w:p w14:paraId="72BFCD8D" w14:textId="25DFEA85" w:rsidR="00F70257" w:rsidRPr="00531286" w:rsidRDefault="00F70257" w:rsidP="00F70257">
            <w:pPr>
              <w:adjustRightInd w:val="0"/>
              <w:rPr>
                <w:color w:val="000000"/>
                <w:sz w:val="22"/>
                <w:szCs w:val="22"/>
              </w:rPr>
            </w:pPr>
            <w:r w:rsidRPr="00F70257">
              <w:rPr>
                <w:b/>
                <w:bCs/>
                <w:sz w:val="22"/>
                <w:szCs w:val="22"/>
              </w:rPr>
              <w:t xml:space="preserve">Bod </w:t>
            </w:r>
            <w:r w:rsidR="00055CC7">
              <w:rPr>
                <w:b/>
                <w:bCs/>
                <w:sz w:val="22"/>
                <w:szCs w:val="22"/>
              </w:rPr>
              <w:t>40</w:t>
            </w:r>
          </w:p>
          <w:p w14:paraId="6E527A0C" w14:textId="48E0F1F6" w:rsidR="004137E7" w:rsidRPr="004137E7" w:rsidRDefault="004137E7" w:rsidP="004137E7">
            <w:pPr>
              <w:adjustRightInd w:val="0"/>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D211DBC" w14:textId="77777777" w:rsidR="004137E7" w:rsidRPr="00531286" w:rsidRDefault="004137E7" w:rsidP="004137E7">
            <w:pPr>
              <w:jc w:val="center"/>
              <w:rPr>
                <w:b/>
                <w:sz w:val="22"/>
                <w:szCs w:val="22"/>
              </w:rPr>
            </w:pPr>
            <w:r w:rsidRPr="00704300">
              <w:rPr>
                <w:b/>
                <w:sz w:val="22"/>
                <w:szCs w:val="22"/>
              </w:rPr>
              <w:lastRenderedPageBreak/>
              <w:t>§ 57c</w:t>
            </w:r>
          </w:p>
          <w:p w14:paraId="2A7EAD69" w14:textId="77777777" w:rsidR="004137E7" w:rsidRPr="00531286" w:rsidRDefault="004137E7" w:rsidP="004137E7">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75C91A20" w14:textId="25A2034A" w:rsidR="00F70257" w:rsidRPr="00704300" w:rsidRDefault="00F70257" w:rsidP="00F70257">
            <w:pPr>
              <w:spacing w:line="276" w:lineRule="auto"/>
              <w:contextualSpacing/>
              <w:jc w:val="both"/>
              <w:rPr>
                <w:noProof/>
                <w:sz w:val="20"/>
                <w:szCs w:val="20"/>
              </w:rPr>
            </w:pPr>
            <w:r w:rsidRPr="00704300">
              <w:rPr>
                <w:noProof/>
                <w:sz w:val="20"/>
                <w:szCs w:val="20"/>
              </w:rPr>
              <w:t xml:space="preserve">§ 57c sa vypúšťa. </w:t>
            </w:r>
          </w:p>
          <w:p w14:paraId="241EC20E" w14:textId="77777777" w:rsidR="004137E7" w:rsidRPr="00704300" w:rsidRDefault="004137E7" w:rsidP="004137E7">
            <w:pPr>
              <w:spacing w:line="330" w:lineRule="atLeast"/>
              <w:outlineLvl w:val="2"/>
              <w:rPr>
                <w:rFonts w:ascii="Arial" w:hAnsi="Arial" w:cs="Arial"/>
                <w:b/>
                <w:bCs/>
                <w:strike/>
                <w:sz w:val="20"/>
                <w:szCs w:val="20"/>
              </w:rPr>
            </w:pPr>
          </w:p>
        </w:tc>
        <w:tc>
          <w:tcPr>
            <w:tcW w:w="709" w:type="dxa"/>
            <w:tcBorders>
              <w:top w:val="single" w:sz="4" w:space="0" w:color="auto"/>
              <w:left w:val="single" w:sz="4" w:space="0" w:color="auto"/>
              <w:right w:val="single" w:sz="4" w:space="0" w:color="auto"/>
            </w:tcBorders>
          </w:tcPr>
          <w:p w14:paraId="4B075B17" w14:textId="77777777" w:rsidR="004137E7" w:rsidRPr="00531286" w:rsidRDefault="004137E7" w:rsidP="004137E7">
            <w:pPr>
              <w:adjustRightInd w:val="0"/>
              <w:jc w:val="center"/>
              <w:rPr>
                <w:color w:val="000000"/>
                <w:sz w:val="22"/>
                <w:szCs w:val="22"/>
              </w:rPr>
            </w:pPr>
            <w:r>
              <w:rPr>
                <w:color w:val="000000"/>
                <w:sz w:val="22"/>
                <w:szCs w:val="22"/>
              </w:rPr>
              <w:t>Ú</w:t>
            </w:r>
          </w:p>
        </w:tc>
        <w:tc>
          <w:tcPr>
            <w:tcW w:w="1077" w:type="dxa"/>
            <w:tcBorders>
              <w:top w:val="single" w:sz="4" w:space="0" w:color="auto"/>
              <w:left w:val="single" w:sz="4" w:space="0" w:color="auto"/>
              <w:right w:val="single" w:sz="4" w:space="0" w:color="auto"/>
            </w:tcBorders>
          </w:tcPr>
          <w:p w14:paraId="1A7099FB" w14:textId="77777777" w:rsidR="004137E7" w:rsidRPr="00531286" w:rsidRDefault="004137E7" w:rsidP="00F70257">
            <w:pPr>
              <w:spacing w:line="276" w:lineRule="auto"/>
              <w:contextualSpacing/>
              <w:jc w:val="both"/>
              <w:rPr>
                <w:sz w:val="22"/>
                <w:szCs w:val="22"/>
              </w:rPr>
            </w:pPr>
          </w:p>
        </w:tc>
        <w:tc>
          <w:tcPr>
            <w:tcW w:w="1332" w:type="dxa"/>
            <w:tcBorders>
              <w:top w:val="single" w:sz="4" w:space="0" w:color="auto"/>
              <w:left w:val="single" w:sz="4" w:space="0" w:color="auto"/>
              <w:right w:val="single" w:sz="12" w:space="0" w:color="auto"/>
            </w:tcBorders>
          </w:tcPr>
          <w:p w14:paraId="6CCFF40B" w14:textId="554C1153" w:rsidR="004137E7" w:rsidRPr="00531286" w:rsidRDefault="002510D4" w:rsidP="004137E7">
            <w:pPr>
              <w:spacing w:before="75" w:after="75"/>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00D23D3D" w14:textId="77777777" w:rsidR="004137E7" w:rsidRPr="00531286" w:rsidRDefault="004137E7" w:rsidP="004137E7">
            <w:pPr>
              <w:spacing w:before="75" w:after="75"/>
              <w:rPr>
                <w:sz w:val="22"/>
                <w:szCs w:val="22"/>
              </w:rPr>
            </w:pPr>
          </w:p>
        </w:tc>
      </w:tr>
      <w:tr w:rsidR="004137E7" w:rsidRPr="0066733C" w14:paraId="0D58A138" w14:textId="77777777" w:rsidTr="004B4186">
        <w:tc>
          <w:tcPr>
            <w:tcW w:w="682" w:type="dxa"/>
            <w:tcBorders>
              <w:top w:val="single" w:sz="4" w:space="0" w:color="auto"/>
              <w:left w:val="single" w:sz="12" w:space="0" w:color="auto"/>
              <w:right w:val="single" w:sz="4" w:space="0" w:color="auto"/>
            </w:tcBorders>
          </w:tcPr>
          <w:p w14:paraId="1135A694" w14:textId="77777777" w:rsidR="004137E7" w:rsidRPr="00531286" w:rsidRDefault="004137E7" w:rsidP="004137E7">
            <w:pPr>
              <w:jc w:val="center"/>
              <w:rPr>
                <w:sz w:val="22"/>
                <w:szCs w:val="22"/>
              </w:rPr>
            </w:pPr>
            <w:r w:rsidRPr="00531286">
              <w:rPr>
                <w:sz w:val="22"/>
                <w:szCs w:val="22"/>
              </w:rPr>
              <w:t>Č: 1</w:t>
            </w:r>
          </w:p>
          <w:p w14:paraId="524432CD" w14:textId="77777777" w:rsidR="004137E7" w:rsidRPr="00531286" w:rsidRDefault="004137E7" w:rsidP="004137E7">
            <w:pPr>
              <w:jc w:val="center"/>
              <w:rPr>
                <w:sz w:val="22"/>
                <w:szCs w:val="22"/>
              </w:rPr>
            </w:pPr>
            <w:r w:rsidRPr="00531286">
              <w:rPr>
                <w:sz w:val="22"/>
                <w:szCs w:val="22"/>
              </w:rPr>
              <w:t>O: 10</w:t>
            </w:r>
          </w:p>
          <w:p w14:paraId="1D5DB90E"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2F911053"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Článok 57 sa mení takto:</w:t>
            </w:r>
          </w:p>
          <w:p w14:paraId="6B2C0981"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a) názov sa nahrádza takto:</w:t>
            </w:r>
          </w:p>
          <w:p w14:paraId="13759366"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w:t>
            </w:r>
            <w:r w:rsidRPr="00D91D69">
              <w:rPr>
                <w:rFonts w:ascii="Times New Roman" w:hAnsi="Times New Roman" w:cs="Times New Roman"/>
                <w:b/>
                <w:bCs/>
                <w:color w:val="000000"/>
                <w:sz w:val="22"/>
                <w:szCs w:val="22"/>
                <w:shd w:val="clear" w:color="auto" w:fill="FFFFFF"/>
              </w:rPr>
              <w:t>Obmedzenia pozícií v komoditných derivátoch a mechanizmy kontroly nad riadením pozícií v komoditných derivátoch a derivátoch na emisné kvóty</w:t>
            </w:r>
            <w:r w:rsidRPr="00D91D69">
              <w:rPr>
                <w:rStyle w:val="y2iqfc"/>
                <w:rFonts w:ascii="Times New Roman" w:hAnsi="Times New Roman" w:cs="Times New Roman"/>
                <w:color w:val="202124"/>
                <w:sz w:val="22"/>
                <w:szCs w:val="22"/>
              </w:rPr>
              <w:t>“;</w:t>
            </w:r>
          </w:p>
          <w:p w14:paraId="20A47B82"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612300B1"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 xml:space="preserve">b) v odseku 8 sa prvý </w:t>
            </w:r>
            <w:proofErr w:type="spellStart"/>
            <w:r w:rsidRPr="00D91D69">
              <w:rPr>
                <w:rStyle w:val="y2iqfc"/>
                <w:rFonts w:ascii="Times New Roman" w:hAnsi="Times New Roman" w:cs="Times New Roman"/>
                <w:color w:val="202124"/>
                <w:sz w:val="22"/>
                <w:szCs w:val="22"/>
              </w:rPr>
              <w:t>pododsek</w:t>
            </w:r>
            <w:proofErr w:type="spellEnd"/>
            <w:r w:rsidRPr="00D91D69">
              <w:rPr>
                <w:rStyle w:val="y2iqfc"/>
                <w:rFonts w:ascii="Times New Roman" w:hAnsi="Times New Roman" w:cs="Times New Roman"/>
                <w:color w:val="202124"/>
                <w:sz w:val="22"/>
                <w:szCs w:val="22"/>
              </w:rPr>
              <w:t xml:space="preserve"> mení takto:</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27"/>
              <w:gridCol w:w="4207"/>
            </w:tblGrid>
            <w:tr w:rsidR="004137E7" w:rsidRPr="00D91D69" w14:paraId="7CE79C0B" w14:textId="77777777" w:rsidTr="009A16A9">
              <w:tc>
                <w:tcPr>
                  <w:tcW w:w="327" w:type="dxa"/>
                  <w:shd w:val="clear" w:color="auto" w:fill="FFFFFF"/>
                  <w:hideMark/>
                </w:tcPr>
                <w:p w14:paraId="16DE77AC" w14:textId="77777777" w:rsidR="004137E7" w:rsidRPr="00D91D69" w:rsidRDefault="004137E7" w:rsidP="004137E7">
                  <w:pPr>
                    <w:autoSpaceDE/>
                    <w:autoSpaceDN/>
                    <w:spacing w:before="120"/>
                    <w:jc w:val="both"/>
                    <w:rPr>
                      <w:rFonts w:ascii="inherit" w:hAnsi="inherit"/>
                      <w:color w:val="000000"/>
                      <w:sz w:val="22"/>
                      <w:szCs w:val="22"/>
                    </w:rPr>
                  </w:pPr>
                  <w:r w:rsidRPr="00D91D69">
                    <w:rPr>
                      <w:rFonts w:ascii="inherit" w:hAnsi="inherit"/>
                      <w:color w:val="000000"/>
                      <w:sz w:val="22"/>
                      <w:szCs w:val="22"/>
                    </w:rPr>
                    <w:t>i)</w:t>
                  </w:r>
                </w:p>
              </w:tc>
              <w:tc>
                <w:tcPr>
                  <w:tcW w:w="4207" w:type="dxa"/>
                  <w:shd w:val="clear" w:color="auto" w:fill="FFFFFF"/>
                  <w:hideMark/>
                </w:tcPr>
                <w:p w14:paraId="6FA1AE24" w14:textId="77777777" w:rsidR="004137E7" w:rsidRPr="00D91D69" w:rsidRDefault="004137E7" w:rsidP="004137E7">
                  <w:pPr>
                    <w:autoSpaceDE/>
                    <w:autoSpaceDN/>
                    <w:spacing w:before="120"/>
                    <w:jc w:val="both"/>
                    <w:rPr>
                      <w:rFonts w:ascii="inherit" w:hAnsi="inherit"/>
                      <w:color w:val="000000"/>
                      <w:sz w:val="22"/>
                      <w:szCs w:val="22"/>
                    </w:rPr>
                  </w:pPr>
                  <w:r w:rsidRPr="00D91D69">
                    <w:rPr>
                      <w:rFonts w:ascii="inherit" w:hAnsi="inherit"/>
                      <w:color w:val="000000"/>
                      <w:sz w:val="22"/>
                      <w:szCs w:val="22"/>
                    </w:rPr>
                    <w:t>úvodná časť sa nahrádza takto:</w:t>
                  </w:r>
                </w:p>
                <w:p w14:paraId="28A27ECF" w14:textId="77777777" w:rsidR="004137E7" w:rsidRPr="00D91D69" w:rsidRDefault="004137E7" w:rsidP="004137E7">
                  <w:pPr>
                    <w:autoSpaceDE/>
                    <w:autoSpaceDN/>
                    <w:spacing w:before="120"/>
                    <w:jc w:val="both"/>
                    <w:rPr>
                      <w:rFonts w:ascii="inherit" w:hAnsi="inherit"/>
                      <w:color w:val="000000"/>
                      <w:sz w:val="22"/>
                      <w:szCs w:val="22"/>
                    </w:rPr>
                  </w:pPr>
                  <w:r w:rsidRPr="00D91D69">
                    <w:rPr>
                      <w:rFonts w:ascii="inherit" w:hAnsi="inherit"/>
                      <w:color w:val="000000"/>
                      <w:sz w:val="22"/>
                      <w:szCs w:val="22"/>
                    </w:rPr>
                    <w:t>„Členské štáty zabezpečia, aby investičná spoločnosť alebo organizátor trhu prevádzkujúci obchodné miesto, na ktorom sa obchoduje s komoditnými derivátmi alebo derivátmi na emisné kvóty, uplatňovali mechanizmy kontroly nad riadením pozícií, čo zahŕňa aj právomoci obchodného miesta:“;</w:t>
                  </w:r>
                </w:p>
              </w:tc>
            </w:tr>
          </w:tbl>
          <w:p w14:paraId="5C5A51D3" w14:textId="77777777" w:rsidR="004137E7" w:rsidRPr="00D91D69" w:rsidRDefault="004137E7" w:rsidP="004137E7">
            <w:pPr>
              <w:autoSpaceDE/>
              <w:autoSpaceDN/>
              <w:rPr>
                <w:vanish/>
                <w:sz w:val="22"/>
                <w:szCs w:val="22"/>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7"/>
              <w:gridCol w:w="4207"/>
            </w:tblGrid>
            <w:tr w:rsidR="004137E7" w:rsidRPr="00D91D69" w14:paraId="6DE68CCB" w14:textId="77777777" w:rsidTr="009A16A9">
              <w:tc>
                <w:tcPr>
                  <w:tcW w:w="327" w:type="dxa"/>
                  <w:shd w:val="clear" w:color="auto" w:fill="FFFFFF"/>
                  <w:hideMark/>
                </w:tcPr>
                <w:p w14:paraId="1001E100" w14:textId="77777777" w:rsidR="004137E7" w:rsidRDefault="004137E7" w:rsidP="004137E7">
                  <w:pPr>
                    <w:autoSpaceDE/>
                    <w:autoSpaceDN/>
                    <w:spacing w:before="120"/>
                    <w:jc w:val="both"/>
                    <w:rPr>
                      <w:color w:val="000000"/>
                      <w:sz w:val="22"/>
                      <w:szCs w:val="22"/>
                    </w:rPr>
                  </w:pPr>
                </w:p>
                <w:p w14:paraId="33216C35" w14:textId="77777777" w:rsidR="004137E7" w:rsidRPr="00D91D69" w:rsidRDefault="004137E7" w:rsidP="004137E7">
                  <w:pPr>
                    <w:autoSpaceDE/>
                    <w:autoSpaceDN/>
                    <w:spacing w:before="120"/>
                    <w:jc w:val="both"/>
                    <w:rPr>
                      <w:color w:val="000000"/>
                      <w:sz w:val="22"/>
                      <w:szCs w:val="22"/>
                    </w:rPr>
                  </w:pPr>
                  <w:r w:rsidRPr="00D91D69">
                    <w:rPr>
                      <w:color w:val="000000"/>
                      <w:sz w:val="22"/>
                      <w:szCs w:val="22"/>
                    </w:rPr>
                    <w:t>ii)</w:t>
                  </w:r>
                </w:p>
              </w:tc>
              <w:tc>
                <w:tcPr>
                  <w:tcW w:w="4207" w:type="dxa"/>
                  <w:shd w:val="clear" w:color="auto" w:fill="FFFFFF"/>
                  <w:hideMark/>
                </w:tcPr>
                <w:p w14:paraId="2440F15E" w14:textId="77777777" w:rsidR="004137E7" w:rsidRDefault="004137E7" w:rsidP="004137E7">
                  <w:pPr>
                    <w:autoSpaceDE/>
                    <w:autoSpaceDN/>
                    <w:spacing w:before="120"/>
                    <w:jc w:val="both"/>
                    <w:rPr>
                      <w:color w:val="000000"/>
                      <w:sz w:val="22"/>
                      <w:szCs w:val="22"/>
                    </w:rPr>
                  </w:pPr>
                </w:p>
                <w:p w14:paraId="6A785AE5" w14:textId="77777777" w:rsidR="004137E7" w:rsidRPr="00D91D69" w:rsidRDefault="004137E7" w:rsidP="004137E7">
                  <w:pPr>
                    <w:autoSpaceDE/>
                    <w:autoSpaceDN/>
                    <w:spacing w:before="120"/>
                    <w:jc w:val="both"/>
                    <w:rPr>
                      <w:color w:val="000000"/>
                      <w:sz w:val="22"/>
                      <w:szCs w:val="22"/>
                    </w:rPr>
                  </w:pPr>
                  <w:r w:rsidRPr="00D91D69">
                    <w:rPr>
                      <w:color w:val="000000"/>
                      <w:sz w:val="22"/>
                      <w:szCs w:val="22"/>
                    </w:rPr>
                    <w:t>písmeno b) sa nahrádza takto:</w:t>
                  </w:r>
                </w:p>
                <w:tbl>
                  <w:tblPr>
                    <w:tblW w:w="5000" w:type="pct"/>
                    <w:tblLayout w:type="fixed"/>
                    <w:tblCellMar>
                      <w:left w:w="0" w:type="dxa"/>
                      <w:right w:w="0" w:type="dxa"/>
                    </w:tblCellMar>
                    <w:tblLook w:val="04A0" w:firstRow="1" w:lastRow="0" w:firstColumn="1" w:lastColumn="0" w:noHBand="0" w:noVBand="1"/>
                  </w:tblPr>
                  <w:tblGrid>
                    <w:gridCol w:w="423"/>
                    <w:gridCol w:w="3784"/>
                  </w:tblGrid>
                  <w:tr w:rsidR="004137E7" w:rsidRPr="00D91D69" w14:paraId="1011C849" w14:textId="77777777" w:rsidTr="009A16A9">
                    <w:tc>
                      <w:tcPr>
                        <w:tcW w:w="423" w:type="dxa"/>
                        <w:shd w:val="clear" w:color="auto" w:fill="auto"/>
                        <w:hideMark/>
                      </w:tcPr>
                      <w:p w14:paraId="2643E26D" w14:textId="77777777" w:rsidR="004137E7" w:rsidRPr="00D91D69" w:rsidRDefault="004137E7" w:rsidP="004137E7">
                        <w:pPr>
                          <w:autoSpaceDE/>
                          <w:autoSpaceDN/>
                          <w:spacing w:before="120"/>
                          <w:jc w:val="both"/>
                          <w:rPr>
                            <w:sz w:val="22"/>
                            <w:szCs w:val="22"/>
                          </w:rPr>
                        </w:pPr>
                        <w:r w:rsidRPr="00D91D69">
                          <w:rPr>
                            <w:sz w:val="22"/>
                            <w:szCs w:val="22"/>
                          </w:rPr>
                          <w:t>„b)</w:t>
                        </w:r>
                      </w:p>
                    </w:tc>
                    <w:tc>
                      <w:tcPr>
                        <w:tcW w:w="3784" w:type="dxa"/>
                        <w:shd w:val="clear" w:color="auto" w:fill="auto"/>
                        <w:hideMark/>
                      </w:tcPr>
                      <w:p w14:paraId="15524445" w14:textId="77777777" w:rsidR="004137E7" w:rsidRPr="00D91D69" w:rsidRDefault="004137E7" w:rsidP="004137E7">
                        <w:pPr>
                          <w:autoSpaceDE/>
                          <w:autoSpaceDN/>
                          <w:spacing w:before="120"/>
                          <w:jc w:val="both"/>
                          <w:rPr>
                            <w:sz w:val="22"/>
                            <w:szCs w:val="22"/>
                          </w:rPr>
                        </w:pPr>
                        <w:r w:rsidRPr="00D91D69">
                          <w:rPr>
                            <w:sz w:val="22"/>
                            <w:szCs w:val="22"/>
                          </w:rPr>
                          <w:t>získavať od osôb informácie vrátane všetkých relevantných dokumentov o veľkosti a účele pozície alebo expozície, do ktorej vstúpili, ako aj informácie o konečných alebo podkladových vlastníkoch, akýchkoľvek dojednaniach o zhode a akýchkoľvek súvisiacich aktívach alebo záväzkoch na podkladovom trhu vrátane prípadných pozícií držaných v derivátoch na emisné kvóty alebo pozícií držaných v komoditných derivátoch založených na rovnakom podkladovom aktíve a s rovnakými charakteristikami na iných obchodných miestach a v ekonomicky rovnocenných OTC kontraktoch prostredníctvom členov a účastníkov;“</w:t>
                        </w:r>
                      </w:p>
                    </w:tc>
                  </w:tr>
                </w:tbl>
                <w:p w14:paraId="153D5B5C" w14:textId="77777777" w:rsidR="004137E7" w:rsidRPr="00D91D69" w:rsidRDefault="004137E7" w:rsidP="004137E7">
                  <w:pPr>
                    <w:autoSpaceDE/>
                    <w:autoSpaceDN/>
                    <w:rPr>
                      <w:color w:val="000000"/>
                      <w:sz w:val="22"/>
                      <w:szCs w:val="22"/>
                    </w:rPr>
                  </w:pPr>
                </w:p>
              </w:tc>
            </w:tr>
          </w:tbl>
          <w:p w14:paraId="40B446AD" w14:textId="77777777" w:rsidR="004137E7" w:rsidRPr="00D91D69" w:rsidRDefault="004137E7" w:rsidP="004137E7">
            <w:pPr>
              <w:pStyle w:val="Normlny0"/>
              <w:rPr>
                <w:bCs/>
                <w:sz w:val="22"/>
                <w:szCs w:val="22"/>
              </w:rPr>
            </w:pPr>
          </w:p>
        </w:tc>
        <w:tc>
          <w:tcPr>
            <w:tcW w:w="850" w:type="dxa"/>
            <w:tcBorders>
              <w:top w:val="single" w:sz="4" w:space="0" w:color="auto"/>
              <w:left w:val="single" w:sz="4" w:space="0" w:color="auto"/>
              <w:right w:val="single" w:sz="12" w:space="0" w:color="auto"/>
            </w:tcBorders>
          </w:tcPr>
          <w:p w14:paraId="5F08294C" w14:textId="77777777" w:rsidR="004137E7" w:rsidRDefault="004137E7" w:rsidP="004137E7">
            <w:pPr>
              <w:adjustRightInd w:val="0"/>
              <w:jc w:val="center"/>
              <w:rPr>
                <w:color w:val="000000"/>
                <w:sz w:val="22"/>
                <w:szCs w:val="22"/>
              </w:rPr>
            </w:pPr>
            <w:r>
              <w:rPr>
                <w:color w:val="000000"/>
                <w:sz w:val="22"/>
                <w:szCs w:val="22"/>
              </w:rPr>
              <w:t>N</w:t>
            </w:r>
          </w:p>
          <w:p w14:paraId="57252944" w14:textId="77777777" w:rsidR="004137E7" w:rsidRDefault="004137E7" w:rsidP="004137E7">
            <w:pPr>
              <w:adjustRightInd w:val="0"/>
              <w:jc w:val="center"/>
              <w:rPr>
                <w:color w:val="000000"/>
                <w:sz w:val="22"/>
                <w:szCs w:val="22"/>
              </w:rPr>
            </w:pPr>
          </w:p>
          <w:p w14:paraId="47ACFBAE" w14:textId="77777777" w:rsidR="004137E7" w:rsidRDefault="004137E7" w:rsidP="004137E7">
            <w:pPr>
              <w:adjustRightInd w:val="0"/>
              <w:jc w:val="center"/>
              <w:rPr>
                <w:color w:val="000000"/>
                <w:sz w:val="22"/>
                <w:szCs w:val="22"/>
              </w:rPr>
            </w:pPr>
          </w:p>
          <w:p w14:paraId="52402437" w14:textId="77777777" w:rsidR="004137E7" w:rsidRDefault="004137E7" w:rsidP="004137E7">
            <w:pPr>
              <w:adjustRightInd w:val="0"/>
              <w:jc w:val="center"/>
              <w:rPr>
                <w:color w:val="000000"/>
                <w:sz w:val="22"/>
                <w:szCs w:val="22"/>
              </w:rPr>
            </w:pPr>
          </w:p>
          <w:p w14:paraId="01BA424D" w14:textId="77777777" w:rsidR="004137E7" w:rsidRDefault="004137E7" w:rsidP="004137E7">
            <w:pPr>
              <w:adjustRightInd w:val="0"/>
              <w:jc w:val="center"/>
              <w:rPr>
                <w:color w:val="000000"/>
                <w:sz w:val="22"/>
                <w:szCs w:val="22"/>
              </w:rPr>
            </w:pPr>
          </w:p>
          <w:p w14:paraId="618E4229" w14:textId="77777777" w:rsidR="004137E7" w:rsidRDefault="004137E7" w:rsidP="004137E7">
            <w:pPr>
              <w:adjustRightInd w:val="0"/>
              <w:jc w:val="center"/>
              <w:rPr>
                <w:color w:val="000000"/>
                <w:sz w:val="22"/>
                <w:szCs w:val="22"/>
              </w:rPr>
            </w:pPr>
          </w:p>
          <w:p w14:paraId="298D15F6" w14:textId="77777777" w:rsidR="004137E7" w:rsidRDefault="004137E7" w:rsidP="004137E7">
            <w:pPr>
              <w:adjustRightInd w:val="0"/>
              <w:jc w:val="center"/>
              <w:rPr>
                <w:color w:val="000000"/>
                <w:sz w:val="22"/>
                <w:szCs w:val="22"/>
              </w:rPr>
            </w:pPr>
          </w:p>
          <w:p w14:paraId="24903A89" w14:textId="77777777" w:rsidR="004137E7" w:rsidRDefault="004137E7" w:rsidP="004137E7">
            <w:pPr>
              <w:adjustRightInd w:val="0"/>
              <w:jc w:val="center"/>
              <w:rPr>
                <w:color w:val="000000"/>
                <w:sz w:val="22"/>
                <w:szCs w:val="22"/>
              </w:rPr>
            </w:pPr>
          </w:p>
          <w:p w14:paraId="4C226E23" w14:textId="77777777" w:rsidR="004137E7" w:rsidRDefault="004137E7" w:rsidP="004137E7">
            <w:pPr>
              <w:adjustRightInd w:val="0"/>
              <w:jc w:val="center"/>
              <w:rPr>
                <w:color w:val="000000"/>
                <w:sz w:val="22"/>
                <w:szCs w:val="22"/>
              </w:rPr>
            </w:pPr>
            <w:r>
              <w:rPr>
                <w:color w:val="000000"/>
                <w:sz w:val="22"/>
                <w:szCs w:val="22"/>
              </w:rPr>
              <w:t>N</w:t>
            </w:r>
          </w:p>
          <w:p w14:paraId="5FE822C8" w14:textId="77777777" w:rsidR="004137E7" w:rsidRDefault="004137E7" w:rsidP="004137E7">
            <w:pPr>
              <w:adjustRightInd w:val="0"/>
              <w:jc w:val="center"/>
              <w:rPr>
                <w:color w:val="000000"/>
                <w:sz w:val="22"/>
                <w:szCs w:val="22"/>
              </w:rPr>
            </w:pPr>
          </w:p>
          <w:p w14:paraId="678B4C56" w14:textId="77777777" w:rsidR="004137E7" w:rsidRDefault="004137E7" w:rsidP="004137E7">
            <w:pPr>
              <w:adjustRightInd w:val="0"/>
              <w:jc w:val="center"/>
              <w:rPr>
                <w:color w:val="000000"/>
                <w:sz w:val="22"/>
                <w:szCs w:val="22"/>
              </w:rPr>
            </w:pPr>
          </w:p>
          <w:p w14:paraId="65FC7ED8" w14:textId="77777777" w:rsidR="004137E7" w:rsidRDefault="004137E7" w:rsidP="004137E7">
            <w:pPr>
              <w:adjustRightInd w:val="0"/>
              <w:jc w:val="center"/>
              <w:rPr>
                <w:color w:val="000000"/>
                <w:sz w:val="22"/>
                <w:szCs w:val="22"/>
              </w:rPr>
            </w:pPr>
          </w:p>
          <w:p w14:paraId="229B0B1F" w14:textId="77777777" w:rsidR="004137E7" w:rsidRDefault="004137E7" w:rsidP="004137E7">
            <w:pPr>
              <w:adjustRightInd w:val="0"/>
              <w:jc w:val="center"/>
              <w:rPr>
                <w:color w:val="000000"/>
                <w:sz w:val="22"/>
                <w:szCs w:val="22"/>
              </w:rPr>
            </w:pPr>
          </w:p>
          <w:p w14:paraId="31067842" w14:textId="77777777" w:rsidR="004137E7" w:rsidRDefault="004137E7" w:rsidP="004137E7">
            <w:pPr>
              <w:adjustRightInd w:val="0"/>
              <w:jc w:val="center"/>
              <w:rPr>
                <w:color w:val="000000"/>
                <w:sz w:val="22"/>
                <w:szCs w:val="22"/>
              </w:rPr>
            </w:pPr>
          </w:p>
          <w:p w14:paraId="60404734" w14:textId="77777777" w:rsidR="004137E7" w:rsidRDefault="004137E7" w:rsidP="004137E7">
            <w:pPr>
              <w:adjustRightInd w:val="0"/>
              <w:jc w:val="center"/>
              <w:rPr>
                <w:color w:val="000000"/>
                <w:sz w:val="22"/>
                <w:szCs w:val="22"/>
              </w:rPr>
            </w:pPr>
          </w:p>
          <w:p w14:paraId="1CF87DD2" w14:textId="77777777" w:rsidR="004137E7" w:rsidRDefault="004137E7" w:rsidP="004137E7">
            <w:pPr>
              <w:adjustRightInd w:val="0"/>
              <w:jc w:val="center"/>
              <w:rPr>
                <w:color w:val="000000"/>
                <w:sz w:val="22"/>
                <w:szCs w:val="22"/>
              </w:rPr>
            </w:pPr>
          </w:p>
          <w:p w14:paraId="03FF924C" w14:textId="77777777" w:rsidR="004137E7" w:rsidRDefault="004137E7" w:rsidP="004137E7">
            <w:pPr>
              <w:adjustRightInd w:val="0"/>
              <w:jc w:val="center"/>
              <w:rPr>
                <w:color w:val="000000"/>
                <w:sz w:val="22"/>
                <w:szCs w:val="22"/>
              </w:rPr>
            </w:pPr>
          </w:p>
          <w:p w14:paraId="7E9C1924" w14:textId="77777777" w:rsidR="004137E7" w:rsidRDefault="004137E7" w:rsidP="004137E7">
            <w:pPr>
              <w:adjustRightInd w:val="0"/>
              <w:jc w:val="center"/>
              <w:rPr>
                <w:color w:val="000000"/>
                <w:sz w:val="22"/>
                <w:szCs w:val="22"/>
              </w:rPr>
            </w:pPr>
          </w:p>
          <w:p w14:paraId="457D685F" w14:textId="77777777" w:rsidR="004137E7" w:rsidRDefault="004137E7" w:rsidP="004137E7">
            <w:pPr>
              <w:adjustRightInd w:val="0"/>
              <w:jc w:val="center"/>
              <w:rPr>
                <w:color w:val="000000"/>
                <w:sz w:val="22"/>
                <w:szCs w:val="22"/>
              </w:rPr>
            </w:pPr>
          </w:p>
          <w:p w14:paraId="7719ECBC" w14:textId="77777777" w:rsidR="004137E7" w:rsidRPr="00531286" w:rsidRDefault="004137E7" w:rsidP="004137E7">
            <w:pPr>
              <w:adjustRightInd w:val="0"/>
              <w:jc w:val="center"/>
              <w:rPr>
                <w:color w:val="000000"/>
                <w:sz w:val="22"/>
                <w:szCs w:val="22"/>
              </w:rPr>
            </w:pPr>
            <w:r>
              <w:rPr>
                <w:color w:val="000000"/>
                <w:sz w:val="22"/>
                <w:szCs w:val="22"/>
              </w:rPr>
              <w:t>N</w:t>
            </w:r>
          </w:p>
        </w:tc>
        <w:tc>
          <w:tcPr>
            <w:tcW w:w="993" w:type="dxa"/>
            <w:tcBorders>
              <w:top w:val="single" w:sz="4" w:space="0" w:color="auto"/>
              <w:left w:val="nil"/>
              <w:right w:val="single" w:sz="4" w:space="0" w:color="auto"/>
            </w:tcBorders>
          </w:tcPr>
          <w:p w14:paraId="389BDB8A" w14:textId="77777777" w:rsidR="004137E7" w:rsidRPr="00F70257" w:rsidRDefault="004137E7" w:rsidP="004137E7">
            <w:pPr>
              <w:rPr>
                <w:b/>
                <w:bCs/>
                <w:sz w:val="22"/>
                <w:szCs w:val="22"/>
              </w:rPr>
            </w:pPr>
            <w:r w:rsidRPr="00F70257">
              <w:rPr>
                <w:b/>
                <w:bCs/>
                <w:sz w:val="22"/>
                <w:szCs w:val="22"/>
              </w:rPr>
              <w:t>Návrh</w:t>
            </w:r>
          </w:p>
          <w:p w14:paraId="4E41FEB2" w14:textId="77777777" w:rsidR="004137E7" w:rsidRPr="00F70257" w:rsidRDefault="004137E7" w:rsidP="004137E7">
            <w:pPr>
              <w:rPr>
                <w:b/>
                <w:bCs/>
                <w:sz w:val="22"/>
                <w:szCs w:val="22"/>
              </w:rPr>
            </w:pPr>
            <w:r w:rsidRPr="00F70257">
              <w:rPr>
                <w:b/>
                <w:bCs/>
                <w:sz w:val="22"/>
                <w:szCs w:val="22"/>
              </w:rPr>
              <w:t xml:space="preserve">Čl. II. </w:t>
            </w:r>
          </w:p>
          <w:p w14:paraId="54D4CA08" w14:textId="50DE2E81" w:rsidR="004137E7" w:rsidRPr="00531286" w:rsidRDefault="00F70257" w:rsidP="004137E7">
            <w:pPr>
              <w:adjustRightInd w:val="0"/>
              <w:rPr>
                <w:color w:val="000000"/>
                <w:sz w:val="22"/>
                <w:szCs w:val="22"/>
              </w:rPr>
            </w:pPr>
            <w:r>
              <w:rPr>
                <w:b/>
                <w:bCs/>
                <w:sz w:val="22"/>
                <w:szCs w:val="22"/>
              </w:rPr>
              <w:t xml:space="preserve">Bod </w:t>
            </w:r>
            <w:r w:rsidR="00055CC7">
              <w:rPr>
                <w:b/>
                <w:bCs/>
                <w:sz w:val="22"/>
                <w:szCs w:val="22"/>
              </w:rPr>
              <w:t>30</w:t>
            </w:r>
          </w:p>
          <w:p w14:paraId="025766CF" w14:textId="77777777" w:rsidR="004137E7" w:rsidRDefault="004137E7" w:rsidP="004137E7">
            <w:pPr>
              <w:adjustRightInd w:val="0"/>
              <w:rPr>
                <w:color w:val="000000"/>
                <w:sz w:val="22"/>
                <w:szCs w:val="22"/>
              </w:rPr>
            </w:pPr>
          </w:p>
          <w:p w14:paraId="6E0FB4C4" w14:textId="77777777" w:rsidR="004137E7" w:rsidRDefault="004137E7" w:rsidP="004137E7">
            <w:pPr>
              <w:adjustRightInd w:val="0"/>
              <w:rPr>
                <w:color w:val="000000"/>
                <w:sz w:val="22"/>
                <w:szCs w:val="22"/>
              </w:rPr>
            </w:pPr>
          </w:p>
          <w:p w14:paraId="6B96AB6E" w14:textId="77777777" w:rsidR="004137E7" w:rsidRDefault="004137E7" w:rsidP="004137E7">
            <w:pPr>
              <w:adjustRightInd w:val="0"/>
              <w:rPr>
                <w:color w:val="000000"/>
                <w:sz w:val="22"/>
                <w:szCs w:val="22"/>
              </w:rPr>
            </w:pPr>
          </w:p>
          <w:p w14:paraId="0E3B7ED8" w14:textId="77777777" w:rsidR="00520CD1" w:rsidRDefault="00520CD1" w:rsidP="004137E7">
            <w:pPr>
              <w:adjustRightInd w:val="0"/>
              <w:rPr>
                <w:color w:val="000000"/>
                <w:sz w:val="22"/>
                <w:szCs w:val="22"/>
              </w:rPr>
            </w:pPr>
          </w:p>
          <w:p w14:paraId="1B7DDCE4" w14:textId="77777777" w:rsidR="004137E7" w:rsidRPr="00F70257" w:rsidRDefault="004137E7" w:rsidP="004137E7">
            <w:pPr>
              <w:rPr>
                <w:b/>
                <w:bCs/>
                <w:sz w:val="22"/>
                <w:szCs w:val="22"/>
              </w:rPr>
            </w:pPr>
            <w:r w:rsidRPr="00F70257">
              <w:rPr>
                <w:b/>
                <w:bCs/>
                <w:sz w:val="22"/>
                <w:szCs w:val="22"/>
              </w:rPr>
              <w:t>Návrh</w:t>
            </w:r>
          </w:p>
          <w:p w14:paraId="468FE80D" w14:textId="166A8E2D" w:rsidR="004137E7" w:rsidRPr="00F70257" w:rsidRDefault="00E64813" w:rsidP="004137E7">
            <w:pPr>
              <w:rPr>
                <w:b/>
                <w:bCs/>
                <w:sz w:val="22"/>
                <w:szCs w:val="22"/>
              </w:rPr>
            </w:pPr>
            <w:r w:rsidRPr="00F70257">
              <w:rPr>
                <w:b/>
                <w:bCs/>
                <w:sz w:val="22"/>
                <w:szCs w:val="22"/>
              </w:rPr>
              <w:t>Čl. II</w:t>
            </w:r>
            <w:r w:rsidR="004137E7" w:rsidRPr="00F70257">
              <w:rPr>
                <w:b/>
                <w:bCs/>
                <w:sz w:val="22"/>
                <w:szCs w:val="22"/>
              </w:rPr>
              <w:t xml:space="preserve"> </w:t>
            </w:r>
          </w:p>
          <w:p w14:paraId="19C610AB" w14:textId="1816FC68" w:rsidR="004137E7" w:rsidRPr="00531286" w:rsidRDefault="00F70257" w:rsidP="004137E7">
            <w:pPr>
              <w:adjustRightInd w:val="0"/>
              <w:rPr>
                <w:color w:val="000000"/>
                <w:sz w:val="22"/>
                <w:szCs w:val="22"/>
              </w:rPr>
            </w:pPr>
            <w:r>
              <w:rPr>
                <w:b/>
                <w:bCs/>
                <w:sz w:val="22"/>
                <w:szCs w:val="22"/>
              </w:rPr>
              <w:t xml:space="preserve">Bod </w:t>
            </w:r>
            <w:r w:rsidR="00A25494">
              <w:rPr>
                <w:b/>
                <w:bCs/>
                <w:sz w:val="22"/>
                <w:szCs w:val="22"/>
              </w:rPr>
              <w:t>3</w:t>
            </w:r>
            <w:r w:rsidR="00055CC7">
              <w:rPr>
                <w:b/>
                <w:bCs/>
                <w:sz w:val="22"/>
                <w:szCs w:val="22"/>
              </w:rPr>
              <w:t>1</w:t>
            </w:r>
          </w:p>
          <w:p w14:paraId="5E7A30B5" w14:textId="77777777" w:rsidR="004137E7" w:rsidRDefault="004137E7" w:rsidP="004137E7">
            <w:pPr>
              <w:adjustRightInd w:val="0"/>
              <w:rPr>
                <w:color w:val="000000"/>
                <w:sz w:val="22"/>
                <w:szCs w:val="22"/>
              </w:rPr>
            </w:pPr>
          </w:p>
          <w:p w14:paraId="10AB7FA0" w14:textId="77777777" w:rsidR="004137E7" w:rsidRDefault="004137E7" w:rsidP="004137E7">
            <w:pPr>
              <w:adjustRightInd w:val="0"/>
              <w:rPr>
                <w:color w:val="000000"/>
                <w:sz w:val="22"/>
                <w:szCs w:val="22"/>
              </w:rPr>
            </w:pPr>
          </w:p>
          <w:p w14:paraId="1E4BD7DF" w14:textId="77777777" w:rsidR="004137E7" w:rsidRDefault="004137E7" w:rsidP="004137E7">
            <w:pPr>
              <w:adjustRightInd w:val="0"/>
              <w:rPr>
                <w:color w:val="000000"/>
                <w:sz w:val="22"/>
                <w:szCs w:val="22"/>
              </w:rPr>
            </w:pPr>
          </w:p>
          <w:p w14:paraId="5EA54912" w14:textId="77777777" w:rsidR="004137E7" w:rsidRDefault="004137E7" w:rsidP="004137E7">
            <w:pPr>
              <w:adjustRightInd w:val="0"/>
              <w:rPr>
                <w:color w:val="000000"/>
                <w:sz w:val="22"/>
                <w:szCs w:val="22"/>
              </w:rPr>
            </w:pPr>
          </w:p>
          <w:p w14:paraId="05F12730" w14:textId="77777777" w:rsidR="004137E7" w:rsidRDefault="004137E7" w:rsidP="004137E7">
            <w:pPr>
              <w:adjustRightInd w:val="0"/>
              <w:rPr>
                <w:color w:val="000000"/>
                <w:sz w:val="22"/>
                <w:szCs w:val="22"/>
              </w:rPr>
            </w:pPr>
          </w:p>
          <w:p w14:paraId="0F790248" w14:textId="77777777" w:rsidR="004137E7" w:rsidRDefault="004137E7" w:rsidP="004137E7">
            <w:pPr>
              <w:adjustRightInd w:val="0"/>
              <w:rPr>
                <w:color w:val="000000"/>
                <w:sz w:val="22"/>
                <w:szCs w:val="22"/>
              </w:rPr>
            </w:pPr>
          </w:p>
          <w:p w14:paraId="30592D38" w14:textId="77777777" w:rsidR="004137E7" w:rsidRDefault="004137E7" w:rsidP="004137E7">
            <w:pPr>
              <w:adjustRightInd w:val="0"/>
              <w:rPr>
                <w:color w:val="000000"/>
                <w:sz w:val="22"/>
                <w:szCs w:val="22"/>
              </w:rPr>
            </w:pPr>
          </w:p>
          <w:p w14:paraId="6828857F" w14:textId="77777777" w:rsidR="004137E7" w:rsidRDefault="004137E7" w:rsidP="004137E7">
            <w:pPr>
              <w:adjustRightInd w:val="0"/>
              <w:rPr>
                <w:color w:val="000000"/>
                <w:sz w:val="22"/>
                <w:szCs w:val="22"/>
              </w:rPr>
            </w:pPr>
          </w:p>
          <w:p w14:paraId="75965644" w14:textId="77777777" w:rsidR="00520CD1" w:rsidRDefault="00520CD1" w:rsidP="004137E7">
            <w:pPr>
              <w:adjustRightInd w:val="0"/>
              <w:rPr>
                <w:color w:val="000000"/>
                <w:sz w:val="22"/>
                <w:szCs w:val="22"/>
              </w:rPr>
            </w:pPr>
          </w:p>
          <w:p w14:paraId="23785595" w14:textId="77777777" w:rsidR="004137E7" w:rsidRPr="00B525B1" w:rsidRDefault="004137E7" w:rsidP="004137E7">
            <w:pPr>
              <w:adjustRightInd w:val="0"/>
              <w:rPr>
                <w:color w:val="000000"/>
                <w:sz w:val="22"/>
                <w:szCs w:val="22"/>
              </w:rPr>
            </w:pPr>
            <w:r>
              <w:rPr>
                <w:color w:val="000000"/>
                <w:sz w:val="22"/>
                <w:szCs w:val="22"/>
              </w:rPr>
              <w:t>429</w:t>
            </w:r>
            <w:r w:rsidRPr="00B525B1">
              <w:rPr>
                <w:color w:val="000000"/>
                <w:sz w:val="22"/>
                <w:szCs w:val="22"/>
              </w:rPr>
              <w:t>/2002</w:t>
            </w:r>
          </w:p>
          <w:p w14:paraId="5A77F7BD" w14:textId="77777777" w:rsidR="004137E7" w:rsidRPr="00B525B1" w:rsidRDefault="004137E7" w:rsidP="004137E7">
            <w:pPr>
              <w:rPr>
                <w:b/>
                <w:bCs/>
                <w:sz w:val="22"/>
                <w:szCs w:val="22"/>
              </w:rPr>
            </w:pPr>
            <w:r w:rsidRPr="00B525B1">
              <w:rPr>
                <w:color w:val="000000"/>
                <w:sz w:val="22"/>
                <w:szCs w:val="22"/>
              </w:rPr>
              <w:t xml:space="preserve">a </w:t>
            </w:r>
            <w:r w:rsidRPr="00B525B1">
              <w:rPr>
                <w:b/>
                <w:bCs/>
                <w:sz w:val="22"/>
                <w:szCs w:val="22"/>
              </w:rPr>
              <w:t>Návrh</w:t>
            </w:r>
          </w:p>
          <w:p w14:paraId="4767F9DB" w14:textId="77777777" w:rsidR="004137E7" w:rsidRPr="00B525B1" w:rsidRDefault="004137E7" w:rsidP="004137E7">
            <w:pPr>
              <w:rPr>
                <w:b/>
                <w:bCs/>
                <w:sz w:val="22"/>
                <w:szCs w:val="22"/>
              </w:rPr>
            </w:pPr>
            <w:r w:rsidRPr="00B525B1">
              <w:rPr>
                <w:b/>
                <w:bCs/>
                <w:sz w:val="22"/>
                <w:szCs w:val="22"/>
              </w:rPr>
              <w:t xml:space="preserve">Čl. II. </w:t>
            </w:r>
          </w:p>
          <w:p w14:paraId="7AE92B7C" w14:textId="0E760934" w:rsidR="004137E7" w:rsidRPr="00531286" w:rsidRDefault="004137E7" w:rsidP="004137E7">
            <w:pPr>
              <w:adjustRightInd w:val="0"/>
              <w:rPr>
                <w:color w:val="000000"/>
                <w:sz w:val="22"/>
                <w:szCs w:val="22"/>
              </w:rPr>
            </w:pPr>
            <w:r w:rsidRPr="00B525B1">
              <w:rPr>
                <w:b/>
                <w:bCs/>
                <w:sz w:val="22"/>
                <w:szCs w:val="22"/>
              </w:rPr>
              <w:t xml:space="preserve">Bod </w:t>
            </w:r>
            <w:r w:rsidR="00704300">
              <w:rPr>
                <w:b/>
                <w:bCs/>
                <w:sz w:val="22"/>
                <w:szCs w:val="22"/>
              </w:rPr>
              <w:t>3</w:t>
            </w:r>
            <w:r w:rsidR="00055CC7">
              <w:rPr>
                <w:b/>
                <w:bCs/>
                <w:sz w:val="22"/>
                <w:szCs w:val="22"/>
              </w:rPr>
              <w:t>2</w:t>
            </w:r>
          </w:p>
          <w:p w14:paraId="5E362796" w14:textId="77777777" w:rsidR="004137E7" w:rsidRPr="00531286" w:rsidRDefault="004137E7" w:rsidP="004137E7">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5E9982ED" w14:textId="77777777" w:rsidR="004137E7" w:rsidRPr="00531286" w:rsidRDefault="004137E7" w:rsidP="004137E7">
            <w:pPr>
              <w:jc w:val="center"/>
              <w:rPr>
                <w:b/>
                <w:sz w:val="22"/>
                <w:szCs w:val="22"/>
              </w:rPr>
            </w:pPr>
            <w:r w:rsidRPr="00531286">
              <w:rPr>
                <w:b/>
                <w:sz w:val="22"/>
                <w:szCs w:val="22"/>
              </w:rPr>
              <w:t>§</w:t>
            </w:r>
            <w:r>
              <w:rPr>
                <w:b/>
                <w:sz w:val="22"/>
                <w:szCs w:val="22"/>
              </w:rPr>
              <w:t xml:space="preserve"> 57a</w:t>
            </w:r>
          </w:p>
          <w:p w14:paraId="4240AB58" w14:textId="77777777" w:rsidR="004137E7" w:rsidRDefault="004137E7" w:rsidP="004137E7">
            <w:pPr>
              <w:jc w:val="center"/>
              <w:rPr>
                <w:b/>
                <w:sz w:val="22"/>
                <w:szCs w:val="22"/>
              </w:rPr>
            </w:pPr>
          </w:p>
          <w:p w14:paraId="45FA225D" w14:textId="77777777" w:rsidR="004137E7" w:rsidRDefault="004137E7" w:rsidP="004137E7">
            <w:pPr>
              <w:jc w:val="center"/>
              <w:rPr>
                <w:b/>
                <w:sz w:val="22"/>
                <w:szCs w:val="22"/>
              </w:rPr>
            </w:pPr>
          </w:p>
          <w:p w14:paraId="280529FF" w14:textId="77777777" w:rsidR="004137E7" w:rsidRDefault="004137E7" w:rsidP="004137E7">
            <w:pPr>
              <w:jc w:val="center"/>
              <w:rPr>
                <w:b/>
                <w:sz w:val="22"/>
                <w:szCs w:val="22"/>
              </w:rPr>
            </w:pPr>
          </w:p>
          <w:p w14:paraId="6928D7CD" w14:textId="77777777" w:rsidR="004137E7" w:rsidRDefault="004137E7" w:rsidP="004137E7">
            <w:pPr>
              <w:jc w:val="center"/>
              <w:rPr>
                <w:b/>
                <w:sz w:val="22"/>
                <w:szCs w:val="22"/>
              </w:rPr>
            </w:pPr>
          </w:p>
          <w:p w14:paraId="5EEBCE34" w14:textId="77777777" w:rsidR="004137E7" w:rsidRDefault="004137E7" w:rsidP="004137E7">
            <w:pPr>
              <w:jc w:val="center"/>
              <w:rPr>
                <w:b/>
                <w:sz w:val="22"/>
                <w:szCs w:val="22"/>
              </w:rPr>
            </w:pPr>
          </w:p>
          <w:p w14:paraId="554346B0" w14:textId="77777777" w:rsidR="004137E7" w:rsidRDefault="004137E7" w:rsidP="004137E7">
            <w:pPr>
              <w:jc w:val="center"/>
              <w:rPr>
                <w:b/>
                <w:sz w:val="22"/>
                <w:szCs w:val="22"/>
              </w:rPr>
            </w:pPr>
          </w:p>
          <w:p w14:paraId="10FBA72E" w14:textId="77777777" w:rsidR="004137E7" w:rsidRPr="00704300" w:rsidRDefault="004137E7" w:rsidP="004137E7">
            <w:pPr>
              <w:jc w:val="center"/>
              <w:rPr>
                <w:b/>
                <w:sz w:val="22"/>
                <w:szCs w:val="22"/>
              </w:rPr>
            </w:pPr>
            <w:r w:rsidRPr="00704300">
              <w:rPr>
                <w:b/>
                <w:sz w:val="22"/>
                <w:szCs w:val="22"/>
              </w:rPr>
              <w:t>§ 57a</w:t>
            </w:r>
          </w:p>
          <w:p w14:paraId="21495000" w14:textId="37DF45BC" w:rsidR="004137E7" w:rsidRPr="00704300" w:rsidRDefault="004137E7" w:rsidP="004137E7">
            <w:pPr>
              <w:jc w:val="center"/>
              <w:rPr>
                <w:b/>
                <w:sz w:val="22"/>
                <w:szCs w:val="22"/>
              </w:rPr>
            </w:pPr>
            <w:r w:rsidRPr="00704300">
              <w:rPr>
                <w:b/>
                <w:sz w:val="22"/>
                <w:szCs w:val="22"/>
              </w:rPr>
              <w:t xml:space="preserve">O: </w:t>
            </w:r>
            <w:r w:rsidR="00704300" w:rsidRPr="00704300">
              <w:rPr>
                <w:b/>
                <w:sz w:val="22"/>
                <w:szCs w:val="22"/>
              </w:rPr>
              <w:t>9</w:t>
            </w:r>
          </w:p>
          <w:p w14:paraId="148EE3FF" w14:textId="1387B58F" w:rsidR="004137E7" w:rsidRDefault="00E64813" w:rsidP="004137E7">
            <w:pPr>
              <w:jc w:val="center"/>
              <w:rPr>
                <w:b/>
                <w:sz w:val="22"/>
                <w:szCs w:val="22"/>
              </w:rPr>
            </w:pPr>
            <w:r w:rsidRPr="00704300">
              <w:rPr>
                <w:b/>
                <w:sz w:val="22"/>
                <w:szCs w:val="22"/>
              </w:rPr>
              <w:t>úvodná veta</w:t>
            </w:r>
          </w:p>
          <w:p w14:paraId="48CD78DD" w14:textId="77777777" w:rsidR="004137E7" w:rsidRDefault="004137E7" w:rsidP="004137E7">
            <w:pPr>
              <w:jc w:val="center"/>
              <w:rPr>
                <w:b/>
                <w:sz w:val="22"/>
                <w:szCs w:val="22"/>
              </w:rPr>
            </w:pPr>
          </w:p>
          <w:p w14:paraId="0DA29E37" w14:textId="77777777" w:rsidR="004137E7" w:rsidRDefault="004137E7" w:rsidP="004137E7">
            <w:pPr>
              <w:jc w:val="center"/>
              <w:rPr>
                <w:b/>
                <w:sz w:val="22"/>
                <w:szCs w:val="22"/>
              </w:rPr>
            </w:pPr>
          </w:p>
          <w:p w14:paraId="329C54FC" w14:textId="77777777" w:rsidR="004137E7" w:rsidRDefault="004137E7" w:rsidP="004137E7">
            <w:pPr>
              <w:jc w:val="center"/>
              <w:rPr>
                <w:b/>
                <w:sz w:val="22"/>
                <w:szCs w:val="22"/>
              </w:rPr>
            </w:pPr>
          </w:p>
          <w:p w14:paraId="32751972" w14:textId="77777777" w:rsidR="004137E7" w:rsidRDefault="004137E7" w:rsidP="004137E7">
            <w:pPr>
              <w:jc w:val="center"/>
              <w:rPr>
                <w:b/>
                <w:sz w:val="22"/>
                <w:szCs w:val="22"/>
              </w:rPr>
            </w:pPr>
          </w:p>
          <w:p w14:paraId="515DF258" w14:textId="77777777" w:rsidR="004137E7" w:rsidRDefault="004137E7" w:rsidP="004137E7">
            <w:pPr>
              <w:jc w:val="center"/>
              <w:rPr>
                <w:b/>
                <w:sz w:val="22"/>
                <w:szCs w:val="22"/>
              </w:rPr>
            </w:pPr>
          </w:p>
          <w:p w14:paraId="1C270232" w14:textId="77777777" w:rsidR="004137E7" w:rsidRDefault="004137E7" w:rsidP="004137E7">
            <w:pPr>
              <w:jc w:val="center"/>
              <w:rPr>
                <w:b/>
                <w:sz w:val="22"/>
                <w:szCs w:val="22"/>
              </w:rPr>
            </w:pPr>
          </w:p>
          <w:p w14:paraId="1F8C050B" w14:textId="77777777" w:rsidR="004137E7" w:rsidRDefault="004137E7" w:rsidP="004137E7">
            <w:pPr>
              <w:jc w:val="center"/>
              <w:rPr>
                <w:b/>
                <w:sz w:val="22"/>
                <w:szCs w:val="22"/>
              </w:rPr>
            </w:pPr>
          </w:p>
          <w:p w14:paraId="59AA3868" w14:textId="77777777" w:rsidR="004137E7" w:rsidRDefault="004137E7" w:rsidP="004137E7">
            <w:pPr>
              <w:jc w:val="center"/>
              <w:rPr>
                <w:b/>
                <w:sz w:val="22"/>
                <w:szCs w:val="22"/>
              </w:rPr>
            </w:pPr>
          </w:p>
          <w:p w14:paraId="7242DD92" w14:textId="77777777" w:rsidR="004137E7" w:rsidRPr="00B525B1" w:rsidRDefault="004137E7" w:rsidP="004137E7">
            <w:pPr>
              <w:jc w:val="center"/>
              <w:rPr>
                <w:b/>
                <w:sz w:val="22"/>
                <w:szCs w:val="22"/>
              </w:rPr>
            </w:pPr>
            <w:r w:rsidRPr="00531286">
              <w:rPr>
                <w:b/>
                <w:sz w:val="22"/>
                <w:szCs w:val="22"/>
              </w:rPr>
              <w:t>§</w:t>
            </w:r>
            <w:r>
              <w:rPr>
                <w:b/>
                <w:sz w:val="22"/>
                <w:szCs w:val="22"/>
              </w:rPr>
              <w:t xml:space="preserve"> </w:t>
            </w:r>
            <w:r w:rsidRPr="00B525B1">
              <w:rPr>
                <w:b/>
                <w:sz w:val="22"/>
                <w:szCs w:val="22"/>
              </w:rPr>
              <w:t>57a</w:t>
            </w:r>
          </w:p>
          <w:p w14:paraId="0A3B2A8B" w14:textId="04AED68A" w:rsidR="004137E7" w:rsidRDefault="004137E7" w:rsidP="004137E7">
            <w:pPr>
              <w:jc w:val="center"/>
              <w:rPr>
                <w:b/>
                <w:sz w:val="22"/>
                <w:szCs w:val="22"/>
              </w:rPr>
            </w:pPr>
            <w:r w:rsidRPr="00B525B1">
              <w:rPr>
                <w:b/>
                <w:sz w:val="22"/>
                <w:szCs w:val="22"/>
              </w:rPr>
              <w:t xml:space="preserve">O: </w:t>
            </w:r>
            <w:r w:rsidR="00704300">
              <w:rPr>
                <w:b/>
                <w:sz w:val="22"/>
                <w:szCs w:val="22"/>
              </w:rPr>
              <w:t>9</w:t>
            </w:r>
          </w:p>
          <w:p w14:paraId="1ADBDDC1" w14:textId="77777777" w:rsidR="004137E7" w:rsidRPr="00531286" w:rsidRDefault="004137E7" w:rsidP="004137E7">
            <w:pPr>
              <w:jc w:val="center"/>
              <w:rPr>
                <w:b/>
                <w:sz w:val="22"/>
                <w:szCs w:val="22"/>
                <w:highlight w:val="yellow"/>
              </w:rPr>
            </w:pPr>
            <w:r>
              <w:rPr>
                <w:b/>
                <w:sz w:val="22"/>
                <w:szCs w:val="22"/>
              </w:rPr>
              <w:t>P: b</w:t>
            </w:r>
          </w:p>
        </w:tc>
        <w:tc>
          <w:tcPr>
            <w:tcW w:w="3402" w:type="dxa"/>
            <w:tcBorders>
              <w:top w:val="single" w:sz="4" w:space="0" w:color="auto"/>
              <w:left w:val="single" w:sz="4" w:space="0" w:color="auto"/>
              <w:bottom w:val="single" w:sz="4" w:space="0" w:color="auto"/>
              <w:right w:val="single" w:sz="4" w:space="0" w:color="auto"/>
            </w:tcBorders>
          </w:tcPr>
          <w:p w14:paraId="7FD704FC" w14:textId="77777777" w:rsidR="004137E7" w:rsidRPr="00C03F1A" w:rsidRDefault="004137E7" w:rsidP="004137E7">
            <w:pPr>
              <w:jc w:val="both"/>
              <w:rPr>
                <w:b/>
                <w:noProof/>
                <w:sz w:val="20"/>
                <w:szCs w:val="20"/>
              </w:rPr>
            </w:pPr>
            <w:r w:rsidRPr="00C03F1A">
              <w:rPr>
                <w:b/>
                <w:noProof/>
                <w:sz w:val="20"/>
                <w:szCs w:val="20"/>
              </w:rPr>
              <w:t xml:space="preserve">§ 57a   </w:t>
            </w:r>
          </w:p>
          <w:p w14:paraId="76E72983" w14:textId="77777777" w:rsidR="004137E7" w:rsidRPr="00C03F1A" w:rsidRDefault="004137E7" w:rsidP="004137E7">
            <w:pPr>
              <w:jc w:val="both"/>
              <w:rPr>
                <w:b/>
                <w:noProof/>
                <w:sz w:val="20"/>
                <w:szCs w:val="20"/>
              </w:rPr>
            </w:pPr>
            <w:r w:rsidRPr="00C03F1A">
              <w:rPr>
                <w:rStyle w:val="y2iqfc"/>
                <w:b/>
                <w:sz w:val="20"/>
                <w:szCs w:val="20"/>
              </w:rPr>
              <w:t>Obmedzenia pozícií v komoditných derivátoch a mechanizmy kontroly nad riadením pozícií v komoditných derivátoch a v derivátoch emisných kvót</w:t>
            </w:r>
          </w:p>
          <w:p w14:paraId="1D306B12" w14:textId="77777777" w:rsidR="004137E7" w:rsidRPr="00D15D8E" w:rsidRDefault="004137E7" w:rsidP="004137E7">
            <w:pPr>
              <w:pStyle w:val="Odsekzoznamu"/>
              <w:spacing w:before="120" w:after="120"/>
              <w:ind w:left="0"/>
              <w:jc w:val="both"/>
              <w:rPr>
                <w:b/>
                <w:sz w:val="22"/>
                <w:szCs w:val="22"/>
                <w:highlight w:val="yellow"/>
              </w:rPr>
            </w:pPr>
          </w:p>
          <w:p w14:paraId="65885B57" w14:textId="31CAB6E2" w:rsidR="004137E7" w:rsidRPr="00417C03" w:rsidRDefault="00417C03" w:rsidP="004137E7">
            <w:pPr>
              <w:jc w:val="both"/>
              <w:rPr>
                <w:b/>
                <w:bCs/>
                <w:noProof/>
                <w:sz w:val="20"/>
                <w:szCs w:val="20"/>
              </w:rPr>
            </w:pPr>
            <w:bookmarkStart w:id="11" w:name="_Hlk193897890"/>
            <w:r w:rsidRPr="00417C03">
              <w:rPr>
                <w:b/>
                <w:bCs/>
                <w:noProof/>
                <w:sz w:val="20"/>
                <w:szCs w:val="20"/>
              </w:rPr>
              <w:t>Burza alebo obchodník s cennými papiermi organizujúci obchodné miesto, na ktorom sa obchoduje s komoditnými derivátmi alebo derivátmi emisných kvót, sú povinní uplatňovať mechanizmy kontroly nad riadením pozícií, ktoré zahŕňajú aj právomoci obchodného miesta, pričom sú oprávnení</w:t>
            </w:r>
            <w:bookmarkEnd w:id="11"/>
          </w:p>
          <w:p w14:paraId="3B251596" w14:textId="77777777" w:rsidR="004137E7" w:rsidRPr="00520CD1" w:rsidRDefault="004137E7" w:rsidP="004137E7">
            <w:pPr>
              <w:pStyle w:val="Odsekzoznamu"/>
              <w:spacing w:before="120" w:after="120"/>
              <w:ind w:left="0"/>
              <w:jc w:val="both"/>
              <w:rPr>
                <w:b/>
                <w:color w:val="00B0F0"/>
                <w:sz w:val="22"/>
                <w:szCs w:val="22"/>
                <w:highlight w:val="yellow"/>
              </w:rPr>
            </w:pPr>
          </w:p>
          <w:p w14:paraId="18B9F46F" w14:textId="77777777" w:rsidR="004137E7" w:rsidRPr="00D15D8E" w:rsidRDefault="004137E7" w:rsidP="004137E7">
            <w:pPr>
              <w:pStyle w:val="Odsekzoznamu"/>
              <w:spacing w:before="120" w:after="120"/>
              <w:ind w:left="0"/>
              <w:jc w:val="both"/>
              <w:rPr>
                <w:b/>
                <w:sz w:val="22"/>
                <w:szCs w:val="22"/>
                <w:highlight w:val="yellow"/>
              </w:rPr>
            </w:pPr>
          </w:p>
          <w:p w14:paraId="30E3111B" w14:textId="77777777" w:rsidR="004137E7" w:rsidRPr="00632ADF" w:rsidRDefault="004137E7" w:rsidP="004137E7">
            <w:pPr>
              <w:jc w:val="both"/>
              <w:rPr>
                <w:sz w:val="20"/>
                <w:szCs w:val="20"/>
              </w:rPr>
            </w:pPr>
            <w:r w:rsidRPr="00632ADF">
              <w:rPr>
                <w:b/>
                <w:bCs/>
                <w:sz w:val="20"/>
                <w:szCs w:val="20"/>
              </w:rPr>
              <w:t>b)</w:t>
            </w:r>
            <w:r w:rsidRPr="00632ADF">
              <w:rPr>
                <w:sz w:val="20"/>
                <w:szCs w:val="20"/>
              </w:rPr>
              <w:t xml:space="preserve"> získavať informácie, vrátane všetkých príslušných dokumentov, od osôb o veľkosti a účele pozície alebo expozície, do ktorej vstúpili, k informáciám o konečných vlastníkoch alebo o vlastníkoch podkladových aktív, dohodách o konaní v zhode a súvisiacich aktívach alebo o záväzkoch na trhu s podkladovým aktívom </w:t>
            </w:r>
            <w:r w:rsidRPr="00632ADF">
              <w:rPr>
                <w:b/>
                <w:sz w:val="20"/>
                <w:szCs w:val="20"/>
              </w:rPr>
              <w:t>vrátane prípadných pozícií držaných v derivátoch  emisných kvót alebo</w:t>
            </w:r>
            <w:r w:rsidRPr="00632ADF">
              <w:rPr>
                <w:sz w:val="20"/>
                <w:szCs w:val="20"/>
              </w:rPr>
              <w:t xml:space="preserve"> držaných v komoditných derivátoch, ktoré sú založené na rovnakom podkladovom aktíve a majú rovnaké znaky s inými derivátmi obchodovanými na iných obchodných miestach a mimoburzových transakciách prostredníctvom členov a účastníkov,</w:t>
            </w:r>
          </w:p>
          <w:p w14:paraId="1213F6ED" w14:textId="77777777" w:rsidR="004137E7" w:rsidRPr="00D15D8E" w:rsidRDefault="004137E7" w:rsidP="004137E7">
            <w:pPr>
              <w:pStyle w:val="Odsekzoznamu"/>
              <w:spacing w:before="120" w:after="120"/>
              <w:ind w:left="0"/>
              <w:jc w:val="both"/>
              <w:rPr>
                <w:b/>
                <w:sz w:val="22"/>
                <w:szCs w:val="22"/>
                <w:highlight w:val="yellow"/>
              </w:rPr>
            </w:pPr>
          </w:p>
          <w:p w14:paraId="22F4ABD4" w14:textId="77777777" w:rsidR="004137E7" w:rsidRPr="00D15D8E" w:rsidRDefault="004137E7" w:rsidP="004137E7">
            <w:pPr>
              <w:pStyle w:val="Odsekzoznamu"/>
              <w:spacing w:before="120" w:after="120"/>
              <w:ind w:left="0"/>
              <w:jc w:val="both"/>
              <w:rPr>
                <w:b/>
                <w:sz w:val="22"/>
                <w:szCs w:val="22"/>
                <w:highlight w:val="yellow"/>
              </w:rPr>
            </w:pPr>
          </w:p>
          <w:p w14:paraId="1F70B3AB" w14:textId="77777777" w:rsidR="004137E7" w:rsidRPr="00D15D8E" w:rsidRDefault="004137E7" w:rsidP="004137E7">
            <w:pPr>
              <w:pStyle w:val="Odsekzoznamu"/>
              <w:spacing w:before="120" w:after="120"/>
              <w:ind w:left="0"/>
              <w:jc w:val="both"/>
              <w:rPr>
                <w:b/>
                <w:sz w:val="22"/>
                <w:szCs w:val="22"/>
                <w:highlight w:val="yellow"/>
              </w:rPr>
            </w:pPr>
          </w:p>
        </w:tc>
        <w:tc>
          <w:tcPr>
            <w:tcW w:w="709" w:type="dxa"/>
            <w:tcBorders>
              <w:top w:val="single" w:sz="4" w:space="0" w:color="auto"/>
              <w:left w:val="single" w:sz="4" w:space="0" w:color="auto"/>
              <w:right w:val="single" w:sz="4" w:space="0" w:color="auto"/>
            </w:tcBorders>
          </w:tcPr>
          <w:p w14:paraId="41A95DD2" w14:textId="77777777" w:rsidR="004137E7" w:rsidRDefault="004137E7" w:rsidP="004137E7">
            <w:pPr>
              <w:adjustRightInd w:val="0"/>
              <w:jc w:val="center"/>
              <w:rPr>
                <w:color w:val="000000"/>
                <w:sz w:val="22"/>
                <w:szCs w:val="22"/>
              </w:rPr>
            </w:pPr>
            <w:r>
              <w:rPr>
                <w:color w:val="000000"/>
                <w:sz w:val="22"/>
                <w:szCs w:val="22"/>
              </w:rPr>
              <w:lastRenderedPageBreak/>
              <w:t>Ú</w:t>
            </w:r>
          </w:p>
          <w:p w14:paraId="19810BB2" w14:textId="77777777" w:rsidR="004137E7" w:rsidRDefault="004137E7" w:rsidP="004137E7">
            <w:pPr>
              <w:adjustRightInd w:val="0"/>
              <w:jc w:val="center"/>
              <w:rPr>
                <w:color w:val="000000"/>
                <w:sz w:val="22"/>
                <w:szCs w:val="22"/>
              </w:rPr>
            </w:pPr>
          </w:p>
          <w:p w14:paraId="06AA6D4E" w14:textId="77777777" w:rsidR="004137E7" w:rsidRDefault="004137E7" w:rsidP="004137E7">
            <w:pPr>
              <w:adjustRightInd w:val="0"/>
              <w:jc w:val="center"/>
              <w:rPr>
                <w:color w:val="000000"/>
                <w:sz w:val="22"/>
                <w:szCs w:val="22"/>
              </w:rPr>
            </w:pPr>
          </w:p>
          <w:p w14:paraId="5330014E" w14:textId="77777777" w:rsidR="004137E7" w:rsidRDefault="004137E7" w:rsidP="004137E7">
            <w:pPr>
              <w:adjustRightInd w:val="0"/>
              <w:jc w:val="center"/>
              <w:rPr>
                <w:color w:val="000000"/>
                <w:sz w:val="22"/>
                <w:szCs w:val="22"/>
              </w:rPr>
            </w:pPr>
          </w:p>
          <w:p w14:paraId="73AF0179" w14:textId="77777777" w:rsidR="004137E7" w:rsidRDefault="004137E7" w:rsidP="004137E7">
            <w:pPr>
              <w:adjustRightInd w:val="0"/>
              <w:jc w:val="center"/>
              <w:rPr>
                <w:color w:val="000000"/>
                <w:sz w:val="22"/>
                <w:szCs w:val="22"/>
              </w:rPr>
            </w:pPr>
          </w:p>
          <w:p w14:paraId="1BD86DA1" w14:textId="77777777" w:rsidR="004137E7" w:rsidRDefault="004137E7" w:rsidP="004137E7">
            <w:pPr>
              <w:adjustRightInd w:val="0"/>
              <w:jc w:val="center"/>
              <w:rPr>
                <w:color w:val="000000"/>
                <w:sz w:val="22"/>
                <w:szCs w:val="22"/>
              </w:rPr>
            </w:pPr>
          </w:p>
          <w:p w14:paraId="58F277E7" w14:textId="77777777" w:rsidR="004137E7" w:rsidRDefault="004137E7" w:rsidP="004137E7">
            <w:pPr>
              <w:adjustRightInd w:val="0"/>
              <w:jc w:val="center"/>
              <w:rPr>
                <w:color w:val="000000"/>
                <w:sz w:val="22"/>
                <w:szCs w:val="22"/>
              </w:rPr>
            </w:pPr>
          </w:p>
          <w:p w14:paraId="68EEBE85" w14:textId="77777777" w:rsidR="004137E7" w:rsidRDefault="004137E7" w:rsidP="004137E7">
            <w:pPr>
              <w:adjustRightInd w:val="0"/>
              <w:jc w:val="center"/>
              <w:rPr>
                <w:color w:val="000000"/>
                <w:sz w:val="22"/>
                <w:szCs w:val="22"/>
              </w:rPr>
            </w:pPr>
            <w:r>
              <w:rPr>
                <w:color w:val="000000"/>
                <w:sz w:val="22"/>
                <w:szCs w:val="22"/>
              </w:rPr>
              <w:t>Ú</w:t>
            </w:r>
          </w:p>
          <w:p w14:paraId="2A0FD9D9" w14:textId="77777777" w:rsidR="004137E7" w:rsidRDefault="004137E7" w:rsidP="004137E7">
            <w:pPr>
              <w:adjustRightInd w:val="0"/>
              <w:jc w:val="center"/>
              <w:rPr>
                <w:color w:val="000000"/>
                <w:sz w:val="22"/>
                <w:szCs w:val="22"/>
              </w:rPr>
            </w:pPr>
          </w:p>
          <w:p w14:paraId="3D251207" w14:textId="77777777" w:rsidR="004137E7" w:rsidRDefault="004137E7" w:rsidP="004137E7">
            <w:pPr>
              <w:adjustRightInd w:val="0"/>
              <w:jc w:val="center"/>
              <w:rPr>
                <w:color w:val="000000"/>
                <w:sz w:val="22"/>
                <w:szCs w:val="22"/>
              </w:rPr>
            </w:pPr>
          </w:p>
          <w:p w14:paraId="52317939" w14:textId="77777777" w:rsidR="004137E7" w:rsidRDefault="004137E7" w:rsidP="004137E7">
            <w:pPr>
              <w:adjustRightInd w:val="0"/>
              <w:jc w:val="center"/>
              <w:rPr>
                <w:color w:val="000000"/>
                <w:sz w:val="22"/>
                <w:szCs w:val="22"/>
              </w:rPr>
            </w:pPr>
          </w:p>
          <w:p w14:paraId="4F046203" w14:textId="77777777" w:rsidR="004137E7" w:rsidRDefault="004137E7" w:rsidP="004137E7">
            <w:pPr>
              <w:adjustRightInd w:val="0"/>
              <w:jc w:val="center"/>
              <w:rPr>
                <w:color w:val="000000"/>
                <w:sz w:val="22"/>
                <w:szCs w:val="22"/>
              </w:rPr>
            </w:pPr>
          </w:p>
          <w:p w14:paraId="7630F2EA" w14:textId="77777777" w:rsidR="004137E7" w:rsidRDefault="004137E7" w:rsidP="004137E7">
            <w:pPr>
              <w:adjustRightInd w:val="0"/>
              <w:jc w:val="center"/>
              <w:rPr>
                <w:color w:val="000000"/>
                <w:sz w:val="22"/>
                <w:szCs w:val="22"/>
              </w:rPr>
            </w:pPr>
          </w:p>
          <w:p w14:paraId="4EE3F571" w14:textId="77777777" w:rsidR="004137E7" w:rsidRDefault="004137E7" w:rsidP="004137E7">
            <w:pPr>
              <w:adjustRightInd w:val="0"/>
              <w:jc w:val="center"/>
              <w:rPr>
                <w:color w:val="000000"/>
                <w:sz w:val="22"/>
                <w:szCs w:val="22"/>
              </w:rPr>
            </w:pPr>
          </w:p>
          <w:p w14:paraId="1A4BC266" w14:textId="77777777" w:rsidR="004137E7" w:rsidRDefault="004137E7" w:rsidP="004137E7">
            <w:pPr>
              <w:adjustRightInd w:val="0"/>
              <w:jc w:val="center"/>
              <w:rPr>
                <w:color w:val="000000"/>
                <w:sz w:val="22"/>
                <w:szCs w:val="22"/>
              </w:rPr>
            </w:pPr>
          </w:p>
          <w:p w14:paraId="676D8E6E" w14:textId="77777777" w:rsidR="004137E7" w:rsidRDefault="004137E7" w:rsidP="004137E7">
            <w:pPr>
              <w:adjustRightInd w:val="0"/>
              <w:jc w:val="center"/>
              <w:rPr>
                <w:color w:val="000000"/>
                <w:sz w:val="22"/>
                <w:szCs w:val="22"/>
              </w:rPr>
            </w:pPr>
          </w:p>
          <w:p w14:paraId="70FE07D2" w14:textId="77777777" w:rsidR="004137E7" w:rsidRDefault="004137E7" w:rsidP="004137E7">
            <w:pPr>
              <w:adjustRightInd w:val="0"/>
              <w:jc w:val="center"/>
              <w:rPr>
                <w:color w:val="000000"/>
                <w:sz w:val="22"/>
                <w:szCs w:val="22"/>
              </w:rPr>
            </w:pPr>
          </w:p>
          <w:p w14:paraId="5C7EF8C6" w14:textId="77777777" w:rsidR="004137E7" w:rsidRDefault="004137E7" w:rsidP="004137E7">
            <w:pPr>
              <w:adjustRightInd w:val="0"/>
              <w:jc w:val="center"/>
              <w:rPr>
                <w:color w:val="000000"/>
                <w:sz w:val="22"/>
                <w:szCs w:val="22"/>
              </w:rPr>
            </w:pPr>
          </w:p>
          <w:p w14:paraId="0E1ABCF1" w14:textId="77777777" w:rsidR="004137E7" w:rsidRDefault="004137E7" w:rsidP="004137E7">
            <w:pPr>
              <w:adjustRightInd w:val="0"/>
              <w:jc w:val="center"/>
              <w:rPr>
                <w:color w:val="000000"/>
                <w:sz w:val="22"/>
                <w:szCs w:val="22"/>
              </w:rPr>
            </w:pPr>
          </w:p>
          <w:p w14:paraId="32CF2A71" w14:textId="77777777" w:rsidR="004137E7" w:rsidRDefault="004137E7" w:rsidP="004137E7">
            <w:pPr>
              <w:adjustRightInd w:val="0"/>
              <w:jc w:val="center"/>
              <w:rPr>
                <w:color w:val="000000"/>
                <w:sz w:val="22"/>
                <w:szCs w:val="22"/>
              </w:rPr>
            </w:pPr>
            <w:r>
              <w:rPr>
                <w:color w:val="000000"/>
                <w:sz w:val="22"/>
                <w:szCs w:val="22"/>
              </w:rPr>
              <w:t>Ú</w:t>
            </w:r>
          </w:p>
          <w:p w14:paraId="509BF011" w14:textId="77777777" w:rsidR="004137E7" w:rsidRDefault="004137E7" w:rsidP="004137E7">
            <w:pPr>
              <w:adjustRightInd w:val="0"/>
              <w:jc w:val="center"/>
              <w:rPr>
                <w:color w:val="000000"/>
                <w:sz w:val="22"/>
                <w:szCs w:val="22"/>
              </w:rPr>
            </w:pPr>
          </w:p>
          <w:p w14:paraId="09558CCD" w14:textId="77777777" w:rsidR="004137E7" w:rsidRDefault="004137E7" w:rsidP="004137E7">
            <w:pPr>
              <w:adjustRightInd w:val="0"/>
              <w:jc w:val="center"/>
              <w:rPr>
                <w:color w:val="000000"/>
                <w:sz w:val="22"/>
                <w:szCs w:val="22"/>
              </w:rPr>
            </w:pPr>
          </w:p>
          <w:p w14:paraId="32075909" w14:textId="77777777" w:rsidR="004137E7" w:rsidRPr="00531286" w:rsidRDefault="004137E7" w:rsidP="004137E7">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5EEF6976"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21ADC0BD" w14:textId="77777777" w:rsidR="004137E7" w:rsidRPr="00531286" w:rsidRDefault="004137E7" w:rsidP="004137E7">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21C7E994" w14:textId="77777777" w:rsidR="004137E7" w:rsidRPr="00531286" w:rsidRDefault="004137E7" w:rsidP="004137E7">
            <w:pPr>
              <w:spacing w:before="75" w:after="75"/>
              <w:rPr>
                <w:sz w:val="22"/>
                <w:szCs w:val="22"/>
              </w:rPr>
            </w:pPr>
          </w:p>
        </w:tc>
      </w:tr>
      <w:tr w:rsidR="004137E7" w:rsidRPr="0066733C" w14:paraId="5C52B043" w14:textId="77777777" w:rsidTr="004B4186">
        <w:tc>
          <w:tcPr>
            <w:tcW w:w="682" w:type="dxa"/>
            <w:tcBorders>
              <w:top w:val="single" w:sz="4" w:space="0" w:color="auto"/>
              <w:left w:val="single" w:sz="12" w:space="0" w:color="auto"/>
              <w:right w:val="single" w:sz="4" w:space="0" w:color="auto"/>
            </w:tcBorders>
          </w:tcPr>
          <w:p w14:paraId="1C2D9BA4" w14:textId="77777777" w:rsidR="004137E7" w:rsidRPr="00531286" w:rsidRDefault="004137E7" w:rsidP="004137E7">
            <w:pPr>
              <w:jc w:val="center"/>
              <w:rPr>
                <w:sz w:val="22"/>
                <w:szCs w:val="22"/>
              </w:rPr>
            </w:pPr>
            <w:r w:rsidRPr="00531286">
              <w:rPr>
                <w:sz w:val="22"/>
                <w:szCs w:val="22"/>
              </w:rPr>
              <w:t>Č: 1</w:t>
            </w:r>
          </w:p>
          <w:p w14:paraId="1CB8A232" w14:textId="77777777" w:rsidR="004137E7" w:rsidRPr="00531286" w:rsidRDefault="004137E7" w:rsidP="004137E7">
            <w:pPr>
              <w:jc w:val="center"/>
              <w:rPr>
                <w:sz w:val="22"/>
                <w:szCs w:val="22"/>
              </w:rPr>
            </w:pPr>
            <w:r w:rsidRPr="00531286">
              <w:rPr>
                <w:sz w:val="22"/>
                <w:szCs w:val="22"/>
              </w:rPr>
              <w:t>O: 11</w:t>
            </w:r>
          </w:p>
          <w:p w14:paraId="723313CE" w14:textId="77777777" w:rsidR="004137E7" w:rsidRPr="00531286" w:rsidRDefault="004137E7" w:rsidP="004137E7">
            <w:pPr>
              <w:jc w:val="center"/>
              <w:rPr>
                <w:sz w:val="22"/>
                <w:szCs w:val="22"/>
              </w:rPr>
            </w:pPr>
          </w:p>
          <w:p w14:paraId="2C8BB628" w14:textId="77777777" w:rsidR="004137E7" w:rsidRPr="00531286" w:rsidRDefault="004137E7" w:rsidP="004137E7">
            <w:pPr>
              <w:jc w:val="center"/>
              <w:rPr>
                <w:sz w:val="22"/>
                <w:szCs w:val="22"/>
              </w:rPr>
            </w:pPr>
          </w:p>
          <w:p w14:paraId="06D7DACD" w14:textId="77777777" w:rsidR="004137E7" w:rsidRPr="00531286" w:rsidRDefault="004137E7" w:rsidP="004137E7">
            <w:pPr>
              <w:jc w:val="center"/>
              <w:rPr>
                <w:sz w:val="22"/>
                <w:szCs w:val="22"/>
              </w:rPr>
            </w:pPr>
          </w:p>
          <w:p w14:paraId="21F19BC7" w14:textId="77777777" w:rsidR="004137E7" w:rsidRPr="00531286" w:rsidRDefault="004137E7" w:rsidP="004137E7">
            <w:pPr>
              <w:jc w:val="center"/>
              <w:rPr>
                <w:sz w:val="22"/>
                <w:szCs w:val="22"/>
              </w:rPr>
            </w:pPr>
          </w:p>
          <w:p w14:paraId="4CF1E8B3" w14:textId="77777777" w:rsidR="004137E7" w:rsidRPr="00531286" w:rsidRDefault="004137E7" w:rsidP="004137E7">
            <w:pPr>
              <w:jc w:val="center"/>
              <w:rPr>
                <w:sz w:val="22"/>
                <w:szCs w:val="22"/>
              </w:rPr>
            </w:pPr>
          </w:p>
          <w:p w14:paraId="7778F8D6" w14:textId="77777777" w:rsidR="004137E7" w:rsidRPr="00531286" w:rsidRDefault="004137E7" w:rsidP="004137E7">
            <w:pPr>
              <w:jc w:val="center"/>
              <w:rPr>
                <w:sz w:val="22"/>
                <w:szCs w:val="22"/>
              </w:rPr>
            </w:pPr>
          </w:p>
          <w:p w14:paraId="76EF1377" w14:textId="77777777" w:rsidR="004137E7" w:rsidRPr="00531286" w:rsidRDefault="004137E7" w:rsidP="004137E7">
            <w:pPr>
              <w:jc w:val="center"/>
              <w:rPr>
                <w:sz w:val="22"/>
                <w:szCs w:val="22"/>
              </w:rPr>
            </w:pPr>
          </w:p>
          <w:p w14:paraId="4CCAA175" w14:textId="77777777" w:rsidR="004137E7" w:rsidRPr="00531286" w:rsidRDefault="004137E7" w:rsidP="004137E7">
            <w:pPr>
              <w:jc w:val="center"/>
              <w:rPr>
                <w:sz w:val="22"/>
                <w:szCs w:val="22"/>
              </w:rPr>
            </w:pPr>
          </w:p>
          <w:p w14:paraId="14A0EEA2"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7CEF6A41"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Článok 58 sa mení takto:</w:t>
            </w:r>
          </w:p>
          <w:p w14:paraId="07CC42AB"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a) odsek 1 sa mení takto:</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348"/>
            </w:tblGrid>
            <w:tr w:rsidR="004137E7" w:rsidRPr="00D91D69" w14:paraId="5179C77D" w14:textId="77777777" w:rsidTr="00F60AEE">
              <w:tc>
                <w:tcPr>
                  <w:tcW w:w="186" w:type="dxa"/>
                  <w:shd w:val="clear" w:color="auto" w:fill="FFFFFF"/>
                  <w:hideMark/>
                </w:tcPr>
                <w:p w14:paraId="422641C2" w14:textId="77777777" w:rsidR="004137E7" w:rsidRPr="00D91D69" w:rsidRDefault="004137E7" w:rsidP="004137E7">
                  <w:pPr>
                    <w:autoSpaceDE/>
                    <w:autoSpaceDN/>
                    <w:spacing w:before="120"/>
                    <w:jc w:val="both"/>
                    <w:rPr>
                      <w:color w:val="000000"/>
                      <w:sz w:val="22"/>
                      <w:szCs w:val="22"/>
                    </w:rPr>
                  </w:pPr>
                  <w:r w:rsidRPr="00D91D69">
                    <w:rPr>
                      <w:color w:val="000000"/>
                      <w:sz w:val="22"/>
                      <w:szCs w:val="22"/>
                    </w:rPr>
                    <w:t>i)</w:t>
                  </w:r>
                </w:p>
              </w:tc>
              <w:tc>
                <w:tcPr>
                  <w:tcW w:w="4348" w:type="dxa"/>
                  <w:shd w:val="clear" w:color="auto" w:fill="FFFFFF"/>
                  <w:hideMark/>
                </w:tcPr>
                <w:p w14:paraId="50B58CB0" w14:textId="77777777" w:rsidR="004137E7" w:rsidRPr="00D91D69" w:rsidRDefault="004137E7" w:rsidP="004137E7">
                  <w:pPr>
                    <w:autoSpaceDE/>
                    <w:autoSpaceDN/>
                    <w:spacing w:before="120"/>
                    <w:jc w:val="both"/>
                    <w:rPr>
                      <w:color w:val="000000"/>
                      <w:sz w:val="22"/>
                      <w:szCs w:val="22"/>
                    </w:rPr>
                  </w:pPr>
                  <w:r w:rsidRPr="00D91D69">
                    <w:rPr>
                      <w:color w:val="000000"/>
                      <w:sz w:val="22"/>
                      <w:szCs w:val="22"/>
                    </w:rPr>
                    <w:t xml:space="preserve">prvý </w:t>
                  </w:r>
                  <w:proofErr w:type="spellStart"/>
                  <w:r w:rsidRPr="00D91D69">
                    <w:rPr>
                      <w:color w:val="000000"/>
                      <w:sz w:val="22"/>
                      <w:szCs w:val="22"/>
                    </w:rPr>
                    <w:t>pododsek</w:t>
                  </w:r>
                  <w:proofErr w:type="spellEnd"/>
                  <w:r w:rsidRPr="00D91D69">
                    <w:rPr>
                      <w:color w:val="000000"/>
                      <w:sz w:val="22"/>
                      <w:szCs w:val="22"/>
                    </w:rPr>
                    <w:t xml:space="preserve"> sa mení takto:</w:t>
                  </w:r>
                </w:p>
                <w:tbl>
                  <w:tblPr>
                    <w:tblW w:w="5000" w:type="pct"/>
                    <w:tblLayout w:type="fixed"/>
                    <w:tblCellMar>
                      <w:left w:w="0" w:type="dxa"/>
                      <w:right w:w="0" w:type="dxa"/>
                    </w:tblCellMar>
                    <w:tblLook w:val="04A0" w:firstRow="1" w:lastRow="0" w:firstColumn="1" w:lastColumn="0" w:noHBand="0" w:noVBand="1"/>
                  </w:tblPr>
                  <w:tblGrid>
                    <w:gridCol w:w="127"/>
                    <w:gridCol w:w="4221"/>
                  </w:tblGrid>
                  <w:tr w:rsidR="004137E7" w:rsidRPr="00D91D69" w14:paraId="23AEDC6F" w14:textId="77777777">
                    <w:tc>
                      <w:tcPr>
                        <w:tcW w:w="240" w:type="dxa"/>
                        <w:shd w:val="clear" w:color="auto" w:fill="auto"/>
                        <w:hideMark/>
                      </w:tcPr>
                      <w:p w14:paraId="5FE31447" w14:textId="77777777" w:rsidR="004137E7" w:rsidRPr="00D91D69" w:rsidRDefault="004137E7" w:rsidP="004137E7">
                        <w:pPr>
                          <w:autoSpaceDE/>
                          <w:autoSpaceDN/>
                          <w:spacing w:before="120"/>
                          <w:jc w:val="both"/>
                          <w:rPr>
                            <w:sz w:val="22"/>
                            <w:szCs w:val="22"/>
                          </w:rPr>
                        </w:pPr>
                        <w:r w:rsidRPr="00D91D69">
                          <w:rPr>
                            <w:sz w:val="22"/>
                            <w:szCs w:val="22"/>
                          </w:rPr>
                          <w:t>—</w:t>
                        </w:r>
                      </w:p>
                    </w:tc>
                    <w:tc>
                      <w:tcPr>
                        <w:tcW w:w="8685" w:type="dxa"/>
                        <w:shd w:val="clear" w:color="auto" w:fill="auto"/>
                        <w:hideMark/>
                      </w:tcPr>
                      <w:p w14:paraId="258DC78E" w14:textId="77777777" w:rsidR="004137E7" w:rsidRPr="00D91D69" w:rsidRDefault="004137E7" w:rsidP="004137E7">
                        <w:pPr>
                          <w:autoSpaceDE/>
                          <w:autoSpaceDN/>
                          <w:spacing w:before="120"/>
                          <w:jc w:val="both"/>
                          <w:rPr>
                            <w:sz w:val="22"/>
                            <w:szCs w:val="22"/>
                          </w:rPr>
                        </w:pPr>
                        <w:r w:rsidRPr="00D91D69">
                          <w:rPr>
                            <w:sz w:val="22"/>
                            <w:szCs w:val="22"/>
                          </w:rPr>
                          <w:t>úvodná časť sa nahrádza takto:</w:t>
                        </w:r>
                      </w:p>
                      <w:p w14:paraId="4B2D4B4E" w14:textId="77777777" w:rsidR="004137E7" w:rsidRPr="00D91D69" w:rsidRDefault="004137E7" w:rsidP="004137E7">
                        <w:pPr>
                          <w:autoSpaceDE/>
                          <w:autoSpaceDN/>
                          <w:spacing w:before="120"/>
                          <w:jc w:val="both"/>
                          <w:rPr>
                            <w:sz w:val="22"/>
                            <w:szCs w:val="22"/>
                          </w:rPr>
                        </w:pPr>
                        <w:r w:rsidRPr="00D91D69">
                          <w:rPr>
                            <w:sz w:val="22"/>
                            <w:szCs w:val="22"/>
                          </w:rPr>
                          <w:t>„Členské štáty zabezpečia, aby investičná spoločnosť alebo organizátor trhu prevádzkujúci obchodné miesto, na ktorom sa obchoduje s komoditnými derivátmi alebo derivátmi na emisné kvóty:“,</w:t>
                        </w:r>
                      </w:p>
                    </w:tc>
                  </w:tr>
                </w:tbl>
                <w:p w14:paraId="064B53C9" w14:textId="77777777" w:rsidR="004137E7" w:rsidRPr="00D91D69" w:rsidRDefault="004137E7" w:rsidP="004137E7">
                  <w:pPr>
                    <w:autoSpaceDE/>
                    <w:autoSpaceDN/>
                    <w:rPr>
                      <w:vanish/>
                      <w:color w:val="000000"/>
                      <w:sz w:val="22"/>
                      <w:szCs w:val="22"/>
                    </w:rPr>
                  </w:pPr>
                </w:p>
                <w:tbl>
                  <w:tblPr>
                    <w:tblW w:w="5000" w:type="pct"/>
                    <w:tblLayout w:type="fixed"/>
                    <w:tblCellMar>
                      <w:left w:w="0" w:type="dxa"/>
                      <w:right w:w="0" w:type="dxa"/>
                    </w:tblCellMar>
                    <w:tblLook w:val="04A0" w:firstRow="1" w:lastRow="0" w:firstColumn="1" w:lastColumn="0" w:noHBand="0" w:noVBand="1"/>
                  </w:tblPr>
                  <w:tblGrid>
                    <w:gridCol w:w="127"/>
                    <w:gridCol w:w="4221"/>
                  </w:tblGrid>
                  <w:tr w:rsidR="004137E7" w:rsidRPr="00D91D69" w14:paraId="14CB05F7" w14:textId="77777777">
                    <w:tc>
                      <w:tcPr>
                        <w:tcW w:w="240" w:type="dxa"/>
                        <w:shd w:val="clear" w:color="auto" w:fill="auto"/>
                        <w:hideMark/>
                      </w:tcPr>
                      <w:p w14:paraId="12DA081C" w14:textId="77777777" w:rsidR="004137E7" w:rsidRPr="00D91D69" w:rsidRDefault="004137E7" w:rsidP="004137E7">
                        <w:pPr>
                          <w:autoSpaceDE/>
                          <w:autoSpaceDN/>
                          <w:spacing w:before="120"/>
                          <w:jc w:val="both"/>
                          <w:rPr>
                            <w:sz w:val="22"/>
                            <w:szCs w:val="22"/>
                          </w:rPr>
                        </w:pPr>
                        <w:r w:rsidRPr="00D91D69">
                          <w:rPr>
                            <w:sz w:val="22"/>
                            <w:szCs w:val="22"/>
                          </w:rPr>
                          <w:t>—</w:t>
                        </w:r>
                      </w:p>
                    </w:tc>
                    <w:tc>
                      <w:tcPr>
                        <w:tcW w:w="8685" w:type="dxa"/>
                        <w:shd w:val="clear" w:color="auto" w:fill="auto"/>
                        <w:hideMark/>
                      </w:tcPr>
                      <w:p w14:paraId="5175D597" w14:textId="77777777" w:rsidR="004137E7" w:rsidRPr="00D91D69" w:rsidRDefault="004137E7" w:rsidP="004137E7">
                        <w:pPr>
                          <w:autoSpaceDE/>
                          <w:autoSpaceDN/>
                          <w:spacing w:before="120"/>
                          <w:jc w:val="both"/>
                          <w:rPr>
                            <w:sz w:val="22"/>
                            <w:szCs w:val="22"/>
                          </w:rPr>
                        </w:pPr>
                        <w:r w:rsidRPr="00D91D69">
                          <w:rPr>
                            <w:sz w:val="22"/>
                            <w:szCs w:val="22"/>
                          </w:rPr>
                          <w:t>písmeno a) sa nahrádza takto:</w:t>
                        </w:r>
                      </w:p>
                      <w:tbl>
                        <w:tblPr>
                          <w:tblW w:w="5000" w:type="pct"/>
                          <w:tblLayout w:type="fixed"/>
                          <w:tblCellMar>
                            <w:left w:w="0" w:type="dxa"/>
                            <w:right w:w="0" w:type="dxa"/>
                          </w:tblCellMar>
                          <w:tblLook w:val="04A0" w:firstRow="1" w:lastRow="0" w:firstColumn="1" w:lastColumn="0" w:noHBand="0" w:noVBand="1"/>
                        </w:tblPr>
                        <w:tblGrid>
                          <w:gridCol w:w="392"/>
                          <w:gridCol w:w="3829"/>
                        </w:tblGrid>
                        <w:tr w:rsidR="004137E7" w:rsidRPr="00D91D69" w14:paraId="26CC0513" w14:textId="77777777" w:rsidTr="009A16A9">
                          <w:tc>
                            <w:tcPr>
                              <w:tcW w:w="401" w:type="dxa"/>
                              <w:shd w:val="clear" w:color="auto" w:fill="auto"/>
                              <w:hideMark/>
                            </w:tcPr>
                            <w:p w14:paraId="308FDD45" w14:textId="77777777" w:rsidR="004137E7" w:rsidRPr="00D91D69" w:rsidRDefault="004137E7" w:rsidP="004137E7">
                              <w:pPr>
                                <w:autoSpaceDE/>
                                <w:autoSpaceDN/>
                                <w:spacing w:before="120"/>
                                <w:jc w:val="both"/>
                                <w:rPr>
                                  <w:sz w:val="22"/>
                                  <w:szCs w:val="22"/>
                                </w:rPr>
                              </w:pPr>
                              <w:r w:rsidRPr="00D91D69">
                                <w:rPr>
                                  <w:sz w:val="22"/>
                                  <w:szCs w:val="22"/>
                                </w:rPr>
                                <w:t>„a)</w:t>
                              </w:r>
                            </w:p>
                          </w:tc>
                          <w:tc>
                            <w:tcPr>
                              <w:tcW w:w="3921" w:type="dxa"/>
                              <w:shd w:val="clear" w:color="auto" w:fill="auto"/>
                              <w:hideMark/>
                            </w:tcPr>
                            <w:p w14:paraId="1A286A9F" w14:textId="77777777" w:rsidR="004137E7" w:rsidRPr="00D91D69" w:rsidRDefault="004137E7" w:rsidP="004137E7">
                              <w:pPr>
                                <w:autoSpaceDE/>
                                <w:autoSpaceDN/>
                                <w:spacing w:before="120"/>
                                <w:jc w:val="both"/>
                                <w:rPr>
                                  <w:sz w:val="22"/>
                                  <w:szCs w:val="22"/>
                                </w:rPr>
                              </w:pPr>
                              <w:r w:rsidRPr="00D91D69">
                                <w:rPr>
                                  <w:sz w:val="22"/>
                                  <w:szCs w:val="22"/>
                                </w:rPr>
                                <w:t>zverejňovali:</w:t>
                              </w:r>
                            </w:p>
                            <w:tbl>
                              <w:tblPr>
                                <w:tblW w:w="5000" w:type="pct"/>
                                <w:tblLayout w:type="fixed"/>
                                <w:tblCellMar>
                                  <w:left w:w="0" w:type="dxa"/>
                                  <w:right w:w="0" w:type="dxa"/>
                                </w:tblCellMar>
                                <w:tblLook w:val="04A0" w:firstRow="1" w:lastRow="0" w:firstColumn="1" w:lastColumn="0" w:noHBand="0" w:noVBand="1"/>
                              </w:tblPr>
                              <w:tblGrid>
                                <w:gridCol w:w="223"/>
                                <w:gridCol w:w="3606"/>
                              </w:tblGrid>
                              <w:tr w:rsidR="004137E7" w:rsidRPr="00D91D69" w14:paraId="319CF3C5" w14:textId="77777777" w:rsidTr="009A16A9">
                                <w:tc>
                                  <w:tcPr>
                                    <w:tcW w:w="241" w:type="dxa"/>
                                    <w:shd w:val="clear" w:color="auto" w:fill="auto"/>
                                    <w:hideMark/>
                                  </w:tcPr>
                                  <w:p w14:paraId="1B8F2557" w14:textId="77777777" w:rsidR="004137E7" w:rsidRPr="00D91D69" w:rsidRDefault="004137E7" w:rsidP="004137E7">
                                    <w:pPr>
                                      <w:autoSpaceDE/>
                                      <w:autoSpaceDN/>
                                      <w:spacing w:before="120"/>
                                      <w:jc w:val="both"/>
                                      <w:rPr>
                                        <w:sz w:val="22"/>
                                        <w:szCs w:val="22"/>
                                      </w:rPr>
                                    </w:pPr>
                                    <w:r w:rsidRPr="00D91D69">
                                      <w:rPr>
                                        <w:sz w:val="22"/>
                                        <w:szCs w:val="22"/>
                                      </w:rPr>
                                      <w:t>i)</w:t>
                                    </w:r>
                                  </w:p>
                                </w:tc>
                                <w:tc>
                                  <w:tcPr>
                                    <w:tcW w:w="3926" w:type="dxa"/>
                                    <w:shd w:val="clear" w:color="auto" w:fill="auto"/>
                                    <w:hideMark/>
                                  </w:tcPr>
                                  <w:p w14:paraId="5D982A55" w14:textId="77777777" w:rsidR="004137E7" w:rsidRPr="00D91D69" w:rsidRDefault="004137E7" w:rsidP="004137E7">
                                    <w:pPr>
                                      <w:autoSpaceDE/>
                                      <w:autoSpaceDN/>
                                      <w:spacing w:before="120"/>
                                      <w:jc w:val="both"/>
                                      <w:rPr>
                                        <w:sz w:val="22"/>
                                        <w:szCs w:val="22"/>
                                      </w:rPr>
                                    </w:pPr>
                                    <w:r w:rsidRPr="00D91D69">
                                      <w:rPr>
                                        <w:sz w:val="22"/>
                                        <w:szCs w:val="22"/>
                                      </w:rPr>
                                      <w:t>pokiaľ ide o obchodné miesta, na ktorých sa obchoduje s opciami, dve týždenné správy, z ktorých jedna nezahŕňa opcie, so súhrnnými pozíciami držanými jednotlivými kategóriami osôb v prípade rôznych komoditných derivátov alebo derivátov na emisné kvóty, s ktorými sa obchoduje na ich obchodnom mieste, v ktorých sa uvedie počet dlhých a krátkych pozícií podľa týchto kategórií, ich zmeny od predchádzajúcej správy, percentuálny podiel celkových otvorených záujmov za každú kategóriu a počet osôb držiacich pozíciu v každej kategórii v súlade s odsekom 4;</w:t>
                                    </w:r>
                                  </w:p>
                                </w:tc>
                              </w:tr>
                            </w:tbl>
                            <w:p w14:paraId="6D408DD4" w14:textId="77777777" w:rsidR="004137E7" w:rsidRPr="00D91D69"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223"/>
                                <w:gridCol w:w="3606"/>
                              </w:tblGrid>
                              <w:tr w:rsidR="004137E7" w:rsidRPr="00D91D69" w14:paraId="61663E73" w14:textId="77777777" w:rsidTr="009A16A9">
                                <w:tc>
                                  <w:tcPr>
                                    <w:tcW w:w="241" w:type="dxa"/>
                                    <w:shd w:val="clear" w:color="auto" w:fill="auto"/>
                                    <w:hideMark/>
                                  </w:tcPr>
                                  <w:p w14:paraId="608DDFDF" w14:textId="77777777" w:rsidR="004137E7" w:rsidRPr="00D91D69" w:rsidRDefault="004137E7" w:rsidP="004137E7">
                                    <w:pPr>
                                      <w:autoSpaceDE/>
                                      <w:autoSpaceDN/>
                                      <w:spacing w:before="120"/>
                                      <w:jc w:val="both"/>
                                      <w:rPr>
                                        <w:sz w:val="22"/>
                                        <w:szCs w:val="22"/>
                                      </w:rPr>
                                    </w:pPr>
                                    <w:r w:rsidRPr="00D91D69">
                                      <w:rPr>
                                        <w:sz w:val="22"/>
                                        <w:szCs w:val="22"/>
                                      </w:rPr>
                                      <w:t>ii)</w:t>
                                    </w:r>
                                  </w:p>
                                </w:tc>
                                <w:tc>
                                  <w:tcPr>
                                    <w:tcW w:w="3926" w:type="dxa"/>
                                    <w:shd w:val="clear" w:color="auto" w:fill="auto"/>
                                    <w:hideMark/>
                                  </w:tcPr>
                                  <w:p w14:paraId="3DD2508B" w14:textId="77777777" w:rsidR="004137E7" w:rsidRDefault="004137E7" w:rsidP="004137E7">
                                    <w:pPr>
                                      <w:autoSpaceDE/>
                                      <w:autoSpaceDN/>
                                      <w:spacing w:before="120"/>
                                      <w:jc w:val="both"/>
                                      <w:rPr>
                                        <w:sz w:val="22"/>
                                        <w:szCs w:val="22"/>
                                      </w:rPr>
                                    </w:pPr>
                                    <w:r w:rsidRPr="00D91D69">
                                      <w:rPr>
                                        <w:sz w:val="22"/>
                                        <w:szCs w:val="22"/>
                                      </w:rPr>
                                      <w:t>pokiaľ ide o obchodné miesta, na ktorých sa neobchoduje s opciami, týždennú správu týkajúcu sa prvkov stanovených v bode i);“,</w:t>
                                    </w:r>
                                  </w:p>
                                  <w:p w14:paraId="4868B8DD" w14:textId="77777777" w:rsidR="004137E7" w:rsidRDefault="004137E7" w:rsidP="004137E7">
                                    <w:pPr>
                                      <w:autoSpaceDE/>
                                      <w:autoSpaceDN/>
                                      <w:spacing w:before="120"/>
                                      <w:jc w:val="both"/>
                                      <w:rPr>
                                        <w:sz w:val="22"/>
                                        <w:szCs w:val="22"/>
                                      </w:rPr>
                                    </w:pPr>
                                  </w:p>
                                  <w:p w14:paraId="0D0B447B" w14:textId="77777777" w:rsidR="004137E7" w:rsidRDefault="004137E7" w:rsidP="004137E7">
                                    <w:pPr>
                                      <w:autoSpaceDE/>
                                      <w:autoSpaceDN/>
                                      <w:spacing w:before="120"/>
                                      <w:jc w:val="both"/>
                                      <w:rPr>
                                        <w:sz w:val="22"/>
                                        <w:szCs w:val="22"/>
                                      </w:rPr>
                                    </w:pPr>
                                  </w:p>
                                  <w:p w14:paraId="16C1FC9C" w14:textId="77777777" w:rsidR="0002098D" w:rsidRDefault="0002098D" w:rsidP="004137E7">
                                    <w:pPr>
                                      <w:autoSpaceDE/>
                                      <w:autoSpaceDN/>
                                      <w:spacing w:before="120"/>
                                      <w:jc w:val="both"/>
                                      <w:rPr>
                                        <w:sz w:val="22"/>
                                        <w:szCs w:val="22"/>
                                      </w:rPr>
                                    </w:pPr>
                                  </w:p>
                                  <w:p w14:paraId="6E8BA06D" w14:textId="77777777" w:rsidR="0002098D" w:rsidRDefault="0002098D" w:rsidP="004137E7">
                                    <w:pPr>
                                      <w:autoSpaceDE/>
                                      <w:autoSpaceDN/>
                                      <w:spacing w:before="120"/>
                                      <w:jc w:val="both"/>
                                      <w:rPr>
                                        <w:sz w:val="22"/>
                                        <w:szCs w:val="22"/>
                                      </w:rPr>
                                    </w:pPr>
                                  </w:p>
                                  <w:p w14:paraId="044EE2FA" w14:textId="77777777" w:rsidR="004137E7" w:rsidRPr="00D91D69" w:rsidRDefault="004137E7" w:rsidP="004137E7">
                                    <w:pPr>
                                      <w:autoSpaceDE/>
                                      <w:autoSpaceDN/>
                                      <w:spacing w:before="120"/>
                                      <w:jc w:val="both"/>
                                      <w:rPr>
                                        <w:sz w:val="22"/>
                                        <w:szCs w:val="22"/>
                                      </w:rPr>
                                    </w:pPr>
                                  </w:p>
                                </w:tc>
                              </w:tr>
                            </w:tbl>
                            <w:p w14:paraId="2A76B35F" w14:textId="77777777" w:rsidR="004137E7" w:rsidRPr="00D91D69" w:rsidRDefault="004137E7" w:rsidP="004137E7">
                              <w:pPr>
                                <w:autoSpaceDE/>
                                <w:autoSpaceDN/>
                                <w:rPr>
                                  <w:sz w:val="22"/>
                                  <w:szCs w:val="22"/>
                                </w:rPr>
                              </w:pPr>
                            </w:p>
                          </w:tc>
                        </w:tr>
                      </w:tbl>
                      <w:p w14:paraId="7BEB8144" w14:textId="77777777" w:rsidR="004137E7" w:rsidRPr="00D91D69" w:rsidRDefault="004137E7" w:rsidP="004137E7">
                        <w:pPr>
                          <w:autoSpaceDE/>
                          <w:autoSpaceDN/>
                          <w:rPr>
                            <w:sz w:val="22"/>
                            <w:szCs w:val="22"/>
                          </w:rPr>
                        </w:pPr>
                      </w:p>
                    </w:tc>
                  </w:tr>
                </w:tbl>
                <w:p w14:paraId="4BB09CBC" w14:textId="77777777" w:rsidR="004137E7" w:rsidRPr="00D91D69" w:rsidRDefault="004137E7" w:rsidP="004137E7">
                  <w:pPr>
                    <w:autoSpaceDE/>
                    <w:autoSpaceDN/>
                    <w:rPr>
                      <w:color w:val="000000"/>
                      <w:sz w:val="22"/>
                      <w:szCs w:val="22"/>
                    </w:rPr>
                  </w:pPr>
                </w:p>
              </w:tc>
            </w:tr>
          </w:tbl>
          <w:p w14:paraId="47E6F587" w14:textId="77777777" w:rsidR="004137E7" w:rsidRPr="00D91D69" w:rsidRDefault="004137E7" w:rsidP="004137E7">
            <w:pPr>
              <w:autoSpaceDE/>
              <w:autoSpaceDN/>
              <w:rPr>
                <w:vanish/>
                <w:sz w:val="22"/>
                <w:szCs w:val="22"/>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7"/>
              <w:gridCol w:w="4207"/>
            </w:tblGrid>
            <w:tr w:rsidR="004137E7" w:rsidRPr="00D91D69" w14:paraId="7B2D41FA" w14:textId="77777777" w:rsidTr="009A16A9">
              <w:tc>
                <w:tcPr>
                  <w:tcW w:w="327" w:type="dxa"/>
                  <w:shd w:val="clear" w:color="auto" w:fill="FFFFFF"/>
                  <w:hideMark/>
                </w:tcPr>
                <w:p w14:paraId="02662433" w14:textId="77777777" w:rsidR="004137E7" w:rsidRPr="00D91D69" w:rsidRDefault="004137E7" w:rsidP="004137E7">
                  <w:pPr>
                    <w:autoSpaceDE/>
                    <w:autoSpaceDN/>
                    <w:spacing w:before="120"/>
                    <w:jc w:val="both"/>
                    <w:rPr>
                      <w:color w:val="000000"/>
                      <w:sz w:val="22"/>
                      <w:szCs w:val="22"/>
                    </w:rPr>
                  </w:pPr>
                  <w:r w:rsidRPr="00D91D69">
                    <w:rPr>
                      <w:color w:val="000000"/>
                      <w:sz w:val="22"/>
                      <w:szCs w:val="22"/>
                    </w:rPr>
                    <w:t>ii)</w:t>
                  </w:r>
                </w:p>
              </w:tc>
              <w:tc>
                <w:tcPr>
                  <w:tcW w:w="4207" w:type="dxa"/>
                  <w:shd w:val="clear" w:color="auto" w:fill="FFFFFF"/>
                  <w:hideMark/>
                </w:tcPr>
                <w:p w14:paraId="23875813" w14:textId="77777777" w:rsidR="004137E7" w:rsidRPr="00D91D69" w:rsidRDefault="004137E7" w:rsidP="004137E7">
                  <w:pPr>
                    <w:autoSpaceDE/>
                    <w:autoSpaceDN/>
                    <w:spacing w:before="120"/>
                    <w:jc w:val="both"/>
                    <w:rPr>
                      <w:color w:val="000000"/>
                      <w:sz w:val="22"/>
                      <w:szCs w:val="22"/>
                    </w:rPr>
                  </w:pPr>
                  <w:r w:rsidRPr="00D91D69">
                    <w:rPr>
                      <w:color w:val="000000"/>
                      <w:sz w:val="22"/>
                      <w:szCs w:val="22"/>
                    </w:rPr>
                    <w:t xml:space="preserve">dopĺňa sa tento </w:t>
                  </w:r>
                  <w:proofErr w:type="spellStart"/>
                  <w:r w:rsidRPr="00D91D69">
                    <w:rPr>
                      <w:color w:val="000000"/>
                      <w:sz w:val="22"/>
                      <w:szCs w:val="22"/>
                    </w:rPr>
                    <w:t>pododsek</w:t>
                  </w:r>
                  <w:proofErr w:type="spellEnd"/>
                  <w:r w:rsidRPr="00D91D69">
                    <w:rPr>
                      <w:color w:val="000000"/>
                      <w:sz w:val="22"/>
                      <w:szCs w:val="22"/>
                    </w:rPr>
                    <w:t>:</w:t>
                  </w:r>
                </w:p>
                <w:p w14:paraId="1A4A9671"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Fonts w:ascii="Times New Roman" w:hAnsi="Times New Roman" w:cs="Times New Roman"/>
                      <w:color w:val="000000"/>
                      <w:sz w:val="22"/>
                      <w:szCs w:val="22"/>
                    </w:rPr>
                    <w:t xml:space="preserve">„Členské štáty zabezpečia, aby investičná spoločnosť alebo organizátor trhu prevádzkujúci obchodné miesto, na ktorom sa obchoduje s komoditnými derivátmi alebo derivátmi na emisné kvóty, oznamovali správy uvedené v prvom </w:t>
                  </w:r>
                  <w:proofErr w:type="spellStart"/>
                  <w:r w:rsidRPr="00D91D69">
                    <w:rPr>
                      <w:rFonts w:ascii="Times New Roman" w:hAnsi="Times New Roman" w:cs="Times New Roman"/>
                      <w:color w:val="000000"/>
                      <w:sz w:val="22"/>
                      <w:szCs w:val="22"/>
                    </w:rPr>
                    <w:t>pododseku</w:t>
                  </w:r>
                  <w:proofErr w:type="spellEnd"/>
                  <w:r w:rsidRPr="00D91D69">
                    <w:rPr>
                      <w:rFonts w:ascii="Times New Roman" w:hAnsi="Times New Roman" w:cs="Times New Roman"/>
                      <w:color w:val="000000"/>
                      <w:sz w:val="22"/>
                      <w:szCs w:val="22"/>
                    </w:rPr>
                    <w:t xml:space="preserve"> písm. a) príslušnému orgánu a orgánu ESMA. Orgán ESMA následne centrálne uverejní informácie uvedené v týchto správach</w:t>
                  </w:r>
                  <w:r w:rsidRPr="00D91D69">
                    <w:rPr>
                      <w:rStyle w:val="y2iqfc"/>
                      <w:rFonts w:ascii="Times New Roman" w:hAnsi="Times New Roman" w:cs="Times New Roman"/>
                      <w:color w:val="202124"/>
                      <w:sz w:val="22"/>
                      <w:szCs w:val="22"/>
                    </w:rPr>
                    <w:t>.“;</w:t>
                  </w:r>
                </w:p>
                <w:p w14:paraId="3A7A26BF" w14:textId="77777777" w:rsidR="004137E7" w:rsidRPr="00D91D69" w:rsidRDefault="004137E7" w:rsidP="004137E7">
                  <w:pPr>
                    <w:autoSpaceDE/>
                    <w:autoSpaceDN/>
                    <w:spacing w:before="120"/>
                    <w:jc w:val="both"/>
                    <w:rPr>
                      <w:color w:val="000000"/>
                      <w:sz w:val="22"/>
                      <w:szCs w:val="22"/>
                    </w:rPr>
                  </w:pPr>
                </w:p>
              </w:tc>
            </w:tr>
          </w:tbl>
          <w:p w14:paraId="124916CC"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b) odsek 2 sa nahrádza takto:</w:t>
            </w:r>
          </w:p>
          <w:p w14:paraId="18FC5712"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w:t>
            </w:r>
            <w:r w:rsidRPr="00D91D69">
              <w:rPr>
                <w:rFonts w:ascii="Times New Roman" w:hAnsi="Times New Roman" w:cs="Times New Roman"/>
                <w:color w:val="000000"/>
                <w:sz w:val="22"/>
                <w:szCs w:val="22"/>
                <w:shd w:val="clear" w:color="auto" w:fill="FFFFFF"/>
              </w:rPr>
              <w:t>Členské štáty zabezpečia, aby investičné spoločnosti obchodujúce s komoditnými derivátmi alebo derivátmi na emisné kvóty mimo obchodného miesta poskytovali ústrednému príslušnému orgánu uvedenému v článku 57 ods. 6 alebo, ak ústredný príslušný orgán neexistuje, príslušnému orgánu obchodného miesta, na ktorom sa obchoduje s komoditnými derivátmi alebo derivátmi na emisné kvóty, minimálne každý deň kompletný zoznam svojich pozícií držaných v ekonomicky rovnocenných OTC kontraktoch, ako aj pozícií svojich klientov a klientov ich klientov až po konečného klienta v súlade s článkom 26 nariadenia (EÚ) č. 600/2014 a v náležitých prípadoch v súlade s článkom 8 nariadenia (EÚ) č. 1227/2011</w:t>
            </w:r>
            <w:r w:rsidRPr="00D91D69">
              <w:rPr>
                <w:rStyle w:val="y2iqfc"/>
                <w:rFonts w:ascii="Times New Roman" w:hAnsi="Times New Roman" w:cs="Times New Roman"/>
                <w:color w:val="202124"/>
                <w:sz w:val="22"/>
                <w:szCs w:val="22"/>
              </w:rPr>
              <w:t>.“;</w:t>
            </w:r>
          </w:p>
          <w:p w14:paraId="23A5018B"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316E47D3" w14:textId="77777777" w:rsidR="00417C03" w:rsidRDefault="00417C03" w:rsidP="004137E7">
            <w:pPr>
              <w:pStyle w:val="PredformtovanHTML"/>
              <w:shd w:val="clear" w:color="auto" w:fill="F8F9FA"/>
              <w:rPr>
                <w:rStyle w:val="y2iqfc"/>
                <w:rFonts w:ascii="Times New Roman" w:hAnsi="Times New Roman" w:cs="Times New Roman"/>
                <w:color w:val="202124"/>
                <w:sz w:val="22"/>
                <w:szCs w:val="22"/>
              </w:rPr>
            </w:pPr>
          </w:p>
          <w:p w14:paraId="329D0654" w14:textId="77777777" w:rsidR="00417C03" w:rsidRDefault="00417C03" w:rsidP="004137E7">
            <w:pPr>
              <w:pStyle w:val="PredformtovanHTML"/>
              <w:shd w:val="clear" w:color="auto" w:fill="F8F9FA"/>
              <w:rPr>
                <w:rStyle w:val="y2iqfc"/>
                <w:rFonts w:ascii="Times New Roman" w:hAnsi="Times New Roman" w:cs="Times New Roman"/>
                <w:color w:val="202124"/>
                <w:sz w:val="22"/>
                <w:szCs w:val="22"/>
              </w:rPr>
            </w:pPr>
          </w:p>
          <w:p w14:paraId="3C95CF6D" w14:textId="77777777" w:rsidR="00417C03" w:rsidRDefault="00417C03" w:rsidP="004137E7">
            <w:pPr>
              <w:pStyle w:val="PredformtovanHTML"/>
              <w:shd w:val="clear" w:color="auto" w:fill="F8F9FA"/>
              <w:rPr>
                <w:rStyle w:val="y2iqfc"/>
                <w:rFonts w:ascii="Times New Roman" w:hAnsi="Times New Roman" w:cs="Times New Roman"/>
                <w:color w:val="202124"/>
                <w:sz w:val="22"/>
                <w:szCs w:val="22"/>
              </w:rPr>
            </w:pPr>
          </w:p>
          <w:p w14:paraId="5CCA1096" w14:textId="77777777" w:rsidR="00417C03" w:rsidRDefault="00417C03" w:rsidP="004137E7">
            <w:pPr>
              <w:pStyle w:val="PredformtovanHTML"/>
              <w:shd w:val="clear" w:color="auto" w:fill="F8F9FA"/>
              <w:rPr>
                <w:rStyle w:val="y2iqfc"/>
                <w:rFonts w:ascii="Times New Roman" w:hAnsi="Times New Roman" w:cs="Times New Roman"/>
                <w:color w:val="202124"/>
                <w:sz w:val="22"/>
                <w:szCs w:val="22"/>
              </w:rPr>
            </w:pPr>
          </w:p>
          <w:p w14:paraId="2EAF791D" w14:textId="77777777" w:rsidR="00417C03" w:rsidRDefault="00417C03" w:rsidP="004137E7">
            <w:pPr>
              <w:pStyle w:val="PredformtovanHTML"/>
              <w:shd w:val="clear" w:color="auto" w:fill="F8F9FA"/>
              <w:rPr>
                <w:rStyle w:val="y2iqfc"/>
                <w:rFonts w:ascii="Times New Roman" w:hAnsi="Times New Roman" w:cs="Times New Roman"/>
                <w:color w:val="202124"/>
                <w:sz w:val="22"/>
                <w:szCs w:val="22"/>
              </w:rPr>
            </w:pPr>
          </w:p>
          <w:p w14:paraId="73F9380F" w14:textId="77777777" w:rsidR="00417C03" w:rsidRPr="00D91D69" w:rsidRDefault="00417C03" w:rsidP="004137E7">
            <w:pPr>
              <w:pStyle w:val="PredformtovanHTML"/>
              <w:shd w:val="clear" w:color="auto" w:fill="F8F9FA"/>
              <w:rPr>
                <w:rStyle w:val="y2iqfc"/>
                <w:rFonts w:ascii="Times New Roman" w:hAnsi="Times New Roman" w:cs="Times New Roman"/>
                <w:color w:val="202124"/>
                <w:sz w:val="22"/>
                <w:szCs w:val="22"/>
              </w:rPr>
            </w:pPr>
          </w:p>
          <w:p w14:paraId="0E93921A" w14:textId="77777777" w:rsidR="004137E7" w:rsidRPr="0049520B" w:rsidRDefault="004137E7" w:rsidP="004137E7">
            <w:pPr>
              <w:pStyle w:val="PredformtovanHTML"/>
              <w:shd w:val="clear" w:color="auto" w:fill="F8F9FA"/>
              <w:rPr>
                <w:rStyle w:val="y2iqfc"/>
                <w:rFonts w:ascii="Times New Roman" w:hAnsi="Times New Roman" w:cs="Times New Roman"/>
                <w:color w:val="202124"/>
                <w:sz w:val="22"/>
                <w:szCs w:val="22"/>
              </w:rPr>
            </w:pPr>
            <w:r w:rsidRPr="00D91D69">
              <w:rPr>
                <w:rStyle w:val="y2iqfc"/>
                <w:rFonts w:ascii="Times New Roman" w:hAnsi="Times New Roman" w:cs="Times New Roman"/>
                <w:color w:val="202124"/>
                <w:sz w:val="22"/>
                <w:szCs w:val="22"/>
              </w:rPr>
              <w:t xml:space="preserve">c) v odseku </w:t>
            </w:r>
            <w:r w:rsidRPr="0049520B">
              <w:rPr>
                <w:rStyle w:val="y2iqfc"/>
                <w:rFonts w:ascii="Times New Roman" w:hAnsi="Times New Roman" w:cs="Times New Roman"/>
                <w:color w:val="202124"/>
                <w:sz w:val="22"/>
                <w:szCs w:val="22"/>
              </w:rPr>
              <w:t xml:space="preserve">4 sa prvý </w:t>
            </w:r>
            <w:proofErr w:type="spellStart"/>
            <w:r w:rsidRPr="0049520B">
              <w:rPr>
                <w:rStyle w:val="y2iqfc"/>
                <w:rFonts w:ascii="Times New Roman" w:hAnsi="Times New Roman" w:cs="Times New Roman"/>
                <w:color w:val="202124"/>
                <w:sz w:val="22"/>
                <w:szCs w:val="22"/>
              </w:rPr>
              <w:t>pododsek</w:t>
            </w:r>
            <w:proofErr w:type="spellEnd"/>
            <w:r w:rsidRPr="0049520B">
              <w:rPr>
                <w:rStyle w:val="y2iqfc"/>
                <w:rFonts w:ascii="Times New Roman" w:hAnsi="Times New Roman" w:cs="Times New Roman"/>
                <w:color w:val="202124"/>
                <w:sz w:val="22"/>
                <w:szCs w:val="22"/>
              </w:rPr>
              <w:t xml:space="preserve"> mení takto:</w:t>
            </w:r>
          </w:p>
          <w:p w14:paraId="4E58A29F" w14:textId="77777777" w:rsidR="004137E7" w:rsidRPr="0049520B" w:rsidRDefault="004137E7" w:rsidP="004137E7">
            <w:pPr>
              <w:pStyle w:val="PredformtovanHTML"/>
              <w:shd w:val="clear" w:color="auto" w:fill="F8F9FA"/>
              <w:rPr>
                <w:rStyle w:val="y2iqfc"/>
                <w:rFonts w:ascii="Times New Roman" w:hAnsi="Times New Roman" w:cs="Times New Roman"/>
                <w:color w:val="202124"/>
                <w:sz w:val="22"/>
                <w:szCs w:val="22"/>
              </w:rPr>
            </w:pPr>
            <w:r w:rsidRPr="0049520B">
              <w:rPr>
                <w:rStyle w:val="y2iqfc"/>
                <w:rFonts w:ascii="Times New Roman" w:hAnsi="Times New Roman" w:cs="Times New Roman"/>
                <w:color w:val="202124"/>
                <w:sz w:val="22"/>
                <w:szCs w:val="22"/>
              </w:rPr>
              <w:t>i) úvodná časť sa nahrádza takto:</w:t>
            </w:r>
          </w:p>
          <w:p w14:paraId="396389ED" w14:textId="77777777" w:rsidR="004137E7" w:rsidRPr="0049520B" w:rsidRDefault="004137E7" w:rsidP="004137E7">
            <w:pPr>
              <w:pStyle w:val="PredformtovanHTML"/>
              <w:shd w:val="clear" w:color="auto" w:fill="F8F9FA"/>
              <w:rPr>
                <w:rStyle w:val="y2iqfc"/>
                <w:rFonts w:ascii="Times New Roman" w:hAnsi="Times New Roman" w:cs="Times New Roman"/>
                <w:color w:val="202124"/>
                <w:sz w:val="22"/>
                <w:szCs w:val="22"/>
              </w:rPr>
            </w:pPr>
            <w:r w:rsidRPr="0049520B">
              <w:rPr>
                <w:rStyle w:val="y2iqfc"/>
                <w:rFonts w:ascii="Times New Roman" w:hAnsi="Times New Roman" w:cs="Times New Roman"/>
                <w:color w:val="202124"/>
                <w:sz w:val="22"/>
                <w:szCs w:val="22"/>
              </w:rPr>
              <w:t xml:space="preserve">„Osoby, ktoré držia pozície v komoditnom deriváte alebo </w:t>
            </w:r>
            <w:r w:rsidR="00C31BE1">
              <w:rPr>
                <w:rStyle w:val="y2iqfc"/>
                <w:rFonts w:ascii="Times New Roman" w:hAnsi="Times New Roman" w:cs="Times New Roman"/>
                <w:color w:val="202124"/>
                <w:sz w:val="22"/>
                <w:szCs w:val="22"/>
              </w:rPr>
              <w:t>v </w:t>
            </w:r>
            <w:r w:rsidRPr="0049520B">
              <w:rPr>
                <w:rStyle w:val="y2iqfc"/>
                <w:rFonts w:ascii="Times New Roman" w:hAnsi="Times New Roman" w:cs="Times New Roman"/>
                <w:color w:val="202124"/>
                <w:sz w:val="22"/>
                <w:szCs w:val="22"/>
              </w:rPr>
              <w:t>deriváte</w:t>
            </w:r>
            <w:r w:rsidR="00C31BE1">
              <w:rPr>
                <w:rStyle w:val="y2iqfc"/>
                <w:rFonts w:ascii="Times New Roman" w:hAnsi="Times New Roman" w:cs="Times New Roman"/>
                <w:color w:val="202124"/>
                <w:sz w:val="22"/>
                <w:szCs w:val="22"/>
              </w:rPr>
              <w:t xml:space="preserve"> </w:t>
            </w:r>
            <w:r w:rsidR="00C31BE1" w:rsidRPr="00A05183">
              <w:rPr>
                <w:rStyle w:val="y2iqfc"/>
                <w:rFonts w:ascii="Times New Roman" w:hAnsi="Times New Roman" w:cs="Times New Roman"/>
                <w:color w:val="202124"/>
                <w:sz w:val="22"/>
                <w:szCs w:val="22"/>
              </w:rPr>
              <w:t>na  emisné</w:t>
            </w:r>
            <w:r w:rsidRPr="00A05183">
              <w:rPr>
                <w:rStyle w:val="y2iqfc"/>
                <w:rFonts w:ascii="Times New Roman" w:hAnsi="Times New Roman" w:cs="Times New Roman"/>
                <w:color w:val="202124"/>
                <w:sz w:val="22"/>
                <w:szCs w:val="22"/>
              </w:rPr>
              <w:t xml:space="preserve"> kvót</w:t>
            </w:r>
            <w:r w:rsidR="00C31BE1" w:rsidRPr="00A05183">
              <w:rPr>
                <w:rStyle w:val="y2iqfc"/>
                <w:rFonts w:ascii="Times New Roman" w:hAnsi="Times New Roman" w:cs="Times New Roman"/>
                <w:color w:val="202124"/>
                <w:sz w:val="22"/>
                <w:szCs w:val="22"/>
              </w:rPr>
              <w:t>y</w:t>
            </w:r>
            <w:r w:rsidRPr="0049520B">
              <w:rPr>
                <w:rStyle w:val="y2iqfc"/>
                <w:rFonts w:ascii="Times New Roman" w:hAnsi="Times New Roman" w:cs="Times New Roman"/>
                <w:color w:val="202124"/>
                <w:sz w:val="22"/>
                <w:szCs w:val="22"/>
              </w:rPr>
              <w:t xml:space="preserve">, klasifikuje </w:t>
            </w:r>
            <w:r w:rsidRPr="0049520B">
              <w:rPr>
                <w:rStyle w:val="y2iqfc"/>
                <w:rFonts w:ascii="Times New Roman" w:hAnsi="Times New Roman" w:cs="Times New Roman"/>
                <w:color w:val="202124"/>
                <w:sz w:val="22"/>
                <w:szCs w:val="22"/>
              </w:rPr>
              <w:lastRenderedPageBreak/>
              <w:t>investičná spoločnosť alebo organizátor trhu prevádzkujúci toto obchodné miesto podľa povahy ich hlavnej činnosti</w:t>
            </w:r>
            <w:r w:rsidRPr="00A05183">
              <w:rPr>
                <w:rStyle w:val="y2iqfc"/>
                <w:rFonts w:ascii="Times New Roman" w:hAnsi="Times New Roman" w:cs="Times New Roman"/>
                <w:color w:val="202124"/>
                <w:sz w:val="22"/>
                <w:szCs w:val="22"/>
              </w:rPr>
              <w:t xml:space="preserve">, pričom </w:t>
            </w:r>
            <w:r w:rsidR="00C31BE1" w:rsidRPr="00A05183">
              <w:rPr>
                <w:rStyle w:val="y2iqfc"/>
                <w:rFonts w:ascii="Times New Roman" w:hAnsi="Times New Roman" w:cs="Times New Roman"/>
                <w:color w:val="202124"/>
                <w:sz w:val="22"/>
                <w:szCs w:val="22"/>
              </w:rPr>
              <w:t xml:space="preserve">sa </w:t>
            </w:r>
            <w:r w:rsidRPr="00A05183">
              <w:rPr>
                <w:rStyle w:val="y2iqfc"/>
                <w:rFonts w:ascii="Times New Roman" w:hAnsi="Times New Roman" w:cs="Times New Roman"/>
                <w:color w:val="202124"/>
                <w:sz w:val="22"/>
                <w:szCs w:val="22"/>
              </w:rPr>
              <w:t xml:space="preserve">zohľadní </w:t>
            </w:r>
            <w:r w:rsidR="00C31BE1" w:rsidRPr="00A05183">
              <w:rPr>
                <w:rStyle w:val="y2iqfc"/>
                <w:rFonts w:ascii="Times New Roman" w:hAnsi="Times New Roman" w:cs="Times New Roman"/>
                <w:color w:val="202124"/>
                <w:sz w:val="22"/>
                <w:szCs w:val="22"/>
              </w:rPr>
              <w:t>akékoľvek príslušné povolenie</w:t>
            </w:r>
            <w:r w:rsidRPr="0049520B">
              <w:rPr>
                <w:rStyle w:val="y2iqfc"/>
                <w:rFonts w:ascii="Times New Roman" w:hAnsi="Times New Roman" w:cs="Times New Roman"/>
                <w:color w:val="202124"/>
                <w:sz w:val="22"/>
                <w:szCs w:val="22"/>
              </w:rPr>
              <w:t>, ako:“;</w:t>
            </w:r>
          </w:p>
          <w:p w14:paraId="3AAF0C9C"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68838965"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193AE7E5"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2062FCB2" w14:textId="77777777" w:rsidR="001B5F0E" w:rsidRDefault="001B5F0E" w:rsidP="004137E7">
            <w:pPr>
              <w:pStyle w:val="PredformtovanHTML"/>
              <w:shd w:val="clear" w:color="auto" w:fill="F8F9FA"/>
              <w:rPr>
                <w:rStyle w:val="y2iqfc"/>
                <w:rFonts w:ascii="Times New Roman" w:hAnsi="Times New Roman" w:cs="Times New Roman"/>
                <w:color w:val="202124"/>
                <w:sz w:val="22"/>
                <w:szCs w:val="22"/>
              </w:rPr>
            </w:pPr>
          </w:p>
          <w:p w14:paraId="57C2A2F9" w14:textId="77777777" w:rsidR="001B5F0E" w:rsidRDefault="001B5F0E" w:rsidP="004137E7">
            <w:pPr>
              <w:pStyle w:val="PredformtovanHTML"/>
              <w:shd w:val="clear" w:color="auto" w:fill="F8F9FA"/>
              <w:rPr>
                <w:rStyle w:val="y2iqfc"/>
                <w:rFonts w:ascii="Times New Roman" w:hAnsi="Times New Roman" w:cs="Times New Roman"/>
                <w:color w:val="202124"/>
                <w:sz w:val="22"/>
                <w:szCs w:val="22"/>
              </w:rPr>
            </w:pPr>
          </w:p>
          <w:p w14:paraId="654C310A" w14:textId="77777777" w:rsidR="001B5F0E" w:rsidRDefault="001B5F0E" w:rsidP="004137E7">
            <w:pPr>
              <w:pStyle w:val="PredformtovanHTML"/>
              <w:shd w:val="clear" w:color="auto" w:fill="F8F9FA"/>
              <w:rPr>
                <w:rStyle w:val="y2iqfc"/>
                <w:rFonts w:ascii="Times New Roman" w:hAnsi="Times New Roman" w:cs="Times New Roman"/>
                <w:color w:val="202124"/>
                <w:sz w:val="22"/>
                <w:szCs w:val="22"/>
              </w:rPr>
            </w:pPr>
          </w:p>
          <w:p w14:paraId="6B08E4EB" w14:textId="77777777" w:rsidR="001B5F0E" w:rsidRDefault="001B5F0E" w:rsidP="004137E7">
            <w:pPr>
              <w:pStyle w:val="PredformtovanHTML"/>
              <w:shd w:val="clear" w:color="auto" w:fill="F8F9FA"/>
              <w:rPr>
                <w:rStyle w:val="y2iqfc"/>
                <w:rFonts w:ascii="Times New Roman" w:hAnsi="Times New Roman" w:cs="Times New Roman"/>
                <w:color w:val="202124"/>
                <w:sz w:val="22"/>
                <w:szCs w:val="22"/>
              </w:rPr>
            </w:pPr>
          </w:p>
          <w:p w14:paraId="03DF0DDE"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1F23B0AD" w14:textId="77777777" w:rsidR="004137E7" w:rsidRPr="0049520B" w:rsidRDefault="004137E7" w:rsidP="004137E7">
            <w:pPr>
              <w:pStyle w:val="PredformtovanHTML"/>
              <w:shd w:val="clear" w:color="auto" w:fill="F8F9FA"/>
              <w:rPr>
                <w:rStyle w:val="y2iqfc"/>
                <w:rFonts w:ascii="Times New Roman" w:hAnsi="Times New Roman" w:cs="Times New Roman"/>
                <w:color w:val="202124"/>
                <w:sz w:val="22"/>
                <w:szCs w:val="22"/>
              </w:rPr>
            </w:pPr>
            <w:r w:rsidRPr="0049520B">
              <w:rPr>
                <w:rStyle w:val="y2iqfc"/>
                <w:rFonts w:ascii="Times New Roman" w:hAnsi="Times New Roman" w:cs="Times New Roman"/>
                <w:color w:val="202124"/>
                <w:sz w:val="22"/>
                <w:szCs w:val="22"/>
              </w:rPr>
              <w:t>ii) písmeno e) sa nahrádza takto:</w:t>
            </w:r>
          </w:p>
          <w:p w14:paraId="373DAB13"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r w:rsidRPr="0049520B">
              <w:rPr>
                <w:rStyle w:val="y2iqfc"/>
                <w:rFonts w:ascii="Times New Roman" w:hAnsi="Times New Roman" w:cs="Times New Roman"/>
                <w:color w:val="202124"/>
                <w:sz w:val="22"/>
                <w:szCs w:val="22"/>
              </w:rPr>
              <w:t xml:space="preserve">„e) v prípade derivátov </w:t>
            </w:r>
            <w:r w:rsidR="00C31BE1" w:rsidRPr="00A05183">
              <w:rPr>
                <w:rStyle w:val="y2iqfc"/>
                <w:rFonts w:ascii="Times New Roman" w:hAnsi="Times New Roman" w:cs="Times New Roman"/>
                <w:color w:val="202124"/>
                <w:sz w:val="22"/>
                <w:szCs w:val="22"/>
              </w:rPr>
              <w:t>na emisné kvóty</w:t>
            </w:r>
            <w:r w:rsidR="00C31BE1">
              <w:rPr>
                <w:rStyle w:val="y2iqfc"/>
                <w:rFonts w:ascii="Times New Roman" w:hAnsi="Times New Roman" w:cs="Times New Roman"/>
                <w:color w:val="202124"/>
                <w:sz w:val="22"/>
                <w:szCs w:val="22"/>
              </w:rPr>
              <w:t xml:space="preserve"> </w:t>
            </w:r>
            <w:r w:rsidRPr="0049520B">
              <w:rPr>
                <w:rStyle w:val="y2iqfc"/>
                <w:rFonts w:ascii="Times New Roman" w:hAnsi="Times New Roman" w:cs="Times New Roman"/>
                <w:color w:val="202124"/>
                <w:sz w:val="22"/>
                <w:szCs w:val="22"/>
              </w:rPr>
              <w:t>prevádzkovatelia, ktorí sú povinní dodržiavať ustanovenia smernice 2003/87/ES.“;</w:t>
            </w:r>
          </w:p>
          <w:p w14:paraId="53D8C3A7" w14:textId="77777777" w:rsidR="004137E7" w:rsidRPr="00D91D69" w:rsidRDefault="004137E7" w:rsidP="004137E7">
            <w:pPr>
              <w:pStyle w:val="PredformtovanHTML"/>
              <w:shd w:val="clear" w:color="auto" w:fill="F8F9FA"/>
              <w:rPr>
                <w:rStyle w:val="y2iqfc"/>
                <w:rFonts w:ascii="Times New Roman" w:hAnsi="Times New Roman" w:cs="Times New Roman"/>
                <w:color w:val="202124"/>
                <w:sz w:val="22"/>
                <w:szCs w:val="22"/>
              </w:rPr>
            </w:pPr>
          </w:p>
          <w:p w14:paraId="3DD6D002" w14:textId="77777777"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74F6BD9B" w14:textId="0CBA9405" w:rsidR="004137E7" w:rsidRDefault="004137E7" w:rsidP="004137E7">
            <w:pPr>
              <w:pStyle w:val="PredformtovanHTML"/>
              <w:shd w:val="clear" w:color="auto" w:fill="F8F9FA"/>
              <w:rPr>
                <w:rStyle w:val="y2iqfc"/>
                <w:rFonts w:ascii="Times New Roman" w:hAnsi="Times New Roman" w:cs="Times New Roman"/>
                <w:color w:val="202124"/>
                <w:sz w:val="22"/>
                <w:szCs w:val="22"/>
              </w:rPr>
            </w:pPr>
          </w:p>
          <w:p w14:paraId="4117A0B6" w14:textId="1537E962" w:rsidR="001D6E9B" w:rsidRDefault="001D6E9B" w:rsidP="004137E7">
            <w:pPr>
              <w:pStyle w:val="PredformtovanHTML"/>
              <w:shd w:val="clear" w:color="auto" w:fill="F8F9FA"/>
              <w:rPr>
                <w:rStyle w:val="y2iqfc"/>
                <w:rFonts w:ascii="Times New Roman" w:hAnsi="Times New Roman" w:cs="Times New Roman"/>
                <w:color w:val="202124"/>
                <w:sz w:val="22"/>
                <w:szCs w:val="22"/>
              </w:rPr>
            </w:pPr>
          </w:p>
          <w:p w14:paraId="660E550F" w14:textId="77777777" w:rsidR="001D6E9B" w:rsidRPr="00D91D69" w:rsidRDefault="001D6E9B" w:rsidP="004137E7">
            <w:pPr>
              <w:pStyle w:val="PredformtovanHTML"/>
              <w:shd w:val="clear" w:color="auto" w:fill="F8F9FA"/>
              <w:rPr>
                <w:rStyle w:val="y2iqfc"/>
                <w:rFonts w:ascii="Times New Roman" w:hAnsi="Times New Roman" w:cs="Times New Roman"/>
                <w:color w:val="202124"/>
                <w:sz w:val="22"/>
                <w:szCs w:val="22"/>
              </w:rPr>
            </w:pPr>
          </w:p>
          <w:p w14:paraId="38D4DE31" w14:textId="77777777" w:rsidR="004137E7" w:rsidRPr="0049520B" w:rsidRDefault="004137E7" w:rsidP="004137E7">
            <w:pPr>
              <w:pStyle w:val="PredformtovanHTML"/>
              <w:shd w:val="clear" w:color="auto" w:fill="F8F9FA"/>
              <w:rPr>
                <w:rStyle w:val="y2iqfc"/>
                <w:rFonts w:ascii="Times New Roman" w:hAnsi="Times New Roman" w:cs="Times New Roman"/>
                <w:color w:val="202124"/>
                <w:sz w:val="22"/>
                <w:szCs w:val="22"/>
              </w:rPr>
            </w:pPr>
            <w:r w:rsidRPr="0049520B">
              <w:rPr>
                <w:rStyle w:val="y2iqfc"/>
                <w:rFonts w:ascii="Times New Roman" w:hAnsi="Times New Roman" w:cs="Times New Roman"/>
                <w:color w:val="202124"/>
                <w:sz w:val="22"/>
                <w:szCs w:val="22"/>
              </w:rPr>
              <w:t xml:space="preserve">d) v odseku 5 sa štvrtý </w:t>
            </w:r>
            <w:proofErr w:type="spellStart"/>
            <w:r w:rsidRPr="0049520B">
              <w:rPr>
                <w:rStyle w:val="y2iqfc"/>
                <w:rFonts w:ascii="Times New Roman" w:hAnsi="Times New Roman" w:cs="Times New Roman"/>
                <w:color w:val="202124"/>
                <w:sz w:val="22"/>
                <w:szCs w:val="22"/>
              </w:rPr>
              <w:t>pododsek</w:t>
            </w:r>
            <w:proofErr w:type="spellEnd"/>
            <w:r w:rsidRPr="0049520B">
              <w:rPr>
                <w:rStyle w:val="y2iqfc"/>
                <w:rFonts w:ascii="Times New Roman" w:hAnsi="Times New Roman" w:cs="Times New Roman"/>
                <w:color w:val="202124"/>
                <w:sz w:val="22"/>
                <w:szCs w:val="22"/>
              </w:rPr>
              <w:t xml:space="preserve"> nahrádza takto:</w:t>
            </w:r>
          </w:p>
          <w:p w14:paraId="595CD371" w14:textId="77777777" w:rsidR="004137E7" w:rsidRPr="00D91D69" w:rsidRDefault="004137E7" w:rsidP="004137E7">
            <w:pPr>
              <w:pStyle w:val="PredformtovanHTML"/>
              <w:shd w:val="clear" w:color="auto" w:fill="F8F9FA"/>
              <w:rPr>
                <w:rFonts w:ascii="Times New Roman" w:hAnsi="Times New Roman" w:cs="Times New Roman"/>
                <w:color w:val="202124"/>
                <w:sz w:val="22"/>
                <w:szCs w:val="22"/>
              </w:rPr>
            </w:pPr>
            <w:r w:rsidRPr="0049520B">
              <w:rPr>
                <w:rStyle w:val="y2iqfc"/>
                <w:rFonts w:ascii="Times New Roman" w:hAnsi="Times New Roman" w:cs="Times New Roman"/>
                <w:color w:val="202124"/>
                <w:sz w:val="22"/>
                <w:szCs w:val="22"/>
              </w:rPr>
              <w:t>„</w:t>
            </w:r>
            <w:r w:rsidRPr="0049520B">
              <w:rPr>
                <w:rFonts w:ascii="Times New Roman" w:hAnsi="Times New Roman" w:cs="Times New Roman"/>
                <w:color w:val="000000"/>
                <w:sz w:val="22"/>
                <w:szCs w:val="22"/>
                <w:shd w:val="clear" w:color="auto" w:fill="FFFFFF"/>
              </w:rPr>
              <w:t>V prípade derivátov na emisné kvóty podávanie správ nemá vplyv na povinnosť dodržiavať ustanovenia smernice 2003/87/ES</w:t>
            </w:r>
            <w:r w:rsidRPr="0049520B">
              <w:rPr>
                <w:rStyle w:val="y2iqfc"/>
                <w:rFonts w:ascii="Times New Roman" w:hAnsi="Times New Roman" w:cs="Times New Roman"/>
                <w:color w:val="202124"/>
                <w:sz w:val="22"/>
                <w:szCs w:val="22"/>
              </w:rPr>
              <w:t>.“;</w:t>
            </w:r>
          </w:p>
          <w:p w14:paraId="02E2C6C4" w14:textId="359EADE8" w:rsidR="004137E7" w:rsidRPr="00D91D69" w:rsidRDefault="004137E7" w:rsidP="004137E7">
            <w:pPr>
              <w:pStyle w:val="Normlny0"/>
              <w:jc w:val="both"/>
              <w:rPr>
                <w:bCs/>
                <w:sz w:val="22"/>
                <w:szCs w:val="22"/>
              </w:rPr>
            </w:pPr>
          </w:p>
        </w:tc>
        <w:tc>
          <w:tcPr>
            <w:tcW w:w="850" w:type="dxa"/>
            <w:tcBorders>
              <w:top w:val="single" w:sz="4" w:space="0" w:color="auto"/>
              <w:left w:val="single" w:sz="4" w:space="0" w:color="auto"/>
              <w:right w:val="single" w:sz="12" w:space="0" w:color="auto"/>
            </w:tcBorders>
          </w:tcPr>
          <w:p w14:paraId="50F00673" w14:textId="77777777" w:rsidR="004137E7" w:rsidRDefault="004137E7" w:rsidP="004137E7">
            <w:pPr>
              <w:adjustRightInd w:val="0"/>
              <w:jc w:val="center"/>
              <w:rPr>
                <w:color w:val="000000"/>
                <w:sz w:val="22"/>
                <w:szCs w:val="22"/>
              </w:rPr>
            </w:pPr>
            <w:r w:rsidRPr="00531286">
              <w:rPr>
                <w:color w:val="000000"/>
                <w:sz w:val="22"/>
                <w:szCs w:val="22"/>
              </w:rPr>
              <w:lastRenderedPageBreak/>
              <w:t>N</w:t>
            </w:r>
          </w:p>
          <w:p w14:paraId="23343AEE" w14:textId="77777777" w:rsidR="004137E7" w:rsidRDefault="004137E7" w:rsidP="004137E7">
            <w:pPr>
              <w:adjustRightInd w:val="0"/>
              <w:jc w:val="center"/>
              <w:rPr>
                <w:color w:val="000000"/>
                <w:sz w:val="22"/>
                <w:szCs w:val="22"/>
              </w:rPr>
            </w:pPr>
          </w:p>
          <w:p w14:paraId="25C57C14" w14:textId="77777777" w:rsidR="004137E7" w:rsidRDefault="004137E7" w:rsidP="004137E7">
            <w:pPr>
              <w:adjustRightInd w:val="0"/>
              <w:jc w:val="center"/>
              <w:rPr>
                <w:color w:val="000000"/>
                <w:sz w:val="22"/>
                <w:szCs w:val="22"/>
              </w:rPr>
            </w:pPr>
          </w:p>
          <w:p w14:paraId="2435C6E9" w14:textId="77777777" w:rsidR="004137E7" w:rsidRDefault="004137E7" w:rsidP="004137E7">
            <w:pPr>
              <w:adjustRightInd w:val="0"/>
              <w:jc w:val="center"/>
              <w:rPr>
                <w:color w:val="000000"/>
                <w:sz w:val="22"/>
                <w:szCs w:val="22"/>
              </w:rPr>
            </w:pPr>
          </w:p>
          <w:p w14:paraId="4CC883C5" w14:textId="77777777" w:rsidR="0002098D" w:rsidRDefault="0002098D" w:rsidP="004137E7">
            <w:pPr>
              <w:adjustRightInd w:val="0"/>
              <w:jc w:val="center"/>
              <w:rPr>
                <w:color w:val="000000"/>
                <w:sz w:val="22"/>
                <w:szCs w:val="22"/>
              </w:rPr>
            </w:pPr>
          </w:p>
          <w:p w14:paraId="192E4AB8" w14:textId="77777777" w:rsidR="0002098D" w:rsidRDefault="0002098D" w:rsidP="004137E7">
            <w:pPr>
              <w:adjustRightInd w:val="0"/>
              <w:jc w:val="center"/>
              <w:rPr>
                <w:color w:val="000000"/>
                <w:sz w:val="22"/>
                <w:szCs w:val="22"/>
              </w:rPr>
            </w:pPr>
          </w:p>
          <w:p w14:paraId="2E2E65D0" w14:textId="77777777" w:rsidR="004137E7" w:rsidRDefault="004137E7" w:rsidP="004137E7">
            <w:pPr>
              <w:adjustRightInd w:val="0"/>
              <w:jc w:val="center"/>
              <w:rPr>
                <w:color w:val="000000"/>
                <w:sz w:val="22"/>
                <w:szCs w:val="22"/>
              </w:rPr>
            </w:pPr>
          </w:p>
          <w:p w14:paraId="4504B940" w14:textId="77777777" w:rsidR="004137E7" w:rsidRDefault="004137E7" w:rsidP="004137E7">
            <w:pPr>
              <w:adjustRightInd w:val="0"/>
              <w:jc w:val="center"/>
              <w:rPr>
                <w:color w:val="000000"/>
                <w:sz w:val="22"/>
                <w:szCs w:val="22"/>
              </w:rPr>
            </w:pPr>
            <w:r>
              <w:rPr>
                <w:color w:val="000000"/>
                <w:sz w:val="22"/>
                <w:szCs w:val="22"/>
              </w:rPr>
              <w:t>N</w:t>
            </w:r>
          </w:p>
          <w:p w14:paraId="61439A2C" w14:textId="77777777" w:rsidR="004137E7" w:rsidRDefault="004137E7" w:rsidP="004137E7">
            <w:pPr>
              <w:adjustRightInd w:val="0"/>
              <w:jc w:val="center"/>
              <w:rPr>
                <w:color w:val="000000"/>
                <w:sz w:val="22"/>
                <w:szCs w:val="22"/>
              </w:rPr>
            </w:pPr>
          </w:p>
          <w:p w14:paraId="797E8696" w14:textId="77777777" w:rsidR="004137E7" w:rsidRDefault="004137E7" w:rsidP="004137E7">
            <w:pPr>
              <w:adjustRightInd w:val="0"/>
              <w:jc w:val="center"/>
              <w:rPr>
                <w:color w:val="000000"/>
                <w:sz w:val="22"/>
                <w:szCs w:val="22"/>
              </w:rPr>
            </w:pPr>
          </w:p>
          <w:p w14:paraId="05FE2B52" w14:textId="77777777" w:rsidR="004137E7" w:rsidRDefault="004137E7" w:rsidP="004137E7">
            <w:pPr>
              <w:adjustRightInd w:val="0"/>
              <w:jc w:val="center"/>
              <w:rPr>
                <w:color w:val="000000"/>
                <w:sz w:val="22"/>
                <w:szCs w:val="22"/>
              </w:rPr>
            </w:pPr>
          </w:p>
          <w:p w14:paraId="02D0A1F7" w14:textId="77777777" w:rsidR="004137E7" w:rsidRDefault="004137E7" w:rsidP="004137E7">
            <w:pPr>
              <w:adjustRightInd w:val="0"/>
              <w:jc w:val="center"/>
              <w:rPr>
                <w:color w:val="000000"/>
                <w:sz w:val="22"/>
                <w:szCs w:val="22"/>
              </w:rPr>
            </w:pPr>
          </w:p>
          <w:p w14:paraId="18E2248D" w14:textId="77777777" w:rsidR="004137E7" w:rsidRDefault="004137E7" w:rsidP="004137E7">
            <w:pPr>
              <w:adjustRightInd w:val="0"/>
              <w:jc w:val="center"/>
              <w:rPr>
                <w:color w:val="000000"/>
                <w:sz w:val="22"/>
                <w:szCs w:val="22"/>
              </w:rPr>
            </w:pPr>
          </w:p>
          <w:p w14:paraId="36A0E1F5" w14:textId="77777777" w:rsidR="004137E7" w:rsidRDefault="004137E7" w:rsidP="004137E7">
            <w:pPr>
              <w:adjustRightInd w:val="0"/>
              <w:jc w:val="center"/>
              <w:rPr>
                <w:color w:val="000000"/>
                <w:sz w:val="22"/>
                <w:szCs w:val="22"/>
              </w:rPr>
            </w:pPr>
          </w:p>
          <w:p w14:paraId="55094F57" w14:textId="77777777" w:rsidR="004137E7" w:rsidRDefault="004137E7" w:rsidP="004137E7">
            <w:pPr>
              <w:adjustRightInd w:val="0"/>
              <w:jc w:val="center"/>
              <w:rPr>
                <w:color w:val="000000"/>
                <w:sz w:val="22"/>
                <w:szCs w:val="22"/>
              </w:rPr>
            </w:pPr>
          </w:p>
          <w:p w14:paraId="6135A68D" w14:textId="77777777" w:rsidR="004137E7" w:rsidRDefault="004137E7" w:rsidP="004137E7">
            <w:pPr>
              <w:adjustRightInd w:val="0"/>
              <w:jc w:val="center"/>
              <w:rPr>
                <w:color w:val="000000"/>
                <w:sz w:val="22"/>
                <w:szCs w:val="22"/>
              </w:rPr>
            </w:pPr>
          </w:p>
          <w:p w14:paraId="62436947" w14:textId="77777777" w:rsidR="004137E7" w:rsidRDefault="004137E7" w:rsidP="004137E7">
            <w:pPr>
              <w:adjustRightInd w:val="0"/>
              <w:jc w:val="center"/>
              <w:rPr>
                <w:color w:val="000000"/>
                <w:sz w:val="22"/>
                <w:szCs w:val="22"/>
              </w:rPr>
            </w:pPr>
          </w:p>
          <w:p w14:paraId="4F2AC4E0" w14:textId="77777777" w:rsidR="004137E7" w:rsidRDefault="004137E7" w:rsidP="004137E7">
            <w:pPr>
              <w:adjustRightInd w:val="0"/>
              <w:jc w:val="center"/>
              <w:rPr>
                <w:color w:val="000000"/>
                <w:sz w:val="22"/>
                <w:szCs w:val="22"/>
              </w:rPr>
            </w:pPr>
          </w:p>
          <w:p w14:paraId="36CF976C" w14:textId="77777777" w:rsidR="004137E7" w:rsidRDefault="004137E7" w:rsidP="004137E7">
            <w:pPr>
              <w:adjustRightInd w:val="0"/>
              <w:jc w:val="center"/>
              <w:rPr>
                <w:color w:val="000000"/>
                <w:sz w:val="22"/>
                <w:szCs w:val="22"/>
              </w:rPr>
            </w:pPr>
          </w:p>
          <w:p w14:paraId="54F0E01A" w14:textId="77777777" w:rsidR="004137E7" w:rsidRDefault="004137E7" w:rsidP="004137E7">
            <w:pPr>
              <w:adjustRightInd w:val="0"/>
              <w:jc w:val="center"/>
              <w:rPr>
                <w:color w:val="000000"/>
                <w:sz w:val="22"/>
                <w:szCs w:val="22"/>
              </w:rPr>
            </w:pPr>
          </w:p>
          <w:p w14:paraId="37D2256E" w14:textId="77777777" w:rsidR="004137E7" w:rsidRDefault="004137E7" w:rsidP="004137E7">
            <w:pPr>
              <w:adjustRightInd w:val="0"/>
              <w:jc w:val="center"/>
              <w:rPr>
                <w:color w:val="000000"/>
                <w:sz w:val="22"/>
                <w:szCs w:val="22"/>
              </w:rPr>
            </w:pPr>
          </w:p>
          <w:p w14:paraId="13F2BA97" w14:textId="77777777" w:rsidR="004137E7" w:rsidRDefault="004137E7" w:rsidP="004137E7">
            <w:pPr>
              <w:adjustRightInd w:val="0"/>
              <w:jc w:val="center"/>
              <w:rPr>
                <w:color w:val="000000"/>
                <w:sz w:val="22"/>
                <w:szCs w:val="22"/>
              </w:rPr>
            </w:pPr>
          </w:p>
          <w:p w14:paraId="61ECED39" w14:textId="77777777" w:rsidR="004137E7" w:rsidRDefault="004137E7" w:rsidP="004137E7">
            <w:pPr>
              <w:adjustRightInd w:val="0"/>
              <w:jc w:val="center"/>
              <w:rPr>
                <w:color w:val="000000"/>
                <w:sz w:val="22"/>
                <w:szCs w:val="22"/>
              </w:rPr>
            </w:pPr>
          </w:p>
          <w:p w14:paraId="595590A7" w14:textId="77777777" w:rsidR="004137E7" w:rsidRDefault="004137E7" w:rsidP="004137E7">
            <w:pPr>
              <w:adjustRightInd w:val="0"/>
              <w:jc w:val="center"/>
              <w:rPr>
                <w:color w:val="000000"/>
                <w:sz w:val="22"/>
                <w:szCs w:val="22"/>
              </w:rPr>
            </w:pPr>
          </w:p>
          <w:p w14:paraId="429B348E" w14:textId="77777777" w:rsidR="004137E7" w:rsidRDefault="004137E7" w:rsidP="004137E7">
            <w:pPr>
              <w:adjustRightInd w:val="0"/>
              <w:jc w:val="center"/>
              <w:rPr>
                <w:color w:val="000000"/>
                <w:sz w:val="22"/>
                <w:szCs w:val="22"/>
              </w:rPr>
            </w:pPr>
          </w:p>
          <w:p w14:paraId="573BF5EA" w14:textId="77777777" w:rsidR="004137E7" w:rsidRDefault="004137E7" w:rsidP="004137E7">
            <w:pPr>
              <w:adjustRightInd w:val="0"/>
              <w:jc w:val="center"/>
              <w:rPr>
                <w:color w:val="000000"/>
                <w:sz w:val="22"/>
                <w:szCs w:val="22"/>
              </w:rPr>
            </w:pPr>
          </w:p>
          <w:p w14:paraId="3255F30B" w14:textId="77777777" w:rsidR="004137E7" w:rsidRDefault="004137E7" w:rsidP="004137E7">
            <w:pPr>
              <w:adjustRightInd w:val="0"/>
              <w:jc w:val="center"/>
              <w:rPr>
                <w:color w:val="000000"/>
                <w:sz w:val="22"/>
                <w:szCs w:val="22"/>
              </w:rPr>
            </w:pPr>
          </w:p>
          <w:p w14:paraId="0E9B0EBD" w14:textId="77777777" w:rsidR="004137E7" w:rsidRDefault="004137E7" w:rsidP="004137E7">
            <w:pPr>
              <w:adjustRightInd w:val="0"/>
              <w:rPr>
                <w:color w:val="000000"/>
                <w:sz w:val="22"/>
                <w:szCs w:val="22"/>
              </w:rPr>
            </w:pPr>
          </w:p>
          <w:p w14:paraId="6D912EB7" w14:textId="77777777" w:rsidR="004137E7" w:rsidRDefault="004137E7" w:rsidP="004137E7">
            <w:pPr>
              <w:adjustRightInd w:val="0"/>
              <w:rPr>
                <w:color w:val="000000"/>
                <w:sz w:val="22"/>
                <w:szCs w:val="22"/>
              </w:rPr>
            </w:pPr>
          </w:p>
          <w:p w14:paraId="75BA1C50" w14:textId="77777777" w:rsidR="004137E7" w:rsidRDefault="004137E7" w:rsidP="004137E7">
            <w:pPr>
              <w:adjustRightInd w:val="0"/>
              <w:jc w:val="center"/>
              <w:rPr>
                <w:color w:val="000000"/>
                <w:sz w:val="22"/>
                <w:szCs w:val="22"/>
              </w:rPr>
            </w:pPr>
            <w:r>
              <w:rPr>
                <w:color w:val="000000"/>
                <w:sz w:val="22"/>
                <w:szCs w:val="22"/>
              </w:rPr>
              <w:t>N</w:t>
            </w:r>
          </w:p>
          <w:p w14:paraId="7FDD1063" w14:textId="77777777" w:rsidR="004137E7" w:rsidRDefault="004137E7" w:rsidP="004137E7">
            <w:pPr>
              <w:adjustRightInd w:val="0"/>
              <w:rPr>
                <w:color w:val="000000"/>
                <w:sz w:val="22"/>
                <w:szCs w:val="22"/>
              </w:rPr>
            </w:pPr>
          </w:p>
          <w:p w14:paraId="5ECA9262" w14:textId="77777777" w:rsidR="004137E7" w:rsidRDefault="004137E7" w:rsidP="004137E7">
            <w:pPr>
              <w:adjustRightInd w:val="0"/>
              <w:rPr>
                <w:color w:val="000000"/>
                <w:sz w:val="22"/>
                <w:szCs w:val="22"/>
              </w:rPr>
            </w:pPr>
          </w:p>
          <w:p w14:paraId="1C5EB383" w14:textId="77777777" w:rsidR="004137E7" w:rsidRDefault="004137E7" w:rsidP="004137E7">
            <w:pPr>
              <w:adjustRightInd w:val="0"/>
              <w:rPr>
                <w:color w:val="000000"/>
                <w:sz w:val="22"/>
                <w:szCs w:val="22"/>
              </w:rPr>
            </w:pPr>
          </w:p>
          <w:p w14:paraId="7819705E" w14:textId="77777777" w:rsidR="004137E7" w:rsidRDefault="004137E7" w:rsidP="004137E7">
            <w:pPr>
              <w:adjustRightInd w:val="0"/>
              <w:rPr>
                <w:color w:val="000000"/>
                <w:sz w:val="22"/>
                <w:szCs w:val="22"/>
              </w:rPr>
            </w:pPr>
          </w:p>
          <w:p w14:paraId="02F8C6CE" w14:textId="77777777" w:rsidR="004137E7" w:rsidRDefault="004137E7" w:rsidP="004137E7">
            <w:pPr>
              <w:adjustRightInd w:val="0"/>
              <w:rPr>
                <w:color w:val="000000"/>
                <w:sz w:val="22"/>
                <w:szCs w:val="22"/>
              </w:rPr>
            </w:pPr>
          </w:p>
          <w:p w14:paraId="1CEF7BAB" w14:textId="77777777" w:rsidR="004137E7" w:rsidRDefault="004137E7" w:rsidP="004137E7">
            <w:pPr>
              <w:adjustRightInd w:val="0"/>
              <w:rPr>
                <w:color w:val="000000"/>
                <w:sz w:val="22"/>
                <w:szCs w:val="22"/>
              </w:rPr>
            </w:pPr>
          </w:p>
          <w:p w14:paraId="2A6816C2" w14:textId="77777777" w:rsidR="004137E7" w:rsidRDefault="004137E7" w:rsidP="004137E7">
            <w:pPr>
              <w:adjustRightInd w:val="0"/>
              <w:rPr>
                <w:color w:val="000000"/>
                <w:sz w:val="22"/>
                <w:szCs w:val="22"/>
              </w:rPr>
            </w:pPr>
          </w:p>
          <w:p w14:paraId="763DCD77" w14:textId="77777777" w:rsidR="004137E7" w:rsidRDefault="004137E7" w:rsidP="004137E7">
            <w:pPr>
              <w:adjustRightInd w:val="0"/>
              <w:rPr>
                <w:color w:val="000000"/>
                <w:sz w:val="22"/>
                <w:szCs w:val="22"/>
              </w:rPr>
            </w:pPr>
          </w:p>
          <w:p w14:paraId="3C0048E3" w14:textId="77777777" w:rsidR="004137E7" w:rsidRDefault="004137E7" w:rsidP="004137E7">
            <w:pPr>
              <w:adjustRightInd w:val="0"/>
              <w:rPr>
                <w:color w:val="000000"/>
                <w:sz w:val="22"/>
                <w:szCs w:val="22"/>
              </w:rPr>
            </w:pPr>
          </w:p>
          <w:p w14:paraId="71F913A3" w14:textId="77777777" w:rsidR="004137E7" w:rsidRDefault="004137E7" w:rsidP="004137E7">
            <w:pPr>
              <w:adjustRightInd w:val="0"/>
              <w:rPr>
                <w:color w:val="000000"/>
                <w:sz w:val="22"/>
                <w:szCs w:val="22"/>
              </w:rPr>
            </w:pPr>
          </w:p>
          <w:p w14:paraId="7B7358FC" w14:textId="77777777" w:rsidR="004137E7" w:rsidRDefault="004137E7" w:rsidP="004137E7">
            <w:pPr>
              <w:adjustRightInd w:val="0"/>
              <w:rPr>
                <w:color w:val="000000"/>
                <w:sz w:val="22"/>
                <w:szCs w:val="22"/>
              </w:rPr>
            </w:pPr>
          </w:p>
          <w:p w14:paraId="1329B6A8" w14:textId="77777777" w:rsidR="004137E7" w:rsidRDefault="004137E7" w:rsidP="004137E7">
            <w:pPr>
              <w:adjustRightInd w:val="0"/>
              <w:rPr>
                <w:color w:val="000000"/>
                <w:sz w:val="22"/>
                <w:szCs w:val="22"/>
              </w:rPr>
            </w:pPr>
            <w:r>
              <w:rPr>
                <w:color w:val="000000"/>
                <w:sz w:val="22"/>
                <w:szCs w:val="22"/>
              </w:rPr>
              <w:t>N</w:t>
            </w:r>
          </w:p>
          <w:p w14:paraId="42510F4B" w14:textId="77777777" w:rsidR="004137E7" w:rsidRDefault="004137E7" w:rsidP="004137E7">
            <w:pPr>
              <w:adjustRightInd w:val="0"/>
              <w:rPr>
                <w:color w:val="000000"/>
                <w:sz w:val="22"/>
                <w:szCs w:val="22"/>
              </w:rPr>
            </w:pPr>
          </w:p>
          <w:p w14:paraId="3AC475EE" w14:textId="77777777" w:rsidR="004137E7" w:rsidRDefault="004137E7" w:rsidP="004137E7">
            <w:pPr>
              <w:adjustRightInd w:val="0"/>
              <w:rPr>
                <w:color w:val="000000"/>
                <w:sz w:val="22"/>
                <w:szCs w:val="22"/>
              </w:rPr>
            </w:pPr>
          </w:p>
          <w:p w14:paraId="1DED0275" w14:textId="77777777" w:rsidR="004137E7" w:rsidRDefault="004137E7" w:rsidP="004137E7">
            <w:pPr>
              <w:adjustRightInd w:val="0"/>
              <w:rPr>
                <w:color w:val="000000"/>
                <w:sz w:val="22"/>
                <w:szCs w:val="22"/>
              </w:rPr>
            </w:pPr>
          </w:p>
          <w:p w14:paraId="2883F190" w14:textId="77777777" w:rsidR="004137E7" w:rsidRDefault="004137E7" w:rsidP="004137E7">
            <w:pPr>
              <w:adjustRightInd w:val="0"/>
              <w:rPr>
                <w:color w:val="000000"/>
                <w:sz w:val="22"/>
                <w:szCs w:val="22"/>
              </w:rPr>
            </w:pPr>
          </w:p>
          <w:p w14:paraId="68D6D77C" w14:textId="77777777" w:rsidR="004137E7" w:rsidRDefault="004137E7" w:rsidP="004137E7">
            <w:pPr>
              <w:adjustRightInd w:val="0"/>
              <w:rPr>
                <w:color w:val="000000"/>
                <w:sz w:val="22"/>
                <w:szCs w:val="22"/>
              </w:rPr>
            </w:pPr>
          </w:p>
          <w:p w14:paraId="15159667" w14:textId="77777777" w:rsidR="004137E7" w:rsidRDefault="004137E7" w:rsidP="004137E7">
            <w:pPr>
              <w:adjustRightInd w:val="0"/>
              <w:rPr>
                <w:color w:val="000000"/>
                <w:sz w:val="22"/>
                <w:szCs w:val="22"/>
              </w:rPr>
            </w:pPr>
          </w:p>
          <w:p w14:paraId="7837A589" w14:textId="77777777" w:rsidR="004137E7" w:rsidRDefault="004137E7" w:rsidP="004137E7">
            <w:pPr>
              <w:adjustRightInd w:val="0"/>
              <w:rPr>
                <w:color w:val="000000"/>
                <w:sz w:val="22"/>
                <w:szCs w:val="22"/>
              </w:rPr>
            </w:pPr>
          </w:p>
          <w:p w14:paraId="09D67AD9" w14:textId="77777777" w:rsidR="004137E7" w:rsidRDefault="004137E7" w:rsidP="004137E7">
            <w:pPr>
              <w:adjustRightInd w:val="0"/>
              <w:rPr>
                <w:color w:val="000000"/>
                <w:sz w:val="22"/>
                <w:szCs w:val="22"/>
              </w:rPr>
            </w:pPr>
          </w:p>
          <w:p w14:paraId="043396E6" w14:textId="77777777" w:rsidR="004137E7" w:rsidRDefault="004137E7" w:rsidP="004137E7">
            <w:pPr>
              <w:adjustRightInd w:val="0"/>
              <w:rPr>
                <w:color w:val="000000"/>
                <w:sz w:val="22"/>
                <w:szCs w:val="22"/>
              </w:rPr>
            </w:pPr>
          </w:p>
          <w:p w14:paraId="4A30B4A5" w14:textId="77777777" w:rsidR="004137E7" w:rsidRDefault="004137E7" w:rsidP="004137E7">
            <w:pPr>
              <w:adjustRightInd w:val="0"/>
              <w:rPr>
                <w:color w:val="000000"/>
                <w:sz w:val="22"/>
                <w:szCs w:val="22"/>
              </w:rPr>
            </w:pPr>
          </w:p>
          <w:p w14:paraId="498EF588" w14:textId="77777777" w:rsidR="004137E7" w:rsidRDefault="004137E7" w:rsidP="004137E7">
            <w:pPr>
              <w:adjustRightInd w:val="0"/>
              <w:rPr>
                <w:color w:val="000000"/>
                <w:sz w:val="22"/>
                <w:szCs w:val="22"/>
              </w:rPr>
            </w:pPr>
          </w:p>
          <w:p w14:paraId="0C6E4936" w14:textId="77777777" w:rsidR="004137E7" w:rsidRDefault="004137E7" w:rsidP="004137E7">
            <w:pPr>
              <w:adjustRightInd w:val="0"/>
              <w:rPr>
                <w:color w:val="000000"/>
                <w:sz w:val="22"/>
                <w:szCs w:val="22"/>
              </w:rPr>
            </w:pPr>
          </w:p>
          <w:p w14:paraId="7DFB582F" w14:textId="77777777" w:rsidR="004137E7" w:rsidRDefault="004137E7" w:rsidP="004137E7">
            <w:pPr>
              <w:adjustRightInd w:val="0"/>
              <w:rPr>
                <w:color w:val="000000"/>
                <w:sz w:val="22"/>
                <w:szCs w:val="22"/>
              </w:rPr>
            </w:pPr>
          </w:p>
          <w:p w14:paraId="2E72EC6D" w14:textId="77777777" w:rsidR="004137E7" w:rsidRDefault="004137E7" w:rsidP="004137E7">
            <w:pPr>
              <w:adjustRightInd w:val="0"/>
              <w:rPr>
                <w:color w:val="000000"/>
                <w:sz w:val="22"/>
                <w:szCs w:val="22"/>
              </w:rPr>
            </w:pPr>
          </w:p>
          <w:p w14:paraId="09E4D410" w14:textId="77777777" w:rsidR="004137E7" w:rsidRDefault="004137E7" w:rsidP="004137E7">
            <w:pPr>
              <w:adjustRightInd w:val="0"/>
              <w:rPr>
                <w:color w:val="000000"/>
                <w:sz w:val="22"/>
                <w:szCs w:val="22"/>
              </w:rPr>
            </w:pPr>
          </w:p>
          <w:p w14:paraId="2AA821B6" w14:textId="77777777" w:rsidR="004137E7" w:rsidRDefault="004137E7" w:rsidP="004137E7">
            <w:pPr>
              <w:adjustRightInd w:val="0"/>
              <w:rPr>
                <w:color w:val="000000"/>
                <w:sz w:val="22"/>
                <w:szCs w:val="22"/>
              </w:rPr>
            </w:pPr>
          </w:p>
          <w:p w14:paraId="0F2209ED" w14:textId="77777777" w:rsidR="004137E7" w:rsidRDefault="004137E7" w:rsidP="004137E7">
            <w:pPr>
              <w:adjustRightInd w:val="0"/>
              <w:rPr>
                <w:color w:val="000000"/>
                <w:sz w:val="22"/>
                <w:szCs w:val="22"/>
              </w:rPr>
            </w:pPr>
          </w:p>
          <w:p w14:paraId="27E39587" w14:textId="77777777" w:rsidR="004137E7" w:rsidRDefault="004137E7" w:rsidP="004137E7">
            <w:pPr>
              <w:adjustRightInd w:val="0"/>
              <w:rPr>
                <w:color w:val="000000"/>
                <w:sz w:val="22"/>
                <w:szCs w:val="22"/>
              </w:rPr>
            </w:pPr>
          </w:p>
          <w:p w14:paraId="60EC1A02" w14:textId="77777777" w:rsidR="004137E7" w:rsidRDefault="004137E7" w:rsidP="004137E7">
            <w:pPr>
              <w:adjustRightInd w:val="0"/>
              <w:rPr>
                <w:color w:val="000000"/>
                <w:sz w:val="22"/>
                <w:szCs w:val="22"/>
              </w:rPr>
            </w:pPr>
          </w:p>
          <w:p w14:paraId="710F4CF7" w14:textId="77777777" w:rsidR="001B5F0E" w:rsidRDefault="001B5F0E" w:rsidP="004137E7">
            <w:pPr>
              <w:adjustRightInd w:val="0"/>
              <w:rPr>
                <w:color w:val="000000"/>
                <w:sz w:val="22"/>
                <w:szCs w:val="22"/>
              </w:rPr>
            </w:pPr>
          </w:p>
          <w:p w14:paraId="2B5CD779" w14:textId="77777777" w:rsidR="001B5F0E" w:rsidRDefault="001B5F0E" w:rsidP="004137E7">
            <w:pPr>
              <w:adjustRightInd w:val="0"/>
              <w:rPr>
                <w:color w:val="000000"/>
                <w:sz w:val="22"/>
                <w:szCs w:val="22"/>
              </w:rPr>
            </w:pPr>
          </w:p>
          <w:p w14:paraId="0DDB66F5" w14:textId="77777777" w:rsidR="001B5F0E" w:rsidRDefault="001B5F0E" w:rsidP="004137E7">
            <w:pPr>
              <w:adjustRightInd w:val="0"/>
              <w:rPr>
                <w:color w:val="000000"/>
                <w:sz w:val="22"/>
                <w:szCs w:val="22"/>
              </w:rPr>
            </w:pPr>
          </w:p>
          <w:p w14:paraId="49038579" w14:textId="77777777" w:rsidR="001B5F0E" w:rsidRDefault="001B5F0E" w:rsidP="004137E7">
            <w:pPr>
              <w:adjustRightInd w:val="0"/>
              <w:rPr>
                <w:color w:val="000000"/>
                <w:sz w:val="22"/>
                <w:szCs w:val="22"/>
              </w:rPr>
            </w:pPr>
          </w:p>
          <w:p w14:paraId="325ED5FE" w14:textId="77777777" w:rsidR="004137E7" w:rsidRDefault="004137E7" w:rsidP="004137E7">
            <w:pPr>
              <w:adjustRightInd w:val="0"/>
              <w:rPr>
                <w:color w:val="000000"/>
                <w:sz w:val="22"/>
                <w:szCs w:val="22"/>
              </w:rPr>
            </w:pPr>
          </w:p>
          <w:p w14:paraId="208FE530" w14:textId="77777777" w:rsidR="0002098D" w:rsidRDefault="0002098D" w:rsidP="004137E7">
            <w:pPr>
              <w:adjustRightInd w:val="0"/>
              <w:rPr>
                <w:color w:val="000000"/>
                <w:sz w:val="22"/>
                <w:szCs w:val="22"/>
              </w:rPr>
            </w:pPr>
          </w:p>
          <w:p w14:paraId="774A74BD" w14:textId="77777777" w:rsidR="0002098D" w:rsidRDefault="0002098D" w:rsidP="004137E7">
            <w:pPr>
              <w:adjustRightInd w:val="0"/>
              <w:rPr>
                <w:color w:val="000000"/>
                <w:sz w:val="22"/>
                <w:szCs w:val="22"/>
              </w:rPr>
            </w:pPr>
          </w:p>
          <w:p w14:paraId="122FEB6D" w14:textId="77777777" w:rsidR="0002098D" w:rsidRDefault="0002098D" w:rsidP="004137E7">
            <w:pPr>
              <w:adjustRightInd w:val="0"/>
              <w:rPr>
                <w:color w:val="000000"/>
                <w:sz w:val="22"/>
                <w:szCs w:val="22"/>
              </w:rPr>
            </w:pPr>
          </w:p>
          <w:p w14:paraId="3192E506" w14:textId="77777777" w:rsidR="0002098D" w:rsidRDefault="0002098D" w:rsidP="004137E7">
            <w:pPr>
              <w:adjustRightInd w:val="0"/>
              <w:rPr>
                <w:color w:val="000000"/>
                <w:sz w:val="22"/>
                <w:szCs w:val="22"/>
              </w:rPr>
            </w:pPr>
          </w:p>
          <w:p w14:paraId="07AA17DF" w14:textId="77777777" w:rsidR="00417C03" w:rsidRDefault="00417C03" w:rsidP="004137E7">
            <w:pPr>
              <w:adjustRightInd w:val="0"/>
              <w:rPr>
                <w:color w:val="000000"/>
                <w:sz w:val="22"/>
                <w:szCs w:val="22"/>
              </w:rPr>
            </w:pPr>
          </w:p>
          <w:p w14:paraId="7B946783" w14:textId="77777777" w:rsidR="00417C03" w:rsidRDefault="00417C03" w:rsidP="004137E7">
            <w:pPr>
              <w:adjustRightInd w:val="0"/>
              <w:rPr>
                <w:color w:val="000000"/>
                <w:sz w:val="22"/>
                <w:szCs w:val="22"/>
              </w:rPr>
            </w:pPr>
          </w:p>
          <w:p w14:paraId="1268B2C5" w14:textId="77777777" w:rsidR="00417C03" w:rsidRDefault="00417C03" w:rsidP="004137E7">
            <w:pPr>
              <w:adjustRightInd w:val="0"/>
              <w:rPr>
                <w:color w:val="000000"/>
                <w:sz w:val="22"/>
                <w:szCs w:val="22"/>
              </w:rPr>
            </w:pPr>
          </w:p>
          <w:p w14:paraId="4A95D8E2" w14:textId="77777777" w:rsidR="00417C03" w:rsidRDefault="00417C03" w:rsidP="004137E7">
            <w:pPr>
              <w:adjustRightInd w:val="0"/>
              <w:rPr>
                <w:color w:val="000000"/>
                <w:sz w:val="22"/>
                <w:szCs w:val="22"/>
              </w:rPr>
            </w:pPr>
          </w:p>
          <w:p w14:paraId="7B444D95" w14:textId="77777777" w:rsidR="004137E7" w:rsidRDefault="004137E7" w:rsidP="004137E7">
            <w:pPr>
              <w:adjustRightInd w:val="0"/>
              <w:rPr>
                <w:color w:val="000000"/>
                <w:sz w:val="22"/>
                <w:szCs w:val="22"/>
              </w:rPr>
            </w:pPr>
            <w:r>
              <w:rPr>
                <w:color w:val="000000"/>
                <w:sz w:val="22"/>
                <w:szCs w:val="22"/>
              </w:rPr>
              <w:t>N</w:t>
            </w:r>
          </w:p>
          <w:p w14:paraId="066144F1" w14:textId="77777777" w:rsidR="004137E7" w:rsidRDefault="004137E7" w:rsidP="004137E7">
            <w:pPr>
              <w:adjustRightInd w:val="0"/>
              <w:rPr>
                <w:color w:val="000000"/>
                <w:sz w:val="22"/>
                <w:szCs w:val="22"/>
              </w:rPr>
            </w:pPr>
          </w:p>
          <w:p w14:paraId="5C9E961C" w14:textId="77777777" w:rsidR="004137E7" w:rsidRDefault="004137E7" w:rsidP="004137E7">
            <w:pPr>
              <w:adjustRightInd w:val="0"/>
              <w:rPr>
                <w:color w:val="000000"/>
                <w:sz w:val="22"/>
                <w:szCs w:val="22"/>
              </w:rPr>
            </w:pPr>
          </w:p>
          <w:p w14:paraId="4AF191BA" w14:textId="77777777" w:rsidR="004137E7" w:rsidRDefault="004137E7" w:rsidP="004137E7">
            <w:pPr>
              <w:adjustRightInd w:val="0"/>
              <w:rPr>
                <w:color w:val="000000"/>
                <w:sz w:val="22"/>
                <w:szCs w:val="22"/>
              </w:rPr>
            </w:pPr>
          </w:p>
          <w:p w14:paraId="30707971" w14:textId="77777777" w:rsidR="004137E7" w:rsidRDefault="004137E7" w:rsidP="004137E7">
            <w:pPr>
              <w:adjustRightInd w:val="0"/>
              <w:rPr>
                <w:color w:val="000000"/>
                <w:sz w:val="22"/>
                <w:szCs w:val="22"/>
              </w:rPr>
            </w:pPr>
          </w:p>
          <w:p w14:paraId="65EFBAF7" w14:textId="77777777" w:rsidR="004137E7" w:rsidRDefault="004137E7" w:rsidP="004137E7">
            <w:pPr>
              <w:adjustRightInd w:val="0"/>
              <w:rPr>
                <w:color w:val="000000"/>
                <w:sz w:val="22"/>
                <w:szCs w:val="22"/>
              </w:rPr>
            </w:pPr>
          </w:p>
          <w:p w14:paraId="38E48A8B" w14:textId="77777777" w:rsidR="004137E7" w:rsidRDefault="004137E7" w:rsidP="004137E7">
            <w:pPr>
              <w:adjustRightInd w:val="0"/>
              <w:rPr>
                <w:color w:val="000000"/>
                <w:sz w:val="22"/>
                <w:szCs w:val="22"/>
              </w:rPr>
            </w:pPr>
          </w:p>
          <w:p w14:paraId="32A3D728" w14:textId="77777777" w:rsidR="004137E7" w:rsidRDefault="004137E7" w:rsidP="004137E7">
            <w:pPr>
              <w:adjustRightInd w:val="0"/>
              <w:rPr>
                <w:color w:val="000000"/>
                <w:sz w:val="22"/>
                <w:szCs w:val="22"/>
              </w:rPr>
            </w:pPr>
          </w:p>
          <w:p w14:paraId="5281D925" w14:textId="77777777" w:rsidR="004137E7" w:rsidRDefault="004137E7" w:rsidP="004137E7">
            <w:pPr>
              <w:adjustRightInd w:val="0"/>
              <w:rPr>
                <w:color w:val="000000"/>
                <w:sz w:val="22"/>
                <w:szCs w:val="22"/>
              </w:rPr>
            </w:pPr>
          </w:p>
          <w:p w14:paraId="5A744272" w14:textId="77777777" w:rsidR="004137E7" w:rsidRDefault="004137E7" w:rsidP="004137E7">
            <w:pPr>
              <w:adjustRightInd w:val="0"/>
              <w:rPr>
                <w:color w:val="000000"/>
                <w:sz w:val="22"/>
                <w:szCs w:val="22"/>
              </w:rPr>
            </w:pPr>
          </w:p>
          <w:p w14:paraId="01D08D7E" w14:textId="77777777" w:rsidR="009143D6" w:rsidRDefault="009143D6" w:rsidP="004137E7">
            <w:pPr>
              <w:adjustRightInd w:val="0"/>
              <w:rPr>
                <w:color w:val="000000"/>
                <w:sz w:val="22"/>
                <w:szCs w:val="22"/>
              </w:rPr>
            </w:pPr>
          </w:p>
          <w:p w14:paraId="596052CF" w14:textId="77777777" w:rsidR="001B5F0E" w:rsidRDefault="001B5F0E" w:rsidP="004137E7">
            <w:pPr>
              <w:adjustRightInd w:val="0"/>
              <w:rPr>
                <w:color w:val="000000"/>
                <w:sz w:val="22"/>
                <w:szCs w:val="22"/>
              </w:rPr>
            </w:pPr>
          </w:p>
          <w:p w14:paraId="73656043" w14:textId="77777777" w:rsidR="001B5F0E" w:rsidRDefault="001B5F0E" w:rsidP="004137E7">
            <w:pPr>
              <w:adjustRightInd w:val="0"/>
              <w:rPr>
                <w:color w:val="000000"/>
                <w:sz w:val="22"/>
                <w:szCs w:val="22"/>
              </w:rPr>
            </w:pPr>
          </w:p>
          <w:p w14:paraId="5E4A647C" w14:textId="77777777" w:rsidR="00417C03" w:rsidRDefault="00417C03" w:rsidP="004137E7">
            <w:pPr>
              <w:adjustRightInd w:val="0"/>
              <w:rPr>
                <w:color w:val="000000"/>
                <w:sz w:val="22"/>
                <w:szCs w:val="22"/>
              </w:rPr>
            </w:pPr>
          </w:p>
          <w:p w14:paraId="3518375D" w14:textId="77777777" w:rsidR="00417C03" w:rsidRDefault="00417C03" w:rsidP="004137E7">
            <w:pPr>
              <w:adjustRightInd w:val="0"/>
              <w:rPr>
                <w:color w:val="000000"/>
                <w:sz w:val="22"/>
                <w:szCs w:val="22"/>
              </w:rPr>
            </w:pPr>
          </w:p>
          <w:p w14:paraId="0659EB0D" w14:textId="77777777" w:rsidR="00417C03" w:rsidRDefault="00417C03" w:rsidP="004137E7">
            <w:pPr>
              <w:adjustRightInd w:val="0"/>
              <w:rPr>
                <w:color w:val="000000"/>
                <w:sz w:val="22"/>
                <w:szCs w:val="22"/>
              </w:rPr>
            </w:pPr>
          </w:p>
          <w:p w14:paraId="38D0C51C" w14:textId="77777777" w:rsidR="004137E7" w:rsidRDefault="004137E7" w:rsidP="004137E7">
            <w:pPr>
              <w:adjustRightInd w:val="0"/>
              <w:rPr>
                <w:color w:val="000000"/>
                <w:sz w:val="22"/>
                <w:szCs w:val="22"/>
              </w:rPr>
            </w:pPr>
            <w:r>
              <w:rPr>
                <w:color w:val="000000"/>
                <w:sz w:val="22"/>
                <w:szCs w:val="22"/>
              </w:rPr>
              <w:t>N</w:t>
            </w:r>
          </w:p>
          <w:p w14:paraId="3C268EB4" w14:textId="77777777" w:rsidR="004137E7" w:rsidRDefault="004137E7" w:rsidP="004137E7">
            <w:pPr>
              <w:adjustRightInd w:val="0"/>
              <w:rPr>
                <w:color w:val="000000"/>
                <w:sz w:val="22"/>
                <w:szCs w:val="22"/>
              </w:rPr>
            </w:pPr>
          </w:p>
          <w:p w14:paraId="2E3D5D78" w14:textId="77777777" w:rsidR="004137E7" w:rsidRDefault="004137E7" w:rsidP="004137E7">
            <w:pPr>
              <w:adjustRightInd w:val="0"/>
              <w:rPr>
                <w:color w:val="000000"/>
                <w:sz w:val="22"/>
                <w:szCs w:val="22"/>
              </w:rPr>
            </w:pPr>
          </w:p>
          <w:p w14:paraId="0337826A" w14:textId="77777777" w:rsidR="004137E7" w:rsidRDefault="004137E7" w:rsidP="004137E7">
            <w:pPr>
              <w:adjustRightInd w:val="0"/>
              <w:rPr>
                <w:color w:val="000000"/>
                <w:sz w:val="22"/>
                <w:szCs w:val="22"/>
              </w:rPr>
            </w:pPr>
          </w:p>
          <w:p w14:paraId="64CD8597" w14:textId="1729D60E" w:rsidR="001D6E9B" w:rsidRDefault="001D6E9B" w:rsidP="004137E7">
            <w:pPr>
              <w:adjustRightInd w:val="0"/>
              <w:rPr>
                <w:color w:val="000000"/>
                <w:sz w:val="22"/>
                <w:szCs w:val="22"/>
              </w:rPr>
            </w:pPr>
          </w:p>
          <w:p w14:paraId="3B059B0C" w14:textId="794BDA31" w:rsidR="001D6E9B" w:rsidRDefault="001D6E9B" w:rsidP="004137E7">
            <w:pPr>
              <w:adjustRightInd w:val="0"/>
              <w:rPr>
                <w:color w:val="000000"/>
                <w:sz w:val="22"/>
                <w:szCs w:val="22"/>
              </w:rPr>
            </w:pPr>
          </w:p>
          <w:p w14:paraId="5211B0F4" w14:textId="77777777" w:rsidR="00417C03" w:rsidRDefault="00417C03" w:rsidP="004137E7">
            <w:pPr>
              <w:adjustRightInd w:val="0"/>
              <w:rPr>
                <w:color w:val="000000"/>
                <w:sz w:val="22"/>
                <w:szCs w:val="22"/>
              </w:rPr>
            </w:pPr>
          </w:p>
          <w:p w14:paraId="598075E1" w14:textId="1F955E99" w:rsidR="001D6E9B" w:rsidRDefault="001D6E9B" w:rsidP="004137E7">
            <w:pPr>
              <w:adjustRightInd w:val="0"/>
              <w:rPr>
                <w:color w:val="000000"/>
                <w:sz w:val="22"/>
                <w:szCs w:val="22"/>
              </w:rPr>
            </w:pPr>
          </w:p>
          <w:p w14:paraId="405AE76D" w14:textId="77777777" w:rsidR="001D6E9B" w:rsidRDefault="001D6E9B" w:rsidP="004137E7">
            <w:pPr>
              <w:adjustRightInd w:val="0"/>
              <w:rPr>
                <w:color w:val="000000"/>
                <w:sz w:val="22"/>
                <w:szCs w:val="22"/>
              </w:rPr>
            </w:pPr>
          </w:p>
          <w:p w14:paraId="79E7F1F9" w14:textId="77777777" w:rsidR="004137E7" w:rsidRDefault="004137E7" w:rsidP="004137E7">
            <w:pPr>
              <w:adjustRightInd w:val="0"/>
              <w:rPr>
                <w:color w:val="000000"/>
                <w:sz w:val="22"/>
                <w:szCs w:val="22"/>
              </w:rPr>
            </w:pPr>
            <w:proofErr w:type="spellStart"/>
            <w:r>
              <w:rPr>
                <w:color w:val="000000"/>
                <w:sz w:val="22"/>
                <w:szCs w:val="22"/>
              </w:rPr>
              <w:t>n.a</w:t>
            </w:r>
            <w:proofErr w:type="spellEnd"/>
            <w:r>
              <w:rPr>
                <w:color w:val="000000"/>
                <w:sz w:val="22"/>
                <w:szCs w:val="22"/>
              </w:rPr>
              <w:t>.</w:t>
            </w:r>
          </w:p>
          <w:p w14:paraId="523AD8B7" w14:textId="77777777" w:rsidR="004137E7" w:rsidRPr="00531286" w:rsidRDefault="004137E7" w:rsidP="004137E7">
            <w:pPr>
              <w:adjustRightInd w:val="0"/>
              <w:rPr>
                <w:color w:val="000000"/>
                <w:sz w:val="22"/>
                <w:szCs w:val="22"/>
              </w:rPr>
            </w:pPr>
          </w:p>
        </w:tc>
        <w:tc>
          <w:tcPr>
            <w:tcW w:w="993" w:type="dxa"/>
            <w:tcBorders>
              <w:top w:val="single" w:sz="4" w:space="0" w:color="auto"/>
              <w:left w:val="nil"/>
              <w:right w:val="single" w:sz="4" w:space="0" w:color="auto"/>
            </w:tcBorders>
          </w:tcPr>
          <w:p w14:paraId="3698B6AD" w14:textId="77777777" w:rsidR="004137E7" w:rsidRPr="00D15D8E" w:rsidRDefault="004137E7" w:rsidP="004137E7">
            <w:pPr>
              <w:adjustRightInd w:val="0"/>
              <w:rPr>
                <w:color w:val="000000"/>
                <w:sz w:val="22"/>
                <w:szCs w:val="22"/>
              </w:rPr>
            </w:pPr>
            <w:r>
              <w:rPr>
                <w:color w:val="000000"/>
                <w:sz w:val="22"/>
                <w:szCs w:val="22"/>
              </w:rPr>
              <w:lastRenderedPageBreak/>
              <w:t>429</w:t>
            </w:r>
            <w:r w:rsidRPr="00531286">
              <w:rPr>
                <w:color w:val="000000"/>
                <w:sz w:val="22"/>
                <w:szCs w:val="22"/>
              </w:rPr>
              <w:t>/</w:t>
            </w:r>
            <w:r w:rsidRPr="00D15D8E">
              <w:rPr>
                <w:color w:val="000000"/>
                <w:sz w:val="22"/>
                <w:szCs w:val="22"/>
              </w:rPr>
              <w:t>2002</w:t>
            </w:r>
          </w:p>
          <w:p w14:paraId="1BA4EEA8" w14:textId="77777777" w:rsidR="004137E7" w:rsidRPr="00D15D8E" w:rsidRDefault="004137E7" w:rsidP="004137E7">
            <w:pPr>
              <w:rPr>
                <w:b/>
                <w:bCs/>
                <w:sz w:val="22"/>
                <w:szCs w:val="22"/>
              </w:rPr>
            </w:pPr>
            <w:r w:rsidRPr="00D15D8E">
              <w:rPr>
                <w:color w:val="000000"/>
                <w:sz w:val="22"/>
                <w:szCs w:val="22"/>
              </w:rPr>
              <w:t xml:space="preserve">a </w:t>
            </w:r>
            <w:r w:rsidRPr="00D15D8E">
              <w:rPr>
                <w:b/>
                <w:bCs/>
                <w:sz w:val="22"/>
                <w:szCs w:val="22"/>
              </w:rPr>
              <w:t>Návrh</w:t>
            </w:r>
          </w:p>
          <w:p w14:paraId="21645469" w14:textId="77777777" w:rsidR="004137E7" w:rsidRPr="00D15D8E" w:rsidRDefault="004137E7" w:rsidP="004137E7">
            <w:pPr>
              <w:rPr>
                <w:b/>
                <w:bCs/>
                <w:sz w:val="22"/>
                <w:szCs w:val="22"/>
              </w:rPr>
            </w:pPr>
            <w:r w:rsidRPr="00D15D8E">
              <w:rPr>
                <w:b/>
                <w:bCs/>
                <w:sz w:val="22"/>
                <w:szCs w:val="22"/>
              </w:rPr>
              <w:t xml:space="preserve">Čl. II. </w:t>
            </w:r>
          </w:p>
          <w:p w14:paraId="21070E86" w14:textId="31848AFA" w:rsidR="004137E7" w:rsidRPr="00531286" w:rsidRDefault="004137E7" w:rsidP="004137E7">
            <w:pPr>
              <w:adjustRightInd w:val="0"/>
              <w:rPr>
                <w:color w:val="000000"/>
                <w:sz w:val="22"/>
                <w:szCs w:val="22"/>
              </w:rPr>
            </w:pPr>
            <w:r w:rsidRPr="00D15D8E">
              <w:rPr>
                <w:b/>
                <w:bCs/>
                <w:sz w:val="22"/>
                <w:szCs w:val="22"/>
              </w:rPr>
              <w:t xml:space="preserve">Bod </w:t>
            </w:r>
            <w:r w:rsidR="00704300">
              <w:rPr>
                <w:b/>
                <w:bCs/>
                <w:sz w:val="22"/>
                <w:szCs w:val="22"/>
              </w:rPr>
              <w:t>3</w:t>
            </w:r>
            <w:r w:rsidR="00055CC7">
              <w:rPr>
                <w:b/>
                <w:bCs/>
                <w:sz w:val="22"/>
                <w:szCs w:val="22"/>
              </w:rPr>
              <w:t>3</w:t>
            </w:r>
          </w:p>
          <w:p w14:paraId="26C4DE02" w14:textId="77777777" w:rsidR="004137E7" w:rsidRDefault="004137E7" w:rsidP="004137E7">
            <w:pPr>
              <w:rPr>
                <w:bCs/>
                <w:sz w:val="22"/>
                <w:szCs w:val="22"/>
                <w:highlight w:val="yellow"/>
              </w:rPr>
            </w:pPr>
          </w:p>
          <w:p w14:paraId="32811E3C" w14:textId="77777777" w:rsidR="0002098D" w:rsidRDefault="0002098D" w:rsidP="004137E7">
            <w:pPr>
              <w:rPr>
                <w:bCs/>
                <w:sz w:val="22"/>
                <w:szCs w:val="22"/>
                <w:highlight w:val="yellow"/>
              </w:rPr>
            </w:pPr>
          </w:p>
          <w:p w14:paraId="5FF687CB" w14:textId="77777777" w:rsidR="0002098D" w:rsidRDefault="0002098D" w:rsidP="004137E7">
            <w:pPr>
              <w:rPr>
                <w:bCs/>
                <w:sz w:val="22"/>
                <w:szCs w:val="22"/>
                <w:highlight w:val="yellow"/>
              </w:rPr>
            </w:pPr>
          </w:p>
          <w:p w14:paraId="2E8564EB" w14:textId="77777777" w:rsidR="004137E7" w:rsidRPr="00534867" w:rsidRDefault="004137E7" w:rsidP="004137E7">
            <w:pPr>
              <w:adjustRightInd w:val="0"/>
              <w:rPr>
                <w:color w:val="000000"/>
                <w:sz w:val="22"/>
                <w:szCs w:val="22"/>
              </w:rPr>
            </w:pPr>
            <w:r w:rsidRPr="00534867">
              <w:rPr>
                <w:color w:val="000000"/>
                <w:sz w:val="22"/>
                <w:szCs w:val="22"/>
              </w:rPr>
              <w:t>429/2002</w:t>
            </w:r>
          </w:p>
          <w:p w14:paraId="4E7D4FDB" w14:textId="77777777" w:rsidR="004137E7" w:rsidRPr="00534867" w:rsidRDefault="004137E7" w:rsidP="004137E7">
            <w:pPr>
              <w:rPr>
                <w:b/>
                <w:bCs/>
                <w:sz w:val="22"/>
                <w:szCs w:val="22"/>
              </w:rPr>
            </w:pPr>
            <w:r w:rsidRPr="00534867">
              <w:rPr>
                <w:color w:val="000000"/>
                <w:sz w:val="22"/>
                <w:szCs w:val="22"/>
              </w:rPr>
              <w:t xml:space="preserve">a </w:t>
            </w:r>
            <w:r w:rsidRPr="00534867">
              <w:rPr>
                <w:b/>
                <w:bCs/>
                <w:sz w:val="22"/>
                <w:szCs w:val="22"/>
              </w:rPr>
              <w:t>Návrh</w:t>
            </w:r>
          </w:p>
          <w:p w14:paraId="386D5F26" w14:textId="77777777" w:rsidR="004137E7" w:rsidRPr="00534867" w:rsidRDefault="004137E7" w:rsidP="004137E7">
            <w:pPr>
              <w:rPr>
                <w:b/>
                <w:bCs/>
                <w:sz w:val="22"/>
                <w:szCs w:val="22"/>
              </w:rPr>
            </w:pPr>
            <w:r w:rsidRPr="00534867">
              <w:rPr>
                <w:b/>
                <w:bCs/>
                <w:sz w:val="22"/>
                <w:szCs w:val="22"/>
              </w:rPr>
              <w:t xml:space="preserve">Čl. II. </w:t>
            </w:r>
          </w:p>
          <w:p w14:paraId="56E7FF6F" w14:textId="25BE0961" w:rsidR="004137E7" w:rsidRPr="00531286" w:rsidRDefault="004137E7" w:rsidP="004137E7">
            <w:pPr>
              <w:adjustRightInd w:val="0"/>
              <w:rPr>
                <w:color w:val="000000"/>
                <w:sz w:val="22"/>
                <w:szCs w:val="22"/>
              </w:rPr>
            </w:pPr>
            <w:r w:rsidRPr="00534867">
              <w:rPr>
                <w:b/>
                <w:bCs/>
                <w:sz w:val="22"/>
                <w:szCs w:val="22"/>
              </w:rPr>
              <w:t xml:space="preserve">Bod </w:t>
            </w:r>
            <w:r w:rsidR="00704300">
              <w:rPr>
                <w:b/>
                <w:bCs/>
                <w:sz w:val="22"/>
                <w:szCs w:val="22"/>
              </w:rPr>
              <w:t>3</w:t>
            </w:r>
            <w:r w:rsidR="00055CC7">
              <w:rPr>
                <w:b/>
                <w:bCs/>
                <w:sz w:val="22"/>
                <w:szCs w:val="22"/>
              </w:rPr>
              <w:t>4</w:t>
            </w:r>
          </w:p>
          <w:p w14:paraId="1D3F1BDE" w14:textId="77777777" w:rsidR="004137E7" w:rsidRDefault="004137E7" w:rsidP="004137E7">
            <w:pPr>
              <w:rPr>
                <w:bCs/>
                <w:sz w:val="22"/>
                <w:szCs w:val="22"/>
                <w:highlight w:val="yellow"/>
              </w:rPr>
            </w:pPr>
          </w:p>
          <w:p w14:paraId="191CE59F" w14:textId="77777777" w:rsidR="004137E7" w:rsidRDefault="004137E7" w:rsidP="004137E7">
            <w:pPr>
              <w:rPr>
                <w:bCs/>
                <w:sz w:val="22"/>
                <w:szCs w:val="22"/>
                <w:highlight w:val="yellow"/>
              </w:rPr>
            </w:pPr>
          </w:p>
          <w:p w14:paraId="04A1D3AA" w14:textId="77777777" w:rsidR="004137E7" w:rsidRDefault="004137E7" w:rsidP="004137E7">
            <w:pPr>
              <w:rPr>
                <w:bCs/>
                <w:sz w:val="22"/>
                <w:szCs w:val="22"/>
                <w:highlight w:val="yellow"/>
              </w:rPr>
            </w:pPr>
          </w:p>
          <w:p w14:paraId="4F41DE80" w14:textId="77777777" w:rsidR="004137E7" w:rsidRDefault="004137E7" w:rsidP="004137E7">
            <w:pPr>
              <w:rPr>
                <w:bCs/>
                <w:sz w:val="22"/>
                <w:szCs w:val="22"/>
                <w:highlight w:val="yellow"/>
              </w:rPr>
            </w:pPr>
          </w:p>
          <w:p w14:paraId="2D01A1C1" w14:textId="77777777" w:rsidR="004137E7" w:rsidRDefault="004137E7" w:rsidP="004137E7">
            <w:pPr>
              <w:rPr>
                <w:bCs/>
                <w:sz w:val="22"/>
                <w:szCs w:val="22"/>
                <w:highlight w:val="yellow"/>
              </w:rPr>
            </w:pPr>
          </w:p>
          <w:p w14:paraId="32A72701" w14:textId="77777777" w:rsidR="004137E7" w:rsidRDefault="004137E7" w:rsidP="004137E7">
            <w:pPr>
              <w:rPr>
                <w:bCs/>
                <w:sz w:val="22"/>
                <w:szCs w:val="22"/>
                <w:highlight w:val="yellow"/>
              </w:rPr>
            </w:pPr>
          </w:p>
          <w:p w14:paraId="51902C8D" w14:textId="77777777" w:rsidR="004137E7" w:rsidRDefault="004137E7" w:rsidP="004137E7">
            <w:pPr>
              <w:rPr>
                <w:bCs/>
                <w:sz w:val="22"/>
                <w:szCs w:val="22"/>
                <w:highlight w:val="yellow"/>
              </w:rPr>
            </w:pPr>
          </w:p>
          <w:p w14:paraId="2309F93D" w14:textId="77777777" w:rsidR="004137E7" w:rsidRDefault="004137E7" w:rsidP="004137E7">
            <w:pPr>
              <w:rPr>
                <w:bCs/>
                <w:sz w:val="22"/>
                <w:szCs w:val="22"/>
                <w:highlight w:val="yellow"/>
              </w:rPr>
            </w:pPr>
          </w:p>
          <w:p w14:paraId="50AB4EBC" w14:textId="77777777" w:rsidR="004137E7" w:rsidRDefault="004137E7" w:rsidP="004137E7">
            <w:pPr>
              <w:rPr>
                <w:bCs/>
                <w:sz w:val="22"/>
                <w:szCs w:val="22"/>
                <w:highlight w:val="yellow"/>
              </w:rPr>
            </w:pPr>
          </w:p>
          <w:p w14:paraId="56F85744" w14:textId="77777777" w:rsidR="004137E7" w:rsidRDefault="004137E7" w:rsidP="004137E7">
            <w:pPr>
              <w:rPr>
                <w:bCs/>
                <w:sz w:val="22"/>
                <w:szCs w:val="22"/>
                <w:highlight w:val="yellow"/>
              </w:rPr>
            </w:pPr>
          </w:p>
          <w:p w14:paraId="1038A4CC" w14:textId="77777777" w:rsidR="004137E7" w:rsidRDefault="004137E7" w:rsidP="004137E7">
            <w:pPr>
              <w:rPr>
                <w:bCs/>
                <w:sz w:val="22"/>
                <w:szCs w:val="22"/>
                <w:highlight w:val="yellow"/>
              </w:rPr>
            </w:pPr>
          </w:p>
          <w:p w14:paraId="6816D876" w14:textId="77777777" w:rsidR="004137E7" w:rsidRDefault="004137E7" w:rsidP="004137E7">
            <w:pPr>
              <w:rPr>
                <w:bCs/>
                <w:sz w:val="22"/>
                <w:szCs w:val="22"/>
                <w:highlight w:val="yellow"/>
              </w:rPr>
            </w:pPr>
          </w:p>
          <w:p w14:paraId="4F7B031A" w14:textId="77777777" w:rsidR="004137E7" w:rsidRDefault="004137E7" w:rsidP="004137E7">
            <w:pPr>
              <w:rPr>
                <w:bCs/>
                <w:sz w:val="22"/>
                <w:szCs w:val="22"/>
                <w:highlight w:val="yellow"/>
              </w:rPr>
            </w:pPr>
          </w:p>
          <w:p w14:paraId="3D32ED4A" w14:textId="77777777" w:rsidR="004137E7" w:rsidRDefault="004137E7" w:rsidP="004137E7">
            <w:pPr>
              <w:rPr>
                <w:bCs/>
                <w:sz w:val="22"/>
                <w:szCs w:val="22"/>
                <w:highlight w:val="yellow"/>
              </w:rPr>
            </w:pPr>
          </w:p>
          <w:p w14:paraId="65C5F87D" w14:textId="77777777" w:rsidR="004137E7" w:rsidRDefault="004137E7" w:rsidP="004137E7">
            <w:pPr>
              <w:rPr>
                <w:bCs/>
                <w:sz w:val="22"/>
                <w:szCs w:val="22"/>
                <w:highlight w:val="yellow"/>
              </w:rPr>
            </w:pPr>
          </w:p>
          <w:p w14:paraId="76DAAD9F" w14:textId="77777777" w:rsidR="004137E7" w:rsidRDefault="004137E7" w:rsidP="004137E7">
            <w:pPr>
              <w:rPr>
                <w:bCs/>
                <w:sz w:val="22"/>
                <w:szCs w:val="22"/>
                <w:highlight w:val="yellow"/>
              </w:rPr>
            </w:pPr>
          </w:p>
          <w:p w14:paraId="1C24021E" w14:textId="77777777" w:rsidR="004137E7" w:rsidRDefault="004137E7" w:rsidP="004137E7">
            <w:pPr>
              <w:rPr>
                <w:bCs/>
                <w:sz w:val="22"/>
                <w:szCs w:val="22"/>
                <w:highlight w:val="yellow"/>
              </w:rPr>
            </w:pPr>
          </w:p>
          <w:p w14:paraId="2C720D1F" w14:textId="77777777" w:rsidR="004137E7" w:rsidRDefault="004137E7" w:rsidP="004137E7">
            <w:pPr>
              <w:rPr>
                <w:bCs/>
                <w:sz w:val="22"/>
                <w:szCs w:val="22"/>
                <w:highlight w:val="yellow"/>
              </w:rPr>
            </w:pPr>
          </w:p>
          <w:p w14:paraId="2E6E1808" w14:textId="77777777" w:rsidR="004137E7" w:rsidRPr="00C90CB8" w:rsidRDefault="004137E7" w:rsidP="004137E7">
            <w:pPr>
              <w:rPr>
                <w:b/>
                <w:bCs/>
                <w:sz w:val="22"/>
                <w:szCs w:val="22"/>
              </w:rPr>
            </w:pPr>
            <w:r w:rsidRPr="00C90CB8">
              <w:rPr>
                <w:b/>
                <w:bCs/>
                <w:sz w:val="22"/>
                <w:szCs w:val="22"/>
              </w:rPr>
              <w:t>Návrh</w:t>
            </w:r>
          </w:p>
          <w:p w14:paraId="509CC678" w14:textId="77777777" w:rsidR="004137E7" w:rsidRPr="00C90CB8" w:rsidRDefault="00C31BE1" w:rsidP="004137E7">
            <w:pPr>
              <w:rPr>
                <w:b/>
                <w:bCs/>
                <w:sz w:val="22"/>
                <w:szCs w:val="22"/>
              </w:rPr>
            </w:pPr>
            <w:r w:rsidRPr="00C90CB8">
              <w:rPr>
                <w:b/>
                <w:bCs/>
                <w:sz w:val="22"/>
                <w:szCs w:val="22"/>
              </w:rPr>
              <w:t>Čl. II</w:t>
            </w:r>
            <w:r w:rsidR="004137E7" w:rsidRPr="00C90CB8">
              <w:rPr>
                <w:b/>
                <w:bCs/>
                <w:sz w:val="22"/>
                <w:szCs w:val="22"/>
              </w:rPr>
              <w:t xml:space="preserve"> </w:t>
            </w:r>
          </w:p>
          <w:p w14:paraId="2976C216" w14:textId="265049D3" w:rsidR="004137E7" w:rsidRPr="00531286" w:rsidRDefault="00C90CB8" w:rsidP="004137E7">
            <w:pPr>
              <w:adjustRightInd w:val="0"/>
              <w:rPr>
                <w:color w:val="000000"/>
                <w:sz w:val="22"/>
                <w:szCs w:val="22"/>
              </w:rPr>
            </w:pPr>
            <w:r>
              <w:rPr>
                <w:b/>
                <w:bCs/>
                <w:sz w:val="22"/>
                <w:szCs w:val="22"/>
              </w:rPr>
              <w:t xml:space="preserve">Bod </w:t>
            </w:r>
            <w:r w:rsidR="001B5F0E">
              <w:rPr>
                <w:b/>
                <w:bCs/>
                <w:sz w:val="22"/>
                <w:szCs w:val="22"/>
              </w:rPr>
              <w:t>3</w:t>
            </w:r>
            <w:r w:rsidR="00055CC7">
              <w:rPr>
                <w:b/>
                <w:bCs/>
                <w:sz w:val="22"/>
                <w:szCs w:val="22"/>
              </w:rPr>
              <w:t>5</w:t>
            </w:r>
          </w:p>
          <w:p w14:paraId="4C008D53" w14:textId="77777777" w:rsidR="004137E7" w:rsidRDefault="004137E7" w:rsidP="004137E7">
            <w:pPr>
              <w:rPr>
                <w:bCs/>
                <w:sz w:val="22"/>
                <w:szCs w:val="22"/>
                <w:highlight w:val="yellow"/>
              </w:rPr>
            </w:pPr>
          </w:p>
          <w:p w14:paraId="4C3A7FFE" w14:textId="77777777" w:rsidR="004137E7" w:rsidRDefault="004137E7" w:rsidP="004137E7">
            <w:pPr>
              <w:rPr>
                <w:bCs/>
                <w:sz w:val="22"/>
                <w:szCs w:val="22"/>
                <w:highlight w:val="yellow"/>
              </w:rPr>
            </w:pPr>
          </w:p>
          <w:p w14:paraId="7B4D211D" w14:textId="77777777" w:rsidR="004137E7" w:rsidRDefault="004137E7" w:rsidP="004137E7">
            <w:pPr>
              <w:rPr>
                <w:bCs/>
                <w:sz w:val="22"/>
                <w:szCs w:val="22"/>
                <w:highlight w:val="yellow"/>
              </w:rPr>
            </w:pPr>
          </w:p>
          <w:p w14:paraId="58FC60AD" w14:textId="77777777" w:rsidR="004137E7" w:rsidRDefault="004137E7" w:rsidP="004137E7">
            <w:pPr>
              <w:rPr>
                <w:bCs/>
                <w:sz w:val="22"/>
                <w:szCs w:val="22"/>
                <w:highlight w:val="yellow"/>
              </w:rPr>
            </w:pPr>
          </w:p>
          <w:p w14:paraId="6515B286" w14:textId="77777777" w:rsidR="004137E7" w:rsidRDefault="004137E7" w:rsidP="004137E7">
            <w:pPr>
              <w:rPr>
                <w:bCs/>
                <w:sz w:val="22"/>
                <w:szCs w:val="22"/>
                <w:highlight w:val="yellow"/>
              </w:rPr>
            </w:pPr>
          </w:p>
          <w:p w14:paraId="70A168E2" w14:textId="77777777" w:rsidR="0002098D" w:rsidRDefault="0002098D" w:rsidP="004137E7">
            <w:pPr>
              <w:rPr>
                <w:bCs/>
                <w:sz w:val="22"/>
                <w:szCs w:val="22"/>
                <w:highlight w:val="yellow"/>
              </w:rPr>
            </w:pPr>
          </w:p>
          <w:p w14:paraId="0C6EAB2E" w14:textId="77777777" w:rsidR="004137E7" w:rsidRDefault="004137E7" w:rsidP="004137E7">
            <w:pPr>
              <w:rPr>
                <w:bCs/>
                <w:sz w:val="22"/>
                <w:szCs w:val="22"/>
                <w:highlight w:val="yellow"/>
              </w:rPr>
            </w:pPr>
          </w:p>
          <w:p w14:paraId="0CA9B7CA" w14:textId="77777777" w:rsidR="004137E7" w:rsidRDefault="004137E7" w:rsidP="004137E7">
            <w:pPr>
              <w:rPr>
                <w:bCs/>
                <w:sz w:val="22"/>
                <w:szCs w:val="22"/>
                <w:highlight w:val="yellow"/>
              </w:rPr>
            </w:pPr>
          </w:p>
          <w:p w14:paraId="65FC7D13" w14:textId="77777777" w:rsidR="004137E7" w:rsidRPr="00C90CB8" w:rsidRDefault="004137E7" w:rsidP="004137E7">
            <w:pPr>
              <w:rPr>
                <w:bCs/>
                <w:sz w:val="22"/>
                <w:szCs w:val="22"/>
              </w:rPr>
            </w:pPr>
          </w:p>
          <w:p w14:paraId="225720B0" w14:textId="77777777" w:rsidR="004137E7" w:rsidRPr="00C90CB8" w:rsidRDefault="004137E7" w:rsidP="004137E7">
            <w:pPr>
              <w:rPr>
                <w:b/>
                <w:bCs/>
                <w:sz w:val="22"/>
                <w:szCs w:val="22"/>
              </w:rPr>
            </w:pPr>
            <w:r w:rsidRPr="00C90CB8">
              <w:rPr>
                <w:b/>
                <w:bCs/>
                <w:sz w:val="22"/>
                <w:szCs w:val="22"/>
              </w:rPr>
              <w:t>Návrh</w:t>
            </w:r>
          </w:p>
          <w:p w14:paraId="038DD12A" w14:textId="77777777" w:rsidR="004137E7" w:rsidRPr="00C90CB8" w:rsidRDefault="004137E7" w:rsidP="004137E7">
            <w:pPr>
              <w:rPr>
                <w:b/>
                <w:bCs/>
                <w:sz w:val="22"/>
                <w:szCs w:val="22"/>
              </w:rPr>
            </w:pPr>
            <w:r w:rsidRPr="00C90CB8">
              <w:rPr>
                <w:b/>
                <w:bCs/>
                <w:sz w:val="22"/>
                <w:szCs w:val="22"/>
              </w:rPr>
              <w:t>Čl. I</w:t>
            </w:r>
            <w:r w:rsidR="00C31BE1" w:rsidRPr="00C90CB8">
              <w:rPr>
                <w:b/>
                <w:bCs/>
                <w:sz w:val="22"/>
                <w:szCs w:val="22"/>
              </w:rPr>
              <w:t>I</w:t>
            </w:r>
            <w:r w:rsidRPr="00C90CB8">
              <w:rPr>
                <w:b/>
                <w:bCs/>
                <w:sz w:val="22"/>
                <w:szCs w:val="22"/>
              </w:rPr>
              <w:t xml:space="preserve"> </w:t>
            </w:r>
          </w:p>
          <w:p w14:paraId="729DE7D6" w14:textId="63AFB758" w:rsidR="004137E7" w:rsidRPr="00531286" w:rsidRDefault="00C90CB8" w:rsidP="004137E7">
            <w:pPr>
              <w:adjustRightInd w:val="0"/>
              <w:rPr>
                <w:color w:val="000000"/>
                <w:sz w:val="22"/>
                <w:szCs w:val="22"/>
              </w:rPr>
            </w:pPr>
            <w:r w:rsidRPr="00C90CB8">
              <w:rPr>
                <w:b/>
                <w:bCs/>
                <w:sz w:val="22"/>
                <w:szCs w:val="22"/>
              </w:rPr>
              <w:t xml:space="preserve">Bod </w:t>
            </w:r>
            <w:r w:rsidR="00417C03">
              <w:rPr>
                <w:b/>
                <w:bCs/>
                <w:sz w:val="22"/>
                <w:szCs w:val="22"/>
              </w:rPr>
              <w:t>3</w:t>
            </w:r>
            <w:r w:rsidR="00055CC7">
              <w:rPr>
                <w:b/>
                <w:bCs/>
                <w:sz w:val="22"/>
                <w:szCs w:val="22"/>
              </w:rPr>
              <w:t>6</w:t>
            </w:r>
          </w:p>
          <w:p w14:paraId="2ED3E3B2" w14:textId="77777777" w:rsidR="004137E7" w:rsidRDefault="004137E7" w:rsidP="004137E7">
            <w:pPr>
              <w:rPr>
                <w:bCs/>
                <w:sz w:val="22"/>
                <w:szCs w:val="22"/>
                <w:highlight w:val="yellow"/>
              </w:rPr>
            </w:pPr>
          </w:p>
          <w:p w14:paraId="11D2ED52" w14:textId="77777777" w:rsidR="004137E7" w:rsidRDefault="004137E7" w:rsidP="004137E7">
            <w:pPr>
              <w:rPr>
                <w:bCs/>
                <w:sz w:val="22"/>
                <w:szCs w:val="22"/>
                <w:highlight w:val="yellow"/>
              </w:rPr>
            </w:pPr>
          </w:p>
          <w:p w14:paraId="63E72B78" w14:textId="77777777" w:rsidR="004137E7" w:rsidRDefault="004137E7" w:rsidP="004137E7">
            <w:pPr>
              <w:rPr>
                <w:bCs/>
                <w:sz w:val="22"/>
                <w:szCs w:val="22"/>
                <w:highlight w:val="yellow"/>
              </w:rPr>
            </w:pPr>
          </w:p>
          <w:p w14:paraId="367B7BC7" w14:textId="77777777" w:rsidR="004137E7" w:rsidRDefault="004137E7" w:rsidP="004137E7">
            <w:pPr>
              <w:rPr>
                <w:bCs/>
                <w:sz w:val="22"/>
                <w:szCs w:val="22"/>
                <w:highlight w:val="yellow"/>
              </w:rPr>
            </w:pPr>
          </w:p>
          <w:p w14:paraId="3A484B53" w14:textId="77777777" w:rsidR="004137E7" w:rsidRDefault="004137E7" w:rsidP="004137E7">
            <w:pPr>
              <w:rPr>
                <w:bCs/>
                <w:sz w:val="22"/>
                <w:szCs w:val="22"/>
                <w:highlight w:val="yellow"/>
              </w:rPr>
            </w:pPr>
          </w:p>
          <w:p w14:paraId="027E7451" w14:textId="77777777" w:rsidR="004137E7" w:rsidRDefault="004137E7" w:rsidP="004137E7">
            <w:pPr>
              <w:rPr>
                <w:bCs/>
                <w:sz w:val="22"/>
                <w:szCs w:val="22"/>
                <w:highlight w:val="yellow"/>
              </w:rPr>
            </w:pPr>
          </w:p>
          <w:p w14:paraId="4840EDA4" w14:textId="77777777" w:rsidR="004137E7" w:rsidRDefault="004137E7" w:rsidP="004137E7">
            <w:pPr>
              <w:rPr>
                <w:bCs/>
                <w:sz w:val="22"/>
                <w:szCs w:val="22"/>
                <w:highlight w:val="yellow"/>
              </w:rPr>
            </w:pPr>
          </w:p>
          <w:p w14:paraId="7DE9787B" w14:textId="77777777" w:rsidR="004137E7" w:rsidRDefault="004137E7" w:rsidP="004137E7">
            <w:pPr>
              <w:rPr>
                <w:bCs/>
                <w:sz w:val="22"/>
                <w:szCs w:val="22"/>
                <w:highlight w:val="yellow"/>
              </w:rPr>
            </w:pPr>
          </w:p>
          <w:p w14:paraId="00BFF79B" w14:textId="77777777" w:rsidR="004137E7" w:rsidRDefault="004137E7" w:rsidP="004137E7">
            <w:pPr>
              <w:rPr>
                <w:bCs/>
                <w:sz w:val="22"/>
                <w:szCs w:val="22"/>
                <w:highlight w:val="yellow"/>
              </w:rPr>
            </w:pPr>
          </w:p>
          <w:p w14:paraId="5F8A9E98" w14:textId="77777777" w:rsidR="004137E7" w:rsidRDefault="004137E7" w:rsidP="004137E7">
            <w:pPr>
              <w:rPr>
                <w:bCs/>
                <w:sz w:val="22"/>
                <w:szCs w:val="22"/>
                <w:highlight w:val="yellow"/>
              </w:rPr>
            </w:pPr>
          </w:p>
          <w:p w14:paraId="63F30A47" w14:textId="77777777" w:rsidR="004137E7" w:rsidRDefault="004137E7" w:rsidP="004137E7">
            <w:pPr>
              <w:rPr>
                <w:bCs/>
                <w:sz w:val="22"/>
                <w:szCs w:val="22"/>
                <w:highlight w:val="yellow"/>
              </w:rPr>
            </w:pPr>
          </w:p>
          <w:p w14:paraId="7DDE4205" w14:textId="77777777" w:rsidR="004137E7" w:rsidRDefault="004137E7" w:rsidP="004137E7">
            <w:pPr>
              <w:rPr>
                <w:bCs/>
                <w:sz w:val="22"/>
                <w:szCs w:val="22"/>
                <w:highlight w:val="yellow"/>
              </w:rPr>
            </w:pPr>
          </w:p>
          <w:p w14:paraId="5297C029" w14:textId="77777777" w:rsidR="004137E7" w:rsidRDefault="004137E7" w:rsidP="004137E7">
            <w:pPr>
              <w:rPr>
                <w:bCs/>
                <w:sz w:val="22"/>
                <w:szCs w:val="22"/>
                <w:highlight w:val="yellow"/>
              </w:rPr>
            </w:pPr>
          </w:p>
          <w:p w14:paraId="22B3D8F6" w14:textId="77777777" w:rsidR="004137E7" w:rsidRDefault="004137E7" w:rsidP="004137E7">
            <w:pPr>
              <w:rPr>
                <w:bCs/>
                <w:sz w:val="22"/>
                <w:szCs w:val="22"/>
                <w:highlight w:val="yellow"/>
              </w:rPr>
            </w:pPr>
          </w:p>
          <w:p w14:paraId="689716B4" w14:textId="77777777" w:rsidR="004137E7" w:rsidRDefault="004137E7" w:rsidP="004137E7">
            <w:pPr>
              <w:rPr>
                <w:bCs/>
                <w:sz w:val="22"/>
                <w:szCs w:val="22"/>
                <w:highlight w:val="yellow"/>
              </w:rPr>
            </w:pPr>
          </w:p>
          <w:p w14:paraId="074EE038" w14:textId="77777777" w:rsidR="009143D6" w:rsidRDefault="009143D6" w:rsidP="004137E7">
            <w:pPr>
              <w:rPr>
                <w:bCs/>
                <w:sz w:val="22"/>
                <w:szCs w:val="22"/>
                <w:highlight w:val="yellow"/>
              </w:rPr>
            </w:pPr>
          </w:p>
          <w:p w14:paraId="77FC7C3D" w14:textId="25DFBB74" w:rsidR="009143D6" w:rsidRDefault="009143D6" w:rsidP="004137E7">
            <w:pPr>
              <w:rPr>
                <w:bCs/>
                <w:sz w:val="22"/>
                <w:szCs w:val="22"/>
                <w:highlight w:val="yellow"/>
              </w:rPr>
            </w:pPr>
          </w:p>
          <w:p w14:paraId="1327188D" w14:textId="14C1283D" w:rsidR="00381C85" w:rsidRDefault="00381C85" w:rsidP="004137E7">
            <w:pPr>
              <w:rPr>
                <w:bCs/>
                <w:sz w:val="22"/>
                <w:szCs w:val="22"/>
                <w:highlight w:val="yellow"/>
              </w:rPr>
            </w:pPr>
          </w:p>
          <w:p w14:paraId="513172AB" w14:textId="77777777" w:rsidR="00381C85" w:rsidRDefault="00381C85" w:rsidP="004137E7">
            <w:pPr>
              <w:rPr>
                <w:bCs/>
                <w:sz w:val="22"/>
                <w:szCs w:val="22"/>
                <w:highlight w:val="yellow"/>
              </w:rPr>
            </w:pPr>
          </w:p>
          <w:p w14:paraId="59348F77" w14:textId="77777777" w:rsidR="001B5F0E" w:rsidRDefault="001B5F0E" w:rsidP="004137E7">
            <w:pPr>
              <w:rPr>
                <w:bCs/>
                <w:sz w:val="22"/>
                <w:szCs w:val="22"/>
                <w:highlight w:val="yellow"/>
              </w:rPr>
            </w:pPr>
          </w:p>
          <w:p w14:paraId="0DA72B76" w14:textId="77777777" w:rsidR="001B5F0E" w:rsidRDefault="001B5F0E" w:rsidP="004137E7">
            <w:pPr>
              <w:rPr>
                <w:bCs/>
                <w:sz w:val="22"/>
                <w:szCs w:val="22"/>
                <w:highlight w:val="yellow"/>
              </w:rPr>
            </w:pPr>
          </w:p>
          <w:p w14:paraId="320DE35B" w14:textId="77777777" w:rsidR="001B5F0E" w:rsidRDefault="001B5F0E" w:rsidP="004137E7">
            <w:pPr>
              <w:rPr>
                <w:bCs/>
                <w:sz w:val="22"/>
                <w:szCs w:val="22"/>
                <w:highlight w:val="yellow"/>
              </w:rPr>
            </w:pPr>
          </w:p>
          <w:p w14:paraId="317ABAF1" w14:textId="77777777" w:rsidR="0002098D" w:rsidRDefault="0002098D" w:rsidP="004137E7">
            <w:pPr>
              <w:rPr>
                <w:bCs/>
                <w:sz w:val="22"/>
                <w:szCs w:val="22"/>
                <w:highlight w:val="yellow"/>
              </w:rPr>
            </w:pPr>
          </w:p>
          <w:p w14:paraId="5906D270" w14:textId="77777777" w:rsidR="0002098D" w:rsidRDefault="0002098D" w:rsidP="004137E7">
            <w:pPr>
              <w:rPr>
                <w:bCs/>
                <w:sz w:val="22"/>
                <w:szCs w:val="22"/>
                <w:highlight w:val="yellow"/>
              </w:rPr>
            </w:pPr>
          </w:p>
          <w:p w14:paraId="48CF1D1A" w14:textId="77777777" w:rsidR="001B5F0E" w:rsidRDefault="001B5F0E" w:rsidP="004137E7">
            <w:pPr>
              <w:rPr>
                <w:bCs/>
                <w:sz w:val="22"/>
                <w:szCs w:val="22"/>
                <w:highlight w:val="yellow"/>
              </w:rPr>
            </w:pPr>
          </w:p>
          <w:p w14:paraId="452C82CC" w14:textId="77777777" w:rsidR="00417C03" w:rsidRDefault="00417C03" w:rsidP="004137E7">
            <w:pPr>
              <w:rPr>
                <w:bCs/>
                <w:sz w:val="22"/>
                <w:szCs w:val="22"/>
                <w:highlight w:val="yellow"/>
              </w:rPr>
            </w:pPr>
          </w:p>
          <w:p w14:paraId="151E7474" w14:textId="77777777" w:rsidR="00417C03" w:rsidRDefault="00417C03" w:rsidP="004137E7">
            <w:pPr>
              <w:rPr>
                <w:bCs/>
                <w:sz w:val="22"/>
                <w:szCs w:val="22"/>
                <w:highlight w:val="yellow"/>
              </w:rPr>
            </w:pPr>
          </w:p>
          <w:p w14:paraId="6D49DA1D" w14:textId="77777777" w:rsidR="00417C03" w:rsidRDefault="00417C03" w:rsidP="004137E7">
            <w:pPr>
              <w:rPr>
                <w:bCs/>
                <w:sz w:val="22"/>
                <w:szCs w:val="22"/>
                <w:highlight w:val="yellow"/>
              </w:rPr>
            </w:pPr>
          </w:p>
          <w:p w14:paraId="09FF2597" w14:textId="77777777" w:rsidR="00417C03" w:rsidRDefault="00417C03" w:rsidP="004137E7">
            <w:pPr>
              <w:rPr>
                <w:bCs/>
                <w:sz w:val="22"/>
                <w:szCs w:val="22"/>
                <w:highlight w:val="yellow"/>
              </w:rPr>
            </w:pPr>
          </w:p>
          <w:p w14:paraId="07CCE266" w14:textId="77777777" w:rsidR="00417C03" w:rsidRDefault="00417C03" w:rsidP="004137E7">
            <w:pPr>
              <w:rPr>
                <w:bCs/>
                <w:sz w:val="22"/>
                <w:szCs w:val="22"/>
                <w:highlight w:val="yellow"/>
              </w:rPr>
            </w:pPr>
          </w:p>
          <w:p w14:paraId="6FD29BBC" w14:textId="77777777" w:rsidR="00E16665" w:rsidRDefault="00E16665" w:rsidP="004137E7">
            <w:pPr>
              <w:adjustRightInd w:val="0"/>
              <w:rPr>
                <w:color w:val="000000"/>
                <w:sz w:val="22"/>
                <w:szCs w:val="22"/>
              </w:rPr>
            </w:pPr>
          </w:p>
          <w:p w14:paraId="2C371D55" w14:textId="41A4F187" w:rsidR="004137E7" w:rsidRPr="0049520B" w:rsidRDefault="004137E7" w:rsidP="004137E7">
            <w:pPr>
              <w:adjustRightInd w:val="0"/>
              <w:rPr>
                <w:color w:val="000000"/>
                <w:sz w:val="22"/>
                <w:szCs w:val="22"/>
              </w:rPr>
            </w:pPr>
            <w:r>
              <w:rPr>
                <w:color w:val="000000"/>
                <w:sz w:val="22"/>
                <w:szCs w:val="22"/>
              </w:rPr>
              <w:t>429</w:t>
            </w:r>
            <w:r w:rsidRPr="0049520B">
              <w:rPr>
                <w:color w:val="000000"/>
                <w:sz w:val="22"/>
                <w:szCs w:val="22"/>
              </w:rPr>
              <w:t>/2002</w:t>
            </w:r>
          </w:p>
          <w:p w14:paraId="596D1261" w14:textId="77777777" w:rsidR="004137E7" w:rsidRPr="0049520B" w:rsidRDefault="004137E7" w:rsidP="004137E7">
            <w:pPr>
              <w:rPr>
                <w:b/>
                <w:bCs/>
                <w:sz w:val="22"/>
                <w:szCs w:val="22"/>
              </w:rPr>
            </w:pPr>
            <w:r w:rsidRPr="0049520B">
              <w:rPr>
                <w:color w:val="000000"/>
                <w:sz w:val="22"/>
                <w:szCs w:val="22"/>
              </w:rPr>
              <w:t xml:space="preserve">a </w:t>
            </w:r>
            <w:r w:rsidRPr="0049520B">
              <w:rPr>
                <w:b/>
                <w:bCs/>
                <w:sz w:val="22"/>
                <w:szCs w:val="22"/>
              </w:rPr>
              <w:t>Návrh</w:t>
            </w:r>
          </w:p>
          <w:p w14:paraId="4866FE89" w14:textId="77777777" w:rsidR="004137E7" w:rsidRPr="0049520B" w:rsidRDefault="004137E7" w:rsidP="004137E7">
            <w:pPr>
              <w:rPr>
                <w:b/>
                <w:bCs/>
                <w:sz w:val="22"/>
                <w:szCs w:val="22"/>
              </w:rPr>
            </w:pPr>
            <w:r w:rsidRPr="0049520B">
              <w:rPr>
                <w:b/>
                <w:bCs/>
                <w:sz w:val="22"/>
                <w:szCs w:val="22"/>
              </w:rPr>
              <w:t xml:space="preserve">Čl. II. </w:t>
            </w:r>
          </w:p>
          <w:p w14:paraId="323FABCE" w14:textId="05EAE08E" w:rsidR="004137E7" w:rsidRPr="0049520B" w:rsidRDefault="00C90CB8" w:rsidP="004137E7">
            <w:pPr>
              <w:adjustRightInd w:val="0"/>
              <w:rPr>
                <w:color w:val="000000"/>
                <w:sz w:val="22"/>
                <w:szCs w:val="22"/>
              </w:rPr>
            </w:pPr>
            <w:r>
              <w:rPr>
                <w:b/>
                <w:bCs/>
                <w:sz w:val="22"/>
                <w:szCs w:val="22"/>
              </w:rPr>
              <w:lastRenderedPageBreak/>
              <w:t>Bod</w:t>
            </w:r>
            <w:r w:rsidR="00A25494">
              <w:rPr>
                <w:b/>
                <w:bCs/>
                <w:sz w:val="22"/>
                <w:szCs w:val="22"/>
              </w:rPr>
              <w:t>y</w:t>
            </w:r>
            <w:r>
              <w:rPr>
                <w:b/>
                <w:bCs/>
                <w:sz w:val="22"/>
                <w:szCs w:val="22"/>
              </w:rPr>
              <w:t xml:space="preserve"> </w:t>
            </w:r>
            <w:r w:rsidR="00417C03">
              <w:rPr>
                <w:b/>
                <w:bCs/>
                <w:sz w:val="22"/>
                <w:szCs w:val="22"/>
              </w:rPr>
              <w:t>3</w:t>
            </w:r>
            <w:r w:rsidR="00055CC7">
              <w:rPr>
                <w:b/>
                <w:bCs/>
                <w:sz w:val="22"/>
                <w:szCs w:val="22"/>
              </w:rPr>
              <w:t xml:space="preserve">7 </w:t>
            </w:r>
            <w:r w:rsidR="00417C03">
              <w:rPr>
                <w:b/>
                <w:bCs/>
                <w:sz w:val="22"/>
                <w:szCs w:val="22"/>
              </w:rPr>
              <w:t>a 3</w:t>
            </w:r>
            <w:r w:rsidR="00055CC7">
              <w:rPr>
                <w:b/>
                <w:bCs/>
                <w:sz w:val="22"/>
                <w:szCs w:val="22"/>
              </w:rPr>
              <w:t>8</w:t>
            </w:r>
          </w:p>
          <w:p w14:paraId="4FAED61A" w14:textId="77777777" w:rsidR="004137E7" w:rsidRPr="0049520B" w:rsidRDefault="004137E7" w:rsidP="004137E7">
            <w:pPr>
              <w:rPr>
                <w:bCs/>
                <w:sz w:val="22"/>
                <w:szCs w:val="22"/>
              </w:rPr>
            </w:pPr>
          </w:p>
          <w:p w14:paraId="01587C3D" w14:textId="77777777" w:rsidR="004137E7" w:rsidRPr="0049520B" w:rsidRDefault="004137E7" w:rsidP="004137E7">
            <w:pPr>
              <w:rPr>
                <w:bCs/>
                <w:sz w:val="22"/>
                <w:szCs w:val="22"/>
              </w:rPr>
            </w:pPr>
          </w:p>
          <w:p w14:paraId="3AA2ED01" w14:textId="77777777" w:rsidR="004137E7" w:rsidRPr="0049520B" w:rsidRDefault="004137E7" w:rsidP="004137E7">
            <w:pPr>
              <w:rPr>
                <w:bCs/>
                <w:sz w:val="22"/>
                <w:szCs w:val="22"/>
              </w:rPr>
            </w:pPr>
          </w:p>
          <w:p w14:paraId="176B05BA" w14:textId="77777777" w:rsidR="004137E7" w:rsidRPr="0049520B" w:rsidRDefault="004137E7" w:rsidP="004137E7">
            <w:pPr>
              <w:rPr>
                <w:bCs/>
                <w:sz w:val="22"/>
                <w:szCs w:val="22"/>
              </w:rPr>
            </w:pPr>
          </w:p>
          <w:p w14:paraId="7FC75EA6" w14:textId="77777777" w:rsidR="004137E7" w:rsidRPr="0049520B" w:rsidRDefault="004137E7" w:rsidP="004137E7">
            <w:pPr>
              <w:rPr>
                <w:bCs/>
                <w:sz w:val="22"/>
                <w:szCs w:val="22"/>
              </w:rPr>
            </w:pPr>
          </w:p>
          <w:p w14:paraId="1E86FB58" w14:textId="77777777" w:rsidR="004137E7" w:rsidRPr="0049520B" w:rsidRDefault="004137E7" w:rsidP="004137E7">
            <w:pPr>
              <w:rPr>
                <w:bCs/>
                <w:sz w:val="22"/>
                <w:szCs w:val="22"/>
              </w:rPr>
            </w:pPr>
          </w:p>
          <w:p w14:paraId="3B652E52" w14:textId="77777777" w:rsidR="004137E7" w:rsidRDefault="004137E7" w:rsidP="004137E7">
            <w:pPr>
              <w:rPr>
                <w:bCs/>
                <w:sz w:val="22"/>
                <w:szCs w:val="22"/>
              </w:rPr>
            </w:pPr>
          </w:p>
          <w:p w14:paraId="02F6F1EF" w14:textId="77777777" w:rsidR="001B5F0E" w:rsidRPr="0049520B" w:rsidRDefault="001B5F0E" w:rsidP="004137E7">
            <w:pPr>
              <w:rPr>
                <w:bCs/>
                <w:sz w:val="22"/>
                <w:szCs w:val="22"/>
              </w:rPr>
            </w:pPr>
          </w:p>
          <w:p w14:paraId="522E11B5" w14:textId="77777777" w:rsidR="004137E7" w:rsidRDefault="004137E7" w:rsidP="004137E7">
            <w:pPr>
              <w:rPr>
                <w:bCs/>
                <w:sz w:val="22"/>
                <w:szCs w:val="22"/>
              </w:rPr>
            </w:pPr>
          </w:p>
          <w:p w14:paraId="4C6A3341" w14:textId="77777777" w:rsidR="009143D6" w:rsidRDefault="009143D6" w:rsidP="004137E7">
            <w:pPr>
              <w:rPr>
                <w:color w:val="000000"/>
                <w:sz w:val="22"/>
                <w:szCs w:val="22"/>
              </w:rPr>
            </w:pPr>
          </w:p>
          <w:p w14:paraId="438EF9BD" w14:textId="77777777" w:rsidR="004137E7" w:rsidRPr="00A05183" w:rsidRDefault="004137E7" w:rsidP="004137E7">
            <w:pPr>
              <w:rPr>
                <w:b/>
                <w:bCs/>
                <w:sz w:val="22"/>
                <w:szCs w:val="22"/>
              </w:rPr>
            </w:pPr>
            <w:r w:rsidRPr="00A05183">
              <w:rPr>
                <w:b/>
                <w:bCs/>
                <w:sz w:val="22"/>
                <w:szCs w:val="22"/>
              </w:rPr>
              <w:t>Návrh</w:t>
            </w:r>
          </w:p>
          <w:p w14:paraId="5F0FAED6" w14:textId="77777777" w:rsidR="004137E7" w:rsidRPr="00A05183" w:rsidRDefault="009143D6" w:rsidP="004137E7">
            <w:pPr>
              <w:rPr>
                <w:b/>
                <w:bCs/>
                <w:sz w:val="22"/>
                <w:szCs w:val="22"/>
              </w:rPr>
            </w:pPr>
            <w:r w:rsidRPr="00A05183">
              <w:rPr>
                <w:b/>
                <w:bCs/>
                <w:sz w:val="22"/>
                <w:szCs w:val="22"/>
              </w:rPr>
              <w:t>Čl. II</w:t>
            </w:r>
          </w:p>
          <w:p w14:paraId="77B32626" w14:textId="45142B9E" w:rsidR="004137E7" w:rsidRPr="0049520B" w:rsidRDefault="00A05183" w:rsidP="004137E7">
            <w:pPr>
              <w:adjustRightInd w:val="0"/>
              <w:rPr>
                <w:color w:val="000000"/>
                <w:sz w:val="22"/>
                <w:szCs w:val="22"/>
              </w:rPr>
            </w:pPr>
            <w:r w:rsidRPr="00A05183">
              <w:rPr>
                <w:b/>
                <w:bCs/>
                <w:sz w:val="22"/>
                <w:szCs w:val="22"/>
              </w:rPr>
              <w:t xml:space="preserve">Bod </w:t>
            </w:r>
            <w:r w:rsidR="00055CC7">
              <w:rPr>
                <w:b/>
                <w:bCs/>
                <w:sz w:val="22"/>
                <w:szCs w:val="22"/>
              </w:rPr>
              <w:t>38</w:t>
            </w:r>
          </w:p>
          <w:p w14:paraId="2ECB7AEA" w14:textId="77777777" w:rsidR="004137E7" w:rsidRPr="0049520B" w:rsidRDefault="004137E7" w:rsidP="004137E7">
            <w:pPr>
              <w:rPr>
                <w:bCs/>
                <w:sz w:val="22"/>
                <w:szCs w:val="22"/>
              </w:rPr>
            </w:pPr>
          </w:p>
          <w:p w14:paraId="4F372744" w14:textId="77777777" w:rsidR="004137E7" w:rsidRDefault="004137E7" w:rsidP="004137E7">
            <w:pPr>
              <w:rPr>
                <w:bCs/>
                <w:sz w:val="22"/>
                <w:szCs w:val="22"/>
              </w:rPr>
            </w:pPr>
          </w:p>
          <w:p w14:paraId="11EA47C1" w14:textId="77777777" w:rsidR="004137E7" w:rsidRDefault="004137E7" w:rsidP="004137E7">
            <w:pPr>
              <w:rPr>
                <w:bCs/>
                <w:sz w:val="22"/>
                <w:szCs w:val="22"/>
              </w:rPr>
            </w:pPr>
          </w:p>
          <w:p w14:paraId="63CF67BD" w14:textId="77777777" w:rsidR="004137E7" w:rsidRDefault="004137E7" w:rsidP="004137E7">
            <w:pPr>
              <w:rPr>
                <w:bCs/>
                <w:sz w:val="22"/>
                <w:szCs w:val="22"/>
              </w:rPr>
            </w:pPr>
          </w:p>
          <w:p w14:paraId="26CBB972" w14:textId="77777777" w:rsidR="004137E7" w:rsidRDefault="004137E7" w:rsidP="004137E7">
            <w:pPr>
              <w:rPr>
                <w:bCs/>
                <w:sz w:val="22"/>
                <w:szCs w:val="22"/>
              </w:rPr>
            </w:pPr>
          </w:p>
          <w:p w14:paraId="21225819" w14:textId="212B1973" w:rsidR="004137E7" w:rsidRPr="00531286" w:rsidRDefault="004137E7" w:rsidP="004137E7">
            <w:pPr>
              <w:adjustRightInd w:val="0"/>
              <w:rPr>
                <w:color w:val="000000"/>
                <w:sz w:val="22"/>
                <w:szCs w:val="22"/>
              </w:rPr>
            </w:pPr>
          </w:p>
          <w:p w14:paraId="3D9A6EE7" w14:textId="77777777" w:rsidR="004137E7" w:rsidRPr="00531286" w:rsidRDefault="004137E7" w:rsidP="004137E7">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689D7A1E" w14:textId="77777777" w:rsidR="004137E7" w:rsidRPr="00531286" w:rsidRDefault="004137E7" w:rsidP="004137E7">
            <w:pPr>
              <w:jc w:val="center"/>
              <w:rPr>
                <w:b/>
                <w:sz w:val="22"/>
                <w:szCs w:val="22"/>
                <w:highlight w:val="yellow"/>
              </w:rPr>
            </w:pPr>
          </w:p>
          <w:p w14:paraId="7C62C7CE" w14:textId="77777777" w:rsidR="004137E7" w:rsidRPr="00531286" w:rsidRDefault="004137E7" w:rsidP="004137E7">
            <w:pPr>
              <w:jc w:val="center"/>
              <w:rPr>
                <w:b/>
                <w:sz w:val="22"/>
                <w:szCs w:val="22"/>
              </w:rPr>
            </w:pPr>
            <w:r w:rsidRPr="00531286">
              <w:rPr>
                <w:b/>
                <w:sz w:val="22"/>
                <w:szCs w:val="22"/>
              </w:rPr>
              <w:t>§</w:t>
            </w:r>
            <w:r>
              <w:rPr>
                <w:b/>
                <w:sz w:val="22"/>
                <w:szCs w:val="22"/>
              </w:rPr>
              <w:t xml:space="preserve"> 57b</w:t>
            </w:r>
          </w:p>
          <w:p w14:paraId="74983427" w14:textId="77777777" w:rsidR="004137E7" w:rsidRDefault="004137E7" w:rsidP="004137E7">
            <w:pPr>
              <w:jc w:val="center"/>
              <w:rPr>
                <w:b/>
                <w:sz w:val="22"/>
                <w:szCs w:val="22"/>
              </w:rPr>
            </w:pPr>
            <w:r w:rsidRPr="00531286">
              <w:rPr>
                <w:b/>
                <w:sz w:val="22"/>
                <w:szCs w:val="22"/>
              </w:rPr>
              <w:t xml:space="preserve">O: </w:t>
            </w:r>
            <w:r>
              <w:rPr>
                <w:b/>
                <w:sz w:val="22"/>
                <w:szCs w:val="22"/>
              </w:rPr>
              <w:t>1</w:t>
            </w:r>
          </w:p>
          <w:p w14:paraId="625C0E04" w14:textId="141CFE00" w:rsidR="00E64813" w:rsidRDefault="0002098D" w:rsidP="00E64813">
            <w:pPr>
              <w:jc w:val="center"/>
              <w:rPr>
                <w:b/>
                <w:sz w:val="22"/>
                <w:szCs w:val="22"/>
              </w:rPr>
            </w:pPr>
            <w:r>
              <w:rPr>
                <w:b/>
                <w:sz w:val="22"/>
                <w:szCs w:val="22"/>
              </w:rPr>
              <w:t xml:space="preserve"> </w:t>
            </w:r>
          </w:p>
          <w:p w14:paraId="0E15A200" w14:textId="77777777" w:rsidR="004137E7" w:rsidRDefault="004137E7" w:rsidP="004137E7">
            <w:pPr>
              <w:jc w:val="center"/>
              <w:rPr>
                <w:b/>
                <w:sz w:val="22"/>
                <w:szCs w:val="22"/>
              </w:rPr>
            </w:pPr>
          </w:p>
          <w:p w14:paraId="58D14A77" w14:textId="77777777" w:rsidR="004137E7" w:rsidRDefault="004137E7" w:rsidP="004137E7">
            <w:pPr>
              <w:jc w:val="center"/>
              <w:rPr>
                <w:b/>
                <w:sz w:val="22"/>
                <w:szCs w:val="22"/>
              </w:rPr>
            </w:pPr>
          </w:p>
          <w:p w14:paraId="70229C28" w14:textId="77777777" w:rsidR="004137E7" w:rsidRDefault="004137E7" w:rsidP="004137E7">
            <w:pPr>
              <w:jc w:val="center"/>
              <w:rPr>
                <w:b/>
                <w:sz w:val="22"/>
                <w:szCs w:val="22"/>
              </w:rPr>
            </w:pPr>
          </w:p>
          <w:p w14:paraId="7ACD9E11" w14:textId="77777777" w:rsidR="004137E7" w:rsidRPr="00531286" w:rsidRDefault="004137E7" w:rsidP="004137E7">
            <w:pPr>
              <w:jc w:val="center"/>
              <w:rPr>
                <w:b/>
                <w:sz w:val="22"/>
                <w:szCs w:val="22"/>
              </w:rPr>
            </w:pPr>
            <w:r w:rsidRPr="00531286">
              <w:rPr>
                <w:b/>
                <w:sz w:val="22"/>
                <w:szCs w:val="22"/>
              </w:rPr>
              <w:t>§</w:t>
            </w:r>
            <w:r>
              <w:rPr>
                <w:b/>
                <w:sz w:val="22"/>
                <w:szCs w:val="22"/>
              </w:rPr>
              <w:t xml:space="preserve"> 57b</w:t>
            </w:r>
          </w:p>
          <w:p w14:paraId="3D35F5FA" w14:textId="77777777" w:rsidR="004137E7" w:rsidRDefault="004137E7" w:rsidP="004137E7">
            <w:pPr>
              <w:jc w:val="center"/>
              <w:rPr>
                <w:b/>
                <w:sz w:val="22"/>
                <w:szCs w:val="22"/>
              </w:rPr>
            </w:pPr>
            <w:r w:rsidRPr="00531286">
              <w:rPr>
                <w:b/>
                <w:sz w:val="22"/>
                <w:szCs w:val="22"/>
              </w:rPr>
              <w:t xml:space="preserve">O: </w:t>
            </w:r>
            <w:r>
              <w:rPr>
                <w:b/>
                <w:sz w:val="22"/>
                <w:szCs w:val="22"/>
              </w:rPr>
              <w:t>1</w:t>
            </w:r>
          </w:p>
          <w:p w14:paraId="5A2A3EC7" w14:textId="77777777" w:rsidR="004137E7" w:rsidRDefault="004137E7" w:rsidP="004137E7">
            <w:pPr>
              <w:jc w:val="center"/>
              <w:rPr>
                <w:b/>
                <w:sz w:val="22"/>
                <w:szCs w:val="22"/>
              </w:rPr>
            </w:pPr>
            <w:r>
              <w:rPr>
                <w:b/>
                <w:sz w:val="22"/>
                <w:szCs w:val="22"/>
              </w:rPr>
              <w:t>P: a</w:t>
            </w:r>
          </w:p>
          <w:p w14:paraId="21B732A9" w14:textId="77777777" w:rsidR="004137E7" w:rsidRDefault="004137E7" w:rsidP="004137E7">
            <w:pPr>
              <w:jc w:val="center"/>
              <w:rPr>
                <w:b/>
                <w:sz w:val="22"/>
                <w:szCs w:val="22"/>
              </w:rPr>
            </w:pPr>
          </w:p>
          <w:p w14:paraId="0C1F331F" w14:textId="77777777" w:rsidR="004137E7" w:rsidRDefault="004137E7" w:rsidP="004137E7">
            <w:pPr>
              <w:jc w:val="center"/>
              <w:rPr>
                <w:b/>
                <w:sz w:val="22"/>
                <w:szCs w:val="22"/>
              </w:rPr>
            </w:pPr>
          </w:p>
          <w:p w14:paraId="23F8E8CE" w14:textId="77777777" w:rsidR="004137E7" w:rsidRDefault="004137E7" w:rsidP="004137E7">
            <w:pPr>
              <w:jc w:val="center"/>
              <w:rPr>
                <w:b/>
                <w:sz w:val="22"/>
                <w:szCs w:val="22"/>
              </w:rPr>
            </w:pPr>
          </w:p>
          <w:p w14:paraId="1F07F7B0" w14:textId="77777777" w:rsidR="004137E7" w:rsidRDefault="004137E7" w:rsidP="004137E7">
            <w:pPr>
              <w:jc w:val="center"/>
              <w:rPr>
                <w:b/>
                <w:sz w:val="22"/>
                <w:szCs w:val="22"/>
              </w:rPr>
            </w:pPr>
          </w:p>
          <w:p w14:paraId="0FB5CE0B" w14:textId="77777777" w:rsidR="004137E7" w:rsidRDefault="004137E7" w:rsidP="004137E7">
            <w:pPr>
              <w:jc w:val="center"/>
              <w:rPr>
                <w:b/>
                <w:sz w:val="22"/>
                <w:szCs w:val="22"/>
              </w:rPr>
            </w:pPr>
          </w:p>
          <w:p w14:paraId="4CAE2AD3" w14:textId="77777777" w:rsidR="004137E7" w:rsidRDefault="004137E7" w:rsidP="004137E7">
            <w:pPr>
              <w:jc w:val="center"/>
              <w:rPr>
                <w:b/>
                <w:sz w:val="22"/>
                <w:szCs w:val="22"/>
              </w:rPr>
            </w:pPr>
          </w:p>
          <w:p w14:paraId="50ADCEA5" w14:textId="77777777" w:rsidR="004137E7" w:rsidRDefault="004137E7" w:rsidP="004137E7">
            <w:pPr>
              <w:jc w:val="center"/>
              <w:rPr>
                <w:b/>
                <w:sz w:val="22"/>
                <w:szCs w:val="22"/>
              </w:rPr>
            </w:pPr>
          </w:p>
          <w:p w14:paraId="36DD82A8" w14:textId="77777777" w:rsidR="004137E7" w:rsidRDefault="004137E7" w:rsidP="004137E7">
            <w:pPr>
              <w:jc w:val="center"/>
              <w:rPr>
                <w:b/>
                <w:sz w:val="22"/>
                <w:szCs w:val="22"/>
              </w:rPr>
            </w:pPr>
          </w:p>
          <w:p w14:paraId="6AEA4464" w14:textId="77777777" w:rsidR="004137E7" w:rsidRDefault="004137E7" w:rsidP="004137E7">
            <w:pPr>
              <w:jc w:val="center"/>
              <w:rPr>
                <w:b/>
                <w:sz w:val="22"/>
                <w:szCs w:val="22"/>
              </w:rPr>
            </w:pPr>
          </w:p>
          <w:p w14:paraId="384E969B" w14:textId="77777777" w:rsidR="004137E7" w:rsidRDefault="004137E7" w:rsidP="004137E7">
            <w:pPr>
              <w:jc w:val="center"/>
              <w:rPr>
                <w:b/>
                <w:sz w:val="22"/>
                <w:szCs w:val="22"/>
              </w:rPr>
            </w:pPr>
          </w:p>
          <w:p w14:paraId="39F48FE7" w14:textId="77777777" w:rsidR="004137E7" w:rsidRDefault="004137E7" w:rsidP="004137E7">
            <w:pPr>
              <w:jc w:val="center"/>
              <w:rPr>
                <w:b/>
                <w:sz w:val="22"/>
                <w:szCs w:val="22"/>
              </w:rPr>
            </w:pPr>
          </w:p>
          <w:p w14:paraId="7641515A" w14:textId="77777777" w:rsidR="004137E7" w:rsidRDefault="004137E7" w:rsidP="004137E7">
            <w:pPr>
              <w:jc w:val="center"/>
              <w:rPr>
                <w:b/>
                <w:sz w:val="22"/>
                <w:szCs w:val="22"/>
              </w:rPr>
            </w:pPr>
          </w:p>
          <w:p w14:paraId="42DAF1FD" w14:textId="77777777" w:rsidR="004137E7" w:rsidRDefault="004137E7" w:rsidP="004137E7">
            <w:pPr>
              <w:jc w:val="center"/>
              <w:rPr>
                <w:b/>
                <w:sz w:val="22"/>
                <w:szCs w:val="22"/>
              </w:rPr>
            </w:pPr>
          </w:p>
          <w:p w14:paraId="64826055" w14:textId="77777777" w:rsidR="004137E7" w:rsidRDefault="004137E7" w:rsidP="004137E7">
            <w:pPr>
              <w:jc w:val="center"/>
              <w:rPr>
                <w:b/>
                <w:sz w:val="22"/>
                <w:szCs w:val="22"/>
              </w:rPr>
            </w:pPr>
          </w:p>
          <w:p w14:paraId="78B68C85" w14:textId="77777777" w:rsidR="004137E7" w:rsidRDefault="004137E7" w:rsidP="004137E7">
            <w:pPr>
              <w:jc w:val="center"/>
              <w:rPr>
                <w:b/>
                <w:sz w:val="22"/>
                <w:szCs w:val="22"/>
              </w:rPr>
            </w:pPr>
          </w:p>
          <w:p w14:paraId="0E39BCE3" w14:textId="77777777" w:rsidR="004137E7" w:rsidRDefault="004137E7" w:rsidP="004137E7">
            <w:pPr>
              <w:jc w:val="center"/>
              <w:rPr>
                <w:b/>
                <w:sz w:val="22"/>
                <w:szCs w:val="22"/>
              </w:rPr>
            </w:pPr>
          </w:p>
          <w:p w14:paraId="580FF999" w14:textId="77777777" w:rsidR="004137E7" w:rsidRDefault="004137E7" w:rsidP="004137E7">
            <w:pPr>
              <w:jc w:val="center"/>
              <w:rPr>
                <w:b/>
                <w:sz w:val="22"/>
                <w:szCs w:val="22"/>
              </w:rPr>
            </w:pPr>
          </w:p>
          <w:p w14:paraId="0AFAA1A8" w14:textId="77777777" w:rsidR="004137E7" w:rsidRDefault="004137E7" w:rsidP="004137E7">
            <w:pPr>
              <w:jc w:val="center"/>
              <w:rPr>
                <w:b/>
                <w:sz w:val="22"/>
                <w:szCs w:val="22"/>
              </w:rPr>
            </w:pPr>
          </w:p>
          <w:p w14:paraId="4C185963" w14:textId="77777777" w:rsidR="004137E7" w:rsidRDefault="004137E7" w:rsidP="004137E7">
            <w:pPr>
              <w:jc w:val="center"/>
              <w:rPr>
                <w:b/>
                <w:sz w:val="22"/>
                <w:szCs w:val="22"/>
              </w:rPr>
            </w:pPr>
          </w:p>
          <w:p w14:paraId="5D29FD03" w14:textId="77777777" w:rsidR="004137E7" w:rsidRPr="001B5F0E" w:rsidRDefault="004137E7" w:rsidP="004137E7">
            <w:pPr>
              <w:jc w:val="center"/>
              <w:rPr>
                <w:b/>
                <w:sz w:val="22"/>
                <w:szCs w:val="22"/>
              </w:rPr>
            </w:pPr>
            <w:r w:rsidRPr="001B5F0E">
              <w:rPr>
                <w:b/>
                <w:sz w:val="22"/>
                <w:szCs w:val="22"/>
              </w:rPr>
              <w:t>§ 57b</w:t>
            </w:r>
          </w:p>
          <w:p w14:paraId="2EDC31F6" w14:textId="77777777" w:rsidR="004137E7" w:rsidRPr="001B5F0E" w:rsidRDefault="004137E7" w:rsidP="004137E7">
            <w:pPr>
              <w:jc w:val="center"/>
              <w:rPr>
                <w:b/>
                <w:sz w:val="22"/>
                <w:szCs w:val="22"/>
              </w:rPr>
            </w:pPr>
            <w:r w:rsidRPr="001B5F0E">
              <w:rPr>
                <w:b/>
                <w:sz w:val="22"/>
                <w:szCs w:val="22"/>
              </w:rPr>
              <w:t>O: 2</w:t>
            </w:r>
          </w:p>
          <w:p w14:paraId="507563FD" w14:textId="36C52254" w:rsidR="004137E7" w:rsidRPr="001B5F0E" w:rsidRDefault="00E64813" w:rsidP="004137E7">
            <w:pPr>
              <w:jc w:val="center"/>
              <w:rPr>
                <w:b/>
                <w:sz w:val="22"/>
                <w:szCs w:val="22"/>
              </w:rPr>
            </w:pPr>
            <w:r w:rsidRPr="001B5F0E">
              <w:rPr>
                <w:b/>
                <w:sz w:val="22"/>
                <w:szCs w:val="22"/>
              </w:rPr>
              <w:t>posledná veta</w:t>
            </w:r>
          </w:p>
          <w:p w14:paraId="4289AE89" w14:textId="77777777" w:rsidR="004137E7" w:rsidRDefault="004137E7" w:rsidP="004137E7">
            <w:pPr>
              <w:jc w:val="center"/>
              <w:rPr>
                <w:b/>
                <w:sz w:val="22"/>
                <w:szCs w:val="22"/>
                <w:highlight w:val="yellow"/>
              </w:rPr>
            </w:pPr>
          </w:p>
          <w:p w14:paraId="36F99E81" w14:textId="77777777" w:rsidR="004137E7" w:rsidRDefault="004137E7" w:rsidP="004137E7">
            <w:pPr>
              <w:jc w:val="center"/>
              <w:rPr>
                <w:b/>
                <w:sz w:val="22"/>
                <w:szCs w:val="22"/>
                <w:highlight w:val="yellow"/>
              </w:rPr>
            </w:pPr>
          </w:p>
          <w:p w14:paraId="21428173" w14:textId="77777777" w:rsidR="004137E7" w:rsidRDefault="004137E7" w:rsidP="004137E7">
            <w:pPr>
              <w:jc w:val="center"/>
              <w:rPr>
                <w:b/>
                <w:sz w:val="22"/>
                <w:szCs w:val="22"/>
                <w:highlight w:val="yellow"/>
              </w:rPr>
            </w:pPr>
          </w:p>
          <w:p w14:paraId="0F6CD04D" w14:textId="77777777" w:rsidR="004137E7" w:rsidRDefault="004137E7" w:rsidP="004137E7">
            <w:pPr>
              <w:jc w:val="center"/>
              <w:rPr>
                <w:b/>
                <w:sz w:val="22"/>
                <w:szCs w:val="22"/>
                <w:highlight w:val="yellow"/>
              </w:rPr>
            </w:pPr>
          </w:p>
          <w:p w14:paraId="4CC0F46B" w14:textId="77777777" w:rsidR="001B5F0E" w:rsidRDefault="001B5F0E" w:rsidP="004137E7">
            <w:pPr>
              <w:jc w:val="center"/>
              <w:rPr>
                <w:b/>
                <w:sz w:val="22"/>
                <w:szCs w:val="22"/>
                <w:highlight w:val="yellow"/>
              </w:rPr>
            </w:pPr>
          </w:p>
          <w:p w14:paraId="0F7CF34C" w14:textId="77777777" w:rsidR="0002098D" w:rsidRDefault="0002098D" w:rsidP="004137E7">
            <w:pPr>
              <w:jc w:val="center"/>
              <w:rPr>
                <w:b/>
                <w:sz w:val="22"/>
                <w:szCs w:val="22"/>
                <w:highlight w:val="yellow"/>
              </w:rPr>
            </w:pPr>
          </w:p>
          <w:p w14:paraId="3A57D3B3" w14:textId="77777777" w:rsidR="0002098D" w:rsidRDefault="0002098D" w:rsidP="004137E7">
            <w:pPr>
              <w:jc w:val="center"/>
              <w:rPr>
                <w:b/>
                <w:sz w:val="22"/>
                <w:szCs w:val="22"/>
                <w:highlight w:val="yellow"/>
              </w:rPr>
            </w:pPr>
          </w:p>
          <w:p w14:paraId="25D4E621" w14:textId="27D28CCD" w:rsidR="004137E7" w:rsidRDefault="004137E7" w:rsidP="00381C85">
            <w:pPr>
              <w:rPr>
                <w:b/>
                <w:sz w:val="22"/>
                <w:szCs w:val="22"/>
                <w:highlight w:val="yellow"/>
              </w:rPr>
            </w:pPr>
          </w:p>
          <w:p w14:paraId="738D52EE" w14:textId="77777777" w:rsidR="004137E7" w:rsidRPr="00531286" w:rsidRDefault="004137E7" w:rsidP="004137E7">
            <w:pPr>
              <w:jc w:val="center"/>
              <w:rPr>
                <w:b/>
                <w:sz w:val="22"/>
                <w:szCs w:val="22"/>
              </w:rPr>
            </w:pPr>
            <w:r w:rsidRPr="00531286">
              <w:rPr>
                <w:b/>
                <w:sz w:val="22"/>
                <w:szCs w:val="22"/>
              </w:rPr>
              <w:t>§</w:t>
            </w:r>
            <w:r>
              <w:rPr>
                <w:b/>
                <w:sz w:val="22"/>
                <w:szCs w:val="22"/>
              </w:rPr>
              <w:t xml:space="preserve"> 57b</w:t>
            </w:r>
          </w:p>
          <w:p w14:paraId="0FB37797" w14:textId="77777777" w:rsidR="004137E7" w:rsidRDefault="004137E7" w:rsidP="004137E7">
            <w:pPr>
              <w:jc w:val="center"/>
              <w:rPr>
                <w:b/>
                <w:sz w:val="22"/>
                <w:szCs w:val="22"/>
              </w:rPr>
            </w:pPr>
            <w:r w:rsidRPr="00531286">
              <w:rPr>
                <w:b/>
                <w:sz w:val="22"/>
                <w:szCs w:val="22"/>
              </w:rPr>
              <w:t xml:space="preserve">O: </w:t>
            </w:r>
            <w:r>
              <w:rPr>
                <w:b/>
                <w:sz w:val="22"/>
                <w:szCs w:val="22"/>
              </w:rPr>
              <w:t>3</w:t>
            </w:r>
          </w:p>
          <w:p w14:paraId="72FF8A88" w14:textId="77777777" w:rsidR="004137E7" w:rsidRDefault="004137E7" w:rsidP="004137E7">
            <w:pPr>
              <w:jc w:val="center"/>
              <w:rPr>
                <w:b/>
                <w:sz w:val="22"/>
                <w:szCs w:val="22"/>
                <w:highlight w:val="yellow"/>
              </w:rPr>
            </w:pPr>
          </w:p>
          <w:p w14:paraId="507289D4" w14:textId="77777777" w:rsidR="004137E7" w:rsidRDefault="004137E7" w:rsidP="004137E7">
            <w:pPr>
              <w:jc w:val="center"/>
              <w:rPr>
                <w:b/>
                <w:sz w:val="22"/>
                <w:szCs w:val="22"/>
                <w:highlight w:val="yellow"/>
              </w:rPr>
            </w:pPr>
          </w:p>
          <w:p w14:paraId="551E5EC2" w14:textId="77777777" w:rsidR="004137E7" w:rsidRDefault="004137E7" w:rsidP="004137E7">
            <w:pPr>
              <w:jc w:val="center"/>
              <w:rPr>
                <w:b/>
                <w:sz w:val="22"/>
                <w:szCs w:val="22"/>
                <w:highlight w:val="yellow"/>
              </w:rPr>
            </w:pPr>
          </w:p>
          <w:p w14:paraId="09262307" w14:textId="77777777" w:rsidR="004137E7" w:rsidRDefault="004137E7" w:rsidP="004137E7">
            <w:pPr>
              <w:jc w:val="center"/>
              <w:rPr>
                <w:b/>
                <w:sz w:val="22"/>
                <w:szCs w:val="22"/>
                <w:highlight w:val="yellow"/>
              </w:rPr>
            </w:pPr>
          </w:p>
          <w:p w14:paraId="171A8243" w14:textId="77777777" w:rsidR="004137E7" w:rsidRDefault="004137E7" w:rsidP="004137E7">
            <w:pPr>
              <w:jc w:val="center"/>
              <w:rPr>
                <w:b/>
                <w:sz w:val="22"/>
                <w:szCs w:val="22"/>
                <w:highlight w:val="yellow"/>
              </w:rPr>
            </w:pPr>
          </w:p>
          <w:p w14:paraId="6F03F916" w14:textId="77777777" w:rsidR="004137E7" w:rsidRDefault="004137E7" w:rsidP="004137E7">
            <w:pPr>
              <w:jc w:val="center"/>
              <w:rPr>
                <w:b/>
                <w:sz w:val="22"/>
                <w:szCs w:val="22"/>
                <w:highlight w:val="yellow"/>
              </w:rPr>
            </w:pPr>
          </w:p>
          <w:p w14:paraId="0677BC67" w14:textId="77777777" w:rsidR="004137E7" w:rsidRDefault="004137E7" w:rsidP="004137E7">
            <w:pPr>
              <w:jc w:val="center"/>
              <w:rPr>
                <w:b/>
                <w:sz w:val="22"/>
                <w:szCs w:val="22"/>
                <w:highlight w:val="yellow"/>
              </w:rPr>
            </w:pPr>
          </w:p>
          <w:p w14:paraId="3A837530" w14:textId="77777777" w:rsidR="004137E7" w:rsidRDefault="004137E7" w:rsidP="004137E7">
            <w:pPr>
              <w:jc w:val="center"/>
              <w:rPr>
                <w:b/>
                <w:sz w:val="22"/>
                <w:szCs w:val="22"/>
                <w:highlight w:val="yellow"/>
              </w:rPr>
            </w:pPr>
          </w:p>
          <w:p w14:paraId="60338E00" w14:textId="77777777" w:rsidR="004137E7" w:rsidRDefault="004137E7" w:rsidP="004137E7">
            <w:pPr>
              <w:jc w:val="center"/>
              <w:rPr>
                <w:b/>
                <w:sz w:val="22"/>
                <w:szCs w:val="22"/>
                <w:highlight w:val="yellow"/>
              </w:rPr>
            </w:pPr>
          </w:p>
          <w:p w14:paraId="34DB6E7E" w14:textId="77777777" w:rsidR="004137E7" w:rsidRDefault="004137E7" w:rsidP="004137E7">
            <w:pPr>
              <w:jc w:val="center"/>
              <w:rPr>
                <w:b/>
                <w:sz w:val="22"/>
                <w:szCs w:val="22"/>
                <w:highlight w:val="yellow"/>
              </w:rPr>
            </w:pPr>
          </w:p>
          <w:p w14:paraId="612A9F1A" w14:textId="77777777" w:rsidR="004137E7" w:rsidRDefault="004137E7" w:rsidP="004137E7">
            <w:pPr>
              <w:jc w:val="center"/>
              <w:rPr>
                <w:b/>
                <w:sz w:val="22"/>
                <w:szCs w:val="22"/>
                <w:highlight w:val="yellow"/>
              </w:rPr>
            </w:pPr>
          </w:p>
          <w:p w14:paraId="3B26A5A7" w14:textId="77777777" w:rsidR="004137E7" w:rsidRDefault="004137E7" w:rsidP="004137E7">
            <w:pPr>
              <w:jc w:val="center"/>
              <w:rPr>
                <w:b/>
                <w:sz w:val="22"/>
                <w:szCs w:val="22"/>
                <w:highlight w:val="yellow"/>
              </w:rPr>
            </w:pPr>
          </w:p>
          <w:p w14:paraId="54ADBF26" w14:textId="77777777" w:rsidR="004137E7" w:rsidRDefault="004137E7" w:rsidP="004137E7">
            <w:pPr>
              <w:jc w:val="center"/>
              <w:rPr>
                <w:b/>
                <w:sz w:val="22"/>
                <w:szCs w:val="22"/>
                <w:highlight w:val="yellow"/>
              </w:rPr>
            </w:pPr>
          </w:p>
          <w:p w14:paraId="288AF996" w14:textId="0075CAE3" w:rsidR="004137E7" w:rsidRDefault="004137E7" w:rsidP="004137E7">
            <w:pPr>
              <w:jc w:val="center"/>
              <w:rPr>
                <w:b/>
                <w:sz w:val="22"/>
                <w:szCs w:val="22"/>
                <w:highlight w:val="yellow"/>
              </w:rPr>
            </w:pPr>
          </w:p>
          <w:p w14:paraId="41F51080" w14:textId="175759A7" w:rsidR="00381C85" w:rsidRDefault="00381C85" w:rsidP="004137E7">
            <w:pPr>
              <w:jc w:val="center"/>
              <w:rPr>
                <w:b/>
                <w:sz w:val="22"/>
                <w:szCs w:val="22"/>
                <w:highlight w:val="yellow"/>
              </w:rPr>
            </w:pPr>
          </w:p>
          <w:p w14:paraId="0D17148B" w14:textId="3CF9E56D" w:rsidR="00381C85" w:rsidRDefault="00381C85" w:rsidP="004137E7">
            <w:pPr>
              <w:jc w:val="center"/>
              <w:rPr>
                <w:b/>
                <w:sz w:val="22"/>
                <w:szCs w:val="22"/>
                <w:highlight w:val="yellow"/>
              </w:rPr>
            </w:pPr>
          </w:p>
          <w:p w14:paraId="59E34889" w14:textId="77777777" w:rsidR="00381C85" w:rsidRDefault="00381C85" w:rsidP="004137E7">
            <w:pPr>
              <w:jc w:val="center"/>
              <w:rPr>
                <w:b/>
                <w:sz w:val="22"/>
                <w:szCs w:val="22"/>
                <w:highlight w:val="yellow"/>
              </w:rPr>
            </w:pPr>
          </w:p>
          <w:p w14:paraId="7695AEBB" w14:textId="72378F9C" w:rsidR="004137E7" w:rsidRDefault="004137E7" w:rsidP="004137E7">
            <w:pPr>
              <w:jc w:val="center"/>
              <w:rPr>
                <w:b/>
                <w:sz w:val="22"/>
                <w:szCs w:val="22"/>
                <w:highlight w:val="yellow"/>
              </w:rPr>
            </w:pPr>
          </w:p>
          <w:p w14:paraId="588D506D" w14:textId="6E3ABB84" w:rsidR="00381C85" w:rsidRDefault="00381C85" w:rsidP="004137E7">
            <w:pPr>
              <w:jc w:val="center"/>
              <w:rPr>
                <w:b/>
                <w:sz w:val="22"/>
                <w:szCs w:val="22"/>
                <w:highlight w:val="yellow"/>
              </w:rPr>
            </w:pPr>
          </w:p>
          <w:p w14:paraId="07E7F7AF" w14:textId="77777777" w:rsidR="001B5F0E" w:rsidRDefault="001B5F0E" w:rsidP="004137E7">
            <w:pPr>
              <w:jc w:val="center"/>
              <w:rPr>
                <w:b/>
                <w:sz w:val="22"/>
                <w:szCs w:val="22"/>
                <w:highlight w:val="yellow"/>
              </w:rPr>
            </w:pPr>
          </w:p>
          <w:p w14:paraId="7C9B0663" w14:textId="77777777" w:rsidR="001B5F0E" w:rsidRDefault="001B5F0E" w:rsidP="004137E7">
            <w:pPr>
              <w:jc w:val="center"/>
              <w:rPr>
                <w:b/>
                <w:sz w:val="22"/>
                <w:szCs w:val="22"/>
                <w:highlight w:val="yellow"/>
              </w:rPr>
            </w:pPr>
          </w:p>
          <w:p w14:paraId="56AFB319" w14:textId="77777777" w:rsidR="001B5F0E" w:rsidRDefault="001B5F0E" w:rsidP="004137E7">
            <w:pPr>
              <w:jc w:val="center"/>
              <w:rPr>
                <w:b/>
                <w:sz w:val="22"/>
                <w:szCs w:val="22"/>
                <w:highlight w:val="yellow"/>
              </w:rPr>
            </w:pPr>
          </w:p>
          <w:p w14:paraId="3B5D8CD9" w14:textId="77777777" w:rsidR="001B5F0E" w:rsidRDefault="001B5F0E" w:rsidP="004137E7">
            <w:pPr>
              <w:jc w:val="center"/>
              <w:rPr>
                <w:b/>
                <w:sz w:val="22"/>
                <w:szCs w:val="22"/>
                <w:highlight w:val="yellow"/>
              </w:rPr>
            </w:pPr>
          </w:p>
          <w:p w14:paraId="53C433ED" w14:textId="77777777" w:rsidR="001B5F0E" w:rsidRDefault="001B5F0E" w:rsidP="004137E7">
            <w:pPr>
              <w:jc w:val="center"/>
              <w:rPr>
                <w:b/>
                <w:sz w:val="22"/>
                <w:szCs w:val="22"/>
                <w:highlight w:val="yellow"/>
              </w:rPr>
            </w:pPr>
          </w:p>
          <w:p w14:paraId="7915ABD4" w14:textId="77777777" w:rsidR="0002098D" w:rsidRDefault="0002098D" w:rsidP="004137E7">
            <w:pPr>
              <w:jc w:val="center"/>
              <w:rPr>
                <w:b/>
                <w:sz w:val="22"/>
                <w:szCs w:val="22"/>
                <w:highlight w:val="yellow"/>
              </w:rPr>
            </w:pPr>
          </w:p>
          <w:p w14:paraId="5E38B848" w14:textId="671533F4" w:rsidR="00381C85" w:rsidRDefault="00381C85" w:rsidP="004137E7">
            <w:pPr>
              <w:jc w:val="center"/>
              <w:rPr>
                <w:b/>
                <w:sz w:val="22"/>
                <w:szCs w:val="22"/>
                <w:highlight w:val="yellow"/>
              </w:rPr>
            </w:pPr>
          </w:p>
          <w:p w14:paraId="1E7099CD" w14:textId="77777777" w:rsidR="00417C03" w:rsidRDefault="00417C03" w:rsidP="004137E7">
            <w:pPr>
              <w:jc w:val="center"/>
              <w:rPr>
                <w:b/>
                <w:sz w:val="22"/>
                <w:szCs w:val="22"/>
                <w:highlight w:val="yellow"/>
              </w:rPr>
            </w:pPr>
          </w:p>
          <w:p w14:paraId="1DF650C2" w14:textId="77777777" w:rsidR="00417C03" w:rsidRDefault="00417C03" w:rsidP="004137E7">
            <w:pPr>
              <w:jc w:val="center"/>
              <w:rPr>
                <w:b/>
                <w:sz w:val="22"/>
                <w:szCs w:val="22"/>
                <w:highlight w:val="yellow"/>
              </w:rPr>
            </w:pPr>
          </w:p>
          <w:p w14:paraId="3CB1BC12" w14:textId="77777777" w:rsidR="00417C03" w:rsidRDefault="00417C03" w:rsidP="004137E7">
            <w:pPr>
              <w:jc w:val="center"/>
              <w:rPr>
                <w:b/>
                <w:sz w:val="22"/>
                <w:szCs w:val="22"/>
                <w:highlight w:val="yellow"/>
              </w:rPr>
            </w:pPr>
          </w:p>
          <w:p w14:paraId="61B994B8" w14:textId="77777777" w:rsidR="00417C03" w:rsidRDefault="00417C03" w:rsidP="004137E7">
            <w:pPr>
              <w:jc w:val="center"/>
              <w:rPr>
                <w:b/>
                <w:sz w:val="22"/>
                <w:szCs w:val="22"/>
                <w:highlight w:val="yellow"/>
              </w:rPr>
            </w:pPr>
          </w:p>
          <w:p w14:paraId="24ABDAA8" w14:textId="77777777" w:rsidR="00417C03" w:rsidRDefault="00417C03" w:rsidP="004137E7">
            <w:pPr>
              <w:jc w:val="center"/>
              <w:rPr>
                <w:b/>
                <w:sz w:val="22"/>
                <w:szCs w:val="22"/>
                <w:highlight w:val="yellow"/>
              </w:rPr>
            </w:pPr>
          </w:p>
          <w:p w14:paraId="3377020A" w14:textId="77777777" w:rsidR="00E22102" w:rsidRDefault="00E22102" w:rsidP="004137E7">
            <w:pPr>
              <w:jc w:val="center"/>
              <w:rPr>
                <w:b/>
                <w:sz w:val="22"/>
                <w:szCs w:val="22"/>
                <w:highlight w:val="yellow"/>
              </w:rPr>
            </w:pPr>
          </w:p>
          <w:p w14:paraId="06A33A27" w14:textId="77777777" w:rsidR="004137E7" w:rsidRPr="00E22102" w:rsidRDefault="004137E7" w:rsidP="004137E7">
            <w:pPr>
              <w:jc w:val="center"/>
              <w:rPr>
                <w:b/>
                <w:sz w:val="22"/>
                <w:szCs w:val="22"/>
              </w:rPr>
            </w:pPr>
            <w:r w:rsidRPr="00E22102">
              <w:rPr>
                <w:b/>
                <w:sz w:val="22"/>
                <w:szCs w:val="22"/>
              </w:rPr>
              <w:t>§ 57b</w:t>
            </w:r>
          </w:p>
          <w:p w14:paraId="3EFAA224" w14:textId="77777777" w:rsidR="004137E7" w:rsidRDefault="004137E7" w:rsidP="004137E7">
            <w:pPr>
              <w:jc w:val="center"/>
              <w:rPr>
                <w:b/>
                <w:sz w:val="22"/>
                <w:szCs w:val="22"/>
              </w:rPr>
            </w:pPr>
            <w:r w:rsidRPr="00E22102">
              <w:rPr>
                <w:b/>
                <w:sz w:val="22"/>
                <w:szCs w:val="22"/>
              </w:rPr>
              <w:t>O: 5</w:t>
            </w:r>
          </w:p>
          <w:p w14:paraId="7E98F5DC" w14:textId="77777777" w:rsidR="004137E7" w:rsidRDefault="004137E7" w:rsidP="004137E7">
            <w:pPr>
              <w:jc w:val="center"/>
              <w:rPr>
                <w:b/>
                <w:sz w:val="22"/>
                <w:szCs w:val="22"/>
                <w:highlight w:val="yellow"/>
              </w:rPr>
            </w:pPr>
          </w:p>
          <w:p w14:paraId="4D1D03FD" w14:textId="77777777" w:rsidR="004137E7" w:rsidRDefault="004137E7" w:rsidP="004137E7">
            <w:pPr>
              <w:jc w:val="center"/>
              <w:rPr>
                <w:b/>
                <w:sz w:val="22"/>
                <w:szCs w:val="22"/>
                <w:highlight w:val="yellow"/>
              </w:rPr>
            </w:pPr>
          </w:p>
          <w:p w14:paraId="6D2EDF8B" w14:textId="77777777" w:rsidR="004137E7" w:rsidRDefault="004137E7" w:rsidP="004137E7">
            <w:pPr>
              <w:jc w:val="center"/>
              <w:rPr>
                <w:b/>
                <w:sz w:val="22"/>
                <w:szCs w:val="22"/>
                <w:highlight w:val="yellow"/>
              </w:rPr>
            </w:pPr>
          </w:p>
          <w:p w14:paraId="3A42C125" w14:textId="77777777" w:rsidR="004137E7" w:rsidRDefault="004137E7" w:rsidP="004137E7">
            <w:pPr>
              <w:jc w:val="center"/>
              <w:rPr>
                <w:b/>
                <w:sz w:val="22"/>
                <w:szCs w:val="22"/>
                <w:highlight w:val="yellow"/>
              </w:rPr>
            </w:pPr>
          </w:p>
          <w:p w14:paraId="2DF886C7" w14:textId="77777777" w:rsidR="004137E7" w:rsidRDefault="004137E7" w:rsidP="004137E7">
            <w:pPr>
              <w:jc w:val="center"/>
              <w:rPr>
                <w:b/>
                <w:sz w:val="22"/>
                <w:szCs w:val="22"/>
                <w:highlight w:val="yellow"/>
              </w:rPr>
            </w:pPr>
          </w:p>
          <w:p w14:paraId="32574E12" w14:textId="77777777" w:rsidR="004137E7" w:rsidRDefault="004137E7" w:rsidP="004137E7">
            <w:pPr>
              <w:jc w:val="center"/>
              <w:rPr>
                <w:b/>
                <w:sz w:val="22"/>
                <w:szCs w:val="22"/>
                <w:highlight w:val="yellow"/>
              </w:rPr>
            </w:pPr>
          </w:p>
          <w:p w14:paraId="5A5AD0D8" w14:textId="77777777" w:rsidR="004137E7" w:rsidRDefault="004137E7" w:rsidP="004137E7">
            <w:pPr>
              <w:jc w:val="center"/>
              <w:rPr>
                <w:b/>
                <w:sz w:val="22"/>
                <w:szCs w:val="22"/>
                <w:highlight w:val="yellow"/>
              </w:rPr>
            </w:pPr>
          </w:p>
          <w:p w14:paraId="3901200C" w14:textId="6C7BE355" w:rsidR="009143D6" w:rsidRDefault="009143D6" w:rsidP="00A05183">
            <w:pPr>
              <w:rPr>
                <w:b/>
                <w:sz w:val="22"/>
                <w:szCs w:val="22"/>
              </w:rPr>
            </w:pPr>
          </w:p>
          <w:p w14:paraId="45E44027" w14:textId="77777777" w:rsidR="00E16665" w:rsidRDefault="00E16665" w:rsidP="004137E7">
            <w:pPr>
              <w:jc w:val="center"/>
              <w:rPr>
                <w:b/>
                <w:sz w:val="22"/>
                <w:szCs w:val="22"/>
              </w:rPr>
            </w:pPr>
          </w:p>
          <w:p w14:paraId="49649937" w14:textId="77777777" w:rsidR="00E16665" w:rsidRDefault="00E16665" w:rsidP="004137E7">
            <w:pPr>
              <w:jc w:val="center"/>
              <w:rPr>
                <w:b/>
                <w:sz w:val="22"/>
                <w:szCs w:val="22"/>
              </w:rPr>
            </w:pPr>
          </w:p>
          <w:p w14:paraId="6C6C9E5B" w14:textId="77777777" w:rsidR="004137E7" w:rsidRDefault="004137E7" w:rsidP="004137E7">
            <w:pPr>
              <w:jc w:val="center"/>
              <w:rPr>
                <w:b/>
                <w:sz w:val="22"/>
                <w:szCs w:val="22"/>
                <w:highlight w:val="yellow"/>
              </w:rPr>
            </w:pPr>
          </w:p>
          <w:p w14:paraId="1E03EEBD" w14:textId="77777777" w:rsidR="004137E7" w:rsidRDefault="004137E7" w:rsidP="004137E7">
            <w:pPr>
              <w:jc w:val="center"/>
              <w:rPr>
                <w:b/>
                <w:sz w:val="22"/>
                <w:szCs w:val="22"/>
                <w:highlight w:val="yellow"/>
              </w:rPr>
            </w:pPr>
          </w:p>
          <w:p w14:paraId="17EA8EDF" w14:textId="77777777" w:rsidR="004137E7" w:rsidRDefault="004137E7" w:rsidP="004137E7">
            <w:pPr>
              <w:jc w:val="center"/>
              <w:rPr>
                <w:b/>
                <w:sz w:val="22"/>
                <w:szCs w:val="22"/>
                <w:highlight w:val="yellow"/>
              </w:rPr>
            </w:pPr>
          </w:p>
          <w:p w14:paraId="1C77BC0F" w14:textId="77777777" w:rsidR="004137E7" w:rsidRDefault="004137E7" w:rsidP="004137E7">
            <w:pPr>
              <w:jc w:val="center"/>
              <w:rPr>
                <w:b/>
                <w:sz w:val="22"/>
                <w:szCs w:val="22"/>
                <w:highlight w:val="yellow"/>
              </w:rPr>
            </w:pPr>
          </w:p>
          <w:p w14:paraId="38764405" w14:textId="77777777" w:rsidR="004137E7" w:rsidRDefault="004137E7" w:rsidP="004137E7">
            <w:pPr>
              <w:jc w:val="center"/>
              <w:rPr>
                <w:b/>
                <w:sz w:val="22"/>
                <w:szCs w:val="22"/>
                <w:highlight w:val="yellow"/>
              </w:rPr>
            </w:pPr>
          </w:p>
          <w:p w14:paraId="2C1C52FA" w14:textId="77777777" w:rsidR="004137E7" w:rsidRDefault="004137E7" w:rsidP="004137E7">
            <w:pPr>
              <w:jc w:val="center"/>
              <w:rPr>
                <w:b/>
                <w:sz w:val="22"/>
                <w:szCs w:val="22"/>
                <w:highlight w:val="yellow"/>
              </w:rPr>
            </w:pPr>
          </w:p>
          <w:p w14:paraId="55A80E85" w14:textId="77777777" w:rsidR="004137E7" w:rsidRDefault="004137E7" w:rsidP="004137E7">
            <w:pPr>
              <w:jc w:val="center"/>
              <w:rPr>
                <w:b/>
                <w:sz w:val="22"/>
                <w:szCs w:val="22"/>
                <w:highlight w:val="yellow"/>
              </w:rPr>
            </w:pPr>
          </w:p>
          <w:p w14:paraId="2B41EC05" w14:textId="77777777" w:rsidR="004137E7" w:rsidRDefault="004137E7" w:rsidP="004137E7">
            <w:pPr>
              <w:jc w:val="center"/>
              <w:rPr>
                <w:b/>
                <w:sz w:val="22"/>
                <w:szCs w:val="22"/>
                <w:highlight w:val="yellow"/>
              </w:rPr>
            </w:pPr>
          </w:p>
          <w:p w14:paraId="1B083E48" w14:textId="77777777" w:rsidR="004137E7" w:rsidRDefault="004137E7" w:rsidP="004137E7">
            <w:pPr>
              <w:jc w:val="center"/>
              <w:rPr>
                <w:b/>
                <w:sz w:val="22"/>
                <w:szCs w:val="22"/>
                <w:highlight w:val="yellow"/>
              </w:rPr>
            </w:pPr>
          </w:p>
          <w:p w14:paraId="264A080E" w14:textId="77777777" w:rsidR="004137E7" w:rsidRPr="00531286" w:rsidRDefault="004137E7" w:rsidP="004137E7">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0123C7E6" w14:textId="77777777" w:rsidR="004137E7" w:rsidRPr="00417C03" w:rsidRDefault="004137E7" w:rsidP="004137E7">
            <w:pPr>
              <w:rPr>
                <w:b/>
                <w:sz w:val="20"/>
                <w:szCs w:val="20"/>
                <w:highlight w:val="yellow"/>
              </w:rPr>
            </w:pPr>
          </w:p>
          <w:p w14:paraId="5D5A4141" w14:textId="77777777" w:rsidR="004137E7" w:rsidRPr="00417C03" w:rsidRDefault="004137E7" w:rsidP="004137E7">
            <w:pPr>
              <w:rPr>
                <w:b/>
                <w:sz w:val="20"/>
                <w:szCs w:val="20"/>
                <w:highlight w:val="yellow"/>
              </w:rPr>
            </w:pPr>
          </w:p>
          <w:p w14:paraId="6A864AB4" w14:textId="77777777" w:rsidR="004137E7" w:rsidRPr="00417C03" w:rsidRDefault="004137E7" w:rsidP="004137E7">
            <w:pPr>
              <w:jc w:val="both"/>
              <w:rPr>
                <w:noProof/>
                <w:sz w:val="20"/>
                <w:szCs w:val="20"/>
              </w:rPr>
            </w:pPr>
            <w:r w:rsidRPr="00417C03">
              <w:rPr>
                <w:b/>
                <w:bCs/>
                <w:sz w:val="20"/>
                <w:szCs w:val="20"/>
              </w:rPr>
              <w:t>(1)</w:t>
            </w:r>
            <w:r w:rsidRPr="00417C03">
              <w:rPr>
                <w:sz w:val="20"/>
                <w:szCs w:val="20"/>
              </w:rPr>
              <w:t xml:space="preserve"> Burza alebo obchodník s cennými papiermi organizujúci obchodné miesto, na ktorom sa obchoduje s komoditnými derivátmi </w:t>
            </w:r>
            <w:r w:rsidRPr="00417C03">
              <w:rPr>
                <w:b/>
                <w:sz w:val="20"/>
                <w:szCs w:val="20"/>
              </w:rPr>
              <w:t>alebo s derivátmi emisných kvót</w:t>
            </w:r>
            <w:r w:rsidRPr="00417C03">
              <w:rPr>
                <w:sz w:val="20"/>
                <w:szCs w:val="20"/>
              </w:rPr>
              <w:t>, sú povinní</w:t>
            </w:r>
          </w:p>
          <w:p w14:paraId="494B10B6" w14:textId="77777777" w:rsidR="00704300" w:rsidRPr="00417C03" w:rsidRDefault="004137E7" w:rsidP="00704300">
            <w:pPr>
              <w:jc w:val="both"/>
              <w:rPr>
                <w:b/>
                <w:bCs/>
                <w:noProof/>
                <w:sz w:val="20"/>
                <w:szCs w:val="20"/>
              </w:rPr>
            </w:pPr>
            <w:r w:rsidRPr="00417C03">
              <w:rPr>
                <w:b/>
                <w:noProof/>
                <w:sz w:val="20"/>
                <w:szCs w:val="20"/>
              </w:rPr>
              <w:t xml:space="preserve">a) </w:t>
            </w:r>
            <w:r w:rsidR="00704300" w:rsidRPr="00417C03">
              <w:rPr>
                <w:b/>
                <w:bCs/>
                <w:noProof/>
                <w:sz w:val="20"/>
                <w:szCs w:val="20"/>
              </w:rPr>
              <w:t xml:space="preserve">zverejňovať, ak ide o </w:t>
            </w:r>
          </w:p>
          <w:p w14:paraId="700D0D5B" w14:textId="580FD47B" w:rsidR="00417C03" w:rsidRPr="00417C03" w:rsidRDefault="00417C03" w:rsidP="00417C03">
            <w:pPr>
              <w:pStyle w:val="Odsekzoznamu"/>
              <w:numPr>
                <w:ilvl w:val="0"/>
                <w:numId w:val="51"/>
              </w:numPr>
              <w:ind w:left="246" w:hanging="141"/>
              <w:contextualSpacing/>
              <w:jc w:val="both"/>
              <w:rPr>
                <w:b/>
                <w:bCs/>
                <w:noProof/>
                <w:lang w:eastAsia="sk-SK"/>
              </w:rPr>
            </w:pPr>
            <w:r w:rsidRPr="00417C03">
              <w:rPr>
                <w:b/>
                <w:bCs/>
                <w:noProof/>
              </w:rPr>
              <w:t xml:space="preserve">obchodné miesta, na ktorých sa obchoduje s opciami, dve týždenné správy, z ktorých jedna nezahŕňa opcie, so súhrnnými pozíciami držanými jednotlivými kategóriami osôb pri rôznych komoditných derivátoch alebo derivátoch emisných kvót, s ktorými sa obchoduje na tomto obchodnom mieste, v ktorých sa uvedie počet dlhých pozícií a krátkych pozícií podľa týchto kategórií osôb, ich zmeny od predchádzajúcej správy, percentuálny podiel celkových otvorených záujmov za každú kategóriu </w:t>
            </w:r>
            <w:r w:rsidR="00A25494">
              <w:rPr>
                <w:b/>
                <w:bCs/>
                <w:noProof/>
              </w:rPr>
              <w:t xml:space="preserve">osôb </w:t>
            </w:r>
            <w:r w:rsidRPr="00417C03">
              <w:rPr>
                <w:b/>
                <w:bCs/>
                <w:noProof/>
              </w:rPr>
              <w:t xml:space="preserve">a počet osôb držiacich pozíciu v každej kategórii v súlade s odsekom 5, </w:t>
            </w:r>
          </w:p>
          <w:p w14:paraId="7019A9FD" w14:textId="556B41C0" w:rsidR="004137E7" w:rsidRPr="00417C03" w:rsidRDefault="00417C03" w:rsidP="00417C03">
            <w:pPr>
              <w:pStyle w:val="Odsekzoznamu"/>
              <w:numPr>
                <w:ilvl w:val="0"/>
                <w:numId w:val="51"/>
              </w:numPr>
              <w:ind w:left="388" w:hanging="283"/>
              <w:rPr>
                <w:b/>
                <w:bCs/>
              </w:rPr>
            </w:pPr>
            <w:r w:rsidRPr="00417C03">
              <w:rPr>
                <w:b/>
                <w:bCs/>
                <w:noProof/>
              </w:rPr>
              <w:t xml:space="preserve">obchodné miesta, na ktorých sa neobchoduje s opciami, týždennú správu </w:t>
            </w:r>
            <w:r w:rsidR="00A25494">
              <w:rPr>
                <w:b/>
                <w:bCs/>
                <w:noProof/>
              </w:rPr>
              <w:t xml:space="preserve">obsahujúcu </w:t>
            </w:r>
            <w:r w:rsidRPr="00417C03">
              <w:rPr>
                <w:b/>
                <w:bCs/>
                <w:noProof/>
              </w:rPr>
              <w:t>údaj</w:t>
            </w:r>
            <w:r w:rsidR="00A25494">
              <w:rPr>
                <w:b/>
                <w:bCs/>
                <w:noProof/>
              </w:rPr>
              <w:t>e</w:t>
            </w:r>
            <w:r w:rsidRPr="00417C03">
              <w:rPr>
                <w:b/>
                <w:bCs/>
                <w:noProof/>
              </w:rPr>
              <w:t xml:space="preserve"> ustanoven</w:t>
            </w:r>
            <w:r w:rsidR="00A25494">
              <w:rPr>
                <w:b/>
                <w:bCs/>
                <w:noProof/>
              </w:rPr>
              <w:t>é</w:t>
            </w:r>
            <w:r w:rsidRPr="00417C03">
              <w:rPr>
                <w:b/>
                <w:bCs/>
                <w:noProof/>
              </w:rPr>
              <w:t xml:space="preserve"> v prvom bode</w:t>
            </w:r>
            <w:r w:rsidR="00704300" w:rsidRPr="00417C03">
              <w:rPr>
                <w:b/>
                <w:bCs/>
                <w:noProof/>
              </w:rPr>
              <w:t>,</w:t>
            </w:r>
          </w:p>
          <w:p w14:paraId="239B539C" w14:textId="77777777" w:rsidR="004137E7" w:rsidRPr="00417C03" w:rsidRDefault="004137E7" w:rsidP="004137E7">
            <w:pPr>
              <w:rPr>
                <w:b/>
                <w:sz w:val="20"/>
                <w:szCs w:val="20"/>
                <w:highlight w:val="yellow"/>
              </w:rPr>
            </w:pPr>
          </w:p>
          <w:p w14:paraId="18E35586" w14:textId="77777777" w:rsidR="00C31BE1" w:rsidRPr="00417C03" w:rsidRDefault="00C31BE1" w:rsidP="004137E7">
            <w:pPr>
              <w:jc w:val="both"/>
              <w:rPr>
                <w:b/>
                <w:sz w:val="20"/>
                <w:szCs w:val="20"/>
              </w:rPr>
            </w:pPr>
          </w:p>
          <w:p w14:paraId="6454C4F4" w14:textId="77777777" w:rsidR="00C31BE1" w:rsidRPr="00417C03" w:rsidRDefault="00C31BE1" w:rsidP="004137E7">
            <w:pPr>
              <w:jc w:val="both"/>
              <w:rPr>
                <w:b/>
                <w:sz w:val="20"/>
                <w:szCs w:val="20"/>
              </w:rPr>
            </w:pPr>
          </w:p>
          <w:p w14:paraId="2314A53A" w14:textId="3C994FE6" w:rsidR="004137E7" w:rsidRPr="00417C03" w:rsidRDefault="00417C03" w:rsidP="004137E7">
            <w:pPr>
              <w:jc w:val="both"/>
              <w:rPr>
                <w:b/>
                <w:bCs/>
                <w:sz w:val="20"/>
                <w:szCs w:val="20"/>
                <w:highlight w:val="yellow"/>
              </w:rPr>
            </w:pPr>
            <w:bookmarkStart w:id="12" w:name="_Hlk196464004"/>
            <w:r w:rsidRPr="00417C03">
              <w:rPr>
                <w:b/>
                <w:bCs/>
                <w:noProof/>
                <w:sz w:val="20"/>
                <w:szCs w:val="20"/>
              </w:rPr>
              <w:t xml:space="preserve">Burza alebo obchodník s cennými papiermi organizujúci obchodné miesto, na ktorom sa obchoduje s komoditnými derivátmi alebo s derivátmi emisných kvót, sú povinní oznamovať správy uvedené v odseku 1 písm. a) prvom bode </w:t>
            </w:r>
            <w:r w:rsidRPr="00417C03">
              <w:rPr>
                <w:b/>
                <w:bCs/>
                <w:noProof/>
                <w:sz w:val="20"/>
                <w:szCs w:val="20"/>
                <w:shd w:val="clear" w:color="auto" w:fill="FFFFFF"/>
              </w:rPr>
              <w:t xml:space="preserve">Národnej banke Slovenska a Európskemu orgánu </w:t>
            </w:r>
            <w:r w:rsidRPr="00417C03">
              <w:rPr>
                <w:b/>
                <w:bCs/>
                <w:noProof/>
                <w:sz w:val="20"/>
                <w:szCs w:val="20"/>
                <w:shd w:val="clear" w:color="auto" w:fill="FFFFFF"/>
              </w:rPr>
              <w:lastRenderedPageBreak/>
              <w:t>dohľadu (Európskemu orgánu pre cenné papiere a trhy</w:t>
            </w:r>
            <w:bookmarkEnd w:id="12"/>
            <w:r w:rsidR="001B5F0E" w:rsidRPr="00417C03">
              <w:rPr>
                <w:b/>
                <w:bCs/>
                <w:noProof/>
                <w:sz w:val="20"/>
                <w:szCs w:val="20"/>
                <w:shd w:val="clear" w:color="auto" w:fill="FFFFFF"/>
              </w:rPr>
              <w:t>)</w:t>
            </w:r>
            <w:r w:rsidR="004137E7" w:rsidRPr="00417C03">
              <w:rPr>
                <w:b/>
                <w:bCs/>
                <w:sz w:val="20"/>
                <w:szCs w:val="20"/>
                <w:shd w:val="clear" w:color="auto" w:fill="FFFFFF"/>
              </w:rPr>
              <w:t>.</w:t>
            </w:r>
          </w:p>
          <w:p w14:paraId="6A135AB7" w14:textId="77777777" w:rsidR="004137E7" w:rsidRPr="00417C03" w:rsidRDefault="004137E7" w:rsidP="004137E7">
            <w:pPr>
              <w:rPr>
                <w:b/>
                <w:sz w:val="20"/>
                <w:szCs w:val="20"/>
                <w:highlight w:val="yellow"/>
              </w:rPr>
            </w:pPr>
          </w:p>
          <w:p w14:paraId="2D999E41" w14:textId="77777777" w:rsidR="004137E7" w:rsidRPr="00417C03" w:rsidRDefault="004137E7" w:rsidP="004137E7">
            <w:pPr>
              <w:rPr>
                <w:b/>
                <w:sz w:val="20"/>
                <w:szCs w:val="20"/>
                <w:highlight w:val="yellow"/>
              </w:rPr>
            </w:pPr>
          </w:p>
          <w:p w14:paraId="7958E552" w14:textId="4B6191C6" w:rsidR="004137E7" w:rsidRPr="00417C03" w:rsidRDefault="00417C03" w:rsidP="001B5F0E">
            <w:pPr>
              <w:pStyle w:val="Odsekzoznamu"/>
              <w:numPr>
                <w:ilvl w:val="0"/>
                <w:numId w:val="48"/>
              </w:numPr>
              <w:jc w:val="both"/>
              <w:rPr>
                <w:b/>
                <w:bCs/>
                <w:noProof/>
                <w:shd w:val="clear" w:color="auto" w:fill="FFFFFF"/>
              </w:rPr>
            </w:pPr>
            <w:bookmarkStart w:id="13" w:name="_Hlk196464026"/>
            <w:r w:rsidRPr="00417C03">
              <w:rPr>
                <w:b/>
                <w:bCs/>
                <w:noProof/>
                <w:shd w:val="clear" w:color="auto" w:fill="FFFFFF"/>
              </w:rPr>
              <w:t>Obchodník s cennými papiermi obchodujúci s komoditnými derivátmi alebo s derivátmi emisných kvót mimo obchodného miesta je povinný poskytovať úplný zoznam svojich pozícií držaných v ekonomicky rovnocenných mimoburzových derivátových zmluvách, ako aj pozícií svojich klientov a klientov svojich klientov až po konečného klienta minimálne každý deň v súlade s osobitným predpisom</w:t>
            </w:r>
            <w:hyperlink r:id="rId12" w:anchor="f4739364" w:history="1">
              <w:r w:rsidRPr="00417C03">
                <w:rPr>
                  <w:rStyle w:val="Hypertextovprepojenie"/>
                  <w:b/>
                  <w:bCs/>
                  <w:noProof/>
                  <w:color w:val="auto"/>
                  <w:u w:val="none"/>
                  <w:shd w:val="clear" w:color="auto" w:fill="FFFFFF"/>
                  <w:vertAlign w:val="superscript"/>
                </w:rPr>
                <w:t>68a</w:t>
              </w:r>
              <w:r w:rsidRPr="00417C03">
                <w:rPr>
                  <w:rStyle w:val="Hypertextovprepojenie"/>
                  <w:b/>
                  <w:bCs/>
                  <w:noProof/>
                  <w:color w:val="auto"/>
                  <w:u w:val="none"/>
                  <w:shd w:val="clear" w:color="auto" w:fill="FFFFFF"/>
                </w:rPr>
                <w:t>)</w:t>
              </w:r>
            </w:hyperlink>
            <w:r w:rsidRPr="00417C03">
              <w:rPr>
                <w:b/>
                <w:bCs/>
                <w:noProof/>
                <w:shd w:val="clear" w:color="auto" w:fill="FFFFFF"/>
              </w:rPr>
              <w:t xml:space="preserve"> a v príslušných </w:t>
            </w:r>
            <w:r w:rsidR="00A25494">
              <w:rPr>
                <w:b/>
                <w:bCs/>
                <w:noProof/>
                <w:shd w:val="clear" w:color="auto" w:fill="FFFFFF"/>
              </w:rPr>
              <w:t>situáciách</w:t>
            </w:r>
            <w:r w:rsidRPr="00417C03">
              <w:rPr>
                <w:b/>
                <w:bCs/>
                <w:noProof/>
                <w:shd w:val="clear" w:color="auto" w:fill="FFFFFF"/>
              </w:rPr>
              <w:t xml:space="preserve"> v súlade s osobitným </w:t>
            </w:r>
            <w:r w:rsidRPr="00417C03">
              <w:rPr>
                <w:b/>
                <w:bCs/>
                <w:noProof/>
              </w:rPr>
              <w:t>predpisom</w:t>
            </w:r>
            <w:r w:rsidRPr="00417C03">
              <w:rPr>
                <w:b/>
                <w:bCs/>
                <w:noProof/>
                <w:vertAlign w:val="superscript"/>
              </w:rPr>
              <w:t>68a</w:t>
            </w:r>
            <w:r w:rsidR="00A25494">
              <w:rPr>
                <w:b/>
                <w:bCs/>
                <w:noProof/>
                <w:vertAlign w:val="superscript"/>
              </w:rPr>
              <w:t>a</w:t>
            </w:r>
            <w:r w:rsidRPr="00417C03">
              <w:rPr>
                <w:b/>
                <w:bCs/>
                <w:noProof/>
              </w:rPr>
              <w:t>)</w:t>
            </w:r>
            <w:r w:rsidRPr="00417C03">
              <w:rPr>
                <w:b/>
                <w:bCs/>
                <w:noProof/>
                <w:shd w:val="clear" w:color="auto" w:fill="FFFFFF"/>
              </w:rPr>
              <w:t xml:space="preserve"> centrálnemu orgánu dohľadu uvedenému v § 57a ods. 8</w:t>
            </w:r>
            <w:bookmarkEnd w:id="13"/>
            <w:r w:rsidR="001B5F0E" w:rsidRPr="00417C03">
              <w:rPr>
                <w:b/>
                <w:bCs/>
                <w:noProof/>
                <w:shd w:val="clear" w:color="auto" w:fill="FFFFFF"/>
              </w:rPr>
              <w:t>.</w:t>
            </w:r>
          </w:p>
          <w:p w14:paraId="7FDCC596" w14:textId="77777777" w:rsidR="001B5F0E" w:rsidRPr="00417C03" w:rsidRDefault="001B5F0E" w:rsidP="006547EC">
            <w:pPr>
              <w:jc w:val="both"/>
              <w:rPr>
                <w:b/>
                <w:bCs/>
                <w:noProof/>
                <w:sz w:val="20"/>
                <w:szCs w:val="20"/>
              </w:rPr>
            </w:pPr>
          </w:p>
          <w:p w14:paraId="1DBA089F" w14:textId="77777777" w:rsidR="00381C85" w:rsidRPr="00417C03" w:rsidRDefault="00381C85" w:rsidP="00381C85">
            <w:pPr>
              <w:jc w:val="both"/>
              <w:rPr>
                <w:b/>
                <w:bCs/>
                <w:noProof/>
                <w:sz w:val="20"/>
                <w:szCs w:val="20"/>
              </w:rPr>
            </w:pPr>
            <w:r w:rsidRPr="00417C03">
              <w:rPr>
                <w:b/>
                <w:bCs/>
                <w:noProof/>
                <w:sz w:val="20"/>
                <w:szCs w:val="20"/>
              </w:rPr>
              <w:tab/>
            </w:r>
          </w:p>
          <w:p w14:paraId="29FB6C2A" w14:textId="0699CA70" w:rsidR="00381C85" w:rsidRPr="00160AC0" w:rsidRDefault="00381C85" w:rsidP="00381C85">
            <w:pPr>
              <w:jc w:val="both"/>
              <w:rPr>
                <w:noProof/>
                <w:sz w:val="20"/>
                <w:szCs w:val="20"/>
              </w:rPr>
            </w:pPr>
            <w:r w:rsidRPr="00160AC0">
              <w:rPr>
                <w:b/>
                <w:bCs/>
                <w:noProof/>
                <w:sz w:val="20"/>
                <w:szCs w:val="20"/>
                <w:vertAlign w:val="superscript"/>
              </w:rPr>
              <w:t>68a</w:t>
            </w:r>
            <w:r w:rsidRPr="00160AC0">
              <w:rPr>
                <w:b/>
                <w:bCs/>
                <w:noProof/>
                <w:sz w:val="20"/>
                <w:szCs w:val="20"/>
              </w:rPr>
              <w:t>)</w:t>
            </w:r>
            <w:r w:rsidR="00055CC7" w:rsidRPr="00160AC0">
              <w:rPr>
                <w:b/>
                <w:bCs/>
                <w:noProof/>
                <w:sz w:val="20"/>
                <w:szCs w:val="20"/>
              </w:rPr>
              <w:t xml:space="preserve"> </w:t>
            </w:r>
            <w:r w:rsidR="00160AC0" w:rsidRPr="00160AC0">
              <w:rPr>
                <w:b/>
                <w:bCs/>
                <w:sz w:val="20"/>
                <w:szCs w:val="20"/>
              </w:rPr>
              <w:t>Čl. 26 nariadenia (EÚ) č. 600/2014 v platnom znení</w:t>
            </w:r>
            <w:r w:rsidR="00160AC0" w:rsidRPr="00160AC0">
              <w:rPr>
                <w:sz w:val="20"/>
                <w:szCs w:val="20"/>
              </w:rPr>
              <w:t xml:space="preserve"> </w:t>
            </w:r>
            <w:r w:rsidR="00160AC0" w:rsidRPr="00160AC0">
              <w:rPr>
                <w:strike/>
                <w:sz w:val="20"/>
                <w:szCs w:val="20"/>
              </w:rPr>
              <w:t>a čl. 8 nariadenia Európskeho parlamentu a Rady (EÚ) č. 1227/2011 z 25. októbra 2011 o integrite a transparentnosti veľkoobchodného trhu s energiou (Ú. v. EÚ L 326, 8.12. 2011)</w:t>
            </w:r>
            <w:r w:rsidR="00160AC0" w:rsidRPr="00C70103">
              <w:rPr>
                <w:sz w:val="20"/>
                <w:szCs w:val="20"/>
              </w:rPr>
              <w:t>.</w:t>
            </w:r>
          </w:p>
          <w:p w14:paraId="371D6157" w14:textId="0DCC21C6" w:rsidR="004137E7" w:rsidRPr="00417C03" w:rsidRDefault="004137E7" w:rsidP="004137E7">
            <w:pPr>
              <w:rPr>
                <w:b/>
                <w:sz w:val="20"/>
                <w:szCs w:val="20"/>
                <w:highlight w:val="yellow"/>
              </w:rPr>
            </w:pPr>
          </w:p>
          <w:p w14:paraId="618C5187" w14:textId="159CC12B" w:rsidR="00417C03" w:rsidRPr="00417C03" w:rsidRDefault="00417C03" w:rsidP="00417C03">
            <w:pPr>
              <w:pStyle w:val="Bezriadkovania"/>
              <w:jc w:val="both"/>
              <w:rPr>
                <w:rFonts w:ascii="Times New Roman" w:hAnsi="Times New Roman" w:cs="Times New Roman"/>
                <w:b/>
                <w:bCs/>
                <w:noProof/>
                <w:sz w:val="20"/>
                <w:szCs w:val="20"/>
              </w:rPr>
            </w:pPr>
            <w:bookmarkStart w:id="14" w:name="_Hlk196464380"/>
            <w:r w:rsidRPr="00417C03">
              <w:rPr>
                <w:rFonts w:ascii="Times New Roman" w:eastAsia="Times New Roman" w:hAnsi="Times New Roman" w:cs="Times New Roman"/>
                <w:b/>
                <w:bCs/>
                <w:sz w:val="20"/>
                <w:szCs w:val="20"/>
                <w:vertAlign w:val="superscript"/>
              </w:rPr>
              <w:t>68a</w:t>
            </w:r>
            <w:r w:rsidR="00A25494">
              <w:rPr>
                <w:rFonts w:ascii="Times New Roman" w:eastAsia="Times New Roman" w:hAnsi="Times New Roman" w:cs="Times New Roman"/>
                <w:b/>
                <w:bCs/>
                <w:sz w:val="20"/>
                <w:szCs w:val="20"/>
                <w:vertAlign w:val="superscript"/>
              </w:rPr>
              <w:t>a</w:t>
            </w:r>
            <w:r w:rsidRPr="00417C03">
              <w:rPr>
                <w:rFonts w:ascii="Times New Roman" w:eastAsia="Times New Roman" w:hAnsi="Times New Roman" w:cs="Times New Roman"/>
                <w:b/>
                <w:bCs/>
                <w:sz w:val="20"/>
                <w:szCs w:val="20"/>
              </w:rPr>
              <w:t>) Čl. 8 nariadenia Európskeho parlamentu a Rady (EÚ) č. 1227/2011 z 25. októbra 2011 o integrite a transparentnosti veľkoobchodného trhu s energiou (Ú. v. EÚ L 326, 8.12. 2011) v platnom znení.</w:t>
            </w:r>
          </w:p>
          <w:bookmarkEnd w:id="14"/>
          <w:p w14:paraId="439FE3B2" w14:textId="77777777" w:rsidR="0002098D" w:rsidRPr="00417C03" w:rsidRDefault="0002098D" w:rsidP="004137E7">
            <w:pPr>
              <w:rPr>
                <w:b/>
                <w:sz w:val="20"/>
                <w:szCs w:val="20"/>
                <w:highlight w:val="yellow"/>
              </w:rPr>
            </w:pPr>
          </w:p>
          <w:p w14:paraId="7D2C0A90" w14:textId="77777777" w:rsidR="004137E7" w:rsidRPr="00417C03" w:rsidRDefault="004137E7" w:rsidP="004137E7">
            <w:pPr>
              <w:rPr>
                <w:b/>
                <w:sz w:val="20"/>
                <w:szCs w:val="20"/>
                <w:highlight w:val="yellow"/>
              </w:rPr>
            </w:pPr>
          </w:p>
          <w:p w14:paraId="1D9E2CDA" w14:textId="77777777" w:rsidR="004137E7" w:rsidRPr="00417C03" w:rsidRDefault="004137E7" w:rsidP="004137E7">
            <w:pPr>
              <w:jc w:val="both"/>
              <w:rPr>
                <w:sz w:val="20"/>
                <w:szCs w:val="20"/>
              </w:rPr>
            </w:pPr>
            <w:r w:rsidRPr="00417C03">
              <w:rPr>
                <w:sz w:val="20"/>
                <w:szCs w:val="20"/>
              </w:rPr>
              <w:t xml:space="preserve">(5) Burza alebo obchodník s cennými papiermi organizujúci obchodné miesto zaradia osoby podľa odseku 1 písm. a) podľa </w:t>
            </w:r>
            <w:r w:rsidRPr="00417C03">
              <w:rPr>
                <w:b/>
                <w:sz w:val="20"/>
                <w:szCs w:val="20"/>
              </w:rPr>
              <w:t>povahy</w:t>
            </w:r>
            <w:r w:rsidRPr="00417C03">
              <w:rPr>
                <w:sz w:val="20"/>
                <w:szCs w:val="20"/>
              </w:rPr>
              <w:t xml:space="preserve">  ich hlavnej podnikateľskej </w:t>
            </w:r>
            <w:r w:rsidRPr="00417C03">
              <w:rPr>
                <w:sz w:val="20"/>
                <w:szCs w:val="20"/>
              </w:rPr>
              <w:lastRenderedPageBreak/>
              <w:t>činnosti, pričom zohľadnia akékoľvek príslušné povolenie, do týchto kategórií:</w:t>
            </w:r>
          </w:p>
          <w:p w14:paraId="582B6875" w14:textId="77777777" w:rsidR="004137E7" w:rsidRPr="00417C03" w:rsidRDefault="004137E7" w:rsidP="004137E7">
            <w:pPr>
              <w:jc w:val="both"/>
              <w:rPr>
                <w:sz w:val="20"/>
                <w:szCs w:val="20"/>
              </w:rPr>
            </w:pPr>
            <w:r w:rsidRPr="00417C03">
              <w:rPr>
                <w:sz w:val="20"/>
                <w:szCs w:val="20"/>
              </w:rPr>
              <w:t>a) obchodníci s cennými papiermi alebo banky,</w:t>
            </w:r>
          </w:p>
          <w:p w14:paraId="1453325D" w14:textId="77777777" w:rsidR="004137E7" w:rsidRPr="00417C03" w:rsidRDefault="004137E7" w:rsidP="004137E7">
            <w:pPr>
              <w:jc w:val="both"/>
              <w:rPr>
                <w:sz w:val="20"/>
                <w:szCs w:val="20"/>
              </w:rPr>
            </w:pPr>
            <w:r w:rsidRPr="00417C03">
              <w:rPr>
                <w:sz w:val="20"/>
                <w:szCs w:val="20"/>
              </w:rPr>
              <w:t>b) fondy kolektívneho investovania,</w:t>
            </w:r>
          </w:p>
          <w:p w14:paraId="56BFD5CD" w14:textId="77777777" w:rsidR="004137E7" w:rsidRPr="00417C03" w:rsidRDefault="004137E7" w:rsidP="004137E7">
            <w:pPr>
              <w:jc w:val="both"/>
              <w:rPr>
                <w:sz w:val="20"/>
                <w:szCs w:val="20"/>
              </w:rPr>
            </w:pPr>
            <w:r w:rsidRPr="00417C03">
              <w:rPr>
                <w:sz w:val="20"/>
                <w:szCs w:val="20"/>
              </w:rPr>
              <w:t>c) iné finančné inštitúcie vrátane poisťovní, zaisťovní, dôchodkových správcovských spoločností, doplnkových dôchodkových spoločností a obdobných zahraničných finančných inštitúcií,</w:t>
            </w:r>
          </w:p>
          <w:p w14:paraId="187A0645" w14:textId="77777777" w:rsidR="004137E7" w:rsidRPr="00417C03" w:rsidRDefault="004137E7" w:rsidP="004137E7">
            <w:pPr>
              <w:jc w:val="both"/>
              <w:rPr>
                <w:sz w:val="20"/>
                <w:szCs w:val="20"/>
              </w:rPr>
            </w:pPr>
            <w:r w:rsidRPr="00417C03">
              <w:rPr>
                <w:sz w:val="20"/>
                <w:szCs w:val="20"/>
              </w:rPr>
              <w:t>d) podnikatelia,</w:t>
            </w:r>
          </w:p>
          <w:p w14:paraId="1C4F5504" w14:textId="61B7219C" w:rsidR="004137E7" w:rsidRPr="00417C03" w:rsidRDefault="004137E7" w:rsidP="004137E7">
            <w:pPr>
              <w:jc w:val="both"/>
              <w:rPr>
                <w:b/>
                <w:bCs/>
                <w:sz w:val="20"/>
                <w:szCs w:val="20"/>
              </w:rPr>
            </w:pPr>
            <w:r w:rsidRPr="00417C03">
              <w:rPr>
                <w:b/>
                <w:sz w:val="20"/>
                <w:szCs w:val="20"/>
              </w:rPr>
              <w:t>e)</w:t>
            </w:r>
            <w:r w:rsidRPr="00417C03">
              <w:rPr>
                <w:sz w:val="20"/>
                <w:szCs w:val="20"/>
              </w:rPr>
              <w:t xml:space="preserve"> </w:t>
            </w:r>
            <w:bookmarkStart w:id="15" w:name="_Hlk193957877"/>
            <w:r w:rsidR="00417C03" w:rsidRPr="00417C03">
              <w:rPr>
                <w:b/>
                <w:bCs/>
                <w:noProof/>
                <w:sz w:val="20"/>
                <w:szCs w:val="20"/>
                <w:shd w:val="clear" w:color="auto" w:fill="FFFFFF"/>
              </w:rPr>
              <w:t xml:space="preserve">prevádzkovatelia, ktorí sú povinní dodržiavať </w:t>
            </w:r>
            <w:r w:rsidR="00417C03" w:rsidRPr="00AB5B8F">
              <w:rPr>
                <w:b/>
                <w:bCs/>
                <w:noProof/>
                <w:sz w:val="20"/>
                <w:szCs w:val="20"/>
                <w:shd w:val="clear" w:color="auto" w:fill="FFFFFF"/>
              </w:rPr>
              <w:t>ustanovenia osobitného predpisu,</w:t>
            </w:r>
            <w:hyperlink r:id="rId13" w:anchor="f4739365" w:history="1">
              <w:r w:rsidR="00417C03" w:rsidRPr="00AB5B8F">
                <w:rPr>
                  <w:rStyle w:val="Hypertextovprepojenie"/>
                  <w:b/>
                  <w:bCs/>
                  <w:noProof/>
                  <w:color w:val="auto"/>
                  <w:sz w:val="20"/>
                  <w:szCs w:val="20"/>
                  <w:u w:val="none"/>
                  <w:shd w:val="clear" w:color="auto" w:fill="FFFFFF"/>
                  <w:vertAlign w:val="superscript"/>
                </w:rPr>
                <w:t>68b</w:t>
              </w:r>
              <w:r w:rsidR="00417C03" w:rsidRPr="00AB5B8F">
                <w:rPr>
                  <w:rStyle w:val="Hypertextovprepojenie"/>
                  <w:b/>
                  <w:bCs/>
                  <w:noProof/>
                  <w:color w:val="auto"/>
                  <w:sz w:val="20"/>
                  <w:szCs w:val="20"/>
                  <w:u w:val="none"/>
                  <w:shd w:val="clear" w:color="auto" w:fill="FFFFFF"/>
                </w:rPr>
                <w:t>)</w:t>
              </w:r>
            </w:hyperlink>
            <w:r w:rsidR="00417C03" w:rsidRPr="00AB5B8F">
              <w:rPr>
                <w:rStyle w:val="Hypertextovprepojenie"/>
                <w:b/>
                <w:bCs/>
                <w:noProof/>
                <w:color w:val="auto"/>
                <w:sz w:val="20"/>
                <w:szCs w:val="20"/>
                <w:u w:val="none"/>
                <w:shd w:val="clear" w:color="auto" w:fill="FFFFFF"/>
              </w:rPr>
              <w:t xml:space="preserve"> pri</w:t>
            </w:r>
            <w:r w:rsidR="00417C03" w:rsidRPr="00417C03">
              <w:rPr>
                <w:rStyle w:val="Hypertextovprepojenie"/>
                <w:b/>
                <w:bCs/>
                <w:noProof/>
                <w:color w:val="auto"/>
                <w:sz w:val="20"/>
                <w:szCs w:val="20"/>
                <w:u w:val="none"/>
                <w:shd w:val="clear" w:color="auto" w:fill="FFFFFF"/>
              </w:rPr>
              <w:t xml:space="preserve"> derivátoch emisných kvót</w:t>
            </w:r>
            <w:bookmarkEnd w:id="15"/>
            <w:r w:rsidRPr="00417C03">
              <w:rPr>
                <w:b/>
                <w:bCs/>
                <w:sz w:val="20"/>
                <w:szCs w:val="20"/>
              </w:rPr>
              <w:t>.</w:t>
            </w:r>
          </w:p>
          <w:p w14:paraId="4C37101E" w14:textId="38210217" w:rsidR="001D6E9B" w:rsidRPr="00AB5B8F" w:rsidRDefault="001D6E9B" w:rsidP="001D6E9B">
            <w:pPr>
              <w:contextualSpacing/>
              <w:jc w:val="both"/>
              <w:rPr>
                <w:bCs/>
                <w:sz w:val="20"/>
                <w:szCs w:val="20"/>
              </w:rPr>
            </w:pPr>
            <w:r w:rsidRPr="00AB5B8F">
              <w:rPr>
                <w:bCs/>
                <w:sz w:val="20"/>
                <w:szCs w:val="20"/>
              </w:rPr>
              <w:t>Poznámka pod čiarou k odkazu 68b) znie:</w:t>
            </w:r>
          </w:p>
          <w:p w14:paraId="2A7D4D07" w14:textId="6F4D2761" w:rsidR="004137E7" w:rsidRPr="00AB5B8F" w:rsidRDefault="001D6E9B" w:rsidP="001D6E9B">
            <w:pPr>
              <w:rPr>
                <w:bCs/>
                <w:sz w:val="20"/>
                <w:szCs w:val="20"/>
              </w:rPr>
            </w:pPr>
            <w:bookmarkStart w:id="16" w:name="_Hlk196643635"/>
            <w:r w:rsidRPr="00AB5B8F">
              <w:rPr>
                <w:bCs/>
                <w:sz w:val="20"/>
                <w:szCs w:val="20"/>
              </w:rPr>
              <w:t>68b) Zákon č. 414/2012 Z. z. o obchodovaní s emisnými kvótami a o zmene a doplnení niektorých zákonov v znení neskorších predpisov.</w:t>
            </w:r>
          </w:p>
          <w:bookmarkEnd w:id="16"/>
          <w:p w14:paraId="2400BF77" w14:textId="77777777" w:rsidR="004137E7" w:rsidRPr="00417C03" w:rsidRDefault="004137E7" w:rsidP="004137E7">
            <w:pPr>
              <w:rPr>
                <w:b/>
                <w:sz w:val="20"/>
                <w:szCs w:val="20"/>
                <w:highlight w:val="yellow"/>
              </w:rPr>
            </w:pPr>
          </w:p>
          <w:p w14:paraId="4BBDFB5E" w14:textId="77777777" w:rsidR="004137E7" w:rsidRPr="00417C03" w:rsidRDefault="004137E7" w:rsidP="004137E7">
            <w:pPr>
              <w:rPr>
                <w:b/>
                <w:sz w:val="20"/>
                <w:szCs w:val="20"/>
                <w:highlight w:val="yellow"/>
              </w:rPr>
            </w:pPr>
          </w:p>
          <w:p w14:paraId="52611565" w14:textId="77777777" w:rsidR="004137E7" w:rsidRPr="00417C03" w:rsidRDefault="004137E7" w:rsidP="004137E7">
            <w:pPr>
              <w:rPr>
                <w:b/>
                <w:sz w:val="20"/>
                <w:szCs w:val="20"/>
                <w:highlight w:val="yellow"/>
              </w:rPr>
            </w:pPr>
          </w:p>
          <w:p w14:paraId="717EB222" w14:textId="77777777" w:rsidR="004137E7" w:rsidRPr="00417C03" w:rsidRDefault="004137E7" w:rsidP="004137E7">
            <w:pPr>
              <w:rPr>
                <w:b/>
                <w:sz w:val="20"/>
                <w:szCs w:val="20"/>
                <w:highlight w:val="yellow"/>
              </w:rPr>
            </w:pPr>
          </w:p>
          <w:p w14:paraId="2484B884" w14:textId="77777777" w:rsidR="004137E7" w:rsidRPr="00417C03" w:rsidRDefault="004137E7" w:rsidP="004137E7">
            <w:pPr>
              <w:rPr>
                <w:b/>
                <w:sz w:val="20"/>
                <w:szCs w:val="20"/>
                <w:highlight w:val="yellow"/>
              </w:rPr>
            </w:pPr>
          </w:p>
          <w:p w14:paraId="12A764AA" w14:textId="77777777" w:rsidR="004137E7" w:rsidRPr="00417C03" w:rsidRDefault="004137E7" w:rsidP="004137E7">
            <w:pPr>
              <w:rPr>
                <w:b/>
                <w:sz w:val="20"/>
                <w:szCs w:val="20"/>
                <w:highlight w:val="yellow"/>
              </w:rPr>
            </w:pPr>
          </w:p>
          <w:p w14:paraId="3ACD96E3" w14:textId="77777777" w:rsidR="004137E7" w:rsidRPr="00417C03" w:rsidRDefault="004137E7" w:rsidP="004137E7">
            <w:pPr>
              <w:rPr>
                <w:b/>
                <w:sz w:val="20"/>
                <w:szCs w:val="20"/>
                <w:highlight w:val="yellow"/>
              </w:rPr>
            </w:pPr>
          </w:p>
        </w:tc>
        <w:tc>
          <w:tcPr>
            <w:tcW w:w="709" w:type="dxa"/>
            <w:tcBorders>
              <w:top w:val="single" w:sz="4" w:space="0" w:color="auto"/>
              <w:left w:val="single" w:sz="4" w:space="0" w:color="auto"/>
              <w:right w:val="single" w:sz="4" w:space="0" w:color="auto"/>
            </w:tcBorders>
          </w:tcPr>
          <w:p w14:paraId="7C226717" w14:textId="77777777" w:rsidR="004137E7" w:rsidRDefault="004137E7" w:rsidP="004137E7">
            <w:pPr>
              <w:adjustRightInd w:val="0"/>
              <w:jc w:val="center"/>
              <w:rPr>
                <w:color w:val="000000"/>
                <w:sz w:val="22"/>
                <w:szCs w:val="22"/>
              </w:rPr>
            </w:pPr>
            <w:r w:rsidRPr="00531286">
              <w:rPr>
                <w:color w:val="000000"/>
                <w:sz w:val="22"/>
                <w:szCs w:val="22"/>
              </w:rPr>
              <w:lastRenderedPageBreak/>
              <w:t>Ú</w:t>
            </w:r>
          </w:p>
          <w:p w14:paraId="4ED9DB62" w14:textId="77777777" w:rsidR="004137E7" w:rsidRDefault="004137E7" w:rsidP="004137E7">
            <w:pPr>
              <w:adjustRightInd w:val="0"/>
              <w:rPr>
                <w:color w:val="000000"/>
                <w:sz w:val="22"/>
                <w:szCs w:val="22"/>
              </w:rPr>
            </w:pPr>
          </w:p>
          <w:p w14:paraId="16C22C86" w14:textId="77777777" w:rsidR="004137E7" w:rsidRDefault="004137E7" w:rsidP="004137E7">
            <w:pPr>
              <w:adjustRightInd w:val="0"/>
              <w:rPr>
                <w:color w:val="000000"/>
                <w:sz w:val="22"/>
                <w:szCs w:val="22"/>
              </w:rPr>
            </w:pPr>
          </w:p>
          <w:p w14:paraId="3232D611" w14:textId="77777777" w:rsidR="004137E7" w:rsidRDefault="004137E7" w:rsidP="004137E7">
            <w:pPr>
              <w:adjustRightInd w:val="0"/>
              <w:rPr>
                <w:color w:val="000000"/>
                <w:sz w:val="22"/>
                <w:szCs w:val="22"/>
              </w:rPr>
            </w:pPr>
          </w:p>
          <w:p w14:paraId="634B054B" w14:textId="77777777" w:rsidR="004137E7" w:rsidRDefault="004137E7" w:rsidP="004137E7">
            <w:pPr>
              <w:adjustRightInd w:val="0"/>
              <w:rPr>
                <w:color w:val="000000"/>
                <w:sz w:val="22"/>
                <w:szCs w:val="22"/>
              </w:rPr>
            </w:pPr>
          </w:p>
          <w:p w14:paraId="5016F426" w14:textId="77777777" w:rsidR="004137E7" w:rsidRDefault="004137E7" w:rsidP="004137E7">
            <w:pPr>
              <w:adjustRightInd w:val="0"/>
              <w:rPr>
                <w:color w:val="000000"/>
                <w:sz w:val="22"/>
                <w:szCs w:val="22"/>
              </w:rPr>
            </w:pPr>
          </w:p>
          <w:p w14:paraId="1BA130D8" w14:textId="77777777" w:rsidR="004137E7" w:rsidRDefault="004137E7" w:rsidP="004137E7">
            <w:pPr>
              <w:adjustRightInd w:val="0"/>
              <w:rPr>
                <w:color w:val="000000"/>
                <w:sz w:val="22"/>
                <w:szCs w:val="22"/>
              </w:rPr>
            </w:pPr>
          </w:p>
          <w:p w14:paraId="11DB9C8C" w14:textId="77777777" w:rsidR="004137E7" w:rsidRDefault="004137E7" w:rsidP="004137E7">
            <w:pPr>
              <w:adjustRightInd w:val="0"/>
              <w:rPr>
                <w:color w:val="000000"/>
                <w:sz w:val="22"/>
                <w:szCs w:val="22"/>
              </w:rPr>
            </w:pPr>
          </w:p>
          <w:p w14:paraId="311164AD" w14:textId="77777777" w:rsidR="004137E7" w:rsidRDefault="004137E7" w:rsidP="004137E7">
            <w:pPr>
              <w:adjustRightInd w:val="0"/>
              <w:rPr>
                <w:color w:val="000000"/>
                <w:sz w:val="22"/>
                <w:szCs w:val="22"/>
              </w:rPr>
            </w:pPr>
          </w:p>
          <w:p w14:paraId="03501512" w14:textId="77777777" w:rsidR="004137E7" w:rsidRDefault="004137E7" w:rsidP="004137E7">
            <w:pPr>
              <w:adjustRightInd w:val="0"/>
              <w:rPr>
                <w:color w:val="000000"/>
                <w:sz w:val="22"/>
                <w:szCs w:val="22"/>
              </w:rPr>
            </w:pPr>
          </w:p>
          <w:p w14:paraId="32450D4F" w14:textId="77777777" w:rsidR="004137E7" w:rsidRDefault="004137E7" w:rsidP="004137E7">
            <w:pPr>
              <w:adjustRightInd w:val="0"/>
              <w:rPr>
                <w:color w:val="000000"/>
                <w:sz w:val="22"/>
                <w:szCs w:val="22"/>
              </w:rPr>
            </w:pPr>
          </w:p>
          <w:p w14:paraId="1E1C6B44" w14:textId="77777777" w:rsidR="004137E7" w:rsidRDefault="004137E7" w:rsidP="004137E7">
            <w:pPr>
              <w:adjustRightInd w:val="0"/>
              <w:jc w:val="center"/>
              <w:rPr>
                <w:color w:val="000000"/>
                <w:sz w:val="22"/>
                <w:szCs w:val="22"/>
              </w:rPr>
            </w:pPr>
            <w:r w:rsidRPr="00531286">
              <w:rPr>
                <w:color w:val="000000"/>
                <w:sz w:val="22"/>
                <w:szCs w:val="22"/>
              </w:rPr>
              <w:t>Ú</w:t>
            </w:r>
          </w:p>
          <w:p w14:paraId="434BD8D5" w14:textId="77777777" w:rsidR="004137E7" w:rsidRDefault="004137E7" w:rsidP="004137E7">
            <w:pPr>
              <w:adjustRightInd w:val="0"/>
              <w:rPr>
                <w:color w:val="000000"/>
                <w:sz w:val="22"/>
                <w:szCs w:val="22"/>
              </w:rPr>
            </w:pPr>
          </w:p>
          <w:p w14:paraId="4FCA4802" w14:textId="77777777" w:rsidR="004137E7" w:rsidRDefault="004137E7" w:rsidP="004137E7">
            <w:pPr>
              <w:adjustRightInd w:val="0"/>
              <w:rPr>
                <w:color w:val="000000"/>
                <w:sz w:val="22"/>
                <w:szCs w:val="22"/>
              </w:rPr>
            </w:pPr>
          </w:p>
          <w:p w14:paraId="1E394C65" w14:textId="77777777" w:rsidR="004137E7" w:rsidRDefault="004137E7" w:rsidP="004137E7">
            <w:pPr>
              <w:adjustRightInd w:val="0"/>
              <w:rPr>
                <w:color w:val="000000"/>
                <w:sz w:val="22"/>
                <w:szCs w:val="22"/>
              </w:rPr>
            </w:pPr>
          </w:p>
          <w:p w14:paraId="1734861A" w14:textId="77777777" w:rsidR="004137E7" w:rsidRDefault="004137E7" w:rsidP="004137E7">
            <w:pPr>
              <w:adjustRightInd w:val="0"/>
              <w:rPr>
                <w:color w:val="000000"/>
                <w:sz w:val="22"/>
                <w:szCs w:val="22"/>
              </w:rPr>
            </w:pPr>
          </w:p>
          <w:p w14:paraId="55094AE4" w14:textId="77777777" w:rsidR="004137E7" w:rsidRDefault="004137E7" w:rsidP="004137E7">
            <w:pPr>
              <w:adjustRightInd w:val="0"/>
              <w:rPr>
                <w:color w:val="000000"/>
                <w:sz w:val="22"/>
                <w:szCs w:val="22"/>
              </w:rPr>
            </w:pPr>
          </w:p>
          <w:p w14:paraId="608AF68D" w14:textId="77777777" w:rsidR="004137E7" w:rsidRDefault="004137E7" w:rsidP="004137E7">
            <w:pPr>
              <w:adjustRightInd w:val="0"/>
              <w:rPr>
                <w:color w:val="000000"/>
                <w:sz w:val="22"/>
                <w:szCs w:val="22"/>
              </w:rPr>
            </w:pPr>
          </w:p>
          <w:p w14:paraId="4E216460" w14:textId="77777777" w:rsidR="004137E7" w:rsidRDefault="004137E7" w:rsidP="004137E7">
            <w:pPr>
              <w:adjustRightInd w:val="0"/>
              <w:rPr>
                <w:color w:val="000000"/>
                <w:sz w:val="22"/>
                <w:szCs w:val="22"/>
              </w:rPr>
            </w:pPr>
          </w:p>
          <w:p w14:paraId="721498F4" w14:textId="77777777" w:rsidR="004137E7" w:rsidRDefault="004137E7" w:rsidP="004137E7">
            <w:pPr>
              <w:adjustRightInd w:val="0"/>
              <w:rPr>
                <w:color w:val="000000"/>
                <w:sz w:val="22"/>
                <w:szCs w:val="22"/>
              </w:rPr>
            </w:pPr>
          </w:p>
          <w:p w14:paraId="1B3CBFEE" w14:textId="77777777" w:rsidR="004137E7" w:rsidRDefault="004137E7" w:rsidP="004137E7">
            <w:pPr>
              <w:adjustRightInd w:val="0"/>
              <w:rPr>
                <w:color w:val="000000"/>
                <w:sz w:val="22"/>
                <w:szCs w:val="22"/>
              </w:rPr>
            </w:pPr>
          </w:p>
          <w:p w14:paraId="049BC789" w14:textId="77777777" w:rsidR="004137E7" w:rsidRDefault="004137E7" w:rsidP="004137E7">
            <w:pPr>
              <w:adjustRightInd w:val="0"/>
              <w:rPr>
                <w:color w:val="000000"/>
                <w:sz w:val="22"/>
                <w:szCs w:val="22"/>
              </w:rPr>
            </w:pPr>
          </w:p>
          <w:p w14:paraId="67427D7A" w14:textId="77777777" w:rsidR="004137E7" w:rsidRDefault="004137E7" w:rsidP="004137E7">
            <w:pPr>
              <w:adjustRightInd w:val="0"/>
              <w:rPr>
                <w:color w:val="000000"/>
                <w:sz w:val="22"/>
                <w:szCs w:val="22"/>
              </w:rPr>
            </w:pPr>
          </w:p>
          <w:p w14:paraId="7CD49FB0" w14:textId="77777777" w:rsidR="004137E7" w:rsidRDefault="004137E7" w:rsidP="004137E7">
            <w:pPr>
              <w:adjustRightInd w:val="0"/>
              <w:rPr>
                <w:color w:val="000000"/>
                <w:sz w:val="22"/>
                <w:szCs w:val="22"/>
              </w:rPr>
            </w:pPr>
          </w:p>
          <w:p w14:paraId="03FF1223" w14:textId="77777777" w:rsidR="004137E7" w:rsidRDefault="004137E7" w:rsidP="004137E7">
            <w:pPr>
              <w:adjustRightInd w:val="0"/>
              <w:rPr>
                <w:color w:val="000000"/>
                <w:sz w:val="22"/>
                <w:szCs w:val="22"/>
              </w:rPr>
            </w:pPr>
          </w:p>
          <w:p w14:paraId="6B676B1B" w14:textId="77777777" w:rsidR="004137E7" w:rsidRDefault="004137E7" w:rsidP="004137E7">
            <w:pPr>
              <w:adjustRightInd w:val="0"/>
              <w:rPr>
                <w:color w:val="000000"/>
                <w:sz w:val="22"/>
                <w:szCs w:val="22"/>
              </w:rPr>
            </w:pPr>
          </w:p>
          <w:p w14:paraId="7984D2F5" w14:textId="77777777" w:rsidR="004137E7" w:rsidRDefault="004137E7" w:rsidP="004137E7">
            <w:pPr>
              <w:adjustRightInd w:val="0"/>
              <w:rPr>
                <w:color w:val="000000"/>
                <w:sz w:val="22"/>
                <w:szCs w:val="22"/>
              </w:rPr>
            </w:pPr>
          </w:p>
          <w:p w14:paraId="779DED6C" w14:textId="77777777" w:rsidR="004137E7" w:rsidRDefault="004137E7" w:rsidP="004137E7">
            <w:pPr>
              <w:adjustRightInd w:val="0"/>
              <w:rPr>
                <w:color w:val="000000"/>
                <w:sz w:val="22"/>
                <w:szCs w:val="22"/>
              </w:rPr>
            </w:pPr>
          </w:p>
          <w:p w14:paraId="00AA4226" w14:textId="77777777" w:rsidR="004137E7" w:rsidRDefault="004137E7" w:rsidP="004137E7">
            <w:pPr>
              <w:adjustRightInd w:val="0"/>
              <w:rPr>
                <w:color w:val="000000"/>
                <w:sz w:val="22"/>
                <w:szCs w:val="22"/>
              </w:rPr>
            </w:pPr>
          </w:p>
          <w:p w14:paraId="1EB84D4D" w14:textId="77777777" w:rsidR="004137E7" w:rsidRDefault="004137E7" w:rsidP="004137E7">
            <w:pPr>
              <w:adjustRightInd w:val="0"/>
              <w:rPr>
                <w:color w:val="000000"/>
                <w:sz w:val="22"/>
                <w:szCs w:val="22"/>
              </w:rPr>
            </w:pPr>
          </w:p>
          <w:p w14:paraId="1F7A3DDF" w14:textId="77777777" w:rsidR="004137E7" w:rsidRDefault="004137E7" w:rsidP="004137E7">
            <w:pPr>
              <w:adjustRightInd w:val="0"/>
              <w:rPr>
                <w:color w:val="000000"/>
                <w:sz w:val="22"/>
                <w:szCs w:val="22"/>
              </w:rPr>
            </w:pPr>
          </w:p>
          <w:p w14:paraId="2FA44A26" w14:textId="77777777" w:rsidR="004137E7" w:rsidRDefault="004137E7" w:rsidP="004137E7">
            <w:pPr>
              <w:adjustRightInd w:val="0"/>
              <w:rPr>
                <w:color w:val="000000"/>
                <w:sz w:val="22"/>
                <w:szCs w:val="22"/>
              </w:rPr>
            </w:pPr>
          </w:p>
          <w:p w14:paraId="4CBD637E" w14:textId="77777777" w:rsidR="004137E7" w:rsidRDefault="004137E7" w:rsidP="004137E7">
            <w:pPr>
              <w:adjustRightInd w:val="0"/>
              <w:rPr>
                <w:color w:val="000000"/>
                <w:sz w:val="22"/>
                <w:szCs w:val="22"/>
              </w:rPr>
            </w:pPr>
          </w:p>
          <w:p w14:paraId="189EA624" w14:textId="77777777" w:rsidR="004137E7" w:rsidRDefault="004137E7" w:rsidP="004137E7">
            <w:pPr>
              <w:adjustRightInd w:val="0"/>
              <w:rPr>
                <w:color w:val="000000"/>
                <w:sz w:val="22"/>
                <w:szCs w:val="22"/>
              </w:rPr>
            </w:pPr>
          </w:p>
          <w:p w14:paraId="19586848" w14:textId="77777777" w:rsidR="004137E7" w:rsidRDefault="004137E7" w:rsidP="004137E7">
            <w:pPr>
              <w:adjustRightInd w:val="0"/>
              <w:rPr>
                <w:color w:val="000000"/>
                <w:sz w:val="22"/>
                <w:szCs w:val="22"/>
              </w:rPr>
            </w:pPr>
          </w:p>
          <w:p w14:paraId="6FA54448" w14:textId="77777777" w:rsidR="004137E7" w:rsidRDefault="004137E7" w:rsidP="004137E7">
            <w:pPr>
              <w:adjustRightInd w:val="0"/>
              <w:rPr>
                <w:color w:val="000000"/>
                <w:sz w:val="22"/>
                <w:szCs w:val="22"/>
              </w:rPr>
            </w:pPr>
          </w:p>
          <w:p w14:paraId="32396BDA" w14:textId="77777777" w:rsidR="004137E7" w:rsidRDefault="004137E7" w:rsidP="004137E7">
            <w:pPr>
              <w:adjustRightInd w:val="0"/>
              <w:rPr>
                <w:color w:val="000000"/>
                <w:sz w:val="22"/>
                <w:szCs w:val="22"/>
              </w:rPr>
            </w:pPr>
          </w:p>
          <w:p w14:paraId="5FEB6109" w14:textId="77777777" w:rsidR="004137E7" w:rsidRDefault="004137E7" w:rsidP="004137E7">
            <w:pPr>
              <w:adjustRightInd w:val="0"/>
              <w:rPr>
                <w:color w:val="000000"/>
                <w:sz w:val="22"/>
                <w:szCs w:val="22"/>
              </w:rPr>
            </w:pPr>
          </w:p>
          <w:p w14:paraId="63F6841D" w14:textId="77777777" w:rsidR="004137E7" w:rsidRDefault="004137E7" w:rsidP="004137E7">
            <w:pPr>
              <w:adjustRightInd w:val="0"/>
              <w:rPr>
                <w:color w:val="000000"/>
                <w:sz w:val="22"/>
                <w:szCs w:val="22"/>
              </w:rPr>
            </w:pPr>
          </w:p>
          <w:p w14:paraId="03373151" w14:textId="77777777" w:rsidR="004137E7" w:rsidRDefault="004137E7" w:rsidP="004137E7">
            <w:pPr>
              <w:adjustRightInd w:val="0"/>
              <w:rPr>
                <w:color w:val="000000"/>
                <w:sz w:val="22"/>
                <w:szCs w:val="22"/>
              </w:rPr>
            </w:pPr>
          </w:p>
          <w:p w14:paraId="776BAFAA" w14:textId="77777777" w:rsidR="004137E7" w:rsidRDefault="004137E7" w:rsidP="004137E7">
            <w:pPr>
              <w:adjustRightInd w:val="0"/>
              <w:rPr>
                <w:color w:val="000000"/>
                <w:sz w:val="22"/>
                <w:szCs w:val="22"/>
              </w:rPr>
            </w:pPr>
          </w:p>
          <w:p w14:paraId="793EF249" w14:textId="77777777" w:rsidR="004137E7" w:rsidRDefault="004137E7" w:rsidP="004137E7">
            <w:pPr>
              <w:adjustRightInd w:val="0"/>
              <w:jc w:val="center"/>
              <w:rPr>
                <w:color w:val="000000"/>
                <w:sz w:val="22"/>
                <w:szCs w:val="22"/>
              </w:rPr>
            </w:pPr>
            <w:r w:rsidRPr="00531286">
              <w:rPr>
                <w:color w:val="000000"/>
                <w:sz w:val="22"/>
                <w:szCs w:val="22"/>
              </w:rPr>
              <w:t>Ú</w:t>
            </w:r>
          </w:p>
          <w:p w14:paraId="7EE1D014" w14:textId="77777777" w:rsidR="004137E7" w:rsidRDefault="004137E7" w:rsidP="004137E7">
            <w:pPr>
              <w:adjustRightInd w:val="0"/>
              <w:jc w:val="center"/>
              <w:rPr>
                <w:color w:val="000000"/>
                <w:sz w:val="22"/>
                <w:szCs w:val="22"/>
              </w:rPr>
            </w:pPr>
          </w:p>
          <w:p w14:paraId="37F88F52" w14:textId="77777777" w:rsidR="004137E7" w:rsidRDefault="004137E7" w:rsidP="004137E7">
            <w:pPr>
              <w:adjustRightInd w:val="0"/>
              <w:jc w:val="center"/>
              <w:rPr>
                <w:color w:val="000000"/>
                <w:sz w:val="22"/>
                <w:szCs w:val="22"/>
              </w:rPr>
            </w:pPr>
          </w:p>
          <w:p w14:paraId="559F0099" w14:textId="77777777" w:rsidR="004137E7" w:rsidRDefault="004137E7" w:rsidP="004137E7">
            <w:pPr>
              <w:adjustRightInd w:val="0"/>
              <w:jc w:val="center"/>
              <w:rPr>
                <w:color w:val="000000"/>
                <w:sz w:val="22"/>
                <w:szCs w:val="22"/>
              </w:rPr>
            </w:pPr>
          </w:p>
          <w:p w14:paraId="4FE6D62E" w14:textId="77777777" w:rsidR="004137E7" w:rsidRDefault="004137E7" w:rsidP="004137E7">
            <w:pPr>
              <w:adjustRightInd w:val="0"/>
              <w:jc w:val="center"/>
              <w:rPr>
                <w:color w:val="000000"/>
                <w:sz w:val="22"/>
                <w:szCs w:val="22"/>
              </w:rPr>
            </w:pPr>
          </w:p>
          <w:p w14:paraId="65B3926D" w14:textId="77777777" w:rsidR="004137E7" w:rsidRDefault="004137E7" w:rsidP="004137E7">
            <w:pPr>
              <w:adjustRightInd w:val="0"/>
              <w:jc w:val="center"/>
              <w:rPr>
                <w:color w:val="000000"/>
                <w:sz w:val="22"/>
                <w:szCs w:val="22"/>
              </w:rPr>
            </w:pPr>
          </w:p>
          <w:p w14:paraId="35055922" w14:textId="77777777" w:rsidR="004137E7" w:rsidRDefault="004137E7" w:rsidP="004137E7">
            <w:pPr>
              <w:adjustRightInd w:val="0"/>
              <w:jc w:val="center"/>
              <w:rPr>
                <w:color w:val="000000"/>
                <w:sz w:val="22"/>
                <w:szCs w:val="22"/>
              </w:rPr>
            </w:pPr>
          </w:p>
          <w:p w14:paraId="293938A8" w14:textId="77777777" w:rsidR="004137E7" w:rsidRDefault="004137E7" w:rsidP="004137E7">
            <w:pPr>
              <w:adjustRightInd w:val="0"/>
              <w:jc w:val="center"/>
              <w:rPr>
                <w:color w:val="000000"/>
                <w:sz w:val="22"/>
                <w:szCs w:val="22"/>
              </w:rPr>
            </w:pPr>
          </w:p>
          <w:p w14:paraId="133F4D91" w14:textId="77777777" w:rsidR="004137E7" w:rsidRDefault="004137E7" w:rsidP="004137E7">
            <w:pPr>
              <w:adjustRightInd w:val="0"/>
              <w:jc w:val="center"/>
              <w:rPr>
                <w:color w:val="000000"/>
                <w:sz w:val="22"/>
                <w:szCs w:val="22"/>
              </w:rPr>
            </w:pPr>
          </w:p>
          <w:p w14:paraId="7E8F608E" w14:textId="77777777" w:rsidR="004137E7" w:rsidRDefault="004137E7" w:rsidP="004137E7">
            <w:pPr>
              <w:adjustRightInd w:val="0"/>
              <w:jc w:val="center"/>
              <w:rPr>
                <w:color w:val="000000"/>
                <w:sz w:val="22"/>
                <w:szCs w:val="22"/>
              </w:rPr>
            </w:pPr>
          </w:p>
          <w:p w14:paraId="5D782038" w14:textId="77777777" w:rsidR="004137E7" w:rsidRDefault="004137E7" w:rsidP="004137E7">
            <w:pPr>
              <w:adjustRightInd w:val="0"/>
              <w:jc w:val="center"/>
              <w:rPr>
                <w:color w:val="000000"/>
                <w:sz w:val="22"/>
                <w:szCs w:val="22"/>
              </w:rPr>
            </w:pPr>
          </w:p>
          <w:p w14:paraId="6478EF44" w14:textId="77777777" w:rsidR="004137E7" w:rsidRDefault="004137E7" w:rsidP="004137E7">
            <w:pPr>
              <w:adjustRightInd w:val="0"/>
              <w:jc w:val="center"/>
              <w:rPr>
                <w:color w:val="000000"/>
                <w:sz w:val="22"/>
                <w:szCs w:val="22"/>
              </w:rPr>
            </w:pPr>
            <w:r>
              <w:rPr>
                <w:color w:val="000000"/>
                <w:sz w:val="22"/>
                <w:szCs w:val="22"/>
              </w:rPr>
              <w:t>Ú</w:t>
            </w:r>
          </w:p>
          <w:p w14:paraId="0E7FE543" w14:textId="77777777" w:rsidR="004137E7" w:rsidRDefault="004137E7" w:rsidP="004137E7">
            <w:pPr>
              <w:adjustRightInd w:val="0"/>
              <w:jc w:val="center"/>
              <w:rPr>
                <w:color w:val="000000"/>
                <w:sz w:val="22"/>
                <w:szCs w:val="22"/>
              </w:rPr>
            </w:pPr>
          </w:p>
          <w:p w14:paraId="5B8B01D9" w14:textId="77777777" w:rsidR="004137E7" w:rsidRDefault="004137E7" w:rsidP="004137E7">
            <w:pPr>
              <w:adjustRightInd w:val="0"/>
              <w:jc w:val="center"/>
              <w:rPr>
                <w:color w:val="000000"/>
                <w:sz w:val="22"/>
                <w:szCs w:val="22"/>
              </w:rPr>
            </w:pPr>
          </w:p>
          <w:p w14:paraId="7ED2B8BF" w14:textId="77777777" w:rsidR="004137E7" w:rsidRDefault="004137E7" w:rsidP="004137E7">
            <w:pPr>
              <w:adjustRightInd w:val="0"/>
              <w:jc w:val="center"/>
              <w:rPr>
                <w:color w:val="000000"/>
                <w:sz w:val="22"/>
                <w:szCs w:val="22"/>
              </w:rPr>
            </w:pPr>
          </w:p>
          <w:p w14:paraId="75066C32" w14:textId="77777777" w:rsidR="004137E7" w:rsidRDefault="004137E7" w:rsidP="004137E7">
            <w:pPr>
              <w:adjustRightInd w:val="0"/>
              <w:jc w:val="center"/>
              <w:rPr>
                <w:color w:val="000000"/>
                <w:sz w:val="22"/>
                <w:szCs w:val="22"/>
              </w:rPr>
            </w:pPr>
          </w:p>
          <w:p w14:paraId="1271C143" w14:textId="77777777" w:rsidR="004137E7" w:rsidRDefault="004137E7" w:rsidP="004137E7">
            <w:pPr>
              <w:adjustRightInd w:val="0"/>
              <w:jc w:val="center"/>
              <w:rPr>
                <w:color w:val="000000"/>
                <w:sz w:val="22"/>
                <w:szCs w:val="22"/>
              </w:rPr>
            </w:pPr>
          </w:p>
          <w:p w14:paraId="310FEE00" w14:textId="77777777" w:rsidR="004137E7" w:rsidRDefault="004137E7" w:rsidP="004137E7">
            <w:pPr>
              <w:adjustRightInd w:val="0"/>
              <w:jc w:val="center"/>
              <w:rPr>
                <w:color w:val="000000"/>
                <w:sz w:val="22"/>
                <w:szCs w:val="22"/>
              </w:rPr>
            </w:pPr>
          </w:p>
          <w:p w14:paraId="4B2A347D" w14:textId="77777777" w:rsidR="004137E7" w:rsidRDefault="004137E7" w:rsidP="004137E7">
            <w:pPr>
              <w:adjustRightInd w:val="0"/>
              <w:jc w:val="center"/>
              <w:rPr>
                <w:color w:val="000000"/>
                <w:sz w:val="22"/>
                <w:szCs w:val="22"/>
              </w:rPr>
            </w:pPr>
          </w:p>
          <w:p w14:paraId="2D2C8BFC" w14:textId="77777777" w:rsidR="004137E7" w:rsidRDefault="004137E7" w:rsidP="004137E7">
            <w:pPr>
              <w:adjustRightInd w:val="0"/>
              <w:jc w:val="center"/>
              <w:rPr>
                <w:color w:val="000000"/>
                <w:sz w:val="22"/>
                <w:szCs w:val="22"/>
              </w:rPr>
            </w:pPr>
          </w:p>
          <w:p w14:paraId="2102FD98" w14:textId="77777777" w:rsidR="004137E7" w:rsidRDefault="004137E7" w:rsidP="004137E7">
            <w:pPr>
              <w:adjustRightInd w:val="0"/>
              <w:jc w:val="center"/>
              <w:rPr>
                <w:color w:val="000000"/>
                <w:sz w:val="22"/>
                <w:szCs w:val="22"/>
              </w:rPr>
            </w:pPr>
          </w:p>
          <w:p w14:paraId="0AC768CB" w14:textId="77777777" w:rsidR="004137E7" w:rsidRDefault="004137E7" w:rsidP="004137E7">
            <w:pPr>
              <w:adjustRightInd w:val="0"/>
              <w:jc w:val="center"/>
              <w:rPr>
                <w:color w:val="000000"/>
                <w:sz w:val="22"/>
                <w:szCs w:val="22"/>
              </w:rPr>
            </w:pPr>
          </w:p>
          <w:p w14:paraId="1F0BEC8B" w14:textId="77777777" w:rsidR="004137E7" w:rsidRDefault="004137E7" w:rsidP="004137E7">
            <w:pPr>
              <w:adjustRightInd w:val="0"/>
              <w:jc w:val="center"/>
              <w:rPr>
                <w:color w:val="000000"/>
                <w:sz w:val="22"/>
                <w:szCs w:val="22"/>
              </w:rPr>
            </w:pPr>
          </w:p>
          <w:p w14:paraId="277E5E33" w14:textId="77777777" w:rsidR="004137E7" w:rsidRDefault="004137E7" w:rsidP="004137E7">
            <w:pPr>
              <w:adjustRightInd w:val="0"/>
              <w:jc w:val="center"/>
              <w:rPr>
                <w:color w:val="000000"/>
                <w:sz w:val="22"/>
                <w:szCs w:val="22"/>
              </w:rPr>
            </w:pPr>
          </w:p>
          <w:p w14:paraId="35F08BDE" w14:textId="77777777" w:rsidR="004137E7" w:rsidRDefault="004137E7" w:rsidP="004137E7">
            <w:pPr>
              <w:adjustRightInd w:val="0"/>
              <w:jc w:val="center"/>
              <w:rPr>
                <w:color w:val="000000"/>
                <w:sz w:val="22"/>
                <w:szCs w:val="22"/>
              </w:rPr>
            </w:pPr>
          </w:p>
          <w:p w14:paraId="6832861C" w14:textId="77777777" w:rsidR="004137E7" w:rsidRDefault="004137E7" w:rsidP="004137E7">
            <w:pPr>
              <w:adjustRightInd w:val="0"/>
              <w:jc w:val="center"/>
              <w:rPr>
                <w:color w:val="000000"/>
                <w:sz w:val="22"/>
                <w:szCs w:val="22"/>
              </w:rPr>
            </w:pPr>
          </w:p>
          <w:p w14:paraId="754FBE6E" w14:textId="77777777" w:rsidR="004137E7" w:rsidRDefault="004137E7" w:rsidP="004137E7">
            <w:pPr>
              <w:adjustRightInd w:val="0"/>
              <w:jc w:val="center"/>
              <w:rPr>
                <w:color w:val="000000"/>
                <w:sz w:val="22"/>
                <w:szCs w:val="22"/>
              </w:rPr>
            </w:pPr>
          </w:p>
          <w:p w14:paraId="0F496F22" w14:textId="77777777" w:rsidR="004137E7" w:rsidRDefault="004137E7" w:rsidP="004137E7">
            <w:pPr>
              <w:adjustRightInd w:val="0"/>
              <w:jc w:val="center"/>
              <w:rPr>
                <w:color w:val="000000"/>
                <w:sz w:val="22"/>
                <w:szCs w:val="22"/>
              </w:rPr>
            </w:pPr>
          </w:p>
          <w:p w14:paraId="0F3937DB" w14:textId="77777777" w:rsidR="004137E7" w:rsidRDefault="004137E7" w:rsidP="004137E7">
            <w:pPr>
              <w:adjustRightInd w:val="0"/>
              <w:jc w:val="center"/>
              <w:rPr>
                <w:color w:val="000000"/>
                <w:sz w:val="22"/>
                <w:szCs w:val="22"/>
              </w:rPr>
            </w:pPr>
          </w:p>
          <w:p w14:paraId="2120917F" w14:textId="77777777" w:rsidR="004137E7" w:rsidRDefault="004137E7" w:rsidP="004137E7">
            <w:pPr>
              <w:adjustRightInd w:val="0"/>
              <w:jc w:val="center"/>
              <w:rPr>
                <w:color w:val="000000"/>
                <w:sz w:val="22"/>
                <w:szCs w:val="22"/>
              </w:rPr>
            </w:pPr>
          </w:p>
          <w:p w14:paraId="797A6CCE" w14:textId="77777777" w:rsidR="004137E7" w:rsidRDefault="004137E7" w:rsidP="004137E7">
            <w:pPr>
              <w:adjustRightInd w:val="0"/>
              <w:jc w:val="center"/>
              <w:rPr>
                <w:color w:val="000000"/>
                <w:sz w:val="22"/>
                <w:szCs w:val="22"/>
              </w:rPr>
            </w:pPr>
          </w:p>
          <w:p w14:paraId="68AD1976" w14:textId="77777777" w:rsidR="004137E7" w:rsidRDefault="004137E7" w:rsidP="004137E7">
            <w:pPr>
              <w:adjustRightInd w:val="0"/>
              <w:jc w:val="center"/>
              <w:rPr>
                <w:color w:val="000000"/>
                <w:sz w:val="22"/>
                <w:szCs w:val="22"/>
              </w:rPr>
            </w:pPr>
            <w:r>
              <w:rPr>
                <w:color w:val="000000"/>
                <w:sz w:val="22"/>
                <w:szCs w:val="22"/>
              </w:rPr>
              <w:t>Ú</w:t>
            </w:r>
          </w:p>
          <w:p w14:paraId="53B6C32B" w14:textId="77777777" w:rsidR="004137E7" w:rsidRDefault="004137E7" w:rsidP="004137E7">
            <w:pPr>
              <w:adjustRightInd w:val="0"/>
              <w:jc w:val="center"/>
              <w:rPr>
                <w:color w:val="000000"/>
                <w:sz w:val="22"/>
                <w:szCs w:val="22"/>
              </w:rPr>
            </w:pPr>
          </w:p>
          <w:p w14:paraId="256A39C4" w14:textId="77777777" w:rsidR="004137E7" w:rsidRDefault="004137E7" w:rsidP="004137E7">
            <w:pPr>
              <w:adjustRightInd w:val="0"/>
              <w:jc w:val="center"/>
              <w:rPr>
                <w:color w:val="000000"/>
                <w:sz w:val="22"/>
                <w:szCs w:val="22"/>
              </w:rPr>
            </w:pPr>
          </w:p>
          <w:p w14:paraId="7736D251" w14:textId="77777777" w:rsidR="004137E7" w:rsidRDefault="004137E7" w:rsidP="004137E7">
            <w:pPr>
              <w:adjustRightInd w:val="0"/>
              <w:jc w:val="center"/>
              <w:rPr>
                <w:color w:val="000000"/>
                <w:sz w:val="22"/>
                <w:szCs w:val="22"/>
              </w:rPr>
            </w:pPr>
          </w:p>
          <w:p w14:paraId="0D2F5D86" w14:textId="77777777" w:rsidR="004137E7" w:rsidRDefault="004137E7" w:rsidP="004137E7">
            <w:pPr>
              <w:adjustRightInd w:val="0"/>
              <w:jc w:val="center"/>
              <w:rPr>
                <w:color w:val="000000"/>
                <w:sz w:val="22"/>
                <w:szCs w:val="22"/>
              </w:rPr>
            </w:pPr>
          </w:p>
          <w:p w14:paraId="6D2386F6" w14:textId="77777777" w:rsidR="004137E7" w:rsidRDefault="004137E7" w:rsidP="004137E7">
            <w:pPr>
              <w:adjustRightInd w:val="0"/>
              <w:jc w:val="center"/>
              <w:rPr>
                <w:color w:val="000000"/>
                <w:sz w:val="22"/>
                <w:szCs w:val="22"/>
              </w:rPr>
            </w:pPr>
          </w:p>
          <w:p w14:paraId="06FD8ECC" w14:textId="77777777" w:rsidR="004137E7" w:rsidRDefault="004137E7" w:rsidP="004137E7">
            <w:pPr>
              <w:adjustRightInd w:val="0"/>
              <w:rPr>
                <w:color w:val="000000"/>
                <w:sz w:val="22"/>
                <w:szCs w:val="22"/>
              </w:rPr>
            </w:pPr>
          </w:p>
          <w:p w14:paraId="485BCC4D" w14:textId="77777777" w:rsidR="004137E7" w:rsidRDefault="004137E7" w:rsidP="004137E7">
            <w:pPr>
              <w:adjustRightInd w:val="0"/>
              <w:rPr>
                <w:color w:val="000000"/>
                <w:sz w:val="22"/>
                <w:szCs w:val="22"/>
              </w:rPr>
            </w:pPr>
          </w:p>
          <w:p w14:paraId="04B9758D" w14:textId="77777777" w:rsidR="004137E7" w:rsidRDefault="004137E7" w:rsidP="004137E7">
            <w:pPr>
              <w:adjustRightInd w:val="0"/>
              <w:rPr>
                <w:color w:val="000000"/>
                <w:sz w:val="22"/>
                <w:szCs w:val="22"/>
              </w:rPr>
            </w:pPr>
          </w:p>
          <w:p w14:paraId="59DF51F3" w14:textId="77777777" w:rsidR="004137E7" w:rsidRDefault="004137E7" w:rsidP="004137E7">
            <w:pPr>
              <w:adjustRightInd w:val="0"/>
              <w:rPr>
                <w:color w:val="000000"/>
                <w:sz w:val="22"/>
                <w:szCs w:val="22"/>
              </w:rPr>
            </w:pPr>
          </w:p>
          <w:p w14:paraId="6757CC2A" w14:textId="77777777" w:rsidR="004137E7" w:rsidRDefault="004137E7" w:rsidP="004137E7">
            <w:pPr>
              <w:adjustRightInd w:val="0"/>
              <w:rPr>
                <w:color w:val="000000"/>
                <w:sz w:val="22"/>
                <w:szCs w:val="22"/>
              </w:rPr>
            </w:pPr>
          </w:p>
          <w:p w14:paraId="2E404EE3" w14:textId="77777777" w:rsidR="004137E7" w:rsidRDefault="004137E7" w:rsidP="004137E7">
            <w:pPr>
              <w:adjustRightInd w:val="0"/>
              <w:rPr>
                <w:color w:val="000000"/>
                <w:sz w:val="22"/>
                <w:szCs w:val="22"/>
              </w:rPr>
            </w:pPr>
          </w:p>
          <w:p w14:paraId="741F15F4" w14:textId="77777777" w:rsidR="004137E7" w:rsidRDefault="004137E7" w:rsidP="004137E7">
            <w:pPr>
              <w:adjustRightInd w:val="0"/>
              <w:rPr>
                <w:color w:val="000000"/>
                <w:sz w:val="22"/>
                <w:szCs w:val="22"/>
              </w:rPr>
            </w:pPr>
          </w:p>
          <w:p w14:paraId="679A3A62" w14:textId="77777777" w:rsidR="009143D6" w:rsidRDefault="009143D6" w:rsidP="004137E7">
            <w:pPr>
              <w:adjustRightInd w:val="0"/>
              <w:rPr>
                <w:color w:val="000000"/>
                <w:sz w:val="22"/>
                <w:szCs w:val="22"/>
              </w:rPr>
            </w:pPr>
          </w:p>
          <w:p w14:paraId="78EC13B1" w14:textId="77777777" w:rsidR="00AB5B8F" w:rsidRDefault="00AB5B8F" w:rsidP="004137E7">
            <w:pPr>
              <w:adjustRightInd w:val="0"/>
              <w:rPr>
                <w:color w:val="000000"/>
                <w:sz w:val="22"/>
                <w:szCs w:val="22"/>
              </w:rPr>
            </w:pPr>
          </w:p>
          <w:p w14:paraId="3E15475F" w14:textId="77777777" w:rsidR="00AB5B8F" w:rsidRDefault="00AB5B8F" w:rsidP="004137E7">
            <w:pPr>
              <w:adjustRightInd w:val="0"/>
              <w:rPr>
                <w:color w:val="000000"/>
                <w:sz w:val="22"/>
                <w:szCs w:val="22"/>
              </w:rPr>
            </w:pPr>
          </w:p>
          <w:p w14:paraId="641EC4D8" w14:textId="77777777" w:rsidR="00AB5B8F" w:rsidRDefault="00AB5B8F" w:rsidP="004137E7">
            <w:pPr>
              <w:adjustRightInd w:val="0"/>
              <w:rPr>
                <w:color w:val="000000"/>
                <w:sz w:val="22"/>
                <w:szCs w:val="22"/>
              </w:rPr>
            </w:pPr>
          </w:p>
          <w:p w14:paraId="08382EE1" w14:textId="515FD297" w:rsidR="004137E7" w:rsidRDefault="004137E7" w:rsidP="004137E7">
            <w:pPr>
              <w:adjustRightInd w:val="0"/>
              <w:rPr>
                <w:color w:val="000000"/>
                <w:sz w:val="22"/>
                <w:szCs w:val="22"/>
              </w:rPr>
            </w:pPr>
            <w:r>
              <w:rPr>
                <w:color w:val="000000"/>
                <w:sz w:val="22"/>
                <w:szCs w:val="22"/>
              </w:rPr>
              <w:t>Ú</w:t>
            </w:r>
          </w:p>
          <w:p w14:paraId="6E6B15D3" w14:textId="77777777" w:rsidR="004137E7" w:rsidRDefault="004137E7" w:rsidP="004137E7">
            <w:pPr>
              <w:adjustRightInd w:val="0"/>
              <w:rPr>
                <w:color w:val="000000"/>
                <w:sz w:val="22"/>
                <w:szCs w:val="22"/>
              </w:rPr>
            </w:pPr>
          </w:p>
          <w:p w14:paraId="1D312050" w14:textId="77777777" w:rsidR="004137E7" w:rsidRDefault="004137E7" w:rsidP="004137E7">
            <w:pPr>
              <w:adjustRightInd w:val="0"/>
              <w:rPr>
                <w:color w:val="000000"/>
                <w:sz w:val="22"/>
                <w:szCs w:val="22"/>
              </w:rPr>
            </w:pPr>
          </w:p>
          <w:p w14:paraId="00B15CD5" w14:textId="77777777" w:rsidR="004137E7" w:rsidRDefault="004137E7" w:rsidP="004137E7">
            <w:pPr>
              <w:adjustRightInd w:val="0"/>
              <w:rPr>
                <w:color w:val="000000"/>
                <w:sz w:val="22"/>
                <w:szCs w:val="22"/>
              </w:rPr>
            </w:pPr>
          </w:p>
          <w:p w14:paraId="2F42FA99" w14:textId="77777777" w:rsidR="004137E7" w:rsidRDefault="004137E7" w:rsidP="004137E7">
            <w:pPr>
              <w:adjustRightInd w:val="0"/>
              <w:rPr>
                <w:color w:val="000000"/>
                <w:sz w:val="22"/>
                <w:szCs w:val="22"/>
              </w:rPr>
            </w:pPr>
          </w:p>
          <w:p w14:paraId="5BC477BE" w14:textId="77777777" w:rsidR="001B5F0E" w:rsidRDefault="001B5F0E" w:rsidP="004137E7">
            <w:pPr>
              <w:adjustRightInd w:val="0"/>
              <w:rPr>
                <w:color w:val="000000"/>
                <w:sz w:val="22"/>
                <w:szCs w:val="22"/>
              </w:rPr>
            </w:pPr>
          </w:p>
          <w:p w14:paraId="7F115697" w14:textId="77777777" w:rsidR="001B5F0E" w:rsidRDefault="001B5F0E" w:rsidP="004137E7">
            <w:pPr>
              <w:adjustRightInd w:val="0"/>
              <w:rPr>
                <w:color w:val="000000"/>
                <w:sz w:val="22"/>
                <w:szCs w:val="22"/>
              </w:rPr>
            </w:pPr>
          </w:p>
          <w:p w14:paraId="408F3A6A" w14:textId="77777777" w:rsidR="00AB5B8F" w:rsidRDefault="00AB5B8F" w:rsidP="004137E7">
            <w:pPr>
              <w:adjustRightInd w:val="0"/>
              <w:rPr>
                <w:color w:val="000000"/>
                <w:sz w:val="22"/>
                <w:szCs w:val="22"/>
              </w:rPr>
            </w:pPr>
          </w:p>
          <w:p w14:paraId="6B1830C1" w14:textId="77777777" w:rsidR="00AB5B8F" w:rsidRDefault="00AB5B8F" w:rsidP="004137E7">
            <w:pPr>
              <w:adjustRightInd w:val="0"/>
              <w:rPr>
                <w:color w:val="000000"/>
                <w:sz w:val="22"/>
                <w:szCs w:val="22"/>
              </w:rPr>
            </w:pPr>
          </w:p>
          <w:p w14:paraId="7A7A25C8" w14:textId="77777777" w:rsidR="001B5F0E" w:rsidRDefault="001B5F0E" w:rsidP="004137E7">
            <w:pPr>
              <w:adjustRightInd w:val="0"/>
              <w:rPr>
                <w:color w:val="000000"/>
                <w:sz w:val="22"/>
                <w:szCs w:val="22"/>
              </w:rPr>
            </w:pPr>
          </w:p>
          <w:p w14:paraId="012EC7B4" w14:textId="77777777" w:rsidR="004137E7" w:rsidRDefault="004137E7" w:rsidP="004137E7">
            <w:pPr>
              <w:adjustRightInd w:val="0"/>
              <w:rPr>
                <w:color w:val="000000"/>
                <w:sz w:val="22"/>
                <w:szCs w:val="22"/>
              </w:rPr>
            </w:pPr>
            <w:proofErr w:type="spellStart"/>
            <w:r>
              <w:rPr>
                <w:color w:val="000000"/>
                <w:sz w:val="22"/>
                <w:szCs w:val="22"/>
              </w:rPr>
              <w:t>n.a</w:t>
            </w:r>
            <w:proofErr w:type="spellEnd"/>
            <w:r>
              <w:rPr>
                <w:color w:val="000000"/>
                <w:sz w:val="22"/>
                <w:szCs w:val="22"/>
              </w:rPr>
              <w:t>.</w:t>
            </w:r>
          </w:p>
          <w:p w14:paraId="7AB0013B" w14:textId="77777777" w:rsidR="004137E7" w:rsidRDefault="004137E7" w:rsidP="004137E7">
            <w:pPr>
              <w:adjustRightInd w:val="0"/>
              <w:rPr>
                <w:color w:val="000000"/>
                <w:sz w:val="22"/>
                <w:szCs w:val="22"/>
              </w:rPr>
            </w:pPr>
          </w:p>
          <w:p w14:paraId="4D2C2128" w14:textId="77777777" w:rsidR="004137E7" w:rsidRPr="00531286" w:rsidRDefault="004137E7" w:rsidP="004137E7">
            <w:pPr>
              <w:adjustRightInd w:val="0"/>
              <w:rPr>
                <w:color w:val="000000"/>
                <w:sz w:val="22"/>
                <w:szCs w:val="22"/>
              </w:rPr>
            </w:pPr>
          </w:p>
        </w:tc>
        <w:tc>
          <w:tcPr>
            <w:tcW w:w="1077" w:type="dxa"/>
            <w:tcBorders>
              <w:top w:val="single" w:sz="4" w:space="0" w:color="auto"/>
              <w:left w:val="single" w:sz="4" w:space="0" w:color="auto"/>
              <w:right w:val="single" w:sz="4" w:space="0" w:color="auto"/>
            </w:tcBorders>
          </w:tcPr>
          <w:p w14:paraId="3100D020"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073D383D" w14:textId="77777777" w:rsidR="004137E7" w:rsidRPr="00531286" w:rsidRDefault="004137E7" w:rsidP="004137E7">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52A3431E" w14:textId="77777777" w:rsidR="004137E7" w:rsidRPr="00531286" w:rsidRDefault="004137E7" w:rsidP="004137E7">
            <w:pPr>
              <w:spacing w:before="75" w:after="75"/>
              <w:rPr>
                <w:sz w:val="22"/>
                <w:szCs w:val="22"/>
              </w:rPr>
            </w:pPr>
          </w:p>
        </w:tc>
      </w:tr>
      <w:tr w:rsidR="004137E7" w:rsidRPr="0066733C" w14:paraId="7D5AF692" w14:textId="77777777" w:rsidTr="004B4186">
        <w:tc>
          <w:tcPr>
            <w:tcW w:w="682" w:type="dxa"/>
            <w:tcBorders>
              <w:top w:val="single" w:sz="4" w:space="0" w:color="auto"/>
              <w:left w:val="single" w:sz="12" w:space="0" w:color="auto"/>
              <w:right w:val="single" w:sz="4" w:space="0" w:color="auto"/>
            </w:tcBorders>
          </w:tcPr>
          <w:p w14:paraId="6B40D66D" w14:textId="77777777" w:rsidR="004137E7" w:rsidRPr="00531286" w:rsidRDefault="004137E7" w:rsidP="004137E7">
            <w:pPr>
              <w:jc w:val="center"/>
              <w:rPr>
                <w:sz w:val="22"/>
                <w:szCs w:val="22"/>
              </w:rPr>
            </w:pPr>
            <w:r w:rsidRPr="00531286">
              <w:rPr>
                <w:sz w:val="22"/>
                <w:szCs w:val="22"/>
              </w:rPr>
              <w:lastRenderedPageBreak/>
              <w:t>Č: 1</w:t>
            </w:r>
          </w:p>
          <w:p w14:paraId="316EF681" w14:textId="77777777" w:rsidR="004137E7" w:rsidRPr="00531286" w:rsidRDefault="004137E7" w:rsidP="004137E7">
            <w:pPr>
              <w:jc w:val="center"/>
              <w:rPr>
                <w:sz w:val="22"/>
                <w:szCs w:val="22"/>
              </w:rPr>
            </w:pPr>
            <w:r w:rsidRPr="00531286">
              <w:rPr>
                <w:sz w:val="22"/>
                <w:szCs w:val="22"/>
              </w:rPr>
              <w:t>O: 12</w:t>
            </w:r>
          </w:p>
          <w:p w14:paraId="08F383B7"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0110B696" w14:textId="77777777" w:rsidR="004137E7" w:rsidRPr="006547EC" w:rsidRDefault="004137E7" w:rsidP="004137E7">
            <w:pPr>
              <w:pStyle w:val="PredformtovanHTML"/>
              <w:shd w:val="clear" w:color="auto" w:fill="F8F9FA"/>
              <w:rPr>
                <w:rStyle w:val="y2iqfc"/>
                <w:rFonts w:ascii="Times New Roman" w:hAnsi="Times New Roman" w:cs="Times New Roman"/>
                <w:sz w:val="22"/>
                <w:szCs w:val="22"/>
              </w:rPr>
            </w:pPr>
            <w:r w:rsidRPr="006547EC">
              <w:rPr>
                <w:rStyle w:val="y2iqfc"/>
                <w:rFonts w:ascii="Times New Roman" w:hAnsi="Times New Roman" w:cs="Times New Roman"/>
                <w:sz w:val="22"/>
                <w:szCs w:val="22"/>
              </w:rPr>
              <w:t>Článok 70 ods. 3 sa mení takto:</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51"/>
              <w:gridCol w:w="4283"/>
            </w:tblGrid>
            <w:tr w:rsidR="00084172" w:rsidRPr="006547EC" w14:paraId="21E1B0EA" w14:textId="77777777" w:rsidTr="00A67F07">
              <w:tc>
                <w:tcPr>
                  <w:tcW w:w="484" w:type="dxa"/>
                  <w:shd w:val="clear" w:color="auto" w:fill="FFFFFF"/>
                  <w:hideMark/>
                </w:tcPr>
                <w:p w14:paraId="79394752" w14:textId="77777777" w:rsidR="004137E7" w:rsidRPr="006547EC" w:rsidRDefault="004137E7" w:rsidP="004137E7">
                  <w:pPr>
                    <w:autoSpaceDE/>
                    <w:autoSpaceDN/>
                    <w:spacing w:before="120"/>
                    <w:jc w:val="both"/>
                    <w:rPr>
                      <w:sz w:val="22"/>
                      <w:szCs w:val="22"/>
                    </w:rPr>
                  </w:pPr>
                  <w:r w:rsidRPr="006547EC">
                    <w:rPr>
                      <w:sz w:val="22"/>
                      <w:szCs w:val="22"/>
                    </w:rPr>
                    <w:t>a)</w:t>
                  </w:r>
                </w:p>
              </w:tc>
              <w:tc>
                <w:tcPr>
                  <w:tcW w:w="8588" w:type="dxa"/>
                  <w:shd w:val="clear" w:color="auto" w:fill="FFFFFF"/>
                  <w:hideMark/>
                </w:tcPr>
                <w:p w14:paraId="257202C9" w14:textId="77777777" w:rsidR="004137E7" w:rsidRPr="006547EC" w:rsidRDefault="004137E7" w:rsidP="004137E7">
                  <w:pPr>
                    <w:autoSpaceDE/>
                    <w:autoSpaceDN/>
                    <w:spacing w:before="120"/>
                    <w:jc w:val="both"/>
                    <w:rPr>
                      <w:sz w:val="22"/>
                      <w:szCs w:val="22"/>
                    </w:rPr>
                  </w:pPr>
                  <w:r w:rsidRPr="006547EC">
                    <w:rPr>
                      <w:sz w:val="22"/>
                      <w:szCs w:val="22"/>
                    </w:rPr>
                    <w:t>v písmene a) sa vypúšťa bod xxx);</w:t>
                  </w:r>
                </w:p>
              </w:tc>
            </w:tr>
          </w:tbl>
          <w:p w14:paraId="6A4CB6F4" w14:textId="77777777" w:rsidR="004137E7" w:rsidRPr="006547EC" w:rsidRDefault="004137E7" w:rsidP="004137E7">
            <w:pPr>
              <w:autoSpaceDE/>
              <w:autoSpaceDN/>
              <w:rPr>
                <w:vanish/>
                <w:sz w:val="22"/>
                <w:szCs w:val="22"/>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9"/>
              <w:gridCol w:w="4065"/>
            </w:tblGrid>
            <w:tr w:rsidR="00084172" w:rsidRPr="006547EC" w14:paraId="1112DBED" w14:textId="77777777" w:rsidTr="00A67F07">
              <w:tc>
                <w:tcPr>
                  <w:tcW w:w="469" w:type="dxa"/>
                  <w:shd w:val="clear" w:color="auto" w:fill="FFFFFF"/>
                  <w:hideMark/>
                </w:tcPr>
                <w:p w14:paraId="1C13A674" w14:textId="77777777" w:rsidR="004137E7" w:rsidRPr="006547EC" w:rsidRDefault="004137E7" w:rsidP="004137E7">
                  <w:pPr>
                    <w:autoSpaceDE/>
                    <w:autoSpaceDN/>
                    <w:spacing w:before="120"/>
                    <w:jc w:val="both"/>
                    <w:rPr>
                      <w:sz w:val="22"/>
                      <w:szCs w:val="22"/>
                    </w:rPr>
                  </w:pPr>
                  <w:r w:rsidRPr="006547EC">
                    <w:rPr>
                      <w:sz w:val="22"/>
                      <w:szCs w:val="22"/>
                    </w:rPr>
                    <w:t>b)</w:t>
                  </w:r>
                </w:p>
              </w:tc>
              <w:tc>
                <w:tcPr>
                  <w:tcW w:w="4065" w:type="dxa"/>
                  <w:shd w:val="clear" w:color="auto" w:fill="FFFFFF"/>
                  <w:hideMark/>
                </w:tcPr>
                <w:p w14:paraId="38E574A0" w14:textId="77777777" w:rsidR="004137E7" w:rsidRPr="006547EC" w:rsidRDefault="004137E7" w:rsidP="004137E7">
                  <w:pPr>
                    <w:autoSpaceDE/>
                    <w:autoSpaceDN/>
                    <w:spacing w:before="120"/>
                    <w:jc w:val="both"/>
                    <w:rPr>
                      <w:sz w:val="22"/>
                      <w:szCs w:val="22"/>
                    </w:rPr>
                  </w:pPr>
                  <w:r w:rsidRPr="006547EC">
                    <w:rPr>
                      <w:sz w:val="22"/>
                      <w:szCs w:val="22"/>
                    </w:rPr>
                    <w:t>písmeno b) sa mení takto:</w:t>
                  </w:r>
                </w:p>
                <w:tbl>
                  <w:tblPr>
                    <w:tblW w:w="5000" w:type="pct"/>
                    <w:tblLayout w:type="fixed"/>
                    <w:tblCellMar>
                      <w:left w:w="0" w:type="dxa"/>
                      <w:right w:w="0" w:type="dxa"/>
                    </w:tblCellMar>
                    <w:tblLook w:val="04A0" w:firstRow="1" w:lastRow="0" w:firstColumn="1" w:lastColumn="0" w:noHBand="0" w:noVBand="1"/>
                  </w:tblPr>
                  <w:tblGrid>
                    <w:gridCol w:w="298"/>
                    <w:gridCol w:w="3767"/>
                  </w:tblGrid>
                  <w:tr w:rsidR="00084172" w:rsidRPr="006547EC" w14:paraId="7A6570E8" w14:textId="77777777">
                    <w:tc>
                      <w:tcPr>
                        <w:tcW w:w="629" w:type="dxa"/>
                        <w:shd w:val="clear" w:color="auto" w:fill="auto"/>
                        <w:hideMark/>
                      </w:tcPr>
                      <w:p w14:paraId="55B7F8B6" w14:textId="77777777" w:rsidR="004137E7" w:rsidRPr="006547EC" w:rsidRDefault="004137E7" w:rsidP="004137E7">
                        <w:pPr>
                          <w:autoSpaceDE/>
                          <w:autoSpaceDN/>
                          <w:spacing w:before="120"/>
                          <w:jc w:val="both"/>
                          <w:rPr>
                            <w:sz w:val="22"/>
                            <w:szCs w:val="22"/>
                          </w:rPr>
                        </w:pPr>
                        <w:r w:rsidRPr="006547EC">
                          <w:rPr>
                            <w:sz w:val="22"/>
                            <w:szCs w:val="22"/>
                          </w:rPr>
                          <w:t>i)</w:t>
                        </w:r>
                      </w:p>
                    </w:tc>
                    <w:tc>
                      <w:tcPr>
                        <w:tcW w:w="8243" w:type="dxa"/>
                        <w:shd w:val="clear" w:color="auto" w:fill="auto"/>
                        <w:hideMark/>
                      </w:tcPr>
                      <w:p w14:paraId="0DCD4F1D" w14:textId="77777777" w:rsidR="004137E7" w:rsidRPr="006547EC" w:rsidRDefault="004137E7" w:rsidP="004137E7">
                        <w:pPr>
                          <w:autoSpaceDE/>
                          <w:autoSpaceDN/>
                          <w:spacing w:before="120"/>
                          <w:jc w:val="both"/>
                          <w:rPr>
                            <w:sz w:val="22"/>
                            <w:szCs w:val="22"/>
                          </w:rPr>
                        </w:pPr>
                        <w:r w:rsidRPr="006547EC">
                          <w:rPr>
                            <w:sz w:val="22"/>
                            <w:szCs w:val="22"/>
                          </w:rPr>
                          <w:t>vkladá sa tento bod:</w:t>
                        </w:r>
                      </w:p>
                      <w:tbl>
                        <w:tblPr>
                          <w:tblW w:w="5000" w:type="pct"/>
                          <w:tblLayout w:type="fixed"/>
                          <w:tblCellMar>
                            <w:left w:w="0" w:type="dxa"/>
                            <w:right w:w="0" w:type="dxa"/>
                          </w:tblCellMar>
                          <w:tblLook w:val="04A0" w:firstRow="1" w:lastRow="0" w:firstColumn="1" w:lastColumn="0" w:noHBand="0" w:noVBand="1"/>
                        </w:tblPr>
                        <w:tblGrid>
                          <w:gridCol w:w="1137"/>
                          <w:gridCol w:w="2630"/>
                        </w:tblGrid>
                        <w:tr w:rsidR="00084172" w:rsidRPr="006547EC" w14:paraId="04F28A0B" w14:textId="77777777">
                          <w:tc>
                            <w:tcPr>
                              <w:tcW w:w="2479" w:type="dxa"/>
                              <w:shd w:val="clear" w:color="auto" w:fill="auto"/>
                              <w:hideMark/>
                            </w:tcPr>
                            <w:p w14:paraId="1860BBB7" w14:textId="77777777" w:rsidR="004137E7" w:rsidRPr="006547EC" w:rsidRDefault="004137E7" w:rsidP="004137E7">
                              <w:pPr>
                                <w:autoSpaceDE/>
                                <w:autoSpaceDN/>
                                <w:spacing w:before="120"/>
                                <w:jc w:val="both"/>
                                <w:rPr>
                                  <w:sz w:val="22"/>
                                  <w:szCs w:val="22"/>
                                </w:rPr>
                              </w:pPr>
                              <w:r w:rsidRPr="006547EC">
                                <w:rPr>
                                  <w:sz w:val="22"/>
                                  <w:szCs w:val="22"/>
                                </w:rPr>
                                <w:t>„</w:t>
                              </w:r>
                              <w:proofErr w:type="spellStart"/>
                              <w:r w:rsidRPr="006547EC">
                                <w:rPr>
                                  <w:sz w:val="22"/>
                                  <w:szCs w:val="22"/>
                                </w:rPr>
                                <w:t>iia</w:t>
                              </w:r>
                              <w:proofErr w:type="spellEnd"/>
                              <w:r w:rsidRPr="006547EC">
                                <w:rPr>
                                  <w:sz w:val="22"/>
                                  <w:szCs w:val="22"/>
                                </w:rPr>
                                <w:t>)</w:t>
                              </w:r>
                            </w:p>
                          </w:tc>
                          <w:tc>
                            <w:tcPr>
                              <w:tcW w:w="5764" w:type="dxa"/>
                              <w:shd w:val="clear" w:color="auto" w:fill="auto"/>
                              <w:hideMark/>
                            </w:tcPr>
                            <w:p w14:paraId="520E2D74" w14:textId="77777777" w:rsidR="004137E7" w:rsidRPr="006547EC" w:rsidRDefault="004137E7" w:rsidP="004137E7">
                              <w:pPr>
                                <w:autoSpaceDE/>
                                <w:autoSpaceDN/>
                                <w:spacing w:before="120"/>
                                <w:jc w:val="both"/>
                                <w:rPr>
                                  <w:sz w:val="22"/>
                                  <w:szCs w:val="22"/>
                                </w:rPr>
                              </w:pPr>
                              <w:r w:rsidRPr="006547EC">
                                <w:rPr>
                                  <w:sz w:val="22"/>
                                  <w:szCs w:val="22"/>
                                </w:rPr>
                                <w:t>článok 5;“</w:t>
                              </w:r>
                            </w:p>
                          </w:tc>
                        </w:tr>
                      </w:tbl>
                      <w:p w14:paraId="67A685BC" w14:textId="77777777" w:rsidR="004137E7" w:rsidRPr="006547EC" w:rsidRDefault="004137E7" w:rsidP="004137E7">
                        <w:pPr>
                          <w:autoSpaceDE/>
                          <w:autoSpaceDN/>
                          <w:rPr>
                            <w:sz w:val="22"/>
                            <w:szCs w:val="22"/>
                          </w:rPr>
                        </w:pPr>
                      </w:p>
                    </w:tc>
                  </w:tr>
                </w:tbl>
                <w:p w14:paraId="20A97EE7"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40"/>
                    <w:gridCol w:w="3725"/>
                  </w:tblGrid>
                  <w:tr w:rsidR="00084172" w:rsidRPr="006547EC" w14:paraId="1922A6DB" w14:textId="77777777">
                    <w:tc>
                      <w:tcPr>
                        <w:tcW w:w="723" w:type="dxa"/>
                        <w:shd w:val="clear" w:color="auto" w:fill="auto"/>
                        <w:hideMark/>
                      </w:tcPr>
                      <w:p w14:paraId="217618E5" w14:textId="77777777" w:rsidR="004137E7" w:rsidRPr="006547EC" w:rsidRDefault="004137E7" w:rsidP="004137E7">
                        <w:pPr>
                          <w:autoSpaceDE/>
                          <w:autoSpaceDN/>
                          <w:spacing w:before="120"/>
                          <w:jc w:val="both"/>
                          <w:rPr>
                            <w:sz w:val="22"/>
                            <w:szCs w:val="22"/>
                          </w:rPr>
                        </w:pPr>
                        <w:r w:rsidRPr="006547EC">
                          <w:rPr>
                            <w:sz w:val="22"/>
                            <w:szCs w:val="22"/>
                          </w:rPr>
                          <w:t>ii)</w:t>
                        </w:r>
                      </w:p>
                    </w:tc>
                    <w:tc>
                      <w:tcPr>
                        <w:tcW w:w="8149" w:type="dxa"/>
                        <w:shd w:val="clear" w:color="auto" w:fill="auto"/>
                        <w:hideMark/>
                      </w:tcPr>
                      <w:p w14:paraId="4AA5CCC7" w14:textId="77777777" w:rsidR="004137E7" w:rsidRPr="006547EC" w:rsidRDefault="004137E7" w:rsidP="004137E7">
                        <w:pPr>
                          <w:autoSpaceDE/>
                          <w:autoSpaceDN/>
                          <w:spacing w:before="120"/>
                          <w:jc w:val="both"/>
                          <w:rPr>
                            <w:sz w:val="22"/>
                            <w:szCs w:val="22"/>
                          </w:rPr>
                        </w:pPr>
                        <w:r w:rsidRPr="006547EC">
                          <w:rPr>
                            <w:sz w:val="22"/>
                            <w:szCs w:val="22"/>
                          </w:rPr>
                          <w:t>bod v) sa nahrádza takto:</w:t>
                        </w:r>
                      </w:p>
                      <w:tbl>
                        <w:tblPr>
                          <w:tblW w:w="5000" w:type="pct"/>
                          <w:tblLayout w:type="fixed"/>
                          <w:tblCellMar>
                            <w:left w:w="0" w:type="dxa"/>
                            <w:right w:w="0" w:type="dxa"/>
                          </w:tblCellMar>
                          <w:tblLook w:val="04A0" w:firstRow="1" w:lastRow="0" w:firstColumn="1" w:lastColumn="0" w:noHBand="0" w:noVBand="1"/>
                        </w:tblPr>
                        <w:tblGrid>
                          <w:gridCol w:w="633"/>
                          <w:gridCol w:w="3092"/>
                        </w:tblGrid>
                        <w:tr w:rsidR="00084172" w:rsidRPr="006547EC" w14:paraId="10D7DE8A" w14:textId="77777777">
                          <w:tc>
                            <w:tcPr>
                              <w:tcW w:w="1369" w:type="dxa"/>
                              <w:shd w:val="clear" w:color="auto" w:fill="auto"/>
                              <w:hideMark/>
                            </w:tcPr>
                            <w:p w14:paraId="55ADC1FD" w14:textId="77777777" w:rsidR="004137E7" w:rsidRPr="006547EC" w:rsidRDefault="004137E7" w:rsidP="004137E7">
                              <w:pPr>
                                <w:autoSpaceDE/>
                                <w:autoSpaceDN/>
                                <w:spacing w:before="120"/>
                                <w:jc w:val="both"/>
                                <w:rPr>
                                  <w:sz w:val="22"/>
                                  <w:szCs w:val="22"/>
                                </w:rPr>
                              </w:pPr>
                              <w:r w:rsidRPr="006547EC">
                                <w:rPr>
                                  <w:sz w:val="22"/>
                                  <w:szCs w:val="22"/>
                                </w:rPr>
                                <w:t>„v)</w:t>
                              </w:r>
                            </w:p>
                          </w:tc>
                          <w:tc>
                            <w:tcPr>
                              <w:tcW w:w="6780" w:type="dxa"/>
                              <w:shd w:val="clear" w:color="auto" w:fill="auto"/>
                              <w:hideMark/>
                            </w:tcPr>
                            <w:p w14:paraId="05F7DCA2" w14:textId="77777777" w:rsidR="004137E7" w:rsidRPr="006547EC" w:rsidRDefault="004137E7" w:rsidP="004137E7">
                              <w:pPr>
                                <w:autoSpaceDE/>
                                <w:autoSpaceDN/>
                                <w:spacing w:before="120"/>
                                <w:jc w:val="both"/>
                                <w:rPr>
                                  <w:sz w:val="22"/>
                                  <w:szCs w:val="22"/>
                                </w:rPr>
                              </w:pPr>
                              <w:r w:rsidRPr="006547EC">
                                <w:rPr>
                                  <w:sz w:val="22"/>
                                  <w:szCs w:val="22"/>
                                </w:rPr>
                                <w:t>článok 8 ods. 1;</w:t>
                              </w:r>
                            </w:p>
                          </w:tc>
                        </w:tr>
                      </w:tbl>
                      <w:p w14:paraId="448103A3"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509"/>
                          <w:gridCol w:w="3216"/>
                        </w:tblGrid>
                        <w:tr w:rsidR="00084172" w:rsidRPr="006547EC" w14:paraId="616BA6E6" w14:textId="77777777" w:rsidTr="001B5F0E">
                          <w:trPr>
                            <w:trHeight w:val="696"/>
                          </w:trPr>
                          <w:tc>
                            <w:tcPr>
                              <w:tcW w:w="1097" w:type="dxa"/>
                              <w:shd w:val="clear" w:color="auto" w:fill="auto"/>
                              <w:hideMark/>
                            </w:tcPr>
                            <w:p w14:paraId="24756433" w14:textId="77777777" w:rsidR="004137E7" w:rsidRPr="006547EC" w:rsidRDefault="004137E7" w:rsidP="004137E7">
                              <w:pPr>
                                <w:autoSpaceDE/>
                                <w:autoSpaceDN/>
                                <w:spacing w:before="120"/>
                                <w:jc w:val="both"/>
                                <w:rPr>
                                  <w:sz w:val="22"/>
                                  <w:szCs w:val="22"/>
                                </w:rPr>
                              </w:pPr>
                              <w:proofErr w:type="spellStart"/>
                              <w:r w:rsidRPr="006547EC">
                                <w:rPr>
                                  <w:sz w:val="22"/>
                                  <w:szCs w:val="22"/>
                                </w:rPr>
                                <w:t>va</w:t>
                              </w:r>
                              <w:proofErr w:type="spellEnd"/>
                              <w:r w:rsidRPr="006547EC">
                                <w:rPr>
                                  <w:sz w:val="22"/>
                                  <w:szCs w:val="22"/>
                                </w:rPr>
                                <w:t>)</w:t>
                              </w:r>
                            </w:p>
                          </w:tc>
                          <w:tc>
                            <w:tcPr>
                              <w:tcW w:w="7052" w:type="dxa"/>
                              <w:shd w:val="clear" w:color="auto" w:fill="auto"/>
                              <w:hideMark/>
                            </w:tcPr>
                            <w:p w14:paraId="4691C627" w14:textId="77777777" w:rsidR="004137E7" w:rsidRPr="006547EC" w:rsidRDefault="004137E7" w:rsidP="004137E7">
                              <w:pPr>
                                <w:autoSpaceDE/>
                                <w:autoSpaceDN/>
                                <w:spacing w:before="120"/>
                                <w:jc w:val="both"/>
                                <w:rPr>
                                  <w:sz w:val="22"/>
                                  <w:szCs w:val="22"/>
                                </w:rPr>
                              </w:pPr>
                              <w:r w:rsidRPr="006547EC">
                                <w:rPr>
                                  <w:sz w:val="22"/>
                                  <w:szCs w:val="22"/>
                                </w:rPr>
                                <w:t>článok 8a ods. 1 a 2;</w:t>
                              </w:r>
                            </w:p>
                          </w:tc>
                        </w:tr>
                      </w:tbl>
                      <w:p w14:paraId="79EEB27F"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838"/>
                          <w:gridCol w:w="2887"/>
                        </w:tblGrid>
                        <w:tr w:rsidR="00084172" w:rsidRPr="006547EC" w14:paraId="09A30427" w14:textId="77777777">
                          <w:tc>
                            <w:tcPr>
                              <w:tcW w:w="1820" w:type="dxa"/>
                              <w:shd w:val="clear" w:color="auto" w:fill="auto"/>
                              <w:hideMark/>
                            </w:tcPr>
                            <w:p w14:paraId="5542B662" w14:textId="77777777" w:rsidR="004137E7" w:rsidRPr="006547EC" w:rsidRDefault="004137E7" w:rsidP="004137E7">
                              <w:pPr>
                                <w:autoSpaceDE/>
                                <w:autoSpaceDN/>
                                <w:spacing w:before="120"/>
                                <w:jc w:val="both"/>
                                <w:rPr>
                                  <w:sz w:val="22"/>
                                  <w:szCs w:val="22"/>
                                </w:rPr>
                              </w:pPr>
                              <w:proofErr w:type="spellStart"/>
                              <w:r w:rsidRPr="006547EC">
                                <w:rPr>
                                  <w:sz w:val="22"/>
                                  <w:szCs w:val="22"/>
                                </w:rPr>
                                <w:t>vb</w:t>
                              </w:r>
                              <w:proofErr w:type="spellEnd"/>
                              <w:r w:rsidRPr="006547EC">
                                <w:rPr>
                                  <w:sz w:val="22"/>
                                  <w:szCs w:val="22"/>
                                </w:rPr>
                                <w:t>)</w:t>
                              </w:r>
                            </w:p>
                          </w:tc>
                          <w:tc>
                            <w:tcPr>
                              <w:tcW w:w="6329" w:type="dxa"/>
                              <w:shd w:val="clear" w:color="auto" w:fill="auto"/>
                              <w:hideMark/>
                            </w:tcPr>
                            <w:p w14:paraId="7B5BBE5E" w14:textId="77777777" w:rsidR="004137E7" w:rsidRPr="006547EC" w:rsidRDefault="004137E7" w:rsidP="004137E7">
                              <w:pPr>
                                <w:autoSpaceDE/>
                                <w:autoSpaceDN/>
                                <w:spacing w:before="120"/>
                                <w:jc w:val="both"/>
                                <w:rPr>
                                  <w:sz w:val="22"/>
                                  <w:szCs w:val="22"/>
                                </w:rPr>
                              </w:pPr>
                              <w:r w:rsidRPr="006547EC">
                                <w:rPr>
                                  <w:sz w:val="22"/>
                                  <w:szCs w:val="22"/>
                                </w:rPr>
                                <w:t>článok 8b;“</w:t>
                              </w:r>
                            </w:p>
                          </w:tc>
                        </w:tr>
                      </w:tbl>
                      <w:p w14:paraId="4DE30424" w14:textId="77777777" w:rsidR="004137E7" w:rsidRPr="006547EC" w:rsidRDefault="004137E7" w:rsidP="004137E7">
                        <w:pPr>
                          <w:autoSpaceDE/>
                          <w:autoSpaceDN/>
                          <w:rPr>
                            <w:sz w:val="22"/>
                            <w:szCs w:val="22"/>
                          </w:rPr>
                        </w:pPr>
                      </w:p>
                    </w:tc>
                  </w:tr>
                </w:tbl>
                <w:p w14:paraId="6167E7DD"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566"/>
                    <w:gridCol w:w="3499"/>
                  </w:tblGrid>
                  <w:tr w:rsidR="00084172" w:rsidRPr="006547EC" w14:paraId="34443949" w14:textId="77777777" w:rsidTr="004B0C36">
                    <w:tc>
                      <w:tcPr>
                        <w:tcW w:w="566" w:type="dxa"/>
                        <w:shd w:val="clear" w:color="auto" w:fill="auto"/>
                        <w:hideMark/>
                      </w:tcPr>
                      <w:p w14:paraId="6A36EDFD" w14:textId="77777777" w:rsidR="004137E7" w:rsidRPr="006547EC" w:rsidRDefault="004137E7" w:rsidP="004137E7">
                        <w:pPr>
                          <w:autoSpaceDE/>
                          <w:autoSpaceDN/>
                          <w:spacing w:before="120"/>
                          <w:jc w:val="both"/>
                          <w:rPr>
                            <w:sz w:val="22"/>
                            <w:szCs w:val="22"/>
                          </w:rPr>
                        </w:pPr>
                        <w:r w:rsidRPr="006547EC">
                          <w:rPr>
                            <w:sz w:val="22"/>
                            <w:szCs w:val="22"/>
                          </w:rPr>
                          <w:lastRenderedPageBreak/>
                          <w:t>iii)</w:t>
                        </w:r>
                      </w:p>
                    </w:tc>
                    <w:tc>
                      <w:tcPr>
                        <w:tcW w:w="3499" w:type="dxa"/>
                        <w:shd w:val="clear" w:color="auto" w:fill="auto"/>
                        <w:hideMark/>
                      </w:tcPr>
                      <w:p w14:paraId="5854E18B" w14:textId="7B241CB2" w:rsidR="004137E7" w:rsidRPr="006547EC" w:rsidRDefault="004137E7" w:rsidP="004137E7">
                        <w:pPr>
                          <w:autoSpaceDE/>
                          <w:autoSpaceDN/>
                          <w:spacing w:before="120"/>
                          <w:jc w:val="both"/>
                          <w:rPr>
                            <w:sz w:val="22"/>
                            <w:szCs w:val="22"/>
                          </w:rPr>
                        </w:pPr>
                        <w:r w:rsidRPr="006547EC">
                          <w:rPr>
                            <w:sz w:val="22"/>
                            <w:szCs w:val="22"/>
                          </w:rPr>
                          <w:t>bod vii) sa nahrádza takto:</w:t>
                        </w:r>
                        <w:r w:rsidR="004F6ED6" w:rsidRPr="006547EC">
                          <w:rPr>
                            <w:sz w:val="22"/>
                            <w:szCs w:val="22"/>
                          </w:rPr>
                          <w:t xml:space="preserve"> „vii)</w:t>
                        </w:r>
                      </w:p>
                      <w:tbl>
                        <w:tblPr>
                          <w:tblW w:w="5000" w:type="pct"/>
                          <w:tblLayout w:type="fixed"/>
                          <w:tblCellMar>
                            <w:left w:w="0" w:type="dxa"/>
                            <w:right w:w="0" w:type="dxa"/>
                          </w:tblCellMar>
                          <w:tblLook w:val="04A0" w:firstRow="1" w:lastRow="0" w:firstColumn="1" w:lastColumn="0" w:noHBand="0" w:noVBand="1"/>
                        </w:tblPr>
                        <w:tblGrid>
                          <w:gridCol w:w="20"/>
                          <w:gridCol w:w="3479"/>
                        </w:tblGrid>
                        <w:tr w:rsidR="00084172" w:rsidRPr="006547EC" w14:paraId="219F9854" w14:textId="77777777" w:rsidTr="004F6ED6">
                          <w:tc>
                            <w:tcPr>
                              <w:tcW w:w="20" w:type="dxa"/>
                              <w:shd w:val="clear" w:color="auto" w:fill="auto"/>
                              <w:hideMark/>
                            </w:tcPr>
                            <w:p w14:paraId="4B5D7B25" w14:textId="77777777" w:rsidR="004137E7" w:rsidRPr="006547EC" w:rsidRDefault="004137E7" w:rsidP="009143D6">
                              <w:pPr>
                                <w:autoSpaceDE/>
                                <w:autoSpaceDN/>
                                <w:spacing w:before="120"/>
                                <w:ind w:left="-849" w:right="191"/>
                                <w:jc w:val="both"/>
                                <w:rPr>
                                  <w:sz w:val="22"/>
                                  <w:szCs w:val="22"/>
                                </w:rPr>
                              </w:pPr>
                              <w:r w:rsidRPr="006547EC">
                                <w:rPr>
                                  <w:sz w:val="22"/>
                                  <w:szCs w:val="22"/>
                                </w:rPr>
                                <w:t xml:space="preserve">„viii) </w:t>
                              </w:r>
                              <w:r w:rsidR="009143D6" w:rsidRPr="006547EC">
                                <w:rPr>
                                  <w:sz w:val="22"/>
                                  <w:szCs w:val="22"/>
                                </w:rPr>
                                <w:t>„vi</w:t>
                              </w:r>
                            </w:p>
                          </w:tc>
                          <w:tc>
                            <w:tcPr>
                              <w:tcW w:w="3479" w:type="dxa"/>
                              <w:shd w:val="clear" w:color="auto" w:fill="auto"/>
                              <w:hideMark/>
                            </w:tcPr>
                            <w:p w14:paraId="5C4A18A0" w14:textId="23B77CA2" w:rsidR="004137E7" w:rsidRPr="006547EC" w:rsidRDefault="004137E7" w:rsidP="009143D6">
                              <w:pPr>
                                <w:autoSpaceDE/>
                                <w:autoSpaceDN/>
                                <w:spacing w:before="120"/>
                                <w:rPr>
                                  <w:sz w:val="22"/>
                                  <w:szCs w:val="22"/>
                                </w:rPr>
                              </w:pPr>
                              <w:r w:rsidRPr="006547EC">
                                <w:rPr>
                                  <w:sz w:val="22"/>
                                  <w:szCs w:val="22"/>
                                </w:rPr>
                                <w:t xml:space="preserve">článok 11 ods. 1 druhý </w:t>
                              </w:r>
                              <w:proofErr w:type="spellStart"/>
                              <w:r w:rsidRPr="006547EC">
                                <w:rPr>
                                  <w:sz w:val="22"/>
                                  <w:szCs w:val="22"/>
                                </w:rPr>
                                <w:t>pododsek</w:t>
                              </w:r>
                              <w:proofErr w:type="spellEnd"/>
                              <w:r w:rsidRPr="006547EC">
                                <w:rPr>
                                  <w:sz w:val="22"/>
                                  <w:szCs w:val="22"/>
                                </w:rPr>
                                <w:t xml:space="preserve"> prvá veta, článok 11 ods. 1a druhý </w:t>
                              </w:r>
                              <w:proofErr w:type="spellStart"/>
                              <w:r w:rsidRPr="006547EC">
                                <w:rPr>
                                  <w:sz w:val="22"/>
                                  <w:szCs w:val="22"/>
                                </w:rPr>
                                <w:t>pododsek</w:t>
                              </w:r>
                              <w:proofErr w:type="spellEnd"/>
                              <w:r w:rsidRPr="006547EC">
                                <w:rPr>
                                  <w:sz w:val="22"/>
                                  <w:szCs w:val="22"/>
                                </w:rPr>
                                <w:t xml:space="preserve">, článok 11 ods. 1b a článok 11 ods. 3 štvrtý </w:t>
                              </w:r>
                              <w:proofErr w:type="spellStart"/>
                              <w:r w:rsidRPr="006547EC">
                                <w:rPr>
                                  <w:sz w:val="22"/>
                                  <w:szCs w:val="22"/>
                                </w:rPr>
                                <w:t>pododsek</w:t>
                              </w:r>
                              <w:proofErr w:type="spellEnd"/>
                              <w:r w:rsidRPr="006547EC">
                                <w:rPr>
                                  <w:sz w:val="22"/>
                                  <w:szCs w:val="22"/>
                                </w:rPr>
                                <w:t>;</w:t>
                              </w:r>
                              <w:r w:rsidR="004F6ED6" w:rsidRPr="006547EC">
                                <w:rPr>
                                  <w:sz w:val="22"/>
                                  <w:szCs w:val="22"/>
                                </w:rPr>
                                <w:t xml:space="preserve"> </w:t>
                              </w:r>
                              <w:proofErr w:type="spellStart"/>
                              <w:r w:rsidR="004F6ED6" w:rsidRPr="006547EC">
                                <w:rPr>
                                  <w:sz w:val="22"/>
                                  <w:szCs w:val="22"/>
                                </w:rPr>
                                <w:t>viia</w:t>
                              </w:r>
                              <w:proofErr w:type="spellEnd"/>
                              <w:r w:rsidR="004F6ED6" w:rsidRPr="006547EC">
                                <w:rPr>
                                  <w:sz w:val="22"/>
                                  <w:szCs w:val="22"/>
                                </w:rPr>
                                <w:t>)</w:t>
                              </w:r>
                            </w:p>
                          </w:tc>
                        </w:tr>
                      </w:tbl>
                      <w:p w14:paraId="02A39F11"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196"/>
                          <w:gridCol w:w="3303"/>
                        </w:tblGrid>
                        <w:tr w:rsidR="00084172" w:rsidRPr="006547EC" w14:paraId="2CF0DB3D" w14:textId="77777777">
                          <w:tc>
                            <w:tcPr>
                              <w:tcW w:w="454" w:type="dxa"/>
                              <w:shd w:val="clear" w:color="auto" w:fill="auto"/>
                              <w:hideMark/>
                            </w:tcPr>
                            <w:p w14:paraId="5A1A0CC4" w14:textId="35FDD502" w:rsidR="004137E7" w:rsidRPr="006547EC" w:rsidRDefault="004137E7" w:rsidP="004F6ED6">
                              <w:pPr>
                                <w:autoSpaceDE/>
                                <w:autoSpaceDN/>
                                <w:spacing w:before="120"/>
                                <w:jc w:val="both"/>
                                <w:rPr>
                                  <w:sz w:val="22"/>
                                  <w:szCs w:val="22"/>
                                </w:rPr>
                              </w:pPr>
                            </w:p>
                          </w:tc>
                          <w:tc>
                            <w:tcPr>
                              <w:tcW w:w="8138" w:type="dxa"/>
                              <w:shd w:val="clear" w:color="auto" w:fill="auto"/>
                              <w:hideMark/>
                            </w:tcPr>
                            <w:p w14:paraId="3468A0E2" w14:textId="77777777" w:rsidR="004137E7" w:rsidRPr="006547EC" w:rsidRDefault="004137E7" w:rsidP="004137E7">
                              <w:pPr>
                                <w:autoSpaceDE/>
                                <w:autoSpaceDN/>
                                <w:spacing w:before="120"/>
                                <w:jc w:val="both"/>
                                <w:rPr>
                                  <w:sz w:val="22"/>
                                  <w:szCs w:val="22"/>
                                </w:rPr>
                              </w:pPr>
                              <w:r w:rsidRPr="006547EC">
                                <w:rPr>
                                  <w:sz w:val="22"/>
                                  <w:szCs w:val="22"/>
                                </w:rPr>
                                <w:t xml:space="preserve">článok 11a ods. 1 druhý </w:t>
                              </w:r>
                              <w:proofErr w:type="spellStart"/>
                              <w:r w:rsidRPr="006547EC">
                                <w:rPr>
                                  <w:sz w:val="22"/>
                                  <w:szCs w:val="22"/>
                                </w:rPr>
                                <w:t>pododsek</w:t>
                              </w:r>
                              <w:proofErr w:type="spellEnd"/>
                              <w:r w:rsidRPr="006547EC">
                                <w:rPr>
                                  <w:sz w:val="22"/>
                                  <w:szCs w:val="22"/>
                                </w:rPr>
                                <w:t xml:space="preserve"> prvá veta a článok 11a ods. 1 štvrtý </w:t>
                              </w:r>
                              <w:proofErr w:type="spellStart"/>
                              <w:r w:rsidRPr="006547EC">
                                <w:rPr>
                                  <w:sz w:val="22"/>
                                  <w:szCs w:val="22"/>
                                </w:rPr>
                                <w:t>pododsek</w:t>
                              </w:r>
                              <w:proofErr w:type="spellEnd"/>
                              <w:r w:rsidRPr="006547EC">
                                <w:rPr>
                                  <w:sz w:val="22"/>
                                  <w:szCs w:val="22"/>
                                </w:rPr>
                                <w:t>;“</w:t>
                              </w:r>
                            </w:p>
                          </w:tc>
                        </w:tr>
                      </w:tbl>
                      <w:p w14:paraId="2F178489" w14:textId="77777777" w:rsidR="004137E7" w:rsidRPr="006547EC" w:rsidRDefault="004137E7" w:rsidP="004137E7">
                        <w:pPr>
                          <w:autoSpaceDE/>
                          <w:autoSpaceDN/>
                          <w:rPr>
                            <w:sz w:val="22"/>
                            <w:szCs w:val="22"/>
                          </w:rPr>
                        </w:pPr>
                      </w:p>
                    </w:tc>
                  </w:tr>
                </w:tbl>
                <w:p w14:paraId="3856843B"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31"/>
                    <w:gridCol w:w="3734"/>
                  </w:tblGrid>
                  <w:tr w:rsidR="00084172" w:rsidRPr="006547EC" w14:paraId="388E5E2B" w14:textId="77777777" w:rsidTr="00A67F07">
                    <w:tc>
                      <w:tcPr>
                        <w:tcW w:w="359" w:type="dxa"/>
                        <w:shd w:val="clear" w:color="auto" w:fill="auto"/>
                        <w:hideMark/>
                      </w:tcPr>
                      <w:p w14:paraId="6A1B95AF" w14:textId="77777777" w:rsidR="004137E7" w:rsidRPr="006547EC" w:rsidRDefault="004137E7" w:rsidP="004137E7">
                        <w:pPr>
                          <w:autoSpaceDE/>
                          <w:autoSpaceDN/>
                          <w:spacing w:before="120"/>
                          <w:jc w:val="both"/>
                          <w:rPr>
                            <w:sz w:val="22"/>
                            <w:szCs w:val="22"/>
                          </w:rPr>
                        </w:pPr>
                        <w:r w:rsidRPr="006547EC">
                          <w:rPr>
                            <w:sz w:val="22"/>
                            <w:szCs w:val="22"/>
                          </w:rPr>
                          <w:t>iv)</w:t>
                        </w:r>
                      </w:p>
                    </w:tc>
                    <w:tc>
                      <w:tcPr>
                        <w:tcW w:w="4065" w:type="dxa"/>
                        <w:shd w:val="clear" w:color="auto" w:fill="auto"/>
                        <w:hideMark/>
                      </w:tcPr>
                      <w:p w14:paraId="3F4A5B00" w14:textId="77777777" w:rsidR="004137E7" w:rsidRPr="006547EC" w:rsidRDefault="004137E7" w:rsidP="004137E7">
                        <w:pPr>
                          <w:autoSpaceDE/>
                          <w:autoSpaceDN/>
                          <w:spacing w:before="120"/>
                          <w:jc w:val="both"/>
                          <w:rPr>
                            <w:sz w:val="22"/>
                            <w:szCs w:val="22"/>
                          </w:rPr>
                        </w:pPr>
                        <w:r w:rsidRPr="006547EC">
                          <w:rPr>
                            <w:sz w:val="22"/>
                            <w:szCs w:val="22"/>
                          </w:rPr>
                          <w:t>body ix), x) a xi) sa nahrádzajú takto:</w:t>
                        </w:r>
                      </w:p>
                      <w:tbl>
                        <w:tblPr>
                          <w:tblW w:w="5000" w:type="pct"/>
                          <w:tblLayout w:type="fixed"/>
                          <w:tblCellMar>
                            <w:left w:w="0" w:type="dxa"/>
                            <w:right w:w="0" w:type="dxa"/>
                          </w:tblCellMar>
                          <w:tblLook w:val="04A0" w:firstRow="1" w:lastRow="0" w:firstColumn="1" w:lastColumn="0" w:noHBand="0" w:noVBand="1"/>
                        </w:tblPr>
                        <w:tblGrid>
                          <w:gridCol w:w="599"/>
                          <w:gridCol w:w="3135"/>
                        </w:tblGrid>
                        <w:tr w:rsidR="00084172" w:rsidRPr="006547EC" w14:paraId="59766A18" w14:textId="77777777">
                          <w:tc>
                            <w:tcPr>
                              <w:tcW w:w="1363" w:type="dxa"/>
                              <w:shd w:val="clear" w:color="auto" w:fill="auto"/>
                              <w:hideMark/>
                            </w:tcPr>
                            <w:p w14:paraId="2291F594" w14:textId="77777777" w:rsidR="004137E7" w:rsidRPr="006547EC" w:rsidRDefault="004137E7" w:rsidP="004137E7">
                              <w:pPr>
                                <w:autoSpaceDE/>
                                <w:autoSpaceDN/>
                                <w:spacing w:before="120"/>
                                <w:jc w:val="both"/>
                                <w:rPr>
                                  <w:sz w:val="22"/>
                                  <w:szCs w:val="22"/>
                                </w:rPr>
                              </w:pPr>
                              <w:r w:rsidRPr="006547EC">
                                <w:rPr>
                                  <w:sz w:val="22"/>
                                  <w:szCs w:val="22"/>
                                </w:rPr>
                                <w:t>„ix)</w:t>
                              </w:r>
                            </w:p>
                          </w:tc>
                          <w:tc>
                            <w:tcPr>
                              <w:tcW w:w="7242" w:type="dxa"/>
                              <w:shd w:val="clear" w:color="auto" w:fill="auto"/>
                              <w:hideMark/>
                            </w:tcPr>
                            <w:p w14:paraId="5486FBCA" w14:textId="77777777" w:rsidR="004137E7" w:rsidRPr="006547EC" w:rsidRDefault="004137E7" w:rsidP="004137E7">
                              <w:pPr>
                                <w:autoSpaceDE/>
                                <w:autoSpaceDN/>
                                <w:spacing w:before="120"/>
                                <w:jc w:val="both"/>
                                <w:rPr>
                                  <w:sz w:val="22"/>
                                  <w:szCs w:val="22"/>
                                </w:rPr>
                              </w:pPr>
                              <w:r w:rsidRPr="006547EC">
                                <w:rPr>
                                  <w:sz w:val="22"/>
                                  <w:szCs w:val="22"/>
                                </w:rPr>
                                <w:t>článok 13 ods. 1 a 2;</w:t>
                              </w:r>
                            </w:p>
                          </w:tc>
                        </w:tr>
                      </w:tbl>
                      <w:p w14:paraId="2ED10245"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17"/>
                          <w:gridCol w:w="3417"/>
                        </w:tblGrid>
                        <w:tr w:rsidR="00084172" w:rsidRPr="006547EC" w14:paraId="20BC0F80" w14:textId="77777777">
                          <w:tc>
                            <w:tcPr>
                              <w:tcW w:w="709" w:type="dxa"/>
                              <w:shd w:val="clear" w:color="auto" w:fill="auto"/>
                              <w:hideMark/>
                            </w:tcPr>
                            <w:p w14:paraId="2350EBF5" w14:textId="77777777" w:rsidR="004137E7" w:rsidRPr="006547EC" w:rsidRDefault="004137E7" w:rsidP="004137E7">
                              <w:pPr>
                                <w:autoSpaceDE/>
                                <w:autoSpaceDN/>
                                <w:spacing w:before="120"/>
                                <w:jc w:val="both"/>
                                <w:rPr>
                                  <w:sz w:val="22"/>
                                  <w:szCs w:val="22"/>
                                </w:rPr>
                              </w:pPr>
                              <w:r w:rsidRPr="006547EC">
                                <w:rPr>
                                  <w:sz w:val="22"/>
                                  <w:szCs w:val="22"/>
                                </w:rPr>
                                <w:t>x)</w:t>
                              </w:r>
                            </w:p>
                          </w:tc>
                          <w:tc>
                            <w:tcPr>
                              <w:tcW w:w="7896" w:type="dxa"/>
                              <w:shd w:val="clear" w:color="auto" w:fill="auto"/>
                              <w:hideMark/>
                            </w:tcPr>
                            <w:p w14:paraId="7278D624" w14:textId="77777777" w:rsidR="004137E7" w:rsidRPr="006547EC" w:rsidRDefault="004137E7" w:rsidP="004137E7">
                              <w:pPr>
                                <w:autoSpaceDE/>
                                <w:autoSpaceDN/>
                                <w:spacing w:before="120"/>
                                <w:jc w:val="both"/>
                                <w:rPr>
                                  <w:sz w:val="22"/>
                                  <w:szCs w:val="22"/>
                                </w:rPr>
                              </w:pPr>
                              <w:r w:rsidRPr="006547EC">
                                <w:rPr>
                                  <w:sz w:val="22"/>
                                  <w:szCs w:val="22"/>
                                </w:rPr>
                                <w:t>článok 14 ods. 1, 2 a 3;</w:t>
                              </w:r>
                            </w:p>
                          </w:tc>
                        </w:tr>
                      </w:tbl>
                      <w:p w14:paraId="69AB750B"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78"/>
                          <w:gridCol w:w="3356"/>
                        </w:tblGrid>
                        <w:tr w:rsidR="00084172" w:rsidRPr="006547EC" w14:paraId="068D4B59" w14:textId="77777777" w:rsidTr="004B0C36">
                          <w:tc>
                            <w:tcPr>
                              <w:tcW w:w="378" w:type="dxa"/>
                              <w:shd w:val="clear" w:color="auto" w:fill="auto"/>
                              <w:hideMark/>
                            </w:tcPr>
                            <w:p w14:paraId="71B61523" w14:textId="77777777" w:rsidR="004137E7" w:rsidRPr="006547EC" w:rsidRDefault="004137E7" w:rsidP="004137E7">
                              <w:pPr>
                                <w:autoSpaceDE/>
                                <w:autoSpaceDN/>
                                <w:spacing w:before="120"/>
                                <w:jc w:val="both"/>
                                <w:rPr>
                                  <w:sz w:val="22"/>
                                  <w:szCs w:val="22"/>
                                </w:rPr>
                              </w:pPr>
                              <w:r w:rsidRPr="006547EC">
                                <w:rPr>
                                  <w:sz w:val="22"/>
                                  <w:szCs w:val="22"/>
                                </w:rPr>
                                <w:t>xi)</w:t>
                              </w:r>
                            </w:p>
                          </w:tc>
                          <w:tc>
                            <w:tcPr>
                              <w:tcW w:w="3356" w:type="dxa"/>
                              <w:shd w:val="clear" w:color="auto" w:fill="auto"/>
                              <w:hideMark/>
                            </w:tcPr>
                            <w:p w14:paraId="7155E05D" w14:textId="77777777" w:rsidR="004137E7" w:rsidRPr="006547EC" w:rsidRDefault="004137E7" w:rsidP="004137E7">
                              <w:pPr>
                                <w:autoSpaceDE/>
                                <w:autoSpaceDN/>
                                <w:spacing w:before="120"/>
                                <w:jc w:val="both"/>
                                <w:rPr>
                                  <w:sz w:val="22"/>
                                  <w:szCs w:val="22"/>
                                </w:rPr>
                              </w:pPr>
                              <w:r w:rsidRPr="006547EC">
                                <w:rPr>
                                  <w:sz w:val="22"/>
                                  <w:szCs w:val="22"/>
                                </w:rPr>
                                <w:t xml:space="preserve">článok 15 ods. 1 prvý </w:t>
                              </w:r>
                              <w:proofErr w:type="spellStart"/>
                              <w:r w:rsidRPr="006547EC">
                                <w:rPr>
                                  <w:sz w:val="22"/>
                                  <w:szCs w:val="22"/>
                                </w:rPr>
                                <w:t>pododsek</w:t>
                              </w:r>
                              <w:proofErr w:type="spellEnd"/>
                              <w:r w:rsidRPr="006547EC">
                                <w:rPr>
                                  <w:sz w:val="22"/>
                                  <w:szCs w:val="22"/>
                                </w:rPr>
                                <w:t xml:space="preserve">, druhý </w:t>
                              </w:r>
                              <w:proofErr w:type="spellStart"/>
                              <w:r w:rsidRPr="006547EC">
                                <w:rPr>
                                  <w:sz w:val="22"/>
                                  <w:szCs w:val="22"/>
                                </w:rPr>
                                <w:t>pododsek</w:t>
                              </w:r>
                              <w:proofErr w:type="spellEnd"/>
                              <w:r w:rsidRPr="006547EC">
                                <w:rPr>
                                  <w:sz w:val="22"/>
                                  <w:szCs w:val="22"/>
                                </w:rPr>
                                <w:t xml:space="preserve"> prvá a tretia veta a štvrtý </w:t>
                              </w:r>
                              <w:proofErr w:type="spellStart"/>
                              <w:r w:rsidRPr="006547EC">
                                <w:rPr>
                                  <w:sz w:val="22"/>
                                  <w:szCs w:val="22"/>
                                </w:rPr>
                                <w:t>pododsek</w:t>
                              </w:r>
                              <w:proofErr w:type="spellEnd"/>
                              <w:r w:rsidRPr="006547EC">
                                <w:rPr>
                                  <w:sz w:val="22"/>
                                  <w:szCs w:val="22"/>
                                </w:rPr>
                                <w:t>, článok 15 ods. 2 a článok 15 ods. 4 druhá veta;“</w:t>
                              </w:r>
                            </w:p>
                          </w:tc>
                        </w:tr>
                      </w:tbl>
                      <w:p w14:paraId="759036AC" w14:textId="77777777" w:rsidR="004137E7" w:rsidRPr="006547EC" w:rsidRDefault="004137E7" w:rsidP="004137E7">
                        <w:pPr>
                          <w:autoSpaceDE/>
                          <w:autoSpaceDN/>
                          <w:rPr>
                            <w:sz w:val="22"/>
                            <w:szCs w:val="22"/>
                          </w:rPr>
                        </w:pPr>
                      </w:p>
                    </w:tc>
                  </w:tr>
                </w:tbl>
                <w:p w14:paraId="48BF70DC"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80"/>
                    <w:gridCol w:w="3685"/>
                  </w:tblGrid>
                  <w:tr w:rsidR="00084172" w:rsidRPr="006547EC" w14:paraId="446E215C" w14:textId="77777777">
                    <w:tc>
                      <w:tcPr>
                        <w:tcW w:w="810" w:type="dxa"/>
                        <w:shd w:val="clear" w:color="auto" w:fill="auto"/>
                        <w:hideMark/>
                      </w:tcPr>
                      <w:p w14:paraId="73598E92" w14:textId="77777777" w:rsidR="004137E7" w:rsidRPr="006547EC" w:rsidRDefault="004137E7" w:rsidP="004137E7">
                        <w:pPr>
                          <w:autoSpaceDE/>
                          <w:autoSpaceDN/>
                          <w:spacing w:before="120"/>
                          <w:jc w:val="both"/>
                          <w:rPr>
                            <w:sz w:val="22"/>
                            <w:szCs w:val="22"/>
                          </w:rPr>
                        </w:pPr>
                        <w:r w:rsidRPr="006547EC">
                          <w:rPr>
                            <w:sz w:val="22"/>
                            <w:szCs w:val="22"/>
                          </w:rPr>
                          <w:t>v)</w:t>
                        </w:r>
                      </w:p>
                    </w:tc>
                    <w:tc>
                      <w:tcPr>
                        <w:tcW w:w="8062" w:type="dxa"/>
                        <w:shd w:val="clear" w:color="auto" w:fill="auto"/>
                        <w:hideMark/>
                      </w:tcPr>
                      <w:p w14:paraId="4DBF7165" w14:textId="77777777" w:rsidR="004137E7" w:rsidRPr="006547EC" w:rsidRDefault="004137E7" w:rsidP="004137E7">
                        <w:pPr>
                          <w:autoSpaceDE/>
                          <w:autoSpaceDN/>
                          <w:spacing w:before="120"/>
                          <w:jc w:val="both"/>
                          <w:rPr>
                            <w:sz w:val="22"/>
                            <w:szCs w:val="22"/>
                          </w:rPr>
                        </w:pPr>
                        <w:r w:rsidRPr="006547EC">
                          <w:rPr>
                            <w:sz w:val="22"/>
                            <w:szCs w:val="22"/>
                          </w:rPr>
                          <w:t>bod xiii) sa vypúšťa;</w:t>
                        </w:r>
                      </w:p>
                    </w:tc>
                  </w:tr>
                </w:tbl>
                <w:p w14:paraId="50028EF4"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31"/>
                    <w:gridCol w:w="3734"/>
                  </w:tblGrid>
                  <w:tr w:rsidR="00084172" w:rsidRPr="006547EC" w14:paraId="5E4346F1" w14:textId="77777777" w:rsidTr="00A67F07">
                    <w:tc>
                      <w:tcPr>
                        <w:tcW w:w="359" w:type="dxa"/>
                        <w:shd w:val="clear" w:color="auto" w:fill="auto"/>
                        <w:hideMark/>
                      </w:tcPr>
                      <w:p w14:paraId="0D32F9E4" w14:textId="77777777" w:rsidR="004137E7" w:rsidRPr="006547EC" w:rsidRDefault="004137E7" w:rsidP="004137E7">
                        <w:pPr>
                          <w:autoSpaceDE/>
                          <w:autoSpaceDN/>
                          <w:spacing w:before="120"/>
                          <w:jc w:val="both"/>
                          <w:rPr>
                            <w:sz w:val="22"/>
                            <w:szCs w:val="22"/>
                          </w:rPr>
                        </w:pPr>
                        <w:r w:rsidRPr="006547EC">
                          <w:rPr>
                            <w:sz w:val="22"/>
                            <w:szCs w:val="22"/>
                          </w:rPr>
                          <w:t>vi)</w:t>
                        </w:r>
                      </w:p>
                    </w:tc>
                    <w:tc>
                      <w:tcPr>
                        <w:tcW w:w="4065" w:type="dxa"/>
                        <w:shd w:val="clear" w:color="auto" w:fill="auto"/>
                        <w:hideMark/>
                      </w:tcPr>
                      <w:p w14:paraId="77A94BBC" w14:textId="77777777" w:rsidR="004137E7" w:rsidRPr="006547EC" w:rsidRDefault="004137E7" w:rsidP="004137E7">
                        <w:pPr>
                          <w:autoSpaceDE/>
                          <w:autoSpaceDN/>
                          <w:spacing w:before="120"/>
                          <w:jc w:val="both"/>
                          <w:rPr>
                            <w:sz w:val="22"/>
                            <w:szCs w:val="22"/>
                          </w:rPr>
                        </w:pPr>
                        <w:r w:rsidRPr="006547EC">
                          <w:rPr>
                            <w:sz w:val="22"/>
                            <w:szCs w:val="22"/>
                          </w:rPr>
                          <w:t>bod xiv) sa nahrádza takto:</w:t>
                        </w:r>
                      </w:p>
                      <w:tbl>
                        <w:tblPr>
                          <w:tblW w:w="5000" w:type="pct"/>
                          <w:tblLayout w:type="fixed"/>
                          <w:tblCellMar>
                            <w:left w:w="0" w:type="dxa"/>
                            <w:right w:w="0" w:type="dxa"/>
                          </w:tblCellMar>
                          <w:tblLook w:val="04A0" w:firstRow="1" w:lastRow="0" w:firstColumn="1" w:lastColumn="0" w:noHBand="0" w:noVBand="1"/>
                        </w:tblPr>
                        <w:tblGrid>
                          <w:gridCol w:w="520"/>
                          <w:gridCol w:w="3214"/>
                        </w:tblGrid>
                        <w:tr w:rsidR="00084172" w:rsidRPr="006547EC" w14:paraId="79C20783" w14:textId="77777777" w:rsidTr="004B0C36">
                          <w:tc>
                            <w:tcPr>
                              <w:tcW w:w="520" w:type="dxa"/>
                              <w:shd w:val="clear" w:color="auto" w:fill="auto"/>
                              <w:hideMark/>
                            </w:tcPr>
                            <w:p w14:paraId="34CB5612" w14:textId="77777777" w:rsidR="004137E7" w:rsidRPr="006547EC" w:rsidRDefault="004137E7" w:rsidP="004137E7">
                              <w:pPr>
                                <w:autoSpaceDE/>
                                <w:autoSpaceDN/>
                                <w:spacing w:before="120"/>
                                <w:jc w:val="both"/>
                                <w:rPr>
                                  <w:sz w:val="22"/>
                                  <w:szCs w:val="22"/>
                                </w:rPr>
                              </w:pPr>
                              <w:r w:rsidRPr="006547EC">
                                <w:rPr>
                                  <w:sz w:val="22"/>
                                  <w:szCs w:val="22"/>
                                </w:rPr>
                                <w:t>„xiv)</w:t>
                              </w:r>
                            </w:p>
                          </w:tc>
                          <w:tc>
                            <w:tcPr>
                              <w:tcW w:w="3214" w:type="dxa"/>
                              <w:shd w:val="clear" w:color="auto" w:fill="auto"/>
                              <w:hideMark/>
                            </w:tcPr>
                            <w:p w14:paraId="77B1C43B" w14:textId="77777777" w:rsidR="004137E7" w:rsidRPr="006547EC" w:rsidRDefault="004137E7" w:rsidP="004137E7">
                              <w:pPr>
                                <w:autoSpaceDE/>
                                <w:autoSpaceDN/>
                                <w:spacing w:before="120"/>
                                <w:jc w:val="both"/>
                                <w:rPr>
                                  <w:sz w:val="22"/>
                                  <w:szCs w:val="22"/>
                                </w:rPr>
                              </w:pPr>
                              <w:r w:rsidRPr="006547EC">
                                <w:rPr>
                                  <w:sz w:val="22"/>
                                  <w:szCs w:val="22"/>
                                </w:rPr>
                                <w:t>článok 20 ods. 1 a 1a a článok 20 ods. 2 prvá veta;“</w:t>
                              </w:r>
                            </w:p>
                          </w:tc>
                        </w:tr>
                      </w:tbl>
                      <w:p w14:paraId="23A72500" w14:textId="77777777" w:rsidR="004137E7" w:rsidRPr="006547EC" w:rsidRDefault="004137E7" w:rsidP="004137E7">
                        <w:pPr>
                          <w:autoSpaceDE/>
                          <w:autoSpaceDN/>
                          <w:rPr>
                            <w:sz w:val="22"/>
                            <w:szCs w:val="22"/>
                          </w:rPr>
                        </w:pPr>
                      </w:p>
                    </w:tc>
                  </w:tr>
                </w:tbl>
                <w:p w14:paraId="56057280"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99"/>
                    <w:gridCol w:w="3666"/>
                  </w:tblGrid>
                  <w:tr w:rsidR="00084172" w:rsidRPr="006547EC" w14:paraId="7F76B062" w14:textId="77777777">
                    <w:tc>
                      <w:tcPr>
                        <w:tcW w:w="852" w:type="dxa"/>
                        <w:shd w:val="clear" w:color="auto" w:fill="auto"/>
                        <w:hideMark/>
                      </w:tcPr>
                      <w:p w14:paraId="2A06885F" w14:textId="77777777" w:rsidR="004137E7" w:rsidRPr="006547EC" w:rsidRDefault="004137E7" w:rsidP="004137E7">
                        <w:pPr>
                          <w:autoSpaceDE/>
                          <w:autoSpaceDN/>
                          <w:spacing w:before="120"/>
                          <w:jc w:val="both"/>
                          <w:rPr>
                            <w:sz w:val="22"/>
                            <w:szCs w:val="22"/>
                          </w:rPr>
                        </w:pPr>
                        <w:r w:rsidRPr="006547EC">
                          <w:rPr>
                            <w:sz w:val="22"/>
                            <w:szCs w:val="22"/>
                          </w:rPr>
                          <w:t>vii)</w:t>
                        </w:r>
                      </w:p>
                    </w:tc>
                    <w:tc>
                      <w:tcPr>
                        <w:tcW w:w="8020" w:type="dxa"/>
                        <w:shd w:val="clear" w:color="auto" w:fill="auto"/>
                        <w:hideMark/>
                      </w:tcPr>
                      <w:p w14:paraId="57AA5F41" w14:textId="77777777" w:rsidR="004137E7" w:rsidRPr="006547EC" w:rsidRDefault="004137E7" w:rsidP="004137E7">
                        <w:pPr>
                          <w:autoSpaceDE/>
                          <w:autoSpaceDN/>
                          <w:spacing w:before="120"/>
                          <w:jc w:val="both"/>
                          <w:rPr>
                            <w:sz w:val="22"/>
                            <w:szCs w:val="22"/>
                          </w:rPr>
                        </w:pPr>
                        <w:r w:rsidRPr="006547EC">
                          <w:rPr>
                            <w:sz w:val="22"/>
                            <w:szCs w:val="22"/>
                          </w:rPr>
                          <w:t>vkladajú sa tieto body:</w:t>
                        </w:r>
                      </w:p>
                      <w:tbl>
                        <w:tblPr>
                          <w:tblW w:w="5000" w:type="pct"/>
                          <w:tblLayout w:type="fixed"/>
                          <w:tblCellMar>
                            <w:left w:w="0" w:type="dxa"/>
                            <w:right w:w="0" w:type="dxa"/>
                          </w:tblCellMar>
                          <w:tblLook w:val="04A0" w:firstRow="1" w:lastRow="0" w:firstColumn="1" w:lastColumn="0" w:noHBand="0" w:noVBand="1"/>
                        </w:tblPr>
                        <w:tblGrid>
                          <w:gridCol w:w="706"/>
                          <w:gridCol w:w="2960"/>
                        </w:tblGrid>
                        <w:tr w:rsidR="00084172" w:rsidRPr="006547EC" w14:paraId="42AFFF36" w14:textId="77777777">
                          <w:tc>
                            <w:tcPr>
                              <w:tcW w:w="1530" w:type="dxa"/>
                              <w:shd w:val="clear" w:color="auto" w:fill="auto"/>
                              <w:hideMark/>
                            </w:tcPr>
                            <w:p w14:paraId="3E152A0A" w14:textId="77777777" w:rsidR="004137E7" w:rsidRPr="006547EC" w:rsidRDefault="004137E7" w:rsidP="004137E7">
                              <w:pPr>
                                <w:autoSpaceDE/>
                                <w:autoSpaceDN/>
                                <w:spacing w:before="120"/>
                                <w:jc w:val="both"/>
                                <w:rPr>
                                  <w:sz w:val="22"/>
                                  <w:szCs w:val="22"/>
                                </w:rPr>
                              </w:pPr>
                              <w:r w:rsidRPr="006547EC">
                                <w:rPr>
                                  <w:sz w:val="22"/>
                                  <w:szCs w:val="22"/>
                                </w:rPr>
                                <w:t>„</w:t>
                              </w:r>
                              <w:proofErr w:type="spellStart"/>
                              <w:r w:rsidRPr="006547EC">
                                <w:rPr>
                                  <w:sz w:val="22"/>
                                  <w:szCs w:val="22"/>
                                </w:rPr>
                                <w:t>xvia</w:t>
                              </w:r>
                              <w:proofErr w:type="spellEnd"/>
                              <w:r w:rsidRPr="006547EC">
                                <w:rPr>
                                  <w:sz w:val="22"/>
                                  <w:szCs w:val="22"/>
                                </w:rPr>
                                <w:t>)</w:t>
                              </w:r>
                            </w:p>
                          </w:tc>
                          <w:tc>
                            <w:tcPr>
                              <w:tcW w:w="6490" w:type="dxa"/>
                              <w:shd w:val="clear" w:color="auto" w:fill="auto"/>
                              <w:hideMark/>
                            </w:tcPr>
                            <w:p w14:paraId="4CFA8AEA" w14:textId="77777777" w:rsidR="004137E7" w:rsidRPr="006547EC" w:rsidRDefault="004137E7" w:rsidP="004137E7">
                              <w:pPr>
                                <w:autoSpaceDE/>
                                <w:autoSpaceDN/>
                                <w:spacing w:before="120"/>
                                <w:jc w:val="both"/>
                                <w:rPr>
                                  <w:sz w:val="22"/>
                                  <w:szCs w:val="22"/>
                                </w:rPr>
                              </w:pPr>
                              <w:r w:rsidRPr="006547EC">
                                <w:rPr>
                                  <w:sz w:val="22"/>
                                  <w:szCs w:val="22"/>
                                </w:rPr>
                                <w:t>článok 22a ods. 1 a 5 až 8;</w:t>
                              </w:r>
                            </w:p>
                          </w:tc>
                        </w:tr>
                      </w:tbl>
                      <w:p w14:paraId="74DE8A0A"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826"/>
                          <w:gridCol w:w="2840"/>
                        </w:tblGrid>
                        <w:tr w:rsidR="00084172" w:rsidRPr="006547EC" w14:paraId="1083DD93" w14:textId="77777777">
                          <w:tc>
                            <w:tcPr>
                              <w:tcW w:w="1794" w:type="dxa"/>
                              <w:shd w:val="clear" w:color="auto" w:fill="auto"/>
                              <w:hideMark/>
                            </w:tcPr>
                            <w:p w14:paraId="18629028" w14:textId="77777777" w:rsidR="004137E7" w:rsidRPr="006547EC" w:rsidRDefault="004137E7" w:rsidP="004137E7">
                              <w:pPr>
                                <w:autoSpaceDE/>
                                <w:autoSpaceDN/>
                                <w:spacing w:before="120"/>
                                <w:jc w:val="both"/>
                                <w:rPr>
                                  <w:sz w:val="22"/>
                                  <w:szCs w:val="22"/>
                                </w:rPr>
                              </w:pPr>
                              <w:proofErr w:type="spellStart"/>
                              <w:r w:rsidRPr="006547EC">
                                <w:rPr>
                                  <w:sz w:val="22"/>
                                  <w:szCs w:val="22"/>
                                </w:rPr>
                                <w:t>xvib</w:t>
                              </w:r>
                              <w:proofErr w:type="spellEnd"/>
                              <w:r w:rsidRPr="006547EC">
                                <w:rPr>
                                  <w:sz w:val="22"/>
                                  <w:szCs w:val="22"/>
                                </w:rPr>
                                <w:t>)</w:t>
                              </w:r>
                            </w:p>
                          </w:tc>
                          <w:tc>
                            <w:tcPr>
                              <w:tcW w:w="6226" w:type="dxa"/>
                              <w:shd w:val="clear" w:color="auto" w:fill="auto"/>
                              <w:hideMark/>
                            </w:tcPr>
                            <w:p w14:paraId="1840FF03" w14:textId="77777777" w:rsidR="004137E7" w:rsidRPr="006547EC" w:rsidRDefault="004137E7" w:rsidP="004137E7">
                              <w:pPr>
                                <w:autoSpaceDE/>
                                <w:autoSpaceDN/>
                                <w:spacing w:before="120"/>
                                <w:jc w:val="both"/>
                                <w:rPr>
                                  <w:sz w:val="22"/>
                                  <w:szCs w:val="22"/>
                                </w:rPr>
                              </w:pPr>
                              <w:r w:rsidRPr="006547EC">
                                <w:rPr>
                                  <w:sz w:val="22"/>
                                  <w:szCs w:val="22"/>
                                </w:rPr>
                                <w:t>článok 22b ods. 1;</w:t>
                              </w:r>
                            </w:p>
                          </w:tc>
                        </w:tr>
                      </w:tbl>
                      <w:p w14:paraId="2DD80ED2"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778"/>
                          <w:gridCol w:w="2888"/>
                        </w:tblGrid>
                        <w:tr w:rsidR="00084172" w:rsidRPr="006547EC" w14:paraId="1E65D49A" w14:textId="77777777">
                          <w:tc>
                            <w:tcPr>
                              <w:tcW w:w="1688" w:type="dxa"/>
                              <w:shd w:val="clear" w:color="auto" w:fill="auto"/>
                              <w:hideMark/>
                            </w:tcPr>
                            <w:p w14:paraId="54BD4D87" w14:textId="77777777" w:rsidR="004137E7" w:rsidRPr="006547EC" w:rsidRDefault="004137E7" w:rsidP="004137E7">
                              <w:pPr>
                                <w:autoSpaceDE/>
                                <w:autoSpaceDN/>
                                <w:spacing w:before="120"/>
                                <w:jc w:val="both"/>
                                <w:rPr>
                                  <w:sz w:val="22"/>
                                  <w:szCs w:val="22"/>
                                </w:rPr>
                              </w:pPr>
                              <w:proofErr w:type="spellStart"/>
                              <w:r w:rsidRPr="006547EC">
                                <w:rPr>
                                  <w:sz w:val="22"/>
                                  <w:szCs w:val="22"/>
                                </w:rPr>
                                <w:t>xvic</w:t>
                              </w:r>
                              <w:proofErr w:type="spellEnd"/>
                              <w:r w:rsidRPr="006547EC">
                                <w:rPr>
                                  <w:sz w:val="22"/>
                                  <w:szCs w:val="22"/>
                                </w:rPr>
                                <w:t>)</w:t>
                              </w:r>
                            </w:p>
                          </w:tc>
                          <w:tc>
                            <w:tcPr>
                              <w:tcW w:w="6332" w:type="dxa"/>
                              <w:shd w:val="clear" w:color="auto" w:fill="auto"/>
                              <w:hideMark/>
                            </w:tcPr>
                            <w:p w14:paraId="7D541991" w14:textId="77777777" w:rsidR="004137E7" w:rsidRPr="006547EC" w:rsidRDefault="004137E7" w:rsidP="004137E7">
                              <w:pPr>
                                <w:autoSpaceDE/>
                                <w:autoSpaceDN/>
                                <w:spacing w:before="120"/>
                                <w:jc w:val="both"/>
                                <w:rPr>
                                  <w:sz w:val="22"/>
                                  <w:szCs w:val="22"/>
                                </w:rPr>
                              </w:pPr>
                              <w:r w:rsidRPr="006547EC">
                                <w:rPr>
                                  <w:sz w:val="22"/>
                                  <w:szCs w:val="22"/>
                                </w:rPr>
                                <w:t>článok 22c ods. 1;“</w:t>
                              </w:r>
                            </w:p>
                          </w:tc>
                        </w:tr>
                      </w:tbl>
                      <w:p w14:paraId="4399D46A" w14:textId="77777777" w:rsidR="004137E7" w:rsidRPr="006547EC" w:rsidRDefault="004137E7" w:rsidP="004137E7">
                        <w:pPr>
                          <w:autoSpaceDE/>
                          <w:autoSpaceDN/>
                          <w:rPr>
                            <w:sz w:val="22"/>
                            <w:szCs w:val="22"/>
                          </w:rPr>
                        </w:pPr>
                      </w:p>
                    </w:tc>
                  </w:tr>
                </w:tbl>
                <w:p w14:paraId="0759A38E"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550"/>
                    <w:gridCol w:w="3515"/>
                  </w:tblGrid>
                  <w:tr w:rsidR="00084172" w:rsidRPr="006547EC" w14:paraId="024C3566" w14:textId="77777777">
                    <w:tc>
                      <w:tcPr>
                        <w:tcW w:w="1183" w:type="dxa"/>
                        <w:shd w:val="clear" w:color="auto" w:fill="auto"/>
                        <w:hideMark/>
                      </w:tcPr>
                      <w:p w14:paraId="14E42D1F" w14:textId="77777777" w:rsidR="004137E7" w:rsidRPr="006547EC" w:rsidRDefault="004137E7" w:rsidP="004137E7">
                        <w:pPr>
                          <w:autoSpaceDE/>
                          <w:autoSpaceDN/>
                          <w:spacing w:before="120"/>
                          <w:jc w:val="both"/>
                          <w:rPr>
                            <w:sz w:val="22"/>
                            <w:szCs w:val="22"/>
                          </w:rPr>
                        </w:pPr>
                        <w:r w:rsidRPr="006547EC">
                          <w:rPr>
                            <w:sz w:val="22"/>
                            <w:szCs w:val="22"/>
                          </w:rPr>
                          <w:t>viii)</w:t>
                        </w:r>
                      </w:p>
                    </w:tc>
                    <w:tc>
                      <w:tcPr>
                        <w:tcW w:w="7689" w:type="dxa"/>
                        <w:shd w:val="clear" w:color="auto" w:fill="auto"/>
                        <w:hideMark/>
                      </w:tcPr>
                      <w:p w14:paraId="10A3AA06" w14:textId="77777777" w:rsidR="004137E7" w:rsidRPr="006547EC" w:rsidRDefault="004137E7" w:rsidP="004137E7">
                        <w:pPr>
                          <w:autoSpaceDE/>
                          <w:autoSpaceDN/>
                          <w:spacing w:before="120"/>
                          <w:jc w:val="both"/>
                          <w:rPr>
                            <w:sz w:val="22"/>
                            <w:szCs w:val="22"/>
                          </w:rPr>
                        </w:pPr>
                        <w:r w:rsidRPr="006547EC">
                          <w:rPr>
                            <w:sz w:val="22"/>
                            <w:szCs w:val="22"/>
                          </w:rPr>
                          <w:t>bod xxi) sa nahrádza takto:</w:t>
                        </w:r>
                      </w:p>
                      <w:tbl>
                        <w:tblPr>
                          <w:tblW w:w="5000" w:type="pct"/>
                          <w:tblLayout w:type="fixed"/>
                          <w:tblCellMar>
                            <w:left w:w="0" w:type="dxa"/>
                            <w:right w:w="0" w:type="dxa"/>
                          </w:tblCellMar>
                          <w:tblLook w:val="04A0" w:firstRow="1" w:lastRow="0" w:firstColumn="1" w:lastColumn="0" w:noHBand="0" w:noVBand="1"/>
                        </w:tblPr>
                        <w:tblGrid>
                          <w:gridCol w:w="781"/>
                          <w:gridCol w:w="2734"/>
                        </w:tblGrid>
                        <w:tr w:rsidR="00084172" w:rsidRPr="006547EC" w14:paraId="134E178F" w14:textId="77777777">
                          <w:tc>
                            <w:tcPr>
                              <w:tcW w:w="1695" w:type="dxa"/>
                              <w:shd w:val="clear" w:color="auto" w:fill="auto"/>
                              <w:hideMark/>
                            </w:tcPr>
                            <w:p w14:paraId="71BE5EA6" w14:textId="77777777" w:rsidR="004137E7" w:rsidRPr="006547EC" w:rsidRDefault="004137E7" w:rsidP="004137E7">
                              <w:pPr>
                                <w:autoSpaceDE/>
                                <w:autoSpaceDN/>
                                <w:spacing w:before="120"/>
                                <w:jc w:val="both"/>
                                <w:rPr>
                                  <w:sz w:val="22"/>
                                  <w:szCs w:val="22"/>
                                </w:rPr>
                              </w:pPr>
                              <w:r w:rsidRPr="006547EC">
                                <w:rPr>
                                  <w:sz w:val="22"/>
                                  <w:szCs w:val="22"/>
                                </w:rPr>
                                <w:t>„xxi)</w:t>
                              </w:r>
                            </w:p>
                          </w:tc>
                          <w:tc>
                            <w:tcPr>
                              <w:tcW w:w="5994" w:type="dxa"/>
                              <w:shd w:val="clear" w:color="auto" w:fill="auto"/>
                              <w:hideMark/>
                            </w:tcPr>
                            <w:p w14:paraId="2F420888" w14:textId="77777777" w:rsidR="004137E7" w:rsidRPr="006547EC" w:rsidRDefault="004137E7" w:rsidP="004137E7">
                              <w:pPr>
                                <w:autoSpaceDE/>
                                <w:autoSpaceDN/>
                                <w:spacing w:before="120"/>
                                <w:jc w:val="both"/>
                                <w:rPr>
                                  <w:sz w:val="22"/>
                                  <w:szCs w:val="22"/>
                                </w:rPr>
                              </w:pPr>
                              <w:r w:rsidRPr="006547EC">
                                <w:rPr>
                                  <w:sz w:val="22"/>
                                  <w:szCs w:val="22"/>
                                </w:rPr>
                                <w:t>článok 28 ods. 1;“</w:t>
                              </w:r>
                            </w:p>
                          </w:tc>
                        </w:tr>
                      </w:tbl>
                      <w:p w14:paraId="35EA8DBC" w14:textId="77777777" w:rsidR="004137E7" w:rsidRPr="006547EC" w:rsidRDefault="004137E7" w:rsidP="004137E7">
                        <w:pPr>
                          <w:autoSpaceDE/>
                          <w:autoSpaceDN/>
                          <w:rPr>
                            <w:sz w:val="22"/>
                            <w:szCs w:val="22"/>
                          </w:rPr>
                        </w:pPr>
                      </w:p>
                    </w:tc>
                  </w:tr>
                </w:tbl>
                <w:p w14:paraId="40A94433"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72"/>
                    <w:gridCol w:w="3693"/>
                  </w:tblGrid>
                  <w:tr w:rsidR="00084172" w:rsidRPr="006547EC" w14:paraId="58E48C12" w14:textId="77777777">
                    <w:tc>
                      <w:tcPr>
                        <w:tcW w:w="793" w:type="dxa"/>
                        <w:shd w:val="clear" w:color="auto" w:fill="auto"/>
                        <w:hideMark/>
                      </w:tcPr>
                      <w:p w14:paraId="38AA3092" w14:textId="77777777" w:rsidR="004137E7" w:rsidRPr="006547EC" w:rsidRDefault="004137E7" w:rsidP="004137E7">
                        <w:pPr>
                          <w:autoSpaceDE/>
                          <w:autoSpaceDN/>
                          <w:spacing w:before="120"/>
                          <w:jc w:val="both"/>
                          <w:rPr>
                            <w:sz w:val="22"/>
                            <w:szCs w:val="22"/>
                          </w:rPr>
                        </w:pPr>
                        <w:r w:rsidRPr="006547EC">
                          <w:rPr>
                            <w:sz w:val="22"/>
                            <w:szCs w:val="22"/>
                          </w:rPr>
                          <w:t>ix)</w:t>
                        </w:r>
                      </w:p>
                    </w:tc>
                    <w:tc>
                      <w:tcPr>
                        <w:tcW w:w="8079" w:type="dxa"/>
                        <w:shd w:val="clear" w:color="auto" w:fill="auto"/>
                        <w:hideMark/>
                      </w:tcPr>
                      <w:p w14:paraId="74162BED" w14:textId="77777777" w:rsidR="004137E7" w:rsidRPr="006547EC" w:rsidRDefault="004137E7" w:rsidP="004137E7">
                        <w:pPr>
                          <w:autoSpaceDE/>
                          <w:autoSpaceDN/>
                          <w:spacing w:before="120"/>
                          <w:jc w:val="both"/>
                          <w:rPr>
                            <w:sz w:val="22"/>
                            <w:szCs w:val="22"/>
                          </w:rPr>
                        </w:pPr>
                        <w:r w:rsidRPr="006547EC">
                          <w:rPr>
                            <w:sz w:val="22"/>
                            <w:szCs w:val="22"/>
                          </w:rPr>
                          <w:t>bod xxiv) sa nahrádza takto:</w:t>
                        </w:r>
                      </w:p>
                      <w:tbl>
                        <w:tblPr>
                          <w:tblW w:w="5000" w:type="pct"/>
                          <w:tblLayout w:type="fixed"/>
                          <w:tblCellMar>
                            <w:left w:w="0" w:type="dxa"/>
                            <w:right w:w="0" w:type="dxa"/>
                          </w:tblCellMar>
                          <w:tblLook w:val="04A0" w:firstRow="1" w:lastRow="0" w:firstColumn="1" w:lastColumn="0" w:noHBand="0" w:noVBand="1"/>
                        </w:tblPr>
                        <w:tblGrid>
                          <w:gridCol w:w="966"/>
                          <w:gridCol w:w="2727"/>
                        </w:tblGrid>
                        <w:tr w:rsidR="00084172" w:rsidRPr="006547EC" w14:paraId="7DBB3CD4" w14:textId="77777777">
                          <w:tc>
                            <w:tcPr>
                              <w:tcW w:w="2101" w:type="dxa"/>
                              <w:shd w:val="clear" w:color="auto" w:fill="auto"/>
                              <w:hideMark/>
                            </w:tcPr>
                            <w:p w14:paraId="11A0099A" w14:textId="77777777" w:rsidR="004137E7" w:rsidRPr="006547EC" w:rsidRDefault="004137E7" w:rsidP="004137E7">
                              <w:pPr>
                                <w:autoSpaceDE/>
                                <w:autoSpaceDN/>
                                <w:spacing w:before="120"/>
                                <w:jc w:val="both"/>
                                <w:rPr>
                                  <w:sz w:val="22"/>
                                  <w:szCs w:val="22"/>
                                </w:rPr>
                              </w:pPr>
                              <w:r w:rsidRPr="006547EC">
                                <w:rPr>
                                  <w:sz w:val="22"/>
                                  <w:szCs w:val="22"/>
                                </w:rPr>
                                <w:t>„xxiv)</w:t>
                              </w:r>
                            </w:p>
                          </w:tc>
                          <w:tc>
                            <w:tcPr>
                              <w:tcW w:w="5978" w:type="dxa"/>
                              <w:shd w:val="clear" w:color="auto" w:fill="auto"/>
                              <w:hideMark/>
                            </w:tcPr>
                            <w:p w14:paraId="439D1F01" w14:textId="77777777" w:rsidR="004137E7" w:rsidRPr="006547EC" w:rsidRDefault="004137E7" w:rsidP="004137E7">
                              <w:pPr>
                                <w:autoSpaceDE/>
                                <w:autoSpaceDN/>
                                <w:spacing w:before="120"/>
                                <w:jc w:val="both"/>
                                <w:rPr>
                                  <w:sz w:val="22"/>
                                  <w:szCs w:val="22"/>
                                </w:rPr>
                              </w:pPr>
                              <w:r w:rsidRPr="006547EC">
                                <w:rPr>
                                  <w:sz w:val="22"/>
                                  <w:szCs w:val="22"/>
                                </w:rPr>
                                <w:t>článok 31 ods. 3;“</w:t>
                              </w:r>
                            </w:p>
                          </w:tc>
                        </w:tr>
                      </w:tbl>
                      <w:p w14:paraId="13199E8F" w14:textId="77777777" w:rsidR="004137E7" w:rsidRPr="006547EC" w:rsidRDefault="004137E7" w:rsidP="004137E7">
                        <w:pPr>
                          <w:autoSpaceDE/>
                          <w:autoSpaceDN/>
                          <w:rPr>
                            <w:sz w:val="22"/>
                            <w:szCs w:val="22"/>
                          </w:rPr>
                        </w:pPr>
                      </w:p>
                    </w:tc>
                  </w:tr>
                </w:tbl>
                <w:p w14:paraId="52DE6A40" w14:textId="77777777" w:rsidR="004137E7" w:rsidRPr="006547EC" w:rsidRDefault="004137E7" w:rsidP="004137E7">
                  <w:pPr>
                    <w:autoSpaceDE/>
                    <w:autoSpaceDN/>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368"/>
                    <w:gridCol w:w="3697"/>
                  </w:tblGrid>
                  <w:tr w:rsidR="00084172" w:rsidRPr="006547EC" w14:paraId="566C8F70" w14:textId="77777777">
                    <w:tc>
                      <w:tcPr>
                        <w:tcW w:w="783" w:type="dxa"/>
                        <w:shd w:val="clear" w:color="auto" w:fill="auto"/>
                        <w:hideMark/>
                      </w:tcPr>
                      <w:p w14:paraId="399EFFAD" w14:textId="77777777" w:rsidR="004137E7" w:rsidRPr="006547EC" w:rsidRDefault="004137E7" w:rsidP="004137E7">
                        <w:pPr>
                          <w:autoSpaceDE/>
                          <w:autoSpaceDN/>
                          <w:spacing w:before="120"/>
                          <w:jc w:val="both"/>
                          <w:rPr>
                            <w:sz w:val="22"/>
                            <w:szCs w:val="22"/>
                          </w:rPr>
                        </w:pPr>
                        <w:r w:rsidRPr="006547EC">
                          <w:rPr>
                            <w:sz w:val="22"/>
                            <w:szCs w:val="22"/>
                          </w:rPr>
                          <w:t>x)</w:t>
                        </w:r>
                      </w:p>
                    </w:tc>
                    <w:tc>
                      <w:tcPr>
                        <w:tcW w:w="8089" w:type="dxa"/>
                        <w:shd w:val="clear" w:color="auto" w:fill="auto"/>
                        <w:hideMark/>
                      </w:tcPr>
                      <w:p w14:paraId="23C3754D" w14:textId="77777777" w:rsidR="004137E7" w:rsidRPr="006547EC" w:rsidRDefault="004137E7" w:rsidP="004137E7">
                        <w:pPr>
                          <w:autoSpaceDE/>
                          <w:autoSpaceDN/>
                          <w:spacing w:before="120"/>
                          <w:jc w:val="both"/>
                          <w:rPr>
                            <w:sz w:val="22"/>
                            <w:szCs w:val="22"/>
                          </w:rPr>
                        </w:pPr>
                        <w:r w:rsidRPr="006547EC">
                          <w:rPr>
                            <w:sz w:val="22"/>
                            <w:szCs w:val="22"/>
                          </w:rPr>
                          <w:t>vkladá sa tento bod:</w:t>
                        </w:r>
                      </w:p>
                      <w:tbl>
                        <w:tblPr>
                          <w:tblW w:w="5000" w:type="pct"/>
                          <w:tblLayout w:type="fixed"/>
                          <w:tblCellMar>
                            <w:left w:w="0" w:type="dxa"/>
                            <w:right w:w="0" w:type="dxa"/>
                          </w:tblCellMar>
                          <w:tblLook w:val="04A0" w:firstRow="1" w:lastRow="0" w:firstColumn="1" w:lastColumn="0" w:noHBand="0" w:noVBand="1"/>
                        </w:tblPr>
                        <w:tblGrid>
                          <w:gridCol w:w="1410"/>
                          <w:gridCol w:w="2287"/>
                        </w:tblGrid>
                        <w:tr w:rsidR="00084172" w:rsidRPr="006547EC" w14:paraId="0ED45B78" w14:textId="77777777">
                          <w:tc>
                            <w:tcPr>
                              <w:tcW w:w="3080" w:type="dxa"/>
                              <w:shd w:val="clear" w:color="auto" w:fill="auto"/>
                              <w:hideMark/>
                            </w:tcPr>
                            <w:p w14:paraId="1C77E291" w14:textId="77777777" w:rsidR="004137E7" w:rsidRPr="006547EC" w:rsidRDefault="004137E7" w:rsidP="004137E7">
                              <w:pPr>
                                <w:autoSpaceDE/>
                                <w:autoSpaceDN/>
                                <w:spacing w:before="120"/>
                                <w:jc w:val="both"/>
                                <w:rPr>
                                  <w:sz w:val="22"/>
                                  <w:szCs w:val="22"/>
                                </w:rPr>
                              </w:pPr>
                              <w:r w:rsidRPr="006547EC">
                                <w:rPr>
                                  <w:sz w:val="22"/>
                                  <w:szCs w:val="22"/>
                                </w:rPr>
                                <w:t>„</w:t>
                              </w:r>
                              <w:proofErr w:type="spellStart"/>
                              <w:r w:rsidRPr="006547EC">
                                <w:rPr>
                                  <w:sz w:val="22"/>
                                  <w:szCs w:val="22"/>
                                </w:rPr>
                                <w:t>xxviia</w:t>
                              </w:r>
                              <w:proofErr w:type="spellEnd"/>
                              <w:r w:rsidRPr="006547EC">
                                <w:rPr>
                                  <w:sz w:val="22"/>
                                  <w:szCs w:val="22"/>
                                </w:rPr>
                                <w:t>)</w:t>
                              </w:r>
                            </w:p>
                          </w:tc>
                          <w:tc>
                            <w:tcPr>
                              <w:tcW w:w="5009" w:type="dxa"/>
                              <w:shd w:val="clear" w:color="auto" w:fill="auto"/>
                              <w:hideMark/>
                            </w:tcPr>
                            <w:p w14:paraId="3E3B951D" w14:textId="77777777" w:rsidR="004137E7" w:rsidRPr="006547EC" w:rsidRDefault="004137E7" w:rsidP="004137E7">
                              <w:pPr>
                                <w:autoSpaceDE/>
                                <w:autoSpaceDN/>
                                <w:spacing w:before="120"/>
                                <w:jc w:val="both"/>
                                <w:rPr>
                                  <w:sz w:val="22"/>
                                  <w:szCs w:val="22"/>
                                </w:rPr>
                              </w:pPr>
                              <w:r w:rsidRPr="006547EC">
                                <w:rPr>
                                  <w:sz w:val="22"/>
                                  <w:szCs w:val="22"/>
                                </w:rPr>
                                <w:t>článok 39a;“.</w:t>
                              </w:r>
                            </w:p>
                          </w:tc>
                        </w:tr>
                      </w:tbl>
                      <w:p w14:paraId="03C5CD95" w14:textId="77777777" w:rsidR="004137E7" w:rsidRPr="006547EC" w:rsidRDefault="004137E7" w:rsidP="004137E7">
                        <w:pPr>
                          <w:autoSpaceDE/>
                          <w:autoSpaceDN/>
                          <w:rPr>
                            <w:sz w:val="22"/>
                            <w:szCs w:val="22"/>
                          </w:rPr>
                        </w:pPr>
                      </w:p>
                    </w:tc>
                  </w:tr>
                </w:tbl>
                <w:p w14:paraId="1DC7B260" w14:textId="77777777" w:rsidR="004137E7" w:rsidRPr="006547EC" w:rsidRDefault="004137E7" w:rsidP="004137E7">
                  <w:pPr>
                    <w:autoSpaceDE/>
                    <w:autoSpaceDN/>
                    <w:rPr>
                      <w:sz w:val="22"/>
                      <w:szCs w:val="22"/>
                    </w:rPr>
                  </w:pPr>
                </w:p>
              </w:tc>
            </w:tr>
          </w:tbl>
          <w:p w14:paraId="1B8BDEC7" w14:textId="77777777" w:rsidR="004137E7" w:rsidRPr="006547EC" w:rsidRDefault="004137E7" w:rsidP="004137E7">
            <w:pPr>
              <w:pStyle w:val="PredformtovanHTML"/>
              <w:shd w:val="clear" w:color="auto" w:fill="F8F9FA"/>
              <w:rPr>
                <w:rStyle w:val="y2iqfc"/>
                <w:rFonts w:ascii="Times New Roman" w:hAnsi="Times New Roman" w:cs="Times New Roman"/>
                <w:sz w:val="22"/>
                <w:szCs w:val="22"/>
              </w:rPr>
            </w:pPr>
          </w:p>
        </w:tc>
        <w:tc>
          <w:tcPr>
            <w:tcW w:w="850" w:type="dxa"/>
            <w:tcBorders>
              <w:top w:val="single" w:sz="4" w:space="0" w:color="auto"/>
              <w:left w:val="single" w:sz="4" w:space="0" w:color="auto"/>
              <w:right w:val="single" w:sz="12" w:space="0" w:color="auto"/>
            </w:tcBorders>
          </w:tcPr>
          <w:p w14:paraId="5FEE3D4D" w14:textId="77777777" w:rsidR="004137E7" w:rsidRDefault="004137E7" w:rsidP="004137E7">
            <w:pPr>
              <w:adjustRightInd w:val="0"/>
              <w:rPr>
                <w:color w:val="000000"/>
                <w:sz w:val="22"/>
                <w:szCs w:val="22"/>
              </w:rPr>
            </w:pPr>
            <w:r>
              <w:rPr>
                <w:color w:val="000000"/>
                <w:sz w:val="22"/>
                <w:szCs w:val="22"/>
              </w:rPr>
              <w:lastRenderedPageBreak/>
              <w:t>N</w:t>
            </w:r>
          </w:p>
          <w:p w14:paraId="51B297FA" w14:textId="77777777" w:rsidR="004137E7" w:rsidRDefault="004137E7" w:rsidP="004137E7">
            <w:pPr>
              <w:adjustRightInd w:val="0"/>
              <w:rPr>
                <w:color w:val="000000"/>
                <w:sz w:val="22"/>
                <w:szCs w:val="22"/>
              </w:rPr>
            </w:pPr>
          </w:p>
          <w:p w14:paraId="4B7D25F7" w14:textId="77777777" w:rsidR="004137E7" w:rsidRDefault="004137E7" w:rsidP="004137E7">
            <w:pPr>
              <w:adjustRightInd w:val="0"/>
              <w:rPr>
                <w:color w:val="000000"/>
                <w:sz w:val="22"/>
                <w:szCs w:val="22"/>
              </w:rPr>
            </w:pPr>
          </w:p>
          <w:p w14:paraId="1B264DE6" w14:textId="77777777" w:rsidR="004137E7" w:rsidRDefault="004137E7" w:rsidP="004137E7">
            <w:pPr>
              <w:adjustRightInd w:val="0"/>
              <w:rPr>
                <w:color w:val="000000"/>
                <w:sz w:val="22"/>
                <w:szCs w:val="22"/>
              </w:rPr>
            </w:pPr>
          </w:p>
          <w:p w14:paraId="278729E0" w14:textId="77777777" w:rsidR="004137E7" w:rsidRDefault="004137E7" w:rsidP="004137E7">
            <w:pPr>
              <w:adjustRightInd w:val="0"/>
              <w:rPr>
                <w:color w:val="000000"/>
                <w:sz w:val="22"/>
                <w:szCs w:val="22"/>
              </w:rPr>
            </w:pPr>
          </w:p>
          <w:p w14:paraId="075E4E7F" w14:textId="77777777" w:rsidR="004137E7" w:rsidRDefault="004137E7" w:rsidP="004137E7">
            <w:pPr>
              <w:adjustRightInd w:val="0"/>
              <w:rPr>
                <w:color w:val="000000"/>
                <w:sz w:val="22"/>
                <w:szCs w:val="22"/>
              </w:rPr>
            </w:pPr>
          </w:p>
          <w:p w14:paraId="47F602A0" w14:textId="77777777" w:rsidR="004137E7" w:rsidRPr="00531286" w:rsidRDefault="004137E7" w:rsidP="004137E7">
            <w:pPr>
              <w:adjustRightInd w:val="0"/>
              <w:rPr>
                <w:color w:val="000000"/>
                <w:sz w:val="22"/>
                <w:szCs w:val="22"/>
              </w:rPr>
            </w:pPr>
            <w:r>
              <w:rPr>
                <w:color w:val="000000"/>
                <w:sz w:val="22"/>
                <w:szCs w:val="22"/>
              </w:rPr>
              <w:t>N</w:t>
            </w:r>
          </w:p>
        </w:tc>
        <w:tc>
          <w:tcPr>
            <w:tcW w:w="993" w:type="dxa"/>
            <w:tcBorders>
              <w:top w:val="single" w:sz="4" w:space="0" w:color="auto"/>
              <w:left w:val="nil"/>
              <w:right w:val="single" w:sz="4" w:space="0" w:color="auto"/>
            </w:tcBorders>
          </w:tcPr>
          <w:p w14:paraId="0B1B2349" w14:textId="77777777" w:rsidR="00892973" w:rsidRPr="0049520B" w:rsidRDefault="00892973" w:rsidP="00892973">
            <w:pPr>
              <w:adjustRightInd w:val="0"/>
              <w:rPr>
                <w:color w:val="000000"/>
                <w:sz w:val="22"/>
                <w:szCs w:val="22"/>
              </w:rPr>
            </w:pPr>
            <w:r>
              <w:rPr>
                <w:color w:val="000000"/>
                <w:sz w:val="22"/>
                <w:szCs w:val="22"/>
              </w:rPr>
              <w:t>429</w:t>
            </w:r>
            <w:r w:rsidRPr="0049520B">
              <w:rPr>
                <w:color w:val="000000"/>
                <w:sz w:val="22"/>
                <w:szCs w:val="22"/>
              </w:rPr>
              <w:t>/2002</w:t>
            </w:r>
          </w:p>
          <w:p w14:paraId="76EB4A10" w14:textId="77777777" w:rsidR="004137E7" w:rsidRPr="001B5F0E" w:rsidRDefault="004137E7" w:rsidP="004137E7">
            <w:pPr>
              <w:rPr>
                <w:b/>
                <w:bCs/>
                <w:sz w:val="22"/>
                <w:szCs w:val="22"/>
              </w:rPr>
            </w:pPr>
          </w:p>
          <w:p w14:paraId="3B8531D6" w14:textId="77777777" w:rsidR="004137E7" w:rsidRPr="001B5F0E" w:rsidRDefault="004137E7" w:rsidP="004137E7">
            <w:pPr>
              <w:rPr>
                <w:b/>
                <w:bCs/>
                <w:sz w:val="22"/>
                <w:szCs w:val="22"/>
              </w:rPr>
            </w:pPr>
          </w:p>
          <w:p w14:paraId="7FD5B97A" w14:textId="77777777" w:rsidR="004137E7" w:rsidRPr="001B5F0E" w:rsidRDefault="004137E7" w:rsidP="004137E7">
            <w:pPr>
              <w:rPr>
                <w:b/>
                <w:bCs/>
                <w:sz w:val="22"/>
                <w:szCs w:val="22"/>
              </w:rPr>
            </w:pPr>
          </w:p>
          <w:p w14:paraId="45397C40" w14:textId="77777777" w:rsidR="004137E7" w:rsidRPr="001B5F0E" w:rsidRDefault="004137E7" w:rsidP="004137E7">
            <w:pPr>
              <w:rPr>
                <w:b/>
                <w:bCs/>
                <w:sz w:val="22"/>
                <w:szCs w:val="22"/>
              </w:rPr>
            </w:pPr>
          </w:p>
          <w:p w14:paraId="496071B3" w14:textId="77777777" w:rsidR="004137E7" w:rsidRPr="001B5F0E" w:rsidRDefault="004137E7" w:rsidP="004137E7">
            <w:pPr>
              <w:rPr>
                <w:b/>
                <w:bCs/>
                <w:sz w:val="22"/>
                <w:szCs w:val="22"/>
              </w:rPr>
            </w:pPr>
          </w:p>
          <w:p w14:paraId="13F6C0B0" w14:textId="77777777" w:rsidR="004137E7" w:rsidRPr="001B5F0E" w:rsidRDefault="004137E7" w:rsidP="004137E7">
            <w:pPr>
              <w:rPr>
                <w:b/>
                <w:bCs/>
                <w:sz w:val="22"/>
                <w:szCs w:val="22"/>
              </w:rPr>
            </w:pPr>
          </w:p>
          <w:p w14:paraId="7C4ADF8C" w14:textId="77777777" w:rsidR="004137E7" w:rsidRPr="001B5F0E" w:rsidRDefault="004137E7" w:rsidP="004137E7">
            <w:pPr>
              <w:rPr>
                <w:b/>
                <w:bCs/>
                <w:sz w:val="22"/>
                <w:szCs w:val="22"/>
              </w:rPr>
            </w:pPr>
          </w:p>
          <w:p w14:paraId="5F6F063A" w14:textId="77777777" w:rsidR="004137E7" w:rsidRPr="001B5F0E" w:rsidRDefault="004137E7" w:rsidP="004137E7">
            <w:pPr>
              <w:rPr>
                <w:b/>
                <w:bCs/>
                <w:sz w:val="22"/>
                <w:szCs w:val="22"/>
              </w:rPr>
            </w:pPr>
          </w:p>
          <w:p w14:paraId="414ECF63" w14:textId="77777777" w:rsidR="004137E7" w:rsidRPr="001B5F0E" w:rsidRDefault="004137E7" w:rsidP="004137E7">
            <w:pPr>
              <w:rPr>
                <w:b/>
                <w:bCs/>
                <w:sz w:val="22"/>
                <w:szCs w:val="22"/>
              </w:rPr>
            </w:pPr>
          </w:p>
          <w:p w14:paraId="0776ED86" w14:textId="77777777" w:rsidR="004137E7" w:rsidRPr="001B5F0E" w:rsidRDefault="004137E7" w:rsidP="004137E7">
            <w:pPr>
              <w:rPr>
                <w:b/>
                <w:bCs/>
                <w:sz w:val="22"/>
                <w:szCs w:val="22"/>
              </w:rPr>
            </w:pPr>
          </w:p>
          <w:p w14:paraId="7882D803" w14:textId="77777777" w:rsidR="004137E7" w:rsidRPr="001B5F0E" w:rsidRDefault="004137E7" w:rsidP="004137E7">
            <w:pPr>
              <w:rPr>
                <w:b/>
                <w:bCs/>
                <w:sz w:val="22"/>
                <w:szCs w:val="22"/>
              </w:rPr>
            </w:pPr>
          </w:p>
          <w:p w14:paraId="4EA5DCFB" w14:textId="77777777" w:rsidR="004137E7" w:rsidRPr="001B5F0E" w:rsidRDefault="004137E7" w:rsidP="004137E7">
            <w:pPr>
              <w:rPr>
                <w:b/>
                <w:bCs/>
                <w:sz w:val="22"/>
                <w:szCs w:val="22"/>
              </w:rPr>
            </w:pPr>
          </w:p>
          <w:p w14:paraId="4C1B669E" w14:textId="77777777" w:rsidR="004137E7" w:rsidRPr="001B5F0E" w:rsidRDefault="004137E7" w:rsidP="004137E7">
            <w:pPr>
              <w:rPr>
                <w:b/>
                <w:bCs/>
                <w:sz w:val="22"/>
                <w:szCs w:val="22"/>
              </w:rPr>
            </w:pPr>
          </w:p>
          <w:p w14:paraId="523CA8A5" w14:textId="77777777" w:rsidR="004137E7" w:rsidRPr="001B5F0E" w:rsidRDefault="004137E7" w:rsidP="004137E7">
            <w:pPr>
              <w:rPr>
                <w:b/>
                <w:bCs/>
                <w:sz w:val="22"/>
                <w:szCs w:val="22"/>
              </w:rPr>
            </w:pPr>
          </w:p>
          <w:p w14:paraId="7C1E9555" w14:textId="77777777" w:rsidR="004137E7" w:rsidRPr="001B5F0E" w:rsidRDefault="004137E7" w:rsidP="004137E7">
            <w:pPr>
              <w:rPr>
                <w:b/>
                <w:bCs/>
                <w:sz w:val="22"/>
                <w:szCs w:val="22"/>
              </w:rPr>
            </w:pPr>
          </w:p>
          <w:p w14:paraId="3C53E473" w14:textId="77777777" w:rsidR="004137E7" w:rsidRDefault="004137E7" w:rsidP="004137E7">
            <w:pPr>
              <w:rPr>
                <w:b/>
                <w:bCs/>
                <w:sz w:val="22"/>
                <w:szCs w:val="22"/>
              </w:rPr>
            </w:pPr>
          </w:p>
          <w:p w14:paraId="46D57967" w14:textId="77777777" w:rsidR="001B5F0E" w:rsidRDefault="001B5F0E" w:rsidP="004137E7">
            <w:pPr>
              <w:rPr>
                <w:b/>
                <w:bCs/>
                <w:sz w:val="22"/>
                <w:szCs w:val="22"/>
              </w:rPr>
            </w:pPr>
          </w:p>
          <w:p w14:paraId="24B16C55" w14:textId="77777777" w:rsidR="001B5F0E" w:rsidRDefault="001B5F0E" w:rsidP="004137E7">
            <w:pPr>
              <w:rPr>
                <w:b/>
                <w:bCs/>
                <w:sz w:val="22"/>
                <w:szCs w:val="22"/>
              </w:rPr>
            </w:pPr>
          </w:p>
          <w:p w14:paraId="1EDE98BC" w14:textId="77777777" w:rsidR="001B5F0E" w:rsidRDefault="001B5F0E" w:rsidP="004137E7">
            <w:pPr>
              <w:rPr>
                <w:b/>
                <w:bCs/>
                <w:sz w:val="22"/>
                <w:szCs w:val="22"/>
              </w:rPr>
            </w:pPr>
          </w:p>
          <w:p w14:paraId="07D5592E" w14:textId="77777777" w:rsidR="001B5F0E" w:rsidRDefault="001B5F0E" w:rsidP="004137E7">
            <w:pPr>
              <w:rPr>
                <w:b/>
                <w:bCs/>
                <w:sz w:val="22"/>
                <w:szCs w:val="22"/>
              </w:rPr>
            </w:pPr>
          </w:p>
          <w:p w14:paraId="35708511" w14:textId="77777777" w:rsidR="001B5F0E" w:rsidRDefault="001B5F0E" w:rsidP="004137E7">
            <w:pPr>
              <w:rPr>
                <w:b/>
                <w:bCs/>
                <w:sz w:val="22"/>
                <w:szCs w:val="22"/>
              </w:rPr>
            </w:pPr>
          </w:p>
          <w:p w14:paraId="77E62D91" w14:textId="77777777" w:rsidR="001B5F0E" w:rsidRDefault="001B5F0E" w:rsidP="004137E7">
            <w:pPr>
              <w:rPr>
                <w:b/>
                <w:bCs/>
                <w:sz w:val="22"/>
                <w:szCs w:val="22"/>
              </w:rPr>
            </w:pPr>
          </w:p>
          <w:p w14:paraId="19E45B64" w14:textId="77777777" w:rsidR="00892973" w:rsidRDefault="00892973" w:rsidP="004137E7">
            <w:pPr>
              <w:rPr>
                <w:b/>
                <w:bCs/>
                <w:sz w:val="22"/>
                <w:szCs w:val="22"/>
              </w:rPr>
            </w:pPr>
          </w:p>
          <w:p w14:paraId="642FA529" w14:textId="77777777" w:rsidR="00892973" w:rsidRDefault="00892973" w:rsidP="004137E7">
            <w:pPr>
              <w:rPr>
                <w:b/>
                <w:bCs/>
                <w:sz w:val="22"/>
                <w:szCs w:val="22"/>
              </w:rPr>
            </w:pPr>
          </w:p>
          <w:p w14:paraId="3558A152" w14:textId="77777777" w:rsidR="00892973" w:rsidRDefault="00892973" w:rsidP="004137E7">
            <w:pPr>
              <w:rPr>
                <w:b/>
                <w:bCs/>
                <w:sz w:val="22"/>
                <w:szCs w:val="22"/>
              </w:rPr>
            </w:pPr>
          </w:p>
          <w:p w14:paraId="1EDDB2CF" w14:textId="77777777" w:rsidR="00892973" w:rsidRDefault="00892973" w:rsidP="004137E7">
            <w:pPr>
              <w:rPr>
                <w:b/>
                <w:bCs/>
                <w:sz w:val="22"/>
                <w:szCs w:val="22"/>
              </w:rPr>
            </w:pPr>
          </w:p>
          <w:p w14:paraId="30D895BB" w14:textId="77777777" w:rsidR="00892973" w:rsidRDefault="00892973" w:rsidP="004137E7">
            <w:pPr>
              <w:rPr>
                <w:b/>
                <w:bCs/>
                <w:sz w:val="22"/>
                <w:szCs w:val="22"/>
              </w:rPr>
            </w:pPr>
          </w:p>
          <w:p w14:paraId="75B29785" w14:textId="77777777" w:rsidR="00892973" w:rsidRDefault="00892973" w:rsidP="004137E7">
            <w:pPr>
              <w:rPr>
                <w:b/>
                <w:bCs/>
                <w:sz w:val="22"/>
                <w:szCs w:val="22"/>
              </w:rPr>
            </w:pPr>
          </w:p>
          <w:p w14:paraId="44C888F1" w14:textId="77777777" w:rsidR="00892973" w:rsidRDefault="00892973" w:rsidP="004137E7">
            <w:pPr>
              <w:rPr>
                <w:b/>
                <w:bCs/>
                <w:sz w:val="22"/>
                <w:szCs w:val="22"/>
              </w:rPr>
            </w:pPr>
          </w:p>
          <w:p w14:paraId="48AC1701" w14:textId="77777777" w:rsidR="00892973" w:rsidRDefault="00892973" w:rsidP="004137E7">
            <w:pPr>
              <w:rPr>
                <w:b/>
                <w:bCs/>
                <w:sz w:val="22"/>
                <w:szCs w:val="22"/>
              </w:rPr>
            </w:pPr>
          </w:p>
          <w:p w14:paraId="242E3150" w14:textId="77777777" w:rsidR="00892973" w:rsidRDefault="00892973" w:rsidP="004137E7">
            <w:pPr>
              <w:rPr>
                <w:b/>
                <w:bCs/>
                <w:sz w:val="22"/>
                <w:szCs w:val="22"/>
              </w:rPr>
            </w:pPr>
          </w:p>
          <w:p w14:paraId="2FB63CC7" w14:textId="77777777" w:rsidR="00892973" w:rsidRDefault="00892973" w:rsidP="004137E7">
            <w:pPr>
              <w:rPr>
                <w:b/>
                <w:bCs/>
                <w:sz w:val="22"/>
                <w:szCs w:val="22"/>
              </w:rPr>
            </w:pPr>
          </w:p>
          <w:p w14:paraId="1378A228" w14:textId="77777777" w:rsidR="00892973" w:rsidRDefault="00892973" w:rsidP="004137E7">
            <w:pPr>
              <w:rPr>
                <w:b/>
                <w:bCs/>
                <w:sz w:val="22"/>
                <w:szCs w:val="22"/>
              </w:rPr>
            </w:pPr>
          </w:p>
          <w:p w14:paraId="6F24B3EE" w14:textId="77777777" w:rsidR="00892973" w:rsidRDefault="00892973" w:rsidP="004137E7">
            <w:pPr>
              <w:rPr>
                <w:b/>
                <w:bCs/>
                <w:sz w:val="22"/>
                <w:szCs w:val="22"/>
              </w:rPr>
            </w:pPr>
          </w:p>
          <w:p w14:paraId="1BD431DB" w14:textId="77777777" w:rsidR="00892973" w:rsidRDefault="00892973" w:rsidP="004137E7">
            <w:pPr>
              <w:rPr>
                <w:b/>
                <w:bCs/>
                <w:sz w:val="22"/>
                <w:szCs w:val="22"/>
              </w:rPr>
            </w:pPr>
          </w:p>
          <w:p w14:paraId="4E6A65F0" w14:textId="77777777" w:rsidR="00892973" w:rsidRDefault="00892973" w:rsidP="004137E7">
            <w:pPr>
              <w:rPr>
                <w:b/>
                <w:bCs/>
                <w:sz w:val="22"/>
                <w:szCs w:val="22"/>
              </w:rPr>
            </w:pPr>
          </w:p>
          <w:p w14:paraId="36F2354C" w14:textId="77777777" w:rsidR="00892973" w:rsidRDefault="00892973" w:rsidP="004137E7">
            <w:pPr>
              <w:rPr>
                <w:b/>
                <w:bCs/>
                <w:sz w:val="22"/>
                <w:szCs w:val="22"/>
              </w:rPr>
            </w:pPr>
          </w:p>
          <w:p w14:paraId="0C2FD47D" w14:textId="77777777" w:rsidR="00892973" w:rsidRDefault="00892973" w:rsidP="004137E7">
            <w:pPr>
              <w:rPr>
                <w:b/>
                <w:bCs/>
                <w:sz w:val="22"/>
                <w:szCs w:val="22"/>
              </w:rPr>
            </w:pPr>
          </w:p>
          <w:p w14:paraId="2C1F0A3A" w14:textId="77777777" w:rsidR="00892973" w:rsidRDefault="00892973" w:rsidP="004137E7">
            <w:pPr>
              <w:rPr>
                <w:b/>
                <w:bCs/>
                <w:sz w:val="22"/>
                <w:szCs w:val="22"/>
              </w:rPr>
            </w:pPr>
          </w:p>
          <w:p w14:paraId="259C6238" w14:textId="77777777" w:rsidR="00892973" w:rsidRDefault="00892973" w:rsidP="004137E7">
            <w:pPr>
              <w:rPr>
                <w:b/>
                <w:bCs/>
                <w:sz w:val="22"/>
                <w:szCs w:val="22"/>
              </w:rPr>
            </w:pPr>
          </w:p>
          <w:p w14:paraId="31F1A275" w14:textId="77777777" w:rsidR="00892973" w:rsidRDefault="00892973" w:rsidP="004137E7">
            <w:pPr>
              <w:rPr>
                <w:b/>
                <w:bCs/>
                <w:sz w:val="22"/>
                <w:szCs w:val="22"/>
              </w:rPr>
            </w:pPr>
          </w:p>
          <w:p w14:paraId="6D69F706" w14:textId="77777777" w:rsidR="00892973" w:rsidRDefault="00892973" w:rsidP="004137E7">
            <w:pPr>
              <w:rPr>
                <w:b/>
                <w:bCs/>
                <w:sz w:val="22"/>
                <w:szCs w:val="22"/>
              </w:rPr>
            </w:pPr>
          </w:p>
          <w:p w14:paraId="6830E882" w14:textId="77777777" w:rsidR="00892973" w:rsidRDefault="00892973" w:rsidP="004137E7">
            <w:pPr>
              <w:rPr>
                <w:b/>
                <w:bCs/>
                <w:sz w:val="22"/>
                <w:szCs w:val="22"/>
              </w:rPr>
            </w:pPr>
          </w:p>
          <w:p w14:paraId="45313A4E" w14:textId="77777777" w:rsidR="00892973" w:rsidRPr="001B5F0E" w:rsidRDefault="00892973" w:rsidP="004137E7">
            <w:pPr>
              <w:rPr>
                <w:b/>
                <w:bCs/>
                <w:sz w:val="22"/>
                <w:szCs w:val="22"/>
              </w:rPr>
            </w:pPr>
          </w:p>
          <w:p w14:paraId="796FF24E" w14:textId="77777777" w:rsidR="004137E7" w:rsidRDefault="004137E7" w:rsidP="004137E7">
            <w:pPr>
              <w:rPr>
                <w:b/>
                <w:bCs/>
                <w:sz w:val="22"/>
                <w:szCs w:val="22"/>
              </w:rPr>
            </w:pPr>
          </w:p>
          <w:p w14:paraId="00BB9A42" w14:textId="77777777" w:rsidR="00FE2E77" w:rsidRDefault="00FE2E77" w:rsidP="004137E7">
            <w:pPr>
              <w:rPr>
                <w:b/>
                <w:bCs/>
                <w:sz w:val="22"/>
                <w:szCs w:val="22"/>
              </w:rPr>
            </w:pPr>
          </w:p>
          <w:p w14:paraId="471CB46B" w14:textId="77777777" w:rsidR="00FE2E77" w:rsidRDefault="00FE2E77" w:rsidP="004137E7">
            <w:pPr>
              <w:rPr>
                <w:b/>
                <w:bCs/>
                <w:sz w:val="22"/>
                <w:szCs w:val="22"/>
              </w:rPr>
            </w:pPr>
          </w:p>
          <w:p w14:paraId="0E85FDFA" w14:textId="77777777" w:rsidR="00FE2E77" w:rsidRDefault="00FE2E77" w:rsidP="004137E7">
            <w:pPr>
              <w:rPr>
                <w:b/>
                <w:bCs/>
                <w:sz w:val="22"/>
                <w:szCs w:val="22"/>
              </w:rPr>
            </w:pPr>
          </w:p>
          <w:p w14:paraId="04FA373E" w14:textId="77777777" w:rsidR="00FE2E77" w:rsidRDefault="00FE2E77" w:rsidP="004137E7">
            <w:pPr>
              <w:rPr>
                <w:b/>
                <w:bCs/>
                <w:sz w:val="22"/>
                <w:szCs w:val="22"/>
              </w:rPr>
            </w:pPr>
          </w:p>
          <w:p w14:paraId="60A633FE" w14:textId="77777777" w:rsidR="00FE2E77" w:rsidRDefault="00FE2E77" w:rsidP="004137E7">
            <w:pPr>
              <w:rPr>
                <w:b/>
                <w:bCs/>
                <w:sz w:val="22"/>
                <w:szCs w:val="22"/>
              </w:rPr>
            </w:pPr>
          </w:p>
          <w:p w14:paraId="2EBED3B7" w14:textId="77777777" w:rsidR="00FE2E77" w:rsidRDefault="00FE2E77" w:rsidP="004137E7">
            <w:pPr>
              <w:rPr>
                <w:b/>
                <w:bCs/>
                <w:sz w:val="22"/>
                <w:szCs w:val="22"/>
              </w:rPr>
            </w:pPr>
          </w:p>
          <w:p w14:paraId="763A8EA3" w14:textId="77777777" w:rsidR="00FE2E77" w:rsidRDefault="00FE2E77" w:rsidP="004137E7">
            <w:pPr>
              <w:rPr>
                <w:b/>
                <w:bCs/>
                <w:sz w:val="22"/>
                <w:szCs w:val="22"/>
              </w:rPr>
            </w:pPr>
          </w:p>
          <w:p w14:paraId="0796077B" w14:textId="77777777" w:rsidR="00FE2E77" w:rsidRDefault="00FE2E77" w:rsidP="004137E7">
            <w:pPr>
              <w:rPr>
                <w:b/>
                <w:bCs/>
                <w:sz w:val="22"/>
                <w:szCs w:val="22"/>
              </w:rPr>
            </w:pPr>
          </w:p>
          <w:p w14:paraId="049E787E" w14:textId="77777777" w:rsidR="00FE2E77" w:rsidRDefault="00FE2E77" w:rsidP="004137E7">
            <w:pPr>
              <w:rPr>
                <w:b/>
                <w:bCs/>
                <w:sz w:val="22"/>
                <w:szCs w:val="22"/>
              </w:rPr>
            </w:pPr>
          </w:p>
          <w:p w14:paraId="4EFF0769" w14:textId="77777777" w:rsidR="00FE2E77" w:rsidRDefault="00FE2E77" w:rsidP="004137E7">
            <w:pPr>
              <w:rPr>
                <w:b/>
                <w:bCs/>
                <w:sz w:val="22"/>
                <w:szCs w:val="22"/>
              </w:rPr>
            </w:pPr>
          </w:p>
          <w:p w14:paraId="39E9576B" w14:textId="77777777" w:rsidR="00FE2E77" w:rsidRDefault="00FE2E77" w:rsidP="004137E7">
            <w:pPr>
              <w:rPr>
                <w:b/>
                <w:bCs/>
                <w:sz w:val="22"/>
                <w:szCs w:val="22"/>
              </w:rPr>
            </w:pPr>
          </w:p>
          <w:p w14:paraId="63916D13" w14:textId="77777777" w:rsidR="00FE2E77" w:rsidRDefault="00FE2E77" w:rsidP="004137E7">
            <w:pPr>
              <w:rPr>
                <w:b/>
                <w:bCs/>
                <w:sz w:val="22"/>
                <w:szCs w:val="22"/>
              </w:rPr>
            </w:pPr>
          </w:p>
          <w:p w14:paraId="230D1CE5" w14:textId="77777777" w:rsidR="00FE2E77" w:rsidRDefault="00FE2E77" w:rsidP="004137E7">
            <w:pPr>
              <w:rPr>
                <w:b/>
                <w:bCs/>
                <w:sz w:val="22"/>
                <w:szCs w:val="22"/>
              </w:rPr>
            </w:pPr>
          </w:p>
          <w:p w14:paraId="0ED22A63" w14:textId="77777777" w:rsidR="00FE2E77" w:rsidRDefault="00FE2E77" w:rsidP="004137E7">
            <w:pPr>
              <w:rPr>
                <w:b/>
                <w:bCs/>
                <w:sz w:val="22"/>
                <w:szCs w:val="22"/>
              </w:rPr>
            </w:pPr>
          </w:p>
          <w:p w14:paraId="668C5071" w14:textId="77777777" w:rsidR="00EF7CCD" w:rsidRDefault="00EF7CCD" w:rsidP="004137E7">
            <w:pPr>
              <w:rPr>
                <w:b/>
                <w:bCs/>
                <w:sz w:val="22"/>
                <w:szCs w:val="22"/>
              </w:rPr>
            </w:pPr>
          </w:p>
          <w:p w14:paraId="2F9B7BA4" w14:textId="77777777" w:rsidR="00FE2E77" w:rsidRPr="001B5F0E" w:rsidRDefault="00FE2E77" w:rsidP="004137E7">
            <w:pPr>
              <w:rPr>
                <w:b/>
                <w:bCs/>
                <w:sz w:val="22"/>
                <w:szCs w:val="22"/>
              </w:rPr>
            </w:pPr>
          </w:p>
          <w:p w14:paraId="4EF9DEF2" w14:textId="77777777" w:rsidR="00EF7CCD" w:rsidRPr="0049520B" w:rsidRDefault="00EF7CCD" w:rsidP="00EF7CCD">
            <w:pPr>
              <w:adjustRightInd w:val="0"/>
              <w:rPr>
                <w:color w:val="000000"/>
                <w:sz w:val="22"/>
                <w:szCs w:val="22"/>
              </w:rPr>
            </w:pPr>
            <w:r>
              <w:rPr>
                <w:color w:val="000000"/>
                <w:sz w:val="22"/>
                <w:szCs w:val="22"/>
              </w:rPr>
              <w:t>429</w:t>
            </w:r>
            <w:r w:rsidRPr="0049520B">
              <w:rPr>
                <w:color w:val="000000"/>
                <w:sz w:val="22"/>
                <w:szCs w:val="22"/>
              </w:rPr>
              <w:t>/2002</w:t>
            </w:r>
          </w:p>
          <w:p w14:paraId="0F4FF955" w14:textId="77777777" w:rsidR="004137E7" w:rsidRPr="00531286" w:rsidRDefault="004137E7" w:rsidP="004137E7">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0A1CFA43" w14:textId="71C4A311" w:rsidR="004137E7" w:rsidRPr="00E93043" w:rsidRDefault="004137E7" w:rsidP="004137E7">
            <w:pPr>
              <w:jc w:val="center"/>
              <w:rPr>
                <w:bCs/>
                <w:sz w:val="22"/>
                <w:szCs w:val="22"/>
              </w:rPr>
            </w:pPr>
            <w:r w:rsidRPr="00E93043">
              <w:rPr>
                <w:bCs/>
                <w:sz w:val="22"/>
                <w:szCs w:val="22"/>
              </w:rPr>
              <w:lastRenderedPageBreak/>
              <w:t xml:space="preserve">§ </w:t>
            </w:r>
            <w:r w:rsidR="00FE2E77" w:rsidRPr="00E93043">
              <w:rPr>
                <w:bCs/>
                <w:sz w:val="22"/>
                <w:szCs w:val="22"/>
              </w:rPr>
              <w:t>60</w:t>
            </w:r>
          </w:p>
          <w:p w14:paraId="14B9A1A7" w14:textId="5A80E3AC" w:rsidR="004137E7" w:rsidRPr="00E93043" w:rsidRDefault="004137E7" w:rsidP="004137E7">
            <w:pPr>
              <w:jc w:val="center"/>
              <w:rPr>
                <w:bCs/>
                <w:sz w:val="22"/>
                <w:szCs w:val="22"/>
              </w:rPr>
            </w:pPr>
            <w:r w:rsidRPr="00E93043">
              <w:rPr>
                <w:bCs/>
                <w:sz w:val="22"/>
                <w:szCs w:val="22"/>
              </w:rPr>
              <w:t>O: 1</w:t>
            </w:r>
            <w:r w:rsidR="00892973" w:rsidRPr="00E93043">
              <w:rPr>
                <w:bCs/>
                <w:sz w:val="22"/>
                <w:szCs w:val="22"/>
              </w:rPr>
              <w:t xml:space="preserve"> </w:t>
            </w:r>
          </w:p>
          <w:p w14:paraId="021936F4" w14:textId="77777777" w:rsidR="004137E7" w:rsidRDefault="004137E7" w:rsidP="004137E7">
            <w:pPr>
              <w:jc w:val="center"/>
              <w:rPr>
                <w:b/>
                <w:sz w:val="22"/>
                <w:szCs w:val="22"/>
                <w:highlight w:val="yellow"/>
              </w:rPr>
            </w:pPr>
          </w:p>
          <w:p w14:paraId="1E4D3127" w14:textId="77777777" w:rsidR="00892973" w:rsidRDefault="00892973" w:rsidP="004137E7">
            <w:pPr>
              <w:jc w:val="center"/>
              <w:rPr>
                <w:b/>
                <w:sz w:val="22"/>
                <w:szCs w:val="22"/>
                <w:highlight w:val="yellow"/>
              </w:rPr>
            </w:pPr>
          </w:p>
          <w:p w14:paraId="1C5DE2F1" w14:textId="77777777" w:rsidR="004137E7" w:rsidRDefault="004137E7" w:rsidP="004137E7">
            <w:pPr>
              <w:jc w:val="center"/>
              <w:rPr>
                <w:b/>
                <w:sz w:val="22"/>
                <w:szCs w:val="22"/>
                <w:highlight w:val="yellow"/>
              </w:rPr>
            </w:pPr>
          </w:p>
          <w:p w14:paraId="58D80926" w14:textId="77777777" w:rsidR="004137E7" w:rsidRDefault="004137E7" w:rsidP="004137E7">
            <w:pPr>
              <w:jc w:val="center"/>
              <w:rPr>
                <w:b/>
                <w:sz w:val="22"/>
                <w:szCs w:val="22"/>
                <w:highlight w:val="yellow"/>
              </w:rPr>
            </w:pPr>
          </w:p>
          <w:p w14:paraId="72E3E03A" w14:textId="77777777" w:rsidR="004137E7" w:rsidRDefault="004137E7" w:rsidP="004137E7">
            <w:pPr>
              <w:jc w:val="center"/>
              <w:rPr>
                <w:b/>
                <w:sz w:val="22"/>
                <w:szCs w:val="22"/>
                <w:highlight w:val="yellow"/>
              </w:rPr>
            </w:pPr>
          </w:p>
          <w:p w14:paraId="2B1E00B7" w14:textId="77777777" w:rsidR="004137E7" w:rsidRDefault="004137E7" w:rsidP="004137E7">
            <w:pPr>
              <w:jc w:val="center"/>
              <w:rPr>
                <w:b/>
                <w:sz w:val="22"/>
                <w:szCs w:val="22"/>
                <w:highlight w:val="yellow"/>
              </w:rPr>
            </w:pPr>
          </w:p>
          <w:p w14:paraId="390E38D5" w14:textId="77777777" w:rsidR="004137E7" w:rsidRDefault="004137E7" w:rsidP="004137E7">
            <w:pPr>
              <w:jc w:val="center"/>
              <w:rPr>
                <w:b/>
                <w:sz w:val="22"/>
                <w:szCs w:val="22"/>
                <w:highlight w:val="yellow"/>
              </w:rPr>
            </w:pPr>
          </w:p>
          <w:p w14:paraId="71A720BD" w14:textId="77777777" w:rsidR="004137E7" w:rsidRDefault="004137E7" w:rsidP="004137E7">
            <w:pPr>
              <w:jc w:val="center"/>
              <w:rPr>
                <w:b/>
                <w:sz w:val="22"/>
                <w:szCs w:val="22"/>
                <w:highlight w:val="yellow"/>
              </w:rPr>
            </w:pPr>
          </w:p>
          <w:p w14:paraId="339FD8F0" w14:textId="77777777" w:rsidR="004137E7" w:rsidRDefault="004137E7" w:rsidP="004137E7">
            <w:pPr>
              <w:jc w:val="center"/>
              <w:rPr>
                <w:b/>
                <w:sz w:val="22"/>
                <w:szCs w:val="22"/>
                <w:highlight w:val="yellow"/>
              </w:rPr>
            </w:pPr>
          </w:p>
          <w:p w14:paraId="165246C8" w14:textId="77777777" w:rsidR="004137E7" w:rsidRDefault="004137E7" w:rsidP="004137E7">
            <w:pPr>
              <w:jc w:val="center"/>
              <w:rPr>
                <w:b/>
                <w:sz w:val="22"/>
                <w:szCs w:val="22"/>
                <w:highlight w:val="yellow"/>
              </w:rPr>
            </w:pPr>
          </w:p>
          <w:p w14:paraId="6D722718" w14:textId="77777777" w:rsidR="004137E7" w:rsidRDefault="004137E7" w:rsidP="004137E7">
            <w:pPr>
              <w:jc w:val="center"/>
              <w:rPr>
                <w:b/>
                <w:sz w:val="22"/>
                <w:szCs w:val="22"/>
                <w:highlight w:val="yellow"/>
              </w:rPr>
            </w:pPr>
          </w:p>
          <w:p w14:paraId="4F52A5A6" w14:textId="77777777" w:rsidR="004137E7" w:rsidRDefault="004137E7" w:rsidP="004137E7">
            <w:pPr>
              <w:jc w:val="center"/>
              <w:rPr>
                <w:b/>
                <w:sz w:val="22"/>
                <w:szCs w:val="22"/>
                <w:highlight w:val="yellow"/>
              </w:rPr>
            </w:pPr>
          </w:p>
          <w:p w14:paraId="30A9BABB" w14:textId="77777777" w:rsidR="004137E7" w:rsidRDefault="004137E7" w:rsidP="004137E7">
            <w:pPr>
              <w:jc w:val="center"/>
              <w:rPr>
                <w:b/>
                <w:sz w:val="22"/>
                <w:szCs w:val="22"/>
                <w:highlight w:val="yellow"/>
              </w:rPr>
            </w:pPr>
          </w:p>
          <w:p w14:paraId="7A6D6136" w14:textId="77777777" w:rsidR="004137E7" w:rsidRDefault="004137E7" w:rsidP="004137E7">
            <w:pPr>
              <w:jc w:val="center"/>
              <w:rPr>
                <w:b/>
                <w:sz w:val="22"/>
                <w:szCs w:val="22"/>
                <w:highlight w:val="yellow"/>
              </w:rPr>
            </w:pPr>
          </w:p>
          <w:p w14:paraId="5137472F" w14:textId="77777777" w:rsidR="004137E7" w:rsidRDefault="004137E7" w:rsidP="004137E7">
            <w:pPr>
              <w:jc w:val="center"/>
              <w:rPr>
                <w:b/>
                <w:sz w:val="22"/>
                <w:szCs w:val="22"/>
                <w:highlight w:val="yellow"/>
              </w:rPr>
            </w:pPr>
          </w:p>
          <w:p w14:paraId="50B2A593" w14:textId="77777777" w:rsidR="004137E7" w:rsidRDefault="004137E7" w:rsidP="004137E7">
            <w:pPr>
              <w:jc w:val="center"/>
              <w:rPr>
                <w:b/>
                <w:sz w:val="22"/>
                <w:szCs w:val="22"/>
                <w:highlight w:val="yellow"/>
              </w:rPr>
            </w:pPr>
          </w:p>
          <w:p w14:paraId="7086C786" w14:textId="77777777" w:rsidR="004137E7" w:rsidRDefault="004137E7" w:rsidP="004137E7">
            <w:pPr>
              <w:jc w:val="center"/>
              <w:rPr>
                <w:b/>
                <w:sz w:val="22"/>
                <w:szCs w:val="22"/>
              </w:rPr>
            </w:pPr>
          </w:p>
          <w:p w14:paraId="695083BD" w14:textId="77777777" w:rsidR="001B5F0E" w:rsidRDefault="001B5F0E" w:rsidP="004137E7">
            <w:pPr>
              <w:jc w:val="center"/>
              <w:rPr>
                <w:b/>
                <w:sz w:val="22"/>
                <w:szCs w:val="22"/>
              </w:rPr>
            </w:pPr>
          </w:p>
          <w:p w14:paraId="756AE192" w14:textId="77777777" w:rsidR="001B5F0E" w:rsidRDefault="001B5F0E" w:rsidP="004137E7">
            <w:pPr>
              <w:jc w:val="center"/>
              <w:rPr>
                <w:b/>
                <w:sz w:val="22"/>
                <w:szCs w:val="22"/>
              </w:rPr>
            </w:pPr>
          </w:p>
          <w:p w14:paraId="1C775EF7" w14:textId="77777777" w:rsidR="001B5F0E" w:rsidRDefault="001B5F0E" w:rsidP="004137E7">
            <w:pPr>
              <w:jc w:val="center"/>
              <w:rPr>
                <w:b/>
                <w:sz w:val="22"/>
                <w:szCs w:val="22"/>
              </w:rPr>
            </w:pPr>
          </w:p>
          <w:p w14:paraId="0676F89B" w14:textId="77777777" w:rsidR="00892973" w:rsidRDefault="00892973" w:rsidP="004137E7">
            <w:pPr>
              <w:jc w:val="center"/>
              <w:rPr>
                <w:b/>
                <w:sz w:val="22"/>
                <w:szCs w:val="22"/>
              </w:rPr>
            </w:pPr>
          </w:p>
          <w:p w14:paraId="3B5733AB" w14:textId="77777777" w:rsidR="00892973" w:rsidRDefault="00892973" w:rsidP="004137E7">
            <w:pPr>
              <w:jc w:val="center"/>
              <w:rPr>
                <w:b/>
                <w:sz w:val="22"/>
                <w:szCs w:val="22"/>
              </w:rPr>
            </w:pPr>
          </w:p>
          <w:p w14:paraId="32C9D458" w14:textId="77777777" w:rsidR="00892973" w:rsidRDefault="00892973" w:rsidP="004137E7">
            <w:pPr>
              <w:jc w:val="center"/>
              <w:rPr>
                <w:b/>
                <w:sz w:val="22"/>
                <w:szCs w:val="22"/>
              </w:rPr>
            </w:pPr>
          </w:p>
          <w:p w14:paraId="5B749817" w14:textId="77777777" w:rsidR="00892973" w:rsidRDefault="00892973" w:rsidP="004137E7">
            <w:pPr>
              <w:jc w:val="center"/>
              <w:rPr>
                <w:b/>
                <w:sz w:val="22"/>
                <w:szCs w:val="22"/>
              </w:rPr>
            </w:pPr>
          </w:p>
          <w:p w14:paraId="2852C996" w14:textId="77777777" w:rsidR="00892973" w:rsidRDefault="00892973" w:rsidP="004137E7">
            <w:pPr>
              <w:jc w:val="center"/>
              <w:rPr>
                <w:b/>
                <w:sz w:val="22"/>
                <w:szCs w:val="22"/>
              </w:rPr>
            </w:pPr>
          </w:p>
          <w:p w14:paraId="6F1779BC" w14:textId="77777777" w:rsidR="00892973" w:rsidRDefault="00892973" w:rsidP="004137E7">
            <w:pPr>
              <w:jc w:val="center"/>
              <w:rPr>
                <w:b/>
                <w:sz w:val="22"/>
                <w:szCs w:val="22"/>
              </w:rPr>
            </w:pPr>
          </w:p>
          <w:p w14:paraId="6A5D1D73" w14:textId="77777777" w:rsidR="00892973" w:rsidRDefault="00892973" w:rsidP="004137E7">
            <w:pPr>
              <w:jc w:val="center"/>
              <w:rPr>
                <w:b/>
                <w:sz w:val="22"/>
                <w:szCs w:val="22"/>
              </w:rPr>
            </w:pPr>
          </w:p>
          <w:p w14:paraId="535B468C" w14:textId="77777777" w:rsidR="00892973" w:rsidRDefault="00892973" w:rsidP="004137E7">
            <w:pPr>
              <w:jc w:val="center"/>
              <w:rPr>
                <w:b/>
                <w:sz w:val="22"/>
                <w:szCs w:val="22"/>
              </w:rPr>
            </w:pPr>
          </w:p>
          <w:p w14:paraId="0EEAB48B" w14:textId="77777777" w:rsidR="00892973" w:rsidRDefault="00892973" w:rsidP="004137E7">
            <w:pPr>
              <w:jc w:val="center"/>
              <w:rPr>
                <w:b/>
                <w:sz w:val="22"/>
                <w:szCs w:val="22"/>
              </w:rPr>
            </w:pPr>
          </w:p>
          <w:p w14:paraId="39678333" w14:textId="77777777" w:rsidR="00892973" w:rsidRDefault="00892973" w:rsidP="004137E7">
            <w:pPr>
              <w:jc w:val="center"/>
              <w:rPr>
                <w:b/>
                <w:sz w:val="22"/>
                <w:szCs w:val="22"/>
              </w:rPr>
            </w:pPr>
          </w:p>
          <w:p w14:paraId="358E5C38" w14:textId="77777777" w:rsidR="00892973" w:rsidRDefault="00892973" w:rsidP="004137E7">
            <w:pPr>
              <w:jc w:val="center"/>
              <w:rPr>
                <w:b/>
                <w:sz w:val="22"/>
                <w:szCs w:val="22"/>
              </w:rPr>
            </w:pPr>
          </w:p>
          <w:p w14:paraId="64471805" w14:textId="77777777" w:rsidR="00892973" w:rsidRDefault="00892973" w:rsidP="004137E7">
            <w:pPr>
              <w:jc w:val="center"/>
              <w:rPr>
                <w:b/>
                <w:sz w:val="22"/>
                <w:szCs w:val="22"/>
              </w:rPr>
            </w:pPr>
          </w:p>
          <w:p w14:paraId="16A69111" w14:textId="77777777" w:rsidR="00892973" w:rsidRDefault="00892973" w:rsidP="004137E7">
            <w:pPr>
              <w:jc w:val="center"/>
              <w:rPr>
                <w:b/>
                <w:sz w:val="22"/>
                <w:szCs w:val="22"/>
              </w:rPr>
            </w:pPr>
          </w:p>
          <w:p w14:paraId="230F9DA7" w14:textId="77777777" w:rsidR="00892973" w:rsidRDefault="00892973" w:rsidP="004137E7">
            <w:pPr>
              <w:jc w:val="center"/>
              <w:rPr>
                <w:b/>
                <w:sz w:val="22"/>
                <w:szCs w:val="22"/>
              </w:rPr>
            </w:pPr>
          </w:p>
          <w:p w14:paraId="46B5C443" w14:textId="77777777" w:rsidR="00892973" w:rsidRDefault="00892973" w:rsidP="004137E7">
            <w:pPr>
              <w:jc w:val="center"/>
              <w:rPr>
                <w:b/>
                <w:sz w:val="22"/>
                <w:szCs w:val="22"/>
              </w:rPr>
            </w:pPr>
          </w:p>
          <w:p w14:paraId="4C0BDE59" w14:textId="77777777" w:rsidR="00892973" w:rsidRDefault="00892973" w:rsidP="004137E7">
            <w:pPr>
              <w:jc w:val="center"/>
              <w:rPr>
                <w:b/>
                <w:sz w:val="22"/>
                <w:szCs w:val="22"/>
              </w:rPr>
            </w:pPr>
          </w:p>
          <w:p w14:paraId="6F057DA4" w14:textId="77777777" w:rsidR="00892973" w:rsidRDefault="00892973" w:rsidP="004137E7">
            <w:pPr>
              <w:jc w:val="center"/>
              <w:rPr>
                <w:b/>
                <w:sz w:val="22"/>
                <w:szCs w:val="22"/>
              </w:rPr>
            </w:pPr>
          </w:p>
          <w:p w14:paraId="02EB8811" w14:textId="77777777" w:rsidR="00892973" w:rsidRDefault="00892973" w:rsidP="004137E7">
            <w:pPr>
              <w:jc w:val="center"/>
              <w:rPr>
                <w:b/>
                <w:sz w:val="22"/>
                <w:szCs w:val="22"/>
              </w:rPr>
            </w:pPr>
          </w:p>
          <w:p w14:paraId="5BC98789" w14:textId="77777777" w:rsidR="00892973" w:rsidRDefault="00892973" w:rsidP="004137E7">
            <w:pPr>
              <w:jc w:val="center"/>
              <w:rPr>
                <w:b/>
                <w:sz w:val="22"/>
                <w:szCs w:val="22"/>
              </w:rPr>
            </w:pPr>
          </w:p>
          <w:p w14:paraId="0064CDC2" w14:textId="77777777" w:rsidR="00892973" w:rsidRDefault="00892973" w:rsidP="004137E7">
            <w:pPr>
              <w:jc w:val="center"/>
              <w:rPr>
                <w:b/>
                <w:sz w:val="22"/>
                <w:szCs w:val="22"/>
              </w:rPr>
            </w:pPr>
          </w:p>
          <w:p w14:paraId="59A12DBF" w14:textId="77777777" w:rsidR="00892973" w:rsidRDefault="00892973" w:rsidP="004137E7">
            <w:pPr>
              <w:jc w:val="center"/>
              <w:rPr>
                <w:b/>
                <w:sz w:val="22"/>
                <w:szCs w:val="22"/>
              </w:rPr>
            </w:pPr>
          </w:p>
          <w:p w14:paraId="7B2A97E0" w14:textId="77777777" w:rsidR="001B5F0E" w:rsidRPr="00B7275B" w:rsidRDefault="001B5F0E" w:rsidP="004137E7">
            <w:pPr>
              <w:jc w:val="center"/>
              <w:rPr>
                <w:b/>
                <w:sz w:val="22"/>
                <w:szCs w:val="22"/>
              </w:rPr>
            </w:pPr>
          </w:p>
          <w:p w14:paraId="368BD9C3" w14:textId="5F2A0D91" w:rsidR="004137E7" w:rsidRDefault="004137E7" w:rsidP="001D6E9B">
            <w:pPr>
              <w:rPr>
                <w:b/>
                <w:sz w:val="22"/>
                <w:szCs w:val="22"/>
              </w:rPr>
            </w:pPr>
          </w:p>
          <w:p w14:paraId="6B57608B" w14:textId="77777777" w:rsidR="001D6E9B" w:rsidRDefault="001D6E9B" w:rsidP="001D6E9B">
            <w:pPr>
              <w:rPr>
                <w:b/>
                <w:sz w:val="22"/>
                <w:szCs w:val="22"/>
              </w:rPr>
            </w:pPr>
          </w:p>
          <w:p w14:paraId="75DFE560" w14:textId="77777777" w:rsidR="00FE2E77" w:rsidRDefault="00FE2E77" w:rsidP="001D6E9B">
            <w:pPr>
              <w:rPr>
                <w:b/>
                <w:sz w:val="22"/>
                <w:szCs w:val="22"/>
              </w:rPr>
            </w:pPr>
          </w:p>
          <w:p w14:paraId="38B31376" w14:textId="77777777" w:rsidR="00FE2E77" w:rsidRDefault="00FE2E77" w:rsidP="001D6E9B">
            <w:pPr>
              <w:rPr>
                <w:b/>
                <w:sz w:val="22"/>
                <w:szCs w:val="22"/>
              </w:rPr>
            </w:pPr>
          </w:p>
          <w:p w14:paraId="6360EC50" w14:textId="77777777" w:rsidR="00FE2E77" w:rsidRDefault="00FE2E77" w:rsidP="001D6E9B">
            <w:pPr>
              <w:rPr>
                <w:b/>
                <w:sz w:val="22"/>
                <w:szCs w:val="22"/>
              </w:rPr>
            </w:pPr>
          </w:p>
          <w:p w14:paraId="4F6AB5C4" w14:textId="77777777" w:rsidR="00FE2E77" w:rsidRDefault="00FE2E77" w:rsidP="001D6E9B">
            <w:pPr>
              <w:rPr>
                <w:b/>
                <w:sz w:val="22"/>
                <w:szCs w:val="22"/>
              </w:rPr>
            </w:pPr>
          </w:p>
          <w:p w14:paraId="6C9A5A47" w14:textId="77777777" w:rsidR="00FE2E77" w:rsidRDefault="00FE2E77" w:rsidP="001D6E9B">
            <w:pPr>
              <w:rPr>
                <w:b/>
                <w:sz w:val="22"/>
                <w:szCs w:val="22"/>
              </w:rPr>
            </w:pPr>
          </w:p>
          <w:p w14:paraId="500BFDF2" w14:textId="77777777" w:rsidR="00FE2E77" w:rsidRDefault="00FE2E77" w:rsidP="001D6E9B">
            <w:pPr>
              <w:rPr>
                <w:b/>
                <w:sz w:val="22"/>
                <w:szCs w:val="22"/>
              </w:rPr>
            </w:pPr>
          </w:p>
          <w:p w14:paraId="3AD87EED" w14:textId="77777777" w:rsidR="00FE2E77" w:rsidRDefault="00FE2E77" w:rsidP="001D6E9B">
            <w:pPr>
              <w:rPr>
                <w:b/>
                <w:sz w:val="22"/>
                <w:szCs w:val="22"/>
              </w:rPr>
            </w:pPr>
          </w:p>
          <w:p w14:paraId="33F0871A" w14:textId="77777777" w:rsidR="00FE2E77" w:rsidRDefault="00FE2E77" w:rsidP="001D6E9B">
            <w:pPr>
              <w:rPr>
                <w:b/>
                <w:sz w:val="22"/>
                <w:szCs w:val="22"/>
              </w:rPr>
            </w:pPr>
          </w:p>
          <w:p w14:paraId="0111E3F0" w14:textId="77777777" w:rsidR="00FE2E77" w:rsidRDefault="00FE2E77" w:rsidP="001D6E9B">
            <w:pPr>
              <w:rPr>
                <w:b/>
                <w:sz w:val="22"/>
                <w:szCs w:val="22"/>
              </w:rPr>
            </w:pPr>
          </w:p>
          <w:p w14:paraId="1C64D76F" w14:textId="77777777" w:rsidR="00FE2E77" w:rsidRDefault="00FE2E77" w:rsidP="001D6E9B">
            <w:pPr>
              <w:rPr>
                <w:b/>
                <w:sz w:val="22"/>
                <w:szCs w:val="22"/>
              </w:rPr>
            </w:pPr>
          </w:p>
          <w:p w14:paraId="7AA7988B" w14:textId="77777777" w:rsidR="00FE2E77" w:rsidRDefault="00FE2E77" w:rsidP="001D6E9B">
            <w:pPr>
              <w:rPr>
                <w:b/>
                <w:sz w:val="22"/>
                <w:szCs w:val="22"/>
              </w:rPr>
            </w:pPr>
          </w:p>
          <w:p w14:paraId="6E644D6D" w14:textId="77777777" w:rsidR="00FE2E77" w:rsidRDefault="00FE2E77" w:rsidP="001D6E9B">
            <w:pPr>
              <w:rPr>
                <w:b/>
                <w:sz w:val="22"/>
                <w:szCs w:val="22"/>
              </w:rPr>
            </w:pPr>
          </w:p>
          <w:p w14:paraId="7BF10174" w14:textId="77777777" w:rsidR="00FE2E77" w:rsidRDefault="00FE2E77" w:rsidP="001D6E9B">
            <w:pPr>
              <w:rPr>
                <w:b/>
                <w:sz w:val="22"/>
                <w:szCs w:val="22"/>
              </w:rPr>
            </w:pPr>
          </w:p>
          <w:p w14:paraId="767AEFB5" w14:textId="77777777" w:rsidR="00FE2E77" w:rsidRDefault="00FE2E77" w:rsidP="001D6E9B">
            <w:pPr>
              <w:rPr>
                <w:b/>
                <w:sz w:val="22"/>
                <w:szCs w:val="22"/>
              </w:rPr>
            </w:pPr>
          </w:p>
          <w:p w14:paraId="066E9D4E" w14:textId="77777777" w:rsidR="00FE2E77" w:rsidRDefault="00FE2E77" w:rsidP="001D6E9B">
            <w:pPr>
              <w:rPr>
                <w:b/>
                <w:sz w:val="22"/>
                <w:szCs w:val="22"/>
              </w:rPr>
            </w:pPr>
          </w:p>
          <w:p w14:paraId="6BC9D5BD" w14:textId="77777777" w:rsidR="00FE2E77" w:rsidRPr="00B7275B" w:rsidRDefault="00FE2E77" w:rsidP="001D6E9B">
            <w:pPr>
              <w:rPr>
                <w:b/>
                <w:sz w:val="22"/>
                <w:szCs w:val="22"/>
              </w:rPr>
            </w:pPr>
          </w:p>
          <w:p w14:paraId="2E2DE150" w14:textId="77777777" w:rsidR="004137E7" w:rsidRPr="00EF7CCD" w:rsidRDefault="004137E7" w:rsidP="004137E7">
            <w:pPr>
              <w:jc w:val="center"/>
              <w:rPr>
                <w:bCs/>
                <w:sz w:val="20"/>
                <w:szCs w:val="20"/>
                <w:highlight w:val="yellow"/>
              </w:rPr>
            </w:pPr>
            <w:r w:rsidRPr="00EF7CCD">
              <w:rPr>
                <w:bCs/>
                <w:sz w:val="20"/>
                <w:szCs w:val="20"/>
              </w:rPr>
              <w:t>Poznámka pod čiarou</w:t>
            </w:r>
          </w:p>
        </w:tc>
        <w:tc>
          <w:tcPr>
            <w:tcW w:w="3402" w:type="dxa"/>
            <w:tcBorders>
              <w:top w:val="single" w:sz="4" w:space="0" w:color="auto"/>
              <w:left w:val="single" w:sz="4" w:space="0" w:color="auto"/>
              <w:bottom w:val="single" w:sz="4" w:space="0" w:color="auto"/>
              <w:right w:val="single" w:sz="4" w:space="0" w:color="auto"/>
            </w:tcBorders>
          </w:tcPr>
          <w:p w14:paraId="1DAB147B" w14:textId="77777777" w:rsidR="00FE2E77" w:rsidRPr="00FE2E77" w:rsidRDefault="00FE2E77" w:rsidP="00FE2E77">
            <w:pPr>
              <w:jc w:val="both"/>
              <w:rPr>
                <w:sz w:val="20"/>
                <w:szCs w:val="20"/>
              </w:rPr>
            </w:pPr>
            <w:r w:rsidRPr="00FE2E77">
              <w:rPr>
                <w:sz w:val="20"/>
                <w:szCs w:val="20"/>
              </w:rPr>
              <w:lastRenderedPageBreak/>
              <w:t xml:space="preserve">(1) Ak Národná banka Slovenska zistí nedostatky v činnosti osoby uvedenej v § 58 ods. 1 spočívajúce v nedodržiavaní ustanovení tohto zákona, iných všeobecne záväzných právnych predpisov, právne záväzných aktov Európskej únie, v nedodržiavaní podmienok ustanovených v povolení alebo v rozhodnutí o predchádzajúcom súhlase, v nedodržaní podmienok ustanovených v§ 4 ods. 2, ustanovení burzových pravidiel v rozsahu, v ktorom burzové pravidlá podliehajú dohľadu, môže Národná banka Slovenska podľa povahy, závažnosti, miery zavinenia, </w:t>
            </w:r>
            <w:r w:rsidRPr="00FE2E77">
              <w:rPr>
                <w:sz w:val="20"/>
                <w:szCs w:val="20"/>
              </w:rPr>
              <w:lastRenderedPageBreak/>
              <w:t>spôsobu, doby trvania protiprávneho konania a jeho následkov</w:t>
            </w:r>
          </w:p>
          <w:p w14:paraId="473D61BD" w14:textId="77777777" w:rsidR="00FE2E77" w:rsidRPr="00FE2E77" w:rsidRDefault="00FE2E77" w:rsidP="00FE2E77">
            <w:pPr>
              <w:rPr>
                <w:sz w:val="20"/>
                <w:szCs w:val="20"/>
              </w:rPr>
            </w:pPr>
          </w:p>
          <w:p w14:paraId="18DB6C33" w14:textId="77777777" w:rsidR="00FE2E77" w:rsidRPr="00FE2E77" w:rsidRDefault="00FE2E77" w:rsidP="00FE2E77">
            <w:pPr>
              <w:jc w:val="both"/>
              <w:rPr>
                <w:sz w:val="20"/>
                <w:szCs w:val="20"/>
              </w:rPr>
            </w:pPr>
            <w:r w:rsidRPr="00FE2E77">
              <w:rPr>
                <w:sz w:val="20"/>
                <w:szCs w:val="20"/>
              </w:rPr>
              <w:t>a) uložiť opatrenia na odstránenie a nápravu zistených nedostatkov,</w:t>
            </w:r>
          </w:p>
          <w:p w14:paraId="34D2A084" w14:textId="77777777" w:rsidR="00FE2E77" w:rsidRPr="00FE2E77" w:rsidRDefault="00FE2E77" w:rsidP="00FE2E77">
            <w:pPr>
              <w:jc w:val="both"/>
              <w:rPr>
                <w:sz w:val="20"/>
                <w:szCs w:val="20"/>
              </w:rPr>
            </w:pPr>
          </w:p>
          <w:p w14:paraId="0F64C671" w14:textId="77777777" w:rsidR="00FE2E77" w:rsidRPr="00FE2E77" w:rsidRDefault="00FE2E77" w:rsidP="00FE2E77">
            <w:pPr>
              <w:jc w:val="both"/>
              <w:rPr>
                <w:sz w:val="20"/>
                <w:szCs w:val="20"/>
              </w:rPr>
            </w:pPr>
            <w:r w:rsidRPr="00FE2E77">
              <w:rPr>
                <w:sz w:val="20"/>
                <w:szCs w:val="20"/>
              </w:rPr>
              <w:t>b) zrušiť burzový obchod,</w:t>
            </w:r>
          </w:p>
          <w:p w14:paraId="281D9267" w14:textId="77777777" w:rsidR="00FE2E77" w:rsidRPr="00FE2E77" w:rsidRDefault="00FE2E77" w:rsidP="00FE2E77">
            <w:pPr>
              <w:jc w:val="both"/>
              <w:rPr>
                <w:sz w:val="20"/>
                <w:szCs w:val="20"/>
              </w:rPr>
            </w:pPr>
          </w:p>
          <w:p w14:paraId="1186397C" w14:textId="77777777" w:rsidR="00FE2E77" w:rsidRPr="00FE2E77" w:rsidRDefault="00FE2E77" w:rsidP="00FE2E77">
            <w:pPr>
              <w:jc w:val="both"/>
              <w:rPr>
                <w:sz w:val="20"/>
                <w:szCs w:val="20"/>
              </w:rPr>
            </w:pPr>
            <w:r w:rsidRPr="00FE2E77">
              <w:rPr>
                <w:sz w:val="20"/>
                <w:szCs w:val="20"/>
              </w:rPr>
              <w:t>c) uložiť burze alebo emitentovi uverejnenie opravy neúplnej, nesprávnej alebo nepravdivej informácie, ktorú burza alebo emitent uverejnil na základe zákonom určenej povinnosti,</w:t>
            </w:r>
          </w:p>
          <w:p w14:paraId="65580922" w14:textId="77777777" w:rsidR="00FE2E77" w:rsidRPr="00FE2E77" w:rsidRDefault="00FE2E77" w:rsidP="00FE2E77">
            <w:pPr>
              <w:jc w:val="both"/>
              <w:rPr>
                <w:sz w:val="20"/>
                <w:szCs w:val="20"/>
              </w:rPr>
            </w:pPr>
          </w:p>
          <w:p w14:paraId="7D635B4D" w14:textId="77777777" w:rsidR="00FE2E77" w:rsidRPr="00FE2E77" w:rsidRDefault="00FE2E77" w:rsidP="00FE2E77">
            <w:pPr>
              <w:jc w:val="both"/>
              <w:rPr>
                <w:sz w:val="20"/>
                <w:szCs w:val="20"/>
              </w:rPr>
            </w:pPr>
            <w:r w:rsidRPr="00FE2E77">
              <w:rPr>
                <w:sz w:val="20"/>
                <w:szCs w:val="20"/>
              </w:rPr>
              <w:t>d) uložiť burze skončiť nepovolenú činnosť,</w:t>
            </w:r>
          </w:p>
          <w:p w14:paraId="67B2A623" w14:textId="77777777" w:rsidR="00FE2E77" w:rsidRPr="00FE2E77" w:rsidRDefault="00FE2E77" w:rsidP="00FE2E77">
            <w:pPr>
              <w:jc w:val="both"/>
              <w:rPr>
                <w:sz w:val="20"/>
                <w:szCs w:val="20"/>
              </w:rPr>
            </w:pPr>
          </w:p>
          <w:p w14:paraId="4B9C6EA5" w14:textId="77777777" w:rsidR="00FE2E77" w:rsidRPr="00FE2E77" w:rsidRDefault="00FE2E77" w:rsidP="00FE2E77">
            <w:pPr>
              <w:jc w:val="both"/>
              <w:rPr>
                <w:sz w:val="20"/>
                <w:szCs w:val="20"/>
              </w:rPr>
            </w:pPr>
            <w:r w:rsidRPr="00FE2E77">
              <w:rPr>
                <w:sz w:val="20"/>
                <w:szCs w:val="20"/>
              </w:rPr>
              <w:t>e) uložiť pokutu právnickej osobe alebo fyzickej osobe až do 10 000 000 eur alebo do 10 % celkového ročného obratu podľa poslednej ročnej účtovnej závierky schválenej riadiacim orgánom alebo do výšky dvojnásobku sumy ziskov, ktoré sa dosiahli, alebo strát, ktorým sa zabránilo v dôsledku porušenia, ak ich možno určiť, podľa toho, ktorá suma je vyššia; ak je právnická osoba materskou spoločnosťou alebo dcérskou spoločnosťou materskej spoločnosti, ktorá musí zostavovať konsolidovanú účtovnú závierku, celkovým ročným obratom je obrat alebo zodpovedajúci druh príjmov podľa poslednej konsolidovanej ročnej účtovnej závierky schválenej riadiacim orgánom hlavnej materskej spoločnosti,</w:t>
            </w:r>
          </w:p>
          <w:p w14:paraId="4B4D994A" w14:textId="77777777" w:rsidR="00FE2E77" w:rsidRPr="00FE2E77" w:rsidRDefault="00FE2E77" w:rsidP="00FE2E77">
            <w:pPr>
              <w:rPr>
                <w:sz w:val="20"/>
                <w:szCs w:val="20"/>
              </w:rPr>
            </w:pPr>
          </w:p>
          <w:p w14:paraId="7AFE948E" w14:textId="77777777" w:rsidR="00FE2E77" w:rsidRPr="00FE2E77" w:rsidRDefault="00FE2E77" w:rsidP="00FE2E77">
            <w:pPr>
              <w:jc w:val="both"/>
              <w:rPr>
                <w:sz w:val="20"/>
                <w:szCs w:val="20"/>
              </w:rPr>
            </w:pPr>
            <w:r w:rsidRPr="00FE2E77">
              <w:rPr>
                <w:sz w:val="20"/>
                <w:szCs w:val="20"/>
              </w:rPr>
              <w:t>f) obmedziť jej činnosť alebo pozastaviť najdlhšie na jeden rok povolenie,</w:t>
            </w:r>
          </w:p>
          <w:p w14:paraId="13960246" w14:textId="77777777" w:rsidR="00FE2E77" w:rsidRPr="00FE2E77" w:rsidRDefault="00FE2E77" w:rsidP="00FE2E77">
            <w:pPr>
              <w:jc w:val="both"/>
              <w:rPr>
                <w:sz w:val="20"/>
                <w:szCs w:val="20"/>
              </w:rPr>
            </w:pPr>
          </w:p>
          <w:p w14:paraId="7CE2067A" w14:textId="77777777" w:rsidR="00FE2E77" w:rsidRPr="00FE2E77" w:rsidRDefault="00FE2E77" w:rsidP="00FE2E77">
            <w:pPr>
              <w:jc w:val="both"/>
              <w:rPr>
                <w:sz w:val="20"/>
                <w:szCs w:val="20"/>
              </w:rPr>
            </w:pPr>
            <w:r w:rsidRPr="00FE2E77">
              <w:rPr>
                <w:sz w:val="20"/>
                <w:szCs w:val="20"/>
              </w:rPr>
              <w:t>g) odobrať povolenie,</w:t>
            </w:r>
          </w:p>
          <w:p w14:paraId="061F685D" w14:textId="77777777" w:rsidR="00FE2E77" w:rsidRPr="00FE2E77" w:rsidRDefault="00FE2E77" w:rsidP="00FE2E77">
            <w:pPr>
              <w:jc w:val="both"/>
              <w:rPr>
                <w:sz w:val="20"/>
                <w:szCs w:val="20"/>
              </w:rPr>
            </w:pPr>
          </w:p>
          <w:p w14:paraId="7DF37CF1" w14:textId="77777777" w:rsidR="00FE2E77" w:rsidRPr="00FE2E77" w:rsidRDefault="00FE2E77" w:rsidP="00FE2E77">
            <w:pPr>
              <w:jc w:val="both"/>
              <w:rPr>
                <w:sz w:val="20"/>
                <w:szCs w:val="20"/>
              </w:rPr>
            </w:pPr>
            <w:r w:rsidRPr="00FE2E77">
              <w:rPr>
                <w:sz w:val="20"/>
                <w:szCs w:val="20"/>
              </w:rPr>
              <w:t>h) vydať vyhlásenie uvádzajúce zodpovednú osobu a povahu zistených nedostatkov,</w:t>
            </w:r>
          </w:p>
          <w:p w14:paraId="010D1C7F" w14:textId="77777777" w:rsidR="00FE2E77" w:rsidRPr="00FE2E77" w:rsidRDefault="00FE2E77" w:rsidP="00FE2E77">
            <w:pPr>
              <w:jc w:val="both"/>
              <w:rPr>
                <w:sz w:val="20"/>
                <w:szCs w:val="20"/>
              </w:rPr>
            </w:pPr>
          </w:p>
          <w:p w14:paraId="6F0AD9D3" w14:textId="77777777" w:rsidR="00FE2E77" w:rsidRPr="00FE2E77" w:rsidRDefault="00FE2E77" w:rsidP="00FE2E77">
            <w:pPr>
              <w:jc w:val="both"/>
              <w:rPr>
                <w:sz w:val="20"/>
                <w:szCs w:val="20"/>
              </w:rPr>
            </w:pPr>
            <w:r w:rsidRPr="00FE2E77">
              <w:rPr>
                <w:sz w:val="20"/>
                <w:szCs w:val="20"/>
              </w:rPr>
              <w:t>i) uložiť pokutu fyzickej osobe do 2 000 000 eur alebo do výšky dvojnásobku sumy ziskov, ktoré sa dosiahli, alebo strát, ktorým sa zabránilo v dôsledku zistených nedostatkov, ak ich možno určiť, podľa toho, ktorá suma je vyššia.</w:t>
            </w:r>
          </w:p>
          <w:p w14:paraId="525CA29C" w14:textId="77777777" w:rsidR="00892973" w:rsidRPr="00FE2E77" w:rsidRDefault="00892973" w:rsidP="00FE2E77">
            <w:pPr>
              <w:jc w:val="both"/>
              <w:rPr>
                <w:strike/>
                <w:noProof/>
                <w:color w:val="FF0000"/>
                <w:sz w:val="20"/>
                <w:szCs w:val="20"/>
              </w:rPr>
            </w:pPr>
          </w:p>
          <w:p w14:paraId="1E2610C4" w14:textId="77777777" w:rsidR="004137E7" w:rsidRPr="00FE2E77" w:rsidRDefault="004137E7" w:rsidP="00892973">
            <w:pPr>
              <w:jc w:val="both"/>
              <w:rPr>
                <w:noProof/>
                <w:sz w:val="20"/>
                <w:szCs w:val="20"/>
              </w:rPr>
            </w:pPr>
          </w:p>
          <w:p w14:paraId="1A20BF51" w14:textId="31DA17ED" w:rsidR="00EF7CCD" w:rsidRPr="00EF7CCD" w:rsidRDefault="00EF7CCD" w:rsidP="00EF7CCD">
            <w:pPr>
              <w:rPr>
                <w:sz w:val="20"/>
                <w:szCs w:val="20"/>
              </w:rPr>
            </w:pPr>
            <w:r w:rsidRPr="00EF7CCD">
              <w:rPr>
                <w:sz w:val="20"/>
                <w:szCs w:val="20"/>
              </w:rPr>
              <w:t>71a)</w:t>
            </w:r>
            <w:r w:rsidR="00055CC7">
              <w:rPr>
                <w:sz w:val="20"/>
                <w:szCs w:val="20"/>
              </w:rPr>
              <w:t xml:space="preserve"> </w:t>
            </w:r>
            <w:r w:rsidRPr="00EF7CCD">
              <w:rPr>
                <w:sz w:val="20"/>
                <w:szCs w:val="20"/>
              </w:rPr>
              <w:t>Nariadenie (EÚ) č. 600/2014.</w:t>
            </w:r>
          </w:p>
          <w:p w14:paraId="704F020A" w14:textId="77777777" w:rsidR="004137E7" w:rsidRPr="00FE2E77" w:rsidRDefault="004137E7" w:rsidP="00892973">
            <w:pPr>
              <w:jc w:val="both"/>
              <w:rPr>
                <w:strike/>
                <w:noProof/>
                <w:color w:val="FF0000"/>
                <w:sz w:val="20"/>
                <w:szCs w:val="20"/>
              </w:rPr>
            </w:pPr>
          </w:p>
          <w:p w14:paraId="220E3B1C" w14:textId="77777777" w:rsidR="004137E7" w:rsidRPr="00FE2E77" w:rsidRDefault="004137E7" w:rsidP="00892973">
            <w:pPr>
              <w:jc w:val="both"/>
              <w:rPr>
                <w:strike/>
                <w:noProof/>
                <w:color w:val="FF0000"/>
                <w:sz w:val="20"/>
                <w:szCs w:val="20"/>
              </w:rPr>
            </w:pPr>
          </w:p>
          <w:p w14:paraId="16FE7638" w14:textId="77777777" w:rsidR="004137E7" w:rsidRPr="00FE2E77" w:rsidRDefault="004137E7" w:rsidP="00892973">
            <w:pPr>
              <w:jc w:val="both"/>
              <w:rPr>
                <w:strike/>
                <w:noProof/>
                <w:color w:val="FF0000"/>
                <w:sz w:val="20"/>
                <w:szCs w:val="20"/>
              </w:rPr>
            </w:pPr>
          </w:p>
          <w:p w14:paraId="3B09FC0A" w14:textId="77777777" w:rsidR="004137E7" w:rsidRPr="00FE2E77" w:rsidRDefault="004137E7" w:rsidP="00892973">
            <w:pPr>
              <w:jc w:val="both"/>
              <w:rPr>
                <w:strike/>
                <w:noProof/>
                <w:color w:val="FF0000"/>
                <w:sz w:val="20"/>
                <w:szCs w:val="20"/>
              </w:rPr>
            </w:pPr>
          </w:p>
          <w:p w14:paraId="0916E03B" w14:textId="77777777" w:rsidR="004137E7" w:rsidRPr="00FE2E77" w:rsidRDefault="004137E7" w:rsidP="00892973">
            <w:pPr>
              <w:jc w:val="both"/>
              <w:rPr>
                <w:strike/>
                <w:color w:val="FF0000"/>
                <w:sz w:val="20"/>
                <w:szCs w:val="20"/>
              </w:rPr>
            </w:pPr>
          </w:p>
        </w:tc>
        <w:tc>
          <w:tcPr>
            <w:tcW w:w="709" w:type="dxa"/>
            <w:tcBorders>
              <w:top w:val="single" w:sz="4" w:space="0" w:color="auto"/>
              <w:left w:val="single" w:sz="4" w:space="0" w:color="auto"/>
              <w:right w:val="single" w:sz="4" w:space="0" w:color="auto"/>
            </w:tcBorders>
          </w:tcPr>
          <w:p w14:paraId="4DA4EDAE" w14:textId="77777777" w:rsidR="004137E7" w:rsidRPr="00531286" w:rsidRDefault="004137E7" w:rsidP="004137E7">
            <w:pPr>
              <w:adjustRightInd w:val="0"/>
              <w:rPr>
                <w:color w:val="000000"/>
                <w:sz w:val="22"/>
                <w:szCs w:val="22"/>
              </w:rPr>
            </w:pPr>
            <w:r>
              <w:rPr>
                <w:color w:val="000000"/>
                <w:sz w:val="22"/>
                <w:szCs w:val="22"/>
              </w:rPr>
              <w:lastRenderedPageBreak/>
              <w:t>Ú</w:t>
            </w:r>
          </w:p>
        </w:tc>
        <w:tc>
          <w:tcPr>
            <w:tcW w:w="1077" w:type="dxa"/>
            <w:tcBorders>
              <w:top w:val="single" w:sz="4" w:space="0" w:color="auto"/>
              <w:left w:val="single" w:sz="4" w:space="0" w:color="auto"/>
              <w:right w:val="single" w:sz="4" w:space="0" w:color="auto"/>
            </w:tcBorders>
          </w:tcPr>
          <w:p w14:paraId="4B3F1988"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4EC350C5" w14:textId="77777777" w:rsidR="004137E7" w:rsidRPr="00531286" w:rsidRDefault="004137E7" w:rsidP="004137E7">
            <w:pPr>
              <w:spacing w:before="75" w:after="75"/>
              <w:jc w:val="center"/>
              <w:rPr>
                <w:sz w:val="22"/>
                <w:szCs w:val="22"/>
              </w:rPr>
            </w:pPr>
            <w:r>
              <w:rPr>
                <w:color w:val="000000"/>
                <w:sz w:val="20"/>
                <w:szCs w:val="20"/>
              </w:rPr>
              <w:t>GP-N</w:t>
            </w:r>
          </w:p>
        </w:tc>
        <w:tc>
          <w:tcPr>
            <w:tcW w:w="1418" w:type="dxa"/>
            <w:tcBorders>
              <w:top w:val="single" w:sz="4" w:space="0" w:color="auto"/>
              <w:left w:val="single" w:sz="4" w:space="0" w:color="auto"/>
              <w:right w:val="single" w:sz="12" w:space="0" w:color="auto"/>
            </w:tcBorders>
          </w:tcPr>
          <w:p w14:paraId="35FE71A7" w14:textId="77777777" w:rsidR="004137E7" w:rsidRPr="00531286" w:rsidRDefault="004137E7" w:rsidP="004137E7">
            <w:pPr>
              <w:spacing w:before="75" w:after="75"/>
              <w:rPr>
                <w:sz w:val="22"/>
                <w:szCs w:val="22"/>
              </w:rPr>
            </w:pPr>
          </w:p>
        </w:tc>
      </w:tr>
      <w:tr w:rsidR="004137E7" w:rsidRPr="0066733C" w14:paraId="139B760A" w14:textId="77777777" w:rsidTr="004B4186">
        <w:tc>
          <w:tcPr>
            <w:tcW w:w="682" w:type="dxa"/>
            <w:tcBorders>
              <w:top w:val="single" w:sz="4" w:space="0" w:color="auto"/>
              <w:left w:val="single" w:sz="12" w:space="0" w:color="auto"/>
              <w:right w:val="single" w:sz="4" w:space="0" w:color="auto"/>
            </w:tcBorders>
          </w:tcPr>
          <w:p w14:paraId="25B23640" w14:textId="77777777" w:rsidR="004137E7" w:rsidRPr="00531286" w:rsidRDefault="004137E7" w:rsidP="004137E7">
            <w:pPr>
              <w:jc w:val="center"/>
              <w:rPr>
                <w:sz w:val="22"/>
                <w:szCs w:val="22"/>
              </w:rPr>
            </w:pPr>
            <w:r w:rsidRPr="00531286">
              <w:rPr>
                <w:sz w:val="22"/>
                <w:szCs w:val="22"/>
              </w:rPr>
              <w:lastRenderedPageBreak/>
              <w:t>Č: 1</w:t>
            </w:r>
          </w:p>
          <w:p w14:paraId="40D80ECA" w14:textId="77777777" w:rsidR="004137E7" w:rsidRPr="00531286" w:rsidRDefault="004137E7" w:rsidP="004137E7">
            <w:pPr>
              <w:jc w:val="center"/>
              <w:rPr>
                <w:sz w:val="22"/>
                <w:szCs w:val="22"/>
              </w:rPr>
            </w:pPr>
            <w:r w:rsidRPr="00531286">
              <w:rPr>
                <w:sz w:val="22"/>
                <w:szCs w:val="22"/>
              </w:rPr>
              <w:t>O: 13</w:t>
            </w:r>
          </w:p>
          <w:p w14:paraId="3BBC378C"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3EABB95F" w14:textId="77777777" w:rsidR="004137E7" w:rsidRPr="006547EC" w:rsidRDefault="004137E7" w:rsidP="004137E7">
            <w:pPr>
              <w:pStyle w:val="PredformtovanHTML"/>
              <w:shd w:val="clear" w:color="auto" w:fill="F8F9FA"/>
              <w:rPr>
                <w:rStyle w:val="y2iqfc"/>
                <w:rFonts w:ascii="Times New Roman" w:hAnsi="Times New Roman" w:cs="Times New Roman"/>
                <w:color w:val="202124"/>
                <w:sz w:val="22"/>
                <w:szCs w:val="22"/>
              </w:rPr>
            </w:pPr>
            <w:r w:rsidRPr="006547EC">
              <w:rPr>
                <w:rStyle w:val="y2iqfc"/>
                <w:rFonts w:ascii="Times New Roman" w:hAnsi="Times New Roman" w:cs="Times New Roman"/>
                <w:color w:val="202124"/>
                <w:sz w:val="22"/>
                <w:szCs w:val="22"/>
              </w:rPr>
              <w:t>v článku 90 sa dopĺňa tento odsek:</w:t>
            </w:r>
          </w:p>
          <w:p w14:paraId="5CF33E3D" w14:textId="77777777" w:rsidR="004137E7" w:rsidRPr="006547EC" w:rsidRDefault="004137E7" w:rsidP="004137E7">
            <w:pPr>
              <w:pStyle w:val="oj-normal"/>
              <w:shd w:val="clear" w:color="auto" w:fill="FFFFFF"/>
              <w:spacing w:before="120" w:beforeAutospacing="0" w:after="0" w:afterAutospacing="0"/>
              <w:jc w:val="both"/>
              <w:rPr>
                <w:color w:val="000000"/>
                <w:sz w:val="22"/>
                <w:szCs w:val="22"/>
              </w:rPr>
            </w:pPr>
            <w:r w:rsidRPr="006547EC">
              <w:rPr>
                <w:rStyle w:val="y2iqfc"/>
                <w:color w:val="202124"/>
                <w:sz w:val="22"/>
                <w:szCs w:val="22"/>
              </w:rPr>
              <w:t xml:space="preserve">„5. </w:t>
            </w:r>
            <w:r w:rsidRPr="006547EC">
              <w:rPr>
                <w:color w:val="000000"/>
                <w:sz w:val="22"/>
                <w:szCs w:val="22"/>
              </w:rPr>
              <w:t>Komisia po konzultácii s orgánom ESMA, orgánom EBA a agentúrou ACER predloží Európskemu parlamentu a Rade správy obsahujúce komplexné posúdenie trhov s komoditnými derivátmi, emisnými kvótami a derivátmi na emisné kvóty. V týchto správach sa posúdi aspoň pre každý z týchto prvkov ich príspevok k likvidite a riadnemu fungovaniu trhov Únie s komoditnými derivátmi, emisnými kvótami alebo derivátmi na emisné kvóty:</w:t>
            </w:r>
          </w:p>
          <w:tbl>
            <w:tblPr>
              <w:tblW w:w="5000" w:type="pct"/>
              <w:tblLayout w:type="fixed"/>
              <w:tblCellMar>
                <w:left w:w="0" w:type="dxa"/>
                <w:right w:w="0" w:type="dxa"/>
              </w:tblCellMar>
              <w:tblLook w:val="04A0" w:firstRow="1" w:lastRow="0" w:firstColumn="1" w:lastColumn="0" w:noHBand="0" w:noVBand="1"/>
            </w:tblPr>
            <w:tblGrid>
              <w:gridCol w:w="327"/>
              <w:gridCol w:w="4207"/>
            </w:tblGrid>
            <w:tr w:rsidR="004137E7" w:rsidRPr="006547EC" w14:paraId="4BCF3106" w14:textId="77777777" w:rsidTr="004B0C36">
              <w:tc>
                <w:tcPr>
                  <w:tcW w:w="327" w:type="dxa"/>
                  <w:shd w:val="clear" w:color="auto" w:fill="auto"/>
                  <w:hideMark/>
                </w:tcPr>
                <w:p w14:paraId="7AA783FF"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a)</w:t>
                  </w:r>
                </w:p>
              </w:tc>
              <w:tc>
                <w:tcPr>
                  <w:tcW w:w="4207" w:type="dxa"/>
                  <w:shd w:val="clear" w:color="auto" w:fill="auto"/>
                  <w:hideMark/>
                </w:tcPr>
                <w:p w14:paraId="077FC5AD"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režimy obmedzení pozícií a mechanizmov kontroly nad riadením pozícií na základe údajov, ktoré príslušné orgány poskytli orgánu ESMA v súlade s článkom 57 ods. 5 a 10;</w:t>
                  </w:r>
                </w:p>
              </w:tc>
            </w:tr>
          </w:tbl>
          <w:p w14:paraId="66988F57" w14:textId="77777777" w:rsidR="004137E7" w:rsidRPr="006547EC" w:rsidRDefault="004137E7" w:rsidP="004137E7">
            <w:pPr>
              <w:shd w:val="clear" w:color="auto" w:fill="FFFFFF"/>
              <w:rPr>
                <w:vanish/>
                <w:color w:val="000000"/>
                <w:sz w:val="22"/>
                <w:szCs w:val="22"/>
              </w:rPr>
            </w:pPr>
          </w:p>
          <w:tbl>
            <w:tblPr>
              <w:tblW w:w="5000" w:type="pct"/>
              <w:tblLayout w:type="fixed"/>
              <w:tblCellMar>
                <w:left w:w="0" w:type="dxa"/>
                <w:right w:w="0" w:type="dxa"/>
              </w:tblCellMar>
              <w:tblLook w:val="04A0" w:firstRow="1" w:lastRow="0" w:firstColumn="1" w:lastColumn="0" w:noHBand="0" w:noVBand="1"/>
            </w:tblPr>
            <w:tblGrid>
              <w:gridCol w:w="327"/>
              <w:gridCol w:w="4207"/>
            </w:tblGrid>
            <w:tr w:rsidR="004137E7" w:rsidRPr="006547EC" w14:paraId="62B09AFB" w14:textId="77777777" w:rsidTr="004B0C36">
              <w:tc>
                <w:tcPr>
                  <w:tcW w:w="327" w:type="dxa"/>
                  <w:shd w:val="clear" w:color="auto" w:fill="auto"/>
                  <w:hideMark/>
                </w:tcPr>
                <w:p w14:paraId="05BFE67C"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b)</w:t>
                  </w:r>
                </w:p>
              </w:tc>
              <w:tc>
                <w:tcPr>
                  <w:tcW w:w="4207" w:type="dxa"/>
                  <w:shd w:val="clear" w:color="auto" w:fill="auto"/>
                  <w:hideMark/>
                </w:tcPr>
                <w:p w14:paraId="2DF9C969"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 xml:space="preserve">prvky uvedené v článku 2 ods. 4 druhom a treťom </w:t>
                  </w:r>
                  <w:proofErr w:type="spellStart"/>
                  <w:r w:rsidRPr="006547EC">
                    <w:rPr>
                      <w:sz w:val="22"/>
                      <w:szCs w:val="22"/>
                    </w:rPr>
                    <w:t>pododseku</w:t>
                  </w:r>
                  <w:proofErr w:type="spellEnd"/>
                  <w:r w:rsidRPr="006547EC">
                    <w:rPr>
                      <w:sz w:val="22"/>
                      <w:szCs w:val="22"/>
                    </w:rPr>
                    <w:t xml:space="preserve"> tejto smernice a kritériá na určenie toho, kedy sa má činnosť považovať za vedľajšiu k hlavnej obchodnej činnosti na úrovni skupiny podľa delegovaného nariadenia Komisie (EÚ) 2021/1833</w:t>
                  </w:r>
                  <w:hyperlink r:id="rId14" w:anchor="ntr*1-L_202400790SK.000101-E0009" w:history="1">
                    <w:r w:rsidRPr="006547EC">
                      <w:rPr>
                        <w:rStyle w:val="Hypertextovprepojenie"/>
                        <w:rFonts w:eastAsiaTheme="minorEastAsia"/>
                        <w:color w:val="337AB7"/>
                        <w:sz w:val="22"/>
                        <w:szCs w:val="22"/>
                      </w:rPr>
                      <w:t> (</w:t>
                    </w:r>
                    <w:r w:rsidRPr="006547EC">
                      <w:rPr>
                        <w:rStyle w:val="oj-super"/>
                        <w:color w:val="337AB7"/>
                        <w:sz w:val="22"/>
                        <w:szCs w:val="22"/>
                        <w:vertAlign w:val="superscript"/>
                      </w:rPr>
                      <w:t>*1</w:t>
                    </w:r>
                    <w:r w:rsidRPr="006547EC">
                      <w:rPr>
                        <w:rStyle w:val="Hypertextovprepojenie"/>
                        <w:rFonts w:eastAsiaTheme="minorEastAsia"/>
                        <w:color w:val="337AB7"/>
                        <w:sz w:val="22"/>
                        <w:szCs w:val="22"/>
                      </w:rPr>
                      <w:t>)</w:t>
                    </w:r>
                  </w:hyperlink>
                  <w:r w:rsidRPr="006547EC">
                    <w:rPr>
                      <w:sz w:val="22"/>
                      <w:szCs w:val="22"/>
                    </w:rPr>
                    <w:t xml:space="preserve">, s prihliadnutím na možnosť osôb uvedených v článku 2 ods. 1 písm. j) tejto smernice uzatvárať transakcie na účinné znižovanie rizík priamo súvisiacich s obchodnou činnosťou alebo činnosťou </w:t>
                  </w:r>
                  <w:r w:rsidRPr="006547EC">
                    <w:rPr>
                      <w:sz w:val="22"/>
                      <w:szCs w:val="22"/>
                    </w:rPr>
                    <w:lastRenderedPageBreak/>
                    <w:t>podnikového (</w:t>
                  </w:r>
                  <w:proofErr w:type="spellStart"/>
                  <w:r w:rsidRPr="006547EC">
                    <w:rPr>
                      <w:sz w:val="22"/>
                      <w:szCs w:val="22"/>
                    </w:rPr>
                    <w:t>treasury</w:t>
                  </w:r>
                  <w:proofErr w:type="spellEnd"/>
                  <w:r w:rsidRPr="006547EC">
                    <w:rPr>
                      <w:sz w:val="22"/>
                      <w:szCs w:val="22"/>
                    </w:rPr>
                    <w:t>) financovania, uplatňovanie požiadaviek od 26. júna 2026 na investičné spoločnosti špecializované v oblasti komoditných derivátov alebo emisných kvót alebo ich derivátov, ako sa stanovuje v nariadení (EÚ) 2019/2033, a požiadavky na finančné protistrany stanovené v nariadení (EÚ) č. 648/2012;</w:t>
                  </w:r>
                </w:p>
              </w:tc>
            </w:tr>
          </w:tbl>
          <w:p w14:paraId="2C368738" w14:textId="77777777" w:rsidR="004137E7" w:rsidRPr="006547EC" w:rsidRDefault="004137E7" w:rsidP="004137E7">
            <w:pPr>
              <w:shd w:val="clear" w:color="auto" w:fill="FFFFFF"/>
              <w:rPr>
                <w:vanish/>
                <w:color w:val="000000"/>
                <w:sz w:val="22"/>
                <w:szCs w:val="22"/>
              </w:rPr>
            </w:pPr>
          </w:p>
          <w:tbl>
            <w:tblPr>
              <w:tblW w:w="5000" w:type="pct"/>
              <w:tblLayout w:type="fixed"/>
              <w:tblCellMar>
                <w:left w:w="0" w:type="dxa"/>
                <w:right w:w="0" w:type="dxa"/>
              </w:tblCellMar>
              <w:tblLook w:val="04A0" w:firstRow="1" w:lastRow="0" w:firstColumn="1" w:lastColumn="0" w:noHBand="0" w:noVBand="1"/>
            </w:tblPr>
            <w:tblGrid>
              <w:gridCol w:w="327"/>
              <w:gridCol w:w="4207"/>
            </w:tblGrid>
            <w:tr w:rsidR="00F66263" w:rsidRPr="006547EC" w14:paraId="66438C3D" w14:textId="77777777" w:rsidTr="004B0C36">
              <w:tc>
                <w:tcPr>
                  <w:tcW w:w="327" w:type="dxa"/>
                  <w:shd w:val="clear" w:color="auto" w:fill="auto"/>
                  <w:hideMark/>
                </w:tcPr>
                <w:p w14:paraId="42EE48BC"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c)</w:t>
                  </w:r>
                </w:p>
              </w:tc>
              <w:tc>
                <w:tcPr>
                  <w:tcW w:w="4207" w:type="dxa"/>
                  <w:shd w:val="clear" w:color="auto" w:fill="auto"/>
                  <w:hideMark/>
                </w:tcPr>
                <w:p w14:paraId="4A692286"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v prípade transakcií na trhoch s komoditnými derivátmi alebo derivátmi na emisné kvóty, kľúčové prvky na získanie harmonizovaného súboru údajov, zber údajov o transakciách jediného subjektu zberu a príslušné informácie o údajoch o transakciách, ktoré sa majú zverejniť, a ich najvhodnejší formát.</w:t>
                  </w:r>
                </w:p>
                <w:p w14:paraId="3E5E3A6F"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Komisia predloží:</w:t>
                  </w:r>
                </w:p>
                <w:tbl>
                  <w:tblPr>
                    <w:tblW w:w="5000" w:type="pct"/>
                    <w:tblLayout w:type="fixed"/>
                    <w:tblCellMar>
                      <w:left w:w="0" w:type="dxa"/>
                      <w:right w:w="0" w:type="dxa"/>
                    </w:tblCellMar>
                    <w:tblLook w:val="04A0" w:firstRow="1" w:lastRow="0" w:firstColumn="1" w:lastColumn="0" w:noHBand="0" w:noVBand="1"/>
                  </w:tblPr>
                  <w:tblGrid>
                    <w:gridCol w:w="142"/>
                    <w:gridCol w:w="4065"/>
                  </w:tblGrid>
                  <w:tr w:rsidR="00F66263" w:rsidRPr="006547EC" w14:paraId="4C40A814" w14:textId="77777777">
                    <w:tc>
                      <w:tcPr>
                        <w:tcW w:w="279" w:type="dxa"/>
                        <w:shd w:val="clear" w:color="auto" w:fill="auto"/>
                        <w:hideMark/>
                      </w:tcPr>
                      <w:p w14:paraId="3FF4804D"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w:t>
                        </w:r>
                      </w:p>
                    </w:tc>
                    <w:tc>
                      <w:tcPr>
                        <w:tcW w:w="8606" w:type="dxa"/>
                        <w:shd w:val="clear" w:color="auto" w:fill="auto"/>
                        <w:hideMark/>
                      </w:tcPr>
                      <w:p w14:paraId="21EAEADB"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 xml:space="preserve">správu uvedenú v prvom </w:t>
                        </w:r>
                        <w:proofErr w:type="spellStart"/>
                        <w:r w:rsidRPr="006547EC">
                          <w:rPr>
                            <w:sz w:val="22"/>
                            <w:szCs w:val="22"/>
                          </w:rPr>
                          <w:t>pododseku</w:t>
                        </w:r>
                        <w:proofErr w:type="spellEnd"/>
                        <w:r w:rsidRPr="006547EC">
                          <w:rPr>
                            <w:sz w:val="22"/>
                            <w:szCs w:val="22"/>
                          </w:rPr>
                          <w:t xml:space="preserve"> písm. b) tohto odseku do 31. júla 2024 a</w:t>
                        </w:r>
                      </w:p>
                    </w:tc>
                  </w:tr>
                </w:tbl>
                <w:p w14:paraId="677CDCE8" w14:textId="77777777" w:rsidR="004137E7" w:rsidRPr="006547EC" w:rsidRDefault="004137E7" w:rsidP="004137E7">
                  <w:pPr>
                    <w:rPr>
                      <w:vanish/>
                      <w:sz w:val="22"/>
                      <w:szCs w:val="22"/>
                    </w:rPr>
                  </w:pPr>
                </w:p>
                <w:tbl>
                  <w:tblPr>
                    <w:tblW w:w="5000" w:type="pct"/>
                    <w:tblLayout w:type="fixed"/>
                    <w:tblCellMar>
                      <w:left w:w="0" w:type="dxa"/>
                      <w:right w:w="0" w:type="dxa"/>
                    </w:tblCellMar>
                    <w:tblLook w:val="04A0" w:firstRow="1" w:lastRow="0" w:firstColumn="1" w:lastColumn="0" w:noHBand="0" w:noVBand="1"/>
                  </w:tblPr>
                  <w:tblGrid>
                    <w:gridCol w:w="137"/>
                    <w:gridCol w:w="4070"/>
                  </w:tblGrid>
                  <w:tr w:rsidR="00F66263" w:rsidRPr="006547EC" w14:paraId="000A2DC7" w14:textId="77777777">
                    <w:tc>
                      <w:tcPr>
                        <w:tcW w:w="269" w:type="dxa"/>
                        <w:shd w:val="clear" w:color="auto" w:fill="auto"/>
                        <w:hideMark/>
                      </w:tcPr>
                      <w:p w14:paraId="3C33A1B9"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w:t>
                        </w:r>
                      </w:p>
                    </w:tc>
                    <w:tc>
                      <w:tcPr>
                        <w:tcW w:w="8616" w:type="dxa"/>
                        <w:shd w:val="clear" w:color="auto" w:fill="auto"/>
                        <w:hideMark/>
                      </w:tcPr>
                      <w:p w14:paraId="23D01033"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 xml:space="preserve">správy uvedené v prvom </w:t>
                        </w:r>
                        <w:proofErr w:type="spellStart"/>
                        <w:r w:rsidRPr="006547EC">
                          <w:rPr>
                            <w:sz w:val="22"/>
                            <w:szCs w:val="22"/>
                          </w:rPr>
                          <w:t>pododseku</w:t>
                        </w:r>
                        <w:proofErr w:type="spellEnd"/>
                        <w:r w:rsidRPr="006547EC">
                          <w:rPr>
                            <w:sz w:val="22"/>
                            <w:szCs w:val="22"/>
                          </w:rPr>
                          <w:t xml:space="preserve"> písm. a) a c) tohto odseku do 31. júla 2025.</w:t>
                        </w:r>
                      </w:p>
                    </w:tc>
                  </w:tr>
                </w:tbl>
                <w:p w14:paraId="218AD614" w14:textId="77777777" w:rsidR="004137E7" w:rsidRPr="006547EC" w:rsidRDefault="004137E7" w:rsidP="004137E7">
                  <w:pPr>
                    <w:pStyle w:val="oj-normal"/>
                    <w:spacing w:before="120" w:beforeAutospacing="0" w:after="0" w:afterAutospacing="0"/>
                    <w:jc w:val="both"/>
                    <w:rPr>
                      <w:sz w:val="22"/>
                      <w:szCs w:val="22"/>
                    </w:rPr>
                  </w:pPr>
                  <w:r w:rsidRPr="006547EC">
                    <w:rPr>
                      <w:sz w:val="22"/>
                      <w:szCs w:val="22"/>
                    </w:rPr>
                    <w:t>K uvedeným správam sa v náležitých prípadoch pripojí legislatívny návrh týkajúci sa cielených zmien trhových pravidiel pre rámec pre komoditné deriváty, emisné kvóty alebo deriváty na emisné kvóty.</w:t>
                  </w:r>
                </w:p>
              </w:tc>
            </w:tr>
          </w:tbl>
          <w:p w14:paraId="4867F8DF" w14:textId="77777777" w:rsidR="004137E7" w:rsidRPr="006547EC" w:rsidRDefault="00000000" w:rsidP="004137E7">
            <w:pPr>
              <w:pStyle w:val="oj-note"/>
              <w:shd w:val="clear" w:color="auto" w:fill="FFFFFF"/>
              <w:spacing w:before="60" w:beforeAutospacing="0" w:after="60" w:afterAutospacing="0"/>
              <w:jc w:val="both"/>
              <w:rPr>
                <w:sz w:val="22"/>
                <w:szCs w:val="22"/>
              </w:rPr>
            </w:pPr>
            <w:hyperlink r:id="rId15" w:anchor="ntc*1-L_202400790SK.000101-E0009" w:history="1">
              <w:r w:rsidR="004137E7" w:rsidRPr="006547EC">
                <w:rPr>
                  <w:rStyle w:val="Hypertextovprepojenie"/>
                  <w:rFonts w:eastAsiaTheme="minorEastAsia"/>
                  <w:color w:val="auto"/>
                  <w:sz w:val="22"/>
                  <w:szCs w:val="22"/>
                </w:rPr>
                <w:t>(</w:t>
              </w:r>
              <w:r w:rsidR="004137E7" w:rsidRPr="006547EC">
                <w:rPr>
                  <w:rStyle w:val="oj-super"/>
                  <w:sz w:val="22"/>
                  <w:szCs w:val="22"/>
                  <w:vertAlign w:val="superscript"/>
                </w:rPr>
                <w:t>*1</w:t>
              </w:r>
              <w:r w:rsidR="004137E7" w:rsidRPr="006547EC">
                <w:rPr>
                  <w:rStyle w:val="Hypertextovprepojenie"/>
                  <w:rFonts w:eastAsiaTheme="minorEastAsia"/>
                  <w:color w:val="auto"/>
                  <w:sz w:val="22"/>
                  <w:szCs w:val="22"/>
                </w:rPr>
                <w:t>)</w:t>
              </w:r>
            </w:hyperlink>
            <w:r w:rsidR="004137E7" w:rsidRPr="006547EC">
              <w:rPr>
                <w:sz w:val="22"/>
                <w:szCs w:val="22"/>
              </w:rPr>
              <w:t>  Delegované nariadenie Komisie (EÚ) 2021/1833 zo 14. júla 2021, ktorým sa dopĺňa smernica Európskeho parlamentu a Rady 2014/65/EÚ spresnením kritérií na určenie toho, kedy sa má činnosť považovať za vedľajšiu k hlavnej obchodnej činnosti na úrovni skupiny (</w:t>
            </w:r>
            <w:hyperlink r:id="rId16" w:history="1">
              <w:r w:rsidR="004137E7" w:rsidRPr="006547EC">
                <w:rPr>
                  <w:rStyle w:val="Hypertextovprepojenie"/>
                  <w:rFonts w:eastAsiaTheme="minorEastAsia"/>
                  <w:b/>
                  <w:bCs/>
                  <w:color w:val="auto"/>
                  <w:sz w:val="22"/>
                  <w:szCs w:val="22"/>
                </w:rPr>
                <w:t>Ú. v. EÚ L 372, 20.10.2021, s. 1</w:t>
              </w:r>
            </w:hyperlink>
            <w:r w:rsidR="004137E7" w:rsidRPr="006547EC">
              <w:rPr>
                <w:b/>
                <w:bCs/>
                <w:sz w:val="22"/>
                <w:szCs w:val="22"/>
              </w:rPr>
              <w:t>).“ "</w:t>
            </w:r>
          </w:p>
          <w:p w14:paraId="57C34E63" w14:textId="77777777" w:rsidR="004137E7" w:rsidRPr="006547EC" w:rsidRDefault="004137E7" w:rsidP="004137E7">
            <w:pPr>
              <w:pStyle w:val="PredformtovanHTML"/>
              <w:shd w:val="clear" w:color="auto" w:fill="F8F9FA"/>
              <w:rPr>
                <w:rStyle w:val="y2iqfc"/>
                <w:rFonts w:ascii="Times New Roman" w:hAnsi="Times New Roman" w:cs="Times New Roman"/>
                <w:color w:val="202124"/>
                <w:sz w:val="22"/>
                <w:szCs w:val="22"/>
              </w:rPr>
            </w:pPr>
          </w:p>
        </w:tc>
        <w:tc>
          <w:tcPr>
            <w:tcW w:w="850" w:type="dxa"/>
            <w:tcBorders>
              <w:top w:val="single" w:sz="4" w:space="0" w:color="auto"/>
              <w:left w:val="single" w:sz="4" w:space="0" w:color="auto"/>
              <w:right w:val="single" w:sz="12" w:space="0" w:color="auto"/>
            </w:tcBorders>
          </w:tcPr>
          <w:p w14:paraId="7AA321D3" w14:textId="77777777" w:rsidR="004137E7" w:rsidRPr="00531286" w:rsidRDefault="004137E7" w:rsidP="004137E7">
            <w:pPr>
              <w:adjustRightInd w:val="0"/>
              <w:rPr>
                <w:color w:val="000000"/>
                <w:sz w:val="22"/>
                <w:szCs w:val="22"/>
              </w:rPr>
            </w:pPr>
            <w:proofErr w:type="spellStart"/>
            <w:r>
              <w:rPr>
                <w:color w:val="000000"/>
                <w:sz w:val="22"/>
                <w:szCs w:val="22"/>
              </w:rPr>
              <w:lastRenderedPageBreak/>
              <w:t>n.a</w:t>
            </w:r>
            <w:proofErr w:type="spellEnd"/>
            <w:r>
              <w:rPr>
                <w:color w:val="000000"/>
                <w:sz w:val="22"/>
                <w:szCs w:val="22"/>
              </w:rPr>
              <w:t>.</w:t>
            </w:r>
          </w:p>
        </w:tc>
        <w:tc>
          <w:tcPr>
            <w:tcW w:w="993" w:type="dxa"/>
            <w:tcBorders>
              <w:top w:val="single" w:sz="4" w:space="0" w:color="auto"/>
              <w:left w:val="nil"/>
              <w:right w:val="single" w:sz="4" w:space="0" w:color="auto"/>
            </w:tcBorders>
          </w:tcPr>
          <w:p w14:paraId="5F559123" w14:textId="77777777" w:rsidR="004137E7" w:rsidRPr="00531286" w:rsidRDefault="004137E7" w:rsidP="004137E7">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70ADE4B9" w14:textId="77777777" w:rsidR="004137E7" w:rsidRPr="00531286" w:rsidRDefault="004137E7" w:rsidP="004137E7">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5A2C7475" w14:textId="77777777" w:rsidR="004137E7" w:rsidRPr="00531286" w:rsidRDefault="004137E7" w:rsidP="004137E7">
            <w:pPr>
              <w:rPr>
                <w:sz w:val="22"/>
                <w:szCs w:val="22"/>
              </w:rPr>
            </w:pPr>
          </w:p>
        </w:tc>
        <w:tc>
          <w:tcPr>
            <w:tcW w:w="709" w:type="dxa"/>
            <w:tcBorders>
              <w:top w:val="single" w:sz="4" w:space="0" w:color="auto"/>
              <w:left w:val="single" w:sz="4" w:space="0" w:color="auto"/>
              <w:right w:val="single" w:sz="4" w:space="0" w:color="auto"/>
            </w:tcBorders>
          </w:tcPr>
          <w:p w14:paraId="767C9207" w14:textId="77777777" w:rsidR="004137E7" w:rsidRPr="00531286" w:rsidRDefault="004137E7" w:rsidP="004137E7">
            <w:pPr>
              <w:adjustRightInd w:val="0"/>
              <w:rPr>
                <w:color w:val="000000"/>
                <w:sz w:val="22"/>
                <w:szCs w:val="22"/>
              </w:rPr>
            </w:pPr>
            <w:proofErr w:type="spellStart"/>
            <w:r>
              <w:rPr>
                <w:color w:val="000000"/>
                <w:sz w:val="22"/>
                <w:szCs w:val="22"/>
              </w:rPr>
              <w:t>n.a</w:t>
            </w:r>
            <w:proofErr w:type="spellEnd"/>
            <w:r>
              <w:rPr>
                <w:color w:val="000000"/>
                <w:sz w:val="22"/>
                <w:szCs w:val="22"/>
              </w:rPr>
              <w:t>.</w:t>
            </w:r>
          </w:p>
        </w:tc>
        <w:tc>
          <w:tcPr>
            <w:tcW w:w="1077" w:type="dxa"/>
            <w:tcBorders>
              <w:top w:val="single" w:sz="4" w:space="0" w:color="auto"/>
              <w:left w:val="single" w:sz="4" w:space="0" w:color="auto"/>
              <w:right w:val="single" w:sz="4" w:space="0" w:color="auto"/>
            </w:tcBorders>
          </w:tcPr>
          <w:p w14:paraId="23FB1B78"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7359870F" w14:textId="77777777" w:rsidR="004137E7" w:rsidRPr="00531286" w:rsidRDefault="004137E7" w:rsidP="004137E7">
            <w:pPr>
              <w:spacing w:before="75" w:after="75"/>
              <w:jc w:val="center"/>
              <w:rPr>
                <w:sz w:val="22"/>
                <w:szCs w:val="22"/>
              </w:rPr>
            </w:pPr>
          </w:p>
        </w:tc>
        <w:tc>
          <w:tcPr>
            <w:tcW w:w="1418" w:type="dxa"/>
            <w:tcBorders>
              <w:top w:val="single" w:sz="4" w:space="0" w:color="auto"/>
              <w:left w:val="single" w:sz="4" w:space="0" w:color="auto"/>
              <w:right w:val="single" w:sz="12" w:space="0" w:color="auto"/>
            </w:tcBorders>
          </w:tcPr>
          <w:p w14:paraId="4C9F3AB1" w14:textId="77777777" w:rsidR="004137E7" w:rsidRPr="00531286" w:rsidRDefault="004137E7" w:rsidP="004137E7">
            <w:pPr>
              <w:spacing w:before="75" w:after="75"/>
              <w:rPr>
                <w:sz w:val="22"/>
                <w:szCs w:val="22"/>
              </w:rPr>
            </w:pPr>
          </w:p>
        </w:tc>
      </w:tr>
      <w:tr w:rsidR="004137E7" w:rsidRPr="0066733C" w14:paraId="11AD0B67" w14:textId="77777777" w:rsidTr="004B4186">
        <w:tc>
          <w:tcPr>
            <w:tcW w:w="682" w:type="dxa"/>
            <w:tcBorders>
              <w:top w:val="single" w:sz="4" w:space="0" w:color="auto"/>
              <w:left w:val="single" w:sz="12" w:space="0" w:color="auto"/>
              <w:right w:val="single" w:sz="4" w:space="0" w:color="auto"/>
            </w:tcBorders>
          </w:tcPr>
          <w:p w14:paraId="4E0C1A06" w14:textId="77777777" w:rsidR="004137E7" w:rsidRPr="00531286" w:rsidRDefault="004137E7" w:rsidP="004137E7">
            <w:pPr>
              <w:jc w:val="center"/>
              <w:rPr>
                <w:sz w:val="22"/>
                <w:szCs w:val="22"/>
              </w:rPr>
            </w:pPr>
            <w:r w:rsidRPr="00531286">
              <w:rPr>
                <w:sz w:val="22"/>
                <w:szCs w:val="22"/>
              </w:rPr>
              <w:t>Č: 2</w:t>
            </w:r>
          </w:p>
          <w:p w14:paraId="414F4174" w14:textId="77777777" w:rsidR="004137E7" w:rsidRPr="00531286" w:rsidRDefault="004137E7" w:rsidP="004137E7">
            <w:pPr>
              <w:jc w:val="center"/>
              <w:rPr>
                <w:sz w:val="22"/>
                <w:szCs w:val="22"/>
              </w:rPr>
            </w:pPr>
          </w:p>
          <w:p w14:paraId="188EE0DA"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3C54B947" w14:textId="77777777" w:rsidR="004137E7" w:rsidRPr="006547EC" w:rsidRDefault="004137E7" w:rsidP="004137E7">
            <w:pPr>
              <w:pStyle w:val="PredformtovanHTML"/>
              <w:shd w:val="clear" w:color="auto" w:fill="F8F9FA"/>
              <w:rPr>
                <w:rStyle w:val="y2iqfc"/>
                <w:rFonts w:ascii="Times New Roman" w:hAnsi="Times New Roman" w:cs="Times New Roman"/>
                <w:color w:val="202124"/>
                <w:sz w:val="22"/>
                <w:szCs w:val="22"/>
              </w:rPr>
            </w:pPr>
            <w:r w:rsidRPr="006547EC">
              <w:rPr>
                <w:rStyle w:val="y2iqfc"/>
                <w:rFonts w:ascii="Times New Roman" w:hAnsi="Times New Roman" w:cs="Times New Roman"/>
                <w:color w:val="202124"/>
                <w:sz w:val="22"/>
                <w:szCs w:val="22"/>
              </w:rPr>
              <w:t>Transpozícia</w:t>
            </w:r>
          </w:p>
          <w:p w14:paraId="5BE94228" w14:textId="77777777" w:rsidR="00B169BD" w:rsidRPr="006547EC" w:rsidRDefault="004137E7" w:rsidP="004137E7">
            <w:pPr>
              <w:pStyle w:val="oj-normal"/>
              <w:shd w:val="clear" w:color="auto" w:fill="FFFFFF"/>
              <w:spacing w:before="120" w:beforeAutospacing="0" w:after="0" w:afterAutospacing="0"/>
              <w:jc w:val="both"/>
              <w:rPr>
                <w:color w:val="00B0F0"/>
                <w:sz w:val="22"/>
                <w:szCs w:val="22"/>
              </w:rPr>
            </w:pPr>
            <w:r w:rsidRPr="006547EC">
              <w:rPr>
                <w:color w:val="000000"/>
                <w:sz w:val="22"/>
                <w:szCs w:val="22"/>
              </w:rPr>
              <w:t xml:space="preserve">1.   Členské štáty uvedú do účinnosti zákony, iné právne predpisy a správne opatrenia potrebné </w:t>
            </w:r>
            <w:r w:rsidRPr="006547EC">
              <w:rPr>
                <w:color w:val="000000"/>
                <w:sz w:val="22"/>
                <w:szCs w:val="22"/>
              </w:rPr>
              <w:lastRenderedPageBreak/>
              <w:t>na dosiahnutie súladu s touto smernicou najneskôr </w:t>
            </w:r>
            <w:r w:rsidRPr="006547EC">
              <w:rPr>
                <w:sz w:val="22"/>
                <w:szCs w:val="22"/>
              </w:rPr>
              <w:t>do 29. septembra 2025</w:t>
            </w:r>
            <w:r w:rsidRPr="006547EC">
              <w:rPr>
                <w:color w:val="00B0F0"/>
                <w:sz w:val="22"/>
                <w:szCs w:val="22"/>
              </w:rPr>
              <w:t xml:space="preserve">. </w:t>
            </w:r>
          </w:p>
          <w:p w14:paraId="27D69B0B"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201CA222" w14:textId="77777777" w:rsidR="00AE3563" w:rsidRDefault="00AE3563" w:rsidP="004137E7">
            <w:pPr>
              <w:pStyle w:val="oj-normal"/>
              <w:shd w:val="clear" w:color="auto" w:fill="FFFFFF"/>
              <w:spacing w:before="120" w:beforeAutospacing="0" w:after="0" w:afterAutospacing="0"/>
              <w:jc w:val="both"/>
              <w:rPr>
                <w:color w:val="000000"/>
                <w:sz w:val="22"/>
                <w:szCs w:val="22"/>
              </w:rPr>
            </w:pPr>
          </w:p>
          <w:p w14:paraId="2D5E0AF3" w14:textId="77777777" w:rsidR="00A25494" w:rsidRDefault="00A25494" w:rsidP="004137E7">
            <w:pPr>
              <w:pStyle w:val="oj-normal"/>
              <w:shd w:val="clear" w:color="auto" w:fill="FFFFFF"/>
              <w:spacing w:before="120" w:beforeAutospacing="0" w:after="0" w:afterAutospacing="0"/>
              <w:jc w:val="both"/>
              <w:rPr>
                <w:color w:val="000000"/>
                <w:sz w:val="22"/>
                <w:szCs w:val="22"/>
              </w:rPr>
            </w:pPr>
          </w:p>
          <w:p w14:paraId="4E32BF7A" w14:textId="77777777" w:rsidR="00A25494" w:rsidRDefault="00A25494" w:rsidP="004137E7">
            <w:pPr>
              <w:pStyle w:val="oj-normal"/>
              <w:shd w:val="clear" w:color="auto" w:fill="FFFFFF"/>
              <w:spacing w:before="120" w:beforeAutospacing="0" w:after="0" w:afterAutospacing="0"/>
              <w:jc w:val="both"/>
              <w:rPr>
                <w:color w:val="000000"/>
                <w:sz w:val="22"/>
                <w:szCs w:val="22"/>
              </w:rPr>
            </w:pPr>
          </w:p>
          <w:p w14:paraId="73269567" w14:textId="77777777" w:rsidR="00A25494" w:rsidRPr="006547EC" w:rsidRDefault="00A25494" w:rsidP="004137E7">
            <w:pPr>
              <w:pStyle w:val="oj-normal"/>
              <w:shd w:val="clear" w:color="auto" w:fill="FFFFFF"/>
              <w:spacing w:before="120" w:beforeAutospacing="0" w:after="0" w:afterAutospacing="0"/>
              <w:jc w:val="both"/>
              <w:rPr>
                <w:color w:val="000000"/>
                <w:sz w:val="22"/>
                <w:szCs w:val="22"/>
              </w:rPr>
            </w:pPr>
          </w:p>
          <w:p w14:paraId="7A19FD8D" w14:textId="77777777" w:rsidR="00B169BD" w:rsidRPr="006547EC" w:rsidRDefault="00B169BD" w:rsidP="00B169BD">
            <w:pPr>
              <w:pStyle w:val="oj-normal"/>
              <w:shd w:val="clear" w:color="auto" w:fill="FFFFFF"/>
              <w:spacing w:before="120" w:beforeAutospacing="0" w:after="0" w:afterAutospacing="0"/>
              <w:jc w:val="both"/>
              <w:rPr>
                <w:color w:val="000000"/>
                <w:sz w:val="22"/>
                <w:szCs w:val="22"/>
              </w:rPr>
            </w:pPr>
            <w:r w:rsidRPr="006547EC">
              <w:rPr>
                <w:color w:val="000000"/>
                <w:sz w:val="22"/>
                <w:szCs w:val="22"/>
              </w:rPr>
              <w:t>Bezodkladne o tom informujú Komisiu.</w:t>
            </w:r>
          </w:p>
          <w:p w14:paraId="02EA0608"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27AD71F0"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47349BEB"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36AB4DE7" w14:textId="77777777" w:rsidR="00B169BD" w:rsidRPr="006547EC" w:rsidRDefault="00B169BD" w:rsidP="004137E7">
            <w:pPr>
              <w:pStyle w:val="oj-normal"/>
              <w:shd w:val="clear" w:color="auto" w:fill="FFFFFF"/>
              <w:spacing w:before="120" w:beforeAutospacing="0" w:after="0" w:afterAutospacing="0"/>
              <w:jc w:val="both"/>
              <w:rPr>
                <w:color w:val="000000"/>
                <w:sz w:val="22"/>
                <w:szCs w:val="22"/>
              </w:rPr>
            </w:pPr>
          </w:p>
          <w:p w14:paraId="739292C7" w14:textId="77777777" w:rsidR="00B169BD" w:rsidRPr="006547EC" w:rsidRDefault="00B169BD" w:rsidP="004137E7">
            <w:pPr>
              <w:pStyle w:val="oj-normal"/>
              <w:shd w:val="clear" w:color="auto" w:fill="FFFFFF"/>
              <w:spacing w:before="120" w:beforeAutospacing="0" w:after="0" w:afterAutospacing="0"/>
              <w:jc w:val="both"/>
              <w:rPr>
                <w:color w:val="000000"/>
                <w:sz w:val="22"/>
                <w:szCs w:val="22"/>
              </w:rPr>
            </w:pPr>
          </w:p>
          <w:p w14:paraId="6D5EA323" w14:textId="77777777" w:rsidR="00B169BD" w:rsidRPr="006547EC" w:rsidRDefault="00B169BD" w:rsidP="004137E7">
            <w:pPr>
              <w:pStyle w:val="oj-normal"/>
              <w:shd w:val="clear" w:color="auto" w:fill="FFFFFF"/>
              <w:spacing w:before="120" w:beforeAutospacing="0" w:after="0" w:afterAutospacing="0"/>
              <w:jc w:val="both"/>
              <w:rPr>
                <w:color w:val="000000"/>
                <w:sz w:val="22"/>
                <w:szCs w:val="22"/>
              </w:rPr>
            </w:pPr>
          </w:p>
          <w:p w14:paraId="5FA975CB" w14:textId="5A6EF29F" w:rsidR="004137E7" w:rsidRPr="006547EC" w:rsidRDefault="004137E7" w:rsidP="004137E7">
            <w:pPr>
              <w:pStyle w:val="oj-normal"/>
              <w:shd w:val="clear" w:color="auto" w:fill="FFFFFF"/>
              <w:spacing w:before="120" w:beforeAutospacing="0" w:after="0" w:afterAutospacing="0"/>
              <w:jc w:val="both"/>
              <w:rPr>
                <w:color w:val="000000"/>
                <w:sz w:val="22"/>
                <w:szCs w:val="22"/>
              </w:rPr>
            </w:pPr>
            <w:r w:rsidRPr="006547EC">
              <w:rPr>
                <w:color w:val="000000"/>
                <w:sz w:val="22"/>
                <w:szCs w:val="22"/>
              </w:rPr>
              <w:t>Členské štáty uvedú priamo v prijatých opatreniach alebo pri ich úradnom uverejnení odkaz na túto smernicu. Podrobnosti o odkaze upravia členské štáty.</w:t>
            </w:r>
          </w:p>
          <w:p w14:paraId="16141001"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2D01ABD5"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7FF5C91A"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6402976D"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4477469D"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05738194"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0EB8F1F7"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6A582280"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196C4590"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319B42C7"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79758CB4"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2A4CF967"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159BC78A" w14:textId="77777777" w:rsidR="00AE3563" w:rsidRPr="006547EC" w:rsidRDefault="00AE3563" w:rsidP="004137E7">
            <w:pPr>
              <w:pStyle w:val="oj-normal"/>
              <w:shd w:val="clear" w:color="auto" w:fill="FFFFFF"/>
              <w:spacing w:before="120" w:beforeAutospacing="0" w:after="0" w:afterAutospacing="0"/>
              <w:jc w:val="both"/>
              <w:rPr>
                <w:color w:val="000000"/>
                <w:sz w:val="22"/>
                <w:szCs w:val="22"/>
              </w:rPr>
            </w:pPr>
          </w:p>
          <w:p w14:paraId="0E055942" w14:textId="77777777" w:rsidR="007D7573" w:rsidRPr="006547EC" w:rsidRDefault="007D7573" w:rsidP="004137E7">
            <w:pPr>
              <w:pStyle w:val="oj-normal"/>
              <w:shd w:val="clear" w:color="auto" w:fill="FFFFFF"/>
              <w:spacing w:before="120" w:beforeAutospacing="0" w:after="0" w:afterAutospacing="0"/>
              <w:jc w:val="both"/>
              <w:rPr>
                <w:color w:val="000000"/>
                <w:sz w:val="22"/>
                <w:szCs w:val="22"/>
              </w:rPr>
            </w:pPr>
          </w:p>
          <w:p w14:paraId="0318C65D" w14:textId="56FB9EBB" w:rsidR="004137E7" w:rsidRPr="006547EC" w:rsidRDefault="004137E7" w:rsidP="004137E7">
            <w:pPr>
              <w:pStyle w:val="oj-normal"/>
              <w:shd w:val="clear" w:color="auto" w:fill="FFFFFF"/>
              <w:spacing w:before="120" w:beforeAutospacing="0" w:after="0" w:afterAutospacing="0"/>
              <w:jc w:val="both"/>
              <w:rPr>
                <w:color w:val="000000"/>
                <w:sz w:val="22"/>
                <w:szCs w:val="22"/>
              </w:rPr>
            </w:pPr>
            <w:r w:rsidRPr="006547EC">
              <w:rPr>
                <w:color w:val="000000"/>
                <w:sz w:val="22"/>
                <w:szCs w:val="22"/>
              </w:rPr>
              <w:t>2.   Členské štáty oznámia Komisii znenie hlavných opatrení vnútroštátneho práva, ktoré prijmú v oblasti pôsobnosti tejto smernice.</w:t>
            </w:r>
          </w:p>
          <w:p w14:paraId="687E9A8D" w14:textId="77777777" w:rsidR="004137E7" w:rsidRPr="006547EC" w:rsidRDefault="004137E7" w:rsidP="004137E7">
            <w:pPr>
              <w:pStyle w:val="PredformtovanHTML"/>
              <w:shd w:val="clear" w:color="auto" w:fill="F8F9FA"/>
              <w:rPr>
                <w:rStyle w:val="y2iqfc"/>
                <w:rFonts w:ascii="Times New Roman" w:hAnsi="Times New Roman" w:cs="Times New Roman"/>
                <w:color w:val="202124"/>
                <w:sz w:val="22"/>
                <w:szCs w:val="22"/>
              </w:rPr>
            </w:pPr>
          </w:p>
        </w:tc>
        <w:tc>
          <w:tcPr>
            <w:tcW w:w="850" w:type="dxa"/>
            <w:tcBorders>
              <w:top w:val="single" w:sz="4" w:space="0" w:color="auto"/>
              <w:left w:val="single" w:sz="4" w:space="0" w:color="auto"/>
              <w:right w:val="single" w:sz="12" w:space="0" w:color="auto"/>
            </w:tcBorders>
          </w:tcPr>
          <w:p w14:paraId="17568A22" w14:textId="77777777" w:rsidR="004137E7" w:rsidRPr="001B5F0E" w:rsidRDefault="00690B8E" w:rsidP="00690B8E">
            <w:pPr>
              <w:adjustRightInd w:val="0"/>
              <w:jc w:val="center"/>
              <w:rPr>
                <w:color w:val="000000"/>
                <w:sz w:val="22"/>
                <w:szCs w:val="22"/>
              </w:rPr>
            </w:pPr>
            <w:r w:rsidRPr="001B5F0E">
              <w:rPr>
                <w:color w:val="000000"/>
                <w:sz w:val="22"/>
                <w:szCs w:val="22"/>
              </w:rPr>
              <w:lastRenderedPageBreak/>
              <w:t>N</w:t>
            </w:r>
          </w:p>
          <w:p w14:paraId="53609117" w14:textId="77777777" w:rsidR="00AE3563" w:rsidRPr="001B5F0E" w:rsidRDefault="00AE3563" w:rsidP="00690B8E">
            <w:pPr>
              <w:adjustRightInd w:val="0"/>
              <w:jc w:val="center"/>
              <w:rPr>
                <w:color w:val="000000"/>
                <w:sz w:val="22"/>
                <w:szCs w:val="22"/>
              </w:rPr>
            </w:pPr>
          </w:p>
          <w:p w14:paraId="394B81DE" w14:textId="77777777" w:rsidR="00AE3563" w:rsidRPr="001B5F0E" w:rsidRDefault="00AE3563" w:rsidP="00690B8E">
            <w:pPr>
              <w:adjustRightInd w:val="0"/>
              <w:jc w:val="center"/>
              <w:rPr>
                <w:color w:val="000000"/>
                <w:sz w:val="22"/>
                <w:szCs w:val="22"/>
              </w:rPr>
            </w:pPr>
          </w:p>
          <w:p w14:paraId="3A7847A5" w14:textId="77777777" w:rsidR="00AE3563" w:rsidRPr="001B5F0E" w:rsidRDefault="00AE3563" w:rsidP="00690B8E">
            <w:pPr>
              <w:adjustRightInd w:val="0"/>
              <w:jc w:val="center"/>
              <w:rPr>
                <w:color w:val="000000"/>
                <w:sz w:val="22"/>
                <w:szCs w:val="22"/>
              </w:rPr>
            </w:pPr>
          </w:p>
          <w:p w14:paraId="0E7CAD51" w14:textId="77777777" w:rsidR="00AE3563" w:rsidRPr="001B5F0E" w:rsidRDefault="00AE3563" w:rsidP="00690B8E">
            <w:pPr>
              <w:adjustRightInd w:val="0"/>
              <w:jc w:val="center"/>
              <w:rPr>
                <w:color w:val="000000"/>
                <w:sz w:val="22"/>
                <w:szCs w:val="22"/>
              </w:rPr>
            </w:pPr>
          </w:p>
          <w:p w14:paraId="5F042AEC" w14:textId="77777777" w:rsidR="00AE3563" w:rsidRPr="001B5F0E" w:rsidRDefault="00AE3563" w:rsidP="00690B8E">
            <w:pPr>
              <w:adjustRightInd w:val="0"/>
              <w:jc w:val="center"/>
              <w:rPr>
                <w:color w:val="000000"/>
                <w:sz w:val="22"/>
                <w:szCs w:val="22"/>
              </w:rPr>
            </w:pPr>
          </w:p>
          <w:p w14:paraId="7CE8172E" w14:textId="77777777" w:rsidR="00AE3563" w:rsidRPr="001B5F0E" w:rsidRDefault="00AE3563" w:rsidP="00690B8E">
            <w:pPr>
              <w:adjustRightInd w:val="0"/>
              <w:jc w:val="center"/>
              <w:rPr>
                <w:color w:val="000000"/>
                <w:sz w:val="22"/>
                <w:szCs w:val="22"/>
              </w:rPr>
            </w:pPr>
          </w:p>
          <w:p w14:paraId="69B8D264" w14:textId="77777777" w:rsidR="00AE3563" w:rsidRPr="001B5F0E" w:rsidRDefault="00AE3563" w:rsidP="00690B8E">
            <w:pPr>
              <w:adjustRightInd w:val="0"/>
              <w:jc w:val="center"/>
              <w:rPr>
                <w:color w:val="000000"/>
                <w:sz w:val="22"/>
                <w:szCs w:val="22"/>
              </w:rPr>
            </w:pPr>
          </w:p>
          <w:p w14:paraId="689EA91E" w14:textId="77777777" w:rsidR="00AE3563" w:rsidRPr="001B5F0E" w:rsidRDefault="00AE3563" w:rsidP="00690B8E">
            <w:pPr>
              <w:adjustRightInd w:val="0"/>
              <w:jc w:val="center"/>
              <w:rPr>
                <w:color w:val="000000"/>
                <w:sz w:val="22"/>
                <w:szCs w:val="22"/>
              </w:rPr>
            </w:pPr>
          </w:p>
          <w:p w14:paraId="54A168CE" w14:textId="77777777" w:rsidR="00AE3563" w:rsidRPr="001B5F0E" w:rsidRDefault="00AE3563" w:rsidP="00690B8E">
            <w:pPr>
              <w:adjustRightInd w:val="0"/>
              <w:jc w:val="center"/>
              <w:rPr>
                <w:color w:val="000000"/>
                <w:sz w:val="22"/>
                <w:szCs w:val="22"/>
              </w:rPr>
            </w:pPr>
          </w:p>
          <w:p w14:paraId="0CFAF9A5" w14:textId="77777777" w:rsidR="00AE3563" w:rsidRPr="001B5F0E" w:rsidRDefault="00AE3563" w:rsidP="00690B8E">
            <w:pPr>
              <w:adjustRightInd w:val="0"/>
              <w:jc w:val="center"/>
              <w:rPr>
                <w:color w:val="000000"/>
                <w:sz w:val="22"/>
                <w:szCs w:val="22"/>
              </w:rPr>
            </w:pPr>
          </w:p>
          <w:p w14:paraId="7A1F58D7" w14:textId="77777777" w:rsidR="00AE3563" w:rsidRPr="001B5F0E" w:rsidRDefault="00AE3563" w:rsidP="00690B8E">
            <w:pPr>
              <w:adjustRightInd w:val="0"/>
              <w:jc w:val="center"/>
              <w:rPr>
                <w:color w:val="000000"/>
                <w:sz w:val="22"/>
                <w:szCs w:val="22"/>
              </w:rPr>
            </w:pPr>
          </w:p>
          <w:p w14:paraId="400CB992" w14:textId="77777777" w:rsidR="00AE3563" w:rsidRPr="001B5F0E" w:rsidRDefault="00AE3563" w:rsidP="00690B8E">
            <w:pPr>
              <w:adjustRightInd w:val="0"/>
              <w:jc w:val="center"/>
              <w:rPr>
                <w:color w:val="000000"/>
                <w:sz w:val="22"/>
                <w:szCs w:val="22"/>
              </w:rPr>
            </w:pPr>
          </w:p>
          <w:p w14:paraId="38AF7C39" w14:textId="77777777" w:rsidR="00AE3563" w:rsidRPr="001B5F0E" w:rsidRDefault="00AE3563" w:rsidP="00690B8E">
            <w:pPr>
              <w:adjustRightInd w:val="0"/>
              <w:jc w:val="center"/>
              <w:rPr>
                <w:color w:val="000000"/>
                <w:sz w:val="22"/>
                <w:szCs w:val="22"/>
              </w:rPr>
            </w:pPr>
          </w:p>
          <w:p w14:paraId="6B28476E" w14:textId="77777777" w:rsidR="00AE3563" w:rsidRPr="001B5F0E" w:rsidRDefault="00AE3563" w:rsidP="00690B8E">
            <w:pPr>
              <w:adjustRightInd w:val="0"/>
              <w:jc w:val="center"/>
              <w:rPr>
                <w:color w:val="000000"/>
                <w:sz w:val="22"/>
                <w:szCs w:val="22"/>
              </w:rPr>
            </w:pPr>
          </w:p>
          <w:p w14:paraId="32CC9849" w14:textId="77777777" w:rsidR="00AE3563" w:rsidRPr="001B5F0E" w:rsidRDefault="00AE3563" w:rsidP="00690B8E">
            <w:pPr>
              <w:adjustRightInd w:val="0"/>
              <w:jc w:val="center"/>
              <w:rPr>
                <w:color w:val="000000"/>
                <w:sz w:val="22"/>
                <w:szCs w:val="22"/>
              </w:rPr>
            </w:pPr>
          </w:p>
          <w:p w14:paraId="3BCFE7C8" w14:textId="77777777" w:rsidR="00AE3563" w:rsidRPr="001B5F0E" w:rsidRDefault="00AE3563" w:rsidP="00690B8E">
            <w:pPr>
              <w:adjustRightInd w:val="0"/>
              <w:jc w:val="center"/>
              <w:rPr>
                <w:color w:val="000000"/>
                <w:sz w:val="22"/>
                <w:szCs w:val="22"/>
              </w:rPr>
            </w:pPr>
          </w:p>
          <w:p w14:paraId="6FB68E95" w14:textId="77777777" w:rsidR="00AE3563" w:rsidRPr="001B5F0E" w:rsidRDefault="00AE3563" w:rsidP="00690B8E">
            <w:pPr>
              <w:adjustRightInd w:val="0"/>
              <w:jc w:val="center"/>
              <w:rPr>
                <w:color w:val="000000"/>
                <w:sz w:val="22"/>
                <w:szCs w:val="22"/>
              </w:rPr>
            </w:pPr>
          </w:p>
          <w:p w14:paraId="04FA1B55" w14:textId="77777777" w:rsidR="00AE3563" w:rsidRPr="001B5F0E" w:rsidRDefault="00AE3563" w:rsidP="00690B8E">
            <w:pPr>
              <w:adjustRightInd w:val="0"/>
              <w:jc w:val="center"/>
              <w:rPr>
                <w:color w:val="000000"/>
                <w:sz w:val="22"/>
                <w:szCs w:val="22"/>
              </w:rPr>
            </w:pPr>
          </w:p>
          <w:p w14:paraId="621C9721" w14:textId="77777777" w:rsidR="00AE3563" w:rsidRPr="001B5F0E" w:rsidRDefault="00AE3563" w:rsidP="00690B8E">
            <w:pPr>
              <w:adjustRightInd w:val="0"/>
              <w:jc w:val="center"/>
              <w:rPr>
                <w:color w:val="000000"/>
                <w:sz w:val="22"/>
                <w:szCs w:val="22"/>
              </w:rPr>
            </w:pPr>
          </w:p>
          <w:p w14:paraId="179E3914" w14:textId="77777777" w:rsidR="00AE3563" w:rsidRPr="001B5F0E" w:rsidRDefault="00AE3563" w:rsidP="00690B8E">
            <w:pPr>
              <w:adjustRightInd w:val="0"/>
              <w:jc w:val="center"/>
              <w:rPr>
                <w:color w:val="000000"/>
                <w:sz w:val="22"/>
                <w:szCs w:val="22"/>
              </w:rPr>
            </w:pPr>
          </w:p>
          <w:p w14:paraId="3A90E146" w14:textId="77777777" w:rsidR="00AE3563" w:rsidRPr="001B5F0E" w:rsidRDefault="00AE3563" w:rsidP="00690B8E">
            <w:pPr>
              <w:adjustRightInd w:val="0"/>
              <w:jc w:val="center"/>
              <w:rPr>
                <w:color w:val="000000"/>
                <w:sz w:val="22"/>
                <w:szCs w:val="22"/>
              </w:rPr>
            </w:pPr>
          </w:p>
          <w:p w14:paraId="20F18FEC" w14:textId="77777777" w:rsidR="00AE3563" w:rsidRPr="001B5F0E" w:rsidRDefault="00AE3563" w:rsidP="00690B8E">
            <w:pPr>
              <w:adjustRightInd w:val="0"/>
              <w:jc w:val="center"/>
              <w:rPr>
                <w:color w:val="000000"/>
                <w:sz w:val="22"/>
                <w:szCs w:val="22"/>
              </w:rPr>
            </w:pPr>
          </w:p>
          <w:p w14:paraId="35C03EBB" w14:textId="77777777" w:rsidR="00AE3563" w:rsidRPr="001B5F0E" w:rsidRDefault="00AE3563" w:rsidP="00690B8E">
            <w:pPr>
              <w:adjustRightInd w:val="0"/>
              <w:jc w:val="center"/>
              <w:rPr>
                <w:color w:val="000000"/>
                <w:sz w:val="22"/>
                <w:szCs w:val="22"/>
              </w:rPr>
            </w:pPr>
          </w:p>
          <w:p w14:paraId="5DC4CBE2" w14:textId="77777777" w:rsidR="00AE3563" w:rsidRPr="001B5F0E" w:rsidRDefault="00AE3563" w:rsidP="00690B8E">
            <w:pPr>
              <w:adjustRightInd w:val="0"/>
              <w:jc w:val="center"/>
              <w:rPr>
                <w:color w:val="000000"/>
                <w:sz w:val="22"/>
                <w:szCs w:val="22"/>
              </w:rPr>
            </w:pPr>
          </w:p>
          <w:p w14:paraId="625BACE5" w14:textId="77777777" w:rsidR="00AE3563" w:rsidRPr="001B5F0E" w:rsidRDefault="00AE3563" w:rsidP="00690B8E">
            <w:pPr>
              <w:adjustRightInd w:val="0"/>
              <w:jc w:val="center"/>
              <w:rPr>
                <w:color w:val="000000"/>
                <w:sz w:val="22"/>
                <w:szCs w:val="22"/>
              </w:rPr>
            </w:pPr>
          </w:p>
          <w:p w14:paraId="3142AAD1" w14:textId="77777777" w:rsidR="00AE3563" w:rsidRPr="001B5F0E" w:rsidRDefault="00AE3563" w:rsidP="00690B8E">
            <w:pPr>
              <w:adjustRightInd w:val="0"/>
              <w:jc w:val="center"/>
              <w:rPr>
                <w:color w:val="000000"/>
                <w:sz w:val="22"/>
                <w:szCs w:val="22"/>
              </w:rPr>
            </w:pPr>
          </w:p>
          <w:p w14:paraId="21A29493" w14:textId="77777777" w:rsidR="00AE3563" w:rsidRPr="001B5F0E" w:rsidRDefault="00AE3563" w:rsidP="00690B8E">
            <w:pPr>
              <w:adjustRightInd w:val="0"/>
              <w:jc w:val="center"/>
              <w:rPr>
                <w:color w:val="000000"/>
                <w:sz w:val="22"/>
                <w:szCs w:val="22"/>
              </w:rPr>
            </w:pPr>
          </w:p>
          <w:p w14:paraId="341EFA6B" w14:textId="77777777" w:rsidR="00AE3563" w:rsidRPr="001B5F0E" w:rsidRDefault="00AE3563" w:rsidP="00690B8E">
            <w:pPr>
              <w:adjustRightInd w:val="0"/>
              <w:jc w:val="center"/>
              <w:rPr>
                <w:color w:val="000000"/>
                <w:sz w:val="22"/>
                <w:szCs w:val="22"/>
              </w:rPr>
            </w:pPr>
          </w:p>
          <w:p w14:paraId="08438850" w14:textId="77777777" w:rsidR="00AE3563" w:rsidRPr="001B5F0E" w:rsidRDefault="00AE3563" w:rsidP="00690B8E">
            <w:pPr>
              <w:adjustRightInd w:val="0"/>
              <w:jc w:val="center"/>
              <w:rPr>
                <w:color w:val="000000"/>
                <w:sz w:val="22"/>
                <w:szCs w:val="22"/>
              </w:rPr>
            </w:pPr>
          </w:p>
          <w:p w14:paraId="776BDB41" w14:textId="77777777" w:rsidR="00AE3563" w:rsidRPr="001B5F0E" w:rsidRDefault="00AE3563" w:rsidP="00690B8E">
            <w:pPr>
              <w:adjustRightInd w:val="0"/>
              <w:jc w:val="center"/>
              <w:rPr>
                <w:color w:val="000000"/>
                <w:sz w:val="22"/>
                <w:szCs w:val="22"/>
              </w:rPr>
            </w:pPr>
          </w:p>
          <w:p w14:paraId="1ADDE8AC" w14:textId="77777777" w:rsidR="00AE3563" w:rsidRPr="001B5F0E" w:rsidRDefault="00AE3563" w:rsidP="00690B8E">
            <w:pPr>
              <w:adjustRightInd w:val="0"/>
              <w:jc w:val="center"/>
              <w:rPr>
                <w:color w:val="000000"/>
                <w:sz w:val="22"/>
                <w:szCs w:val="22"/>
              </w:rPr>
            </w:pPr>
          </w:p>
          <w:p w14:paraId="5F55EFFF" w14:textId="77777777" w:rsidR="00AE3563" w:rsidRPr="001B5F0E" w:rsidRDefault="00AE3563" w:rsidP="00690B8E">
            <w:pPr>
              <w:adjustRightInd w:val="0"/>
              <w:jc w:val="center"/>
              <w:rPr>
                <w:color w:val="000000"/>
                <w:sz w:val="22"/>
                <w:szCs w:val="22"/>
              </w:rPr>
            </w:pPr>
          </w:p>
          <w:p w14:paraId="7B585259" w14:textId="77777777" w:rsidR="00AE3563" w:rsidRPr="001B5F0E" w:rsidRDefault="00AE3563" w:rsidP="00690B8E">
            <w:pPr>
              <w:adjustRightInd w:val="0"/>
              <w:jc w:val="center"/>
              <w:rPr>
                <w:color w:val="000000"/>
                <w:sz w:val="22"/>
                <w:szCs w:val="22"/>
              </w:rPr>
            </w:pPr>
          </w:p>
          <w:p w14:paraId="237795A3" w14:textId="77777777" w:rsidR="00AE3563" w:rsidRPr="001B5F0E" w:rsidRDefault="00AE3563" w:rsidP="00690B8E">
            <w:pPr>
              <w:adjustRightInd w:val="0"/>
              <w:jc w:val="center"/>
              <w:rPr>
                <w:color w:val="000000"/>
                <w:sz w:val="22"/>
                <w:szCs w:val="22"/>
              </w:rPr>
            </w:pPr>
          </w:p>
          <w:p w14:paraId="025948C8" w14:textId="77777777" w:rsidR="00AE3563" w:rsidRPr="001B5F0E" w:rsidRDefault="00AE3563" w:rsidP="00690B8E">
            <w:pPr>
              <w:adjustRightInd w:val="0"/>
              <w:jc w:val="center"/>
              <w:rPr>
                <w:color w:val="000000"/>
                <w:sz w:val="22"/>
                <w:szCs w:val="22"/>
              </w:rPr>
            </w:pPr>
          </w:p>
          <w:p w14:paraId="7A04DEE0" w14:textId="77777777" w:rsidR="00AE3563" w:rsidRPr="001B5F0E" w:rsidRDefault="00AE3563" w:rsidP="00690B8E">
            <w:pPr>
              <w:adjustRightInd w:val="0"/>
              <w:jc w:val="center"/>
              <w:rPr>
                <w:color w:val="000000"/>
                <w:sz w:val="22"/>
                <w:szCs w:val="22"/>
              </w:rPr>
            </w:pPr>
          </w:p>
          <w:p w14:paraId="1296CEBD" w14:textId="77777777" w:rsidR="00AE3563" w:rsidRPr="001B5F0E" w:rsidRDefault="00AE3563" w:rsidP="00690B8E">
            <w:pPr>
              <w:adjustRightInd w:val="0"/>
              <w:jc w:val="center"/>
              <w:rPr>
                <w:color w:val="000000"/>
                <w:sz w:val="22"/>
                <w:szCs w:val="22"/>
              </w:rPr>
            </w:pPr>
          </w:p>
          <w:p w14:paraId="1B2BFD41" w14:textId="77777777" w:rsidR="00AE3563" w:rsidRPr="001B5F0E" w:rsidRDefault="00AE3563" w:rsidP="00690B8E">
            <w:pPr>
              <w:adjustRightInd w:val="0"/>
              <w:jc w:val="center"/>
              <w:rPr>
                <w:color w:val="000000"/>
                <w:sz w:val="22"/>
                <w:szCs w:val="22"/>
              </w:rPr>
            </w:pPr>
          </w:p>
          <w:p w14:paraId="32B95839" w14:textId="77777777" w:rsidR="00AE3563" w:rsidRPr="001B5F0E" w:rsidRDefault="00AE3563" w:rsidP="00690B8E">
            <w:pPr>
              <w:adjustRightInd w:val="0"/>
              <w:jc w:val="center"/>
              <w:rPr>
                <w:color w:val="000000"/>
                <w:sz w:val="22"/>
                <w:szCs w:val="22"/>
              </w:rPr>
            </w:pPr>
          </w:p>
          <w:p w14:paraId="6DBD73EB" w14:textId="77777777" w:rsidR="00AE3563" w:rsidRPr="001B5F0E" w:rsidRDefault="00AE3563" w:rsidP="00690B8E">
            <w:pPr>
              <w:adjustRightInd w:val="0"/>
              <w:jc w:val="center"/>
              <w:rPr>
                <w:color w:val="000000"/>
                <w:sz w:val="22"/>
                <w:szCs w:val="22"/>
              </w:rPr>
            </w:pPr>
          </w:p>
          <w:p w14:paraId="5154B6F0" w14:textId="77777777" w:rsidR="00AE3563" w:rsidRPr="001B5F0E" w:rsidRDefault="00AE3563" w:rsidP="00690B8E">
            <w:pPr>
              <w:adjustRightInd w:val="0"/>
              <w:jc w:val="center"/>
              <w:rPr>
                <w:color w:val="000000"/>
                <w:sz w:val="22"/>
                <w:szCs w:val="22"/>
              </w:rPr>
            </w:pPr>
          </w:p>
          <w:p w14:paraId="01301D7A" w14:textId="77777777" w:rsidR="00AE3563" w:rsidRPr="001B5F0E" w:rsidRDefault="00AE3563" w:rsidP="00690B8E">
            <w:pPr>
              <w:adjustRightInd w:val="0"/>
              <w:jc w:val="center"/>
              <w:rPr>
                <w:color w:val="000000"/>
                <w:sz w:val="22"/>
                <w:szCs w:val="22"/>
              </w:rPr>
            </w:pPr>
          </w:p>
          <w:p w14:paraId="101EF1AD" w14:textId="77777777" w:rsidR="00AE3563" w:rsidRPr="001B5F0E" w:rsidRDefault="00AE3563" w:rsidP="00690B8E">
            <w:pPr>
              <w:adjustRightInd w:val="0"/>
              <w:jc w:val="center"/>
              <w:rPr>
                <w:color w:val="000000"/>
                <w:sz w:val="22"/>
                <w:szCs w:val="22"/>
              </w:rPr>
            </w:pPr>
          </w:p>
          <w:p w14:paraId="3BD9D698" w14:textId="77777777" w:rsidR="00AE3563" w:rsidRPr="001B5F0E" w:rsidRDefault="00AE3563" w:rsidP="00690B8E">
            <w:pPr>
              <w:adjustRightInd w:val="0"/>
              <w:jc w:val="center"/>
              <w:rPr>
                <w:color w:val="000000"/>
                <w:sz w:val="22"/>
                <w:szCs w:val="22"/>
              </w:rPr>
            </w:pPr>
          </w:p>
          <w:p w14:paraId="560DC1D6" w14:textId="77777777" w:rsidR="00AE3563" w:rsidRPr="001B5F0E" w:rsidRDefault="00AE3563" w:rsidP="00690B8E">
            <w:pPr>
              <w:adjustRightInd w:val="0"/>
              <w:jc w:val="center"/>
              <w:rPr>
                <w:color w:val="000000"/>
                <w:sz w:val="22"/>
                <w:szCs w:val="22"/>
              </w:rPr>
            </w:pPr>
          </w:p>
          <w:p w14:paraId="51DBCAD3" w14:textId="77777777" w:rsidR="00AE3563" w:rsidRPr="001B5F0E" w:rsidRDefault="00AE3563" w:rsidP="00690B8E">
            <w:pPr>
              <w:adjustRightInd w:val="0"/>
              <w:jc w:val="center"/>
              <w:rPr>
                <w:color w:val="000000"/>
                <w:sz w:val="22"/>
                <w:szCs w:val="22"/>
              </w:rPr>
            </w:pPr>
          </w:p>
          <w:p w14:paraId="16A8A136" w14:textId="77777777" w:rsidR="00AE3563" w:rsidRPr="001B5F0E" w:rsidRDefault="00AE3563" w:rsidP="00690B8E">
            <w:pPr>
              <w:adjustRightInd w:val="0"/>
              <w:jc w:val="center"/>
              <w:rPr>
                <w:color w:val="000000"/>
                <w:sz w:val="22"/>
                <w:szCs w:val="22"/>
              </w:rPr>
            </w:pPr>
          </w:p>
          <w:p w14:paraId="5BFBF8FA" w14:textId="488E3992" w:rsidR="00AE3563" w:rsidRPr="001B5F0E" w:rsidRDefault="00AE3563" w:rsidP="00690B8E">
            <w:pPr>
              <w:adjustRightInd w:val="0"/>
              <w:jc w:val="center"/>
              <w:rPr>
                <w:color w:val="000000"/>
                <w:sz w:val="22"/>
                <w:szCs w:val="22"/>
              </w:rPr>
            </w:pPr>
          </w:p>
        </w:tc>
        <w:tc>
          <w:tcPr>
            <w:tcW w:w="993" w:type="dxa"/>
            <w:tcBorders>
              <w:top w:val="single" w:sz="4" w:space="0" w:color="auto"/>
              <w:left w:val="nil"/>
              <w:right w:val="single" w:sz="4" w:space="0" w:color="auto"/>
            </w:tcBorders>
          </w:tcPr>
          <w:p w14:paraId="3CC4BB59" w14:textId="66285E1C" w:rsidR="004137E7" w:rsidRPr="001B5F0E" w:rsidRDefault="004137E7" w:rsidP="004137E7">
            <w:pPr>
              <w:rPr>
                <w:b/>
                <w:bCs/>
                <w:sz w:val="22"/>
                <w:szCs w:val="22"/>
              </w:rPr>
            </w:pPr>
            <w:r w:rsidRPr="001B5F0E">
              <w:rPr>
                <w:b/>
                <w:bCs/>
                <w:sz w:val="22"/>
                <w:szCs w:val="22"/>
              </w:rPr>
              <w:lastRenderedPageBreak/>
              <w:t>Návrh</w:t>
            </w:r>
          </w:p>
          <w:p w14:paraId="625429A9" w14:textId="31282A14" w:rsidR="004137E7" w:rsidRPr="001B5F0E" w:rsidRDefault="00690B8E" w:rsidP="004137E7">
            <w:pPr>
              <w:rPr>
                <w:color w:val="000000"/>
                <w:sz w:val="22"/>
                <w:szCs w:val="22"/>
              </w:rPr>
            </w:pPr>
            <w:r w:rsidRPr="001B5F0E">
              <w:rPr>
                <w:b/>
                <w:bCs/>
                <w:sz w:val="22"/>
                <w:szCs w:val="22"/>
              </w:rPr>
              <w:t>Čl. III</w:t>
            </w:r>
          </w:p>
          <w:p w14:paraId="51CF1A8D" w14:textId="77777777" w:rsidR="004137E7" w:rsidRPr="001B5F0E" w:rsidRDefault="004137E7" w:rsidP="004137E7">
            <w:pPr>
              <w:rPr>
                <w:b/>
                <w:bCs/>
                <w:sz w:val="22"/>
                <w:szCs w:val="22"/>
              </w:rPr>
            </w:pPr>
          </w:p>
          <w:p w14:paraId="113A6B1E" w14:textId="56DA15BB" w:rsidR="004137E7" w:rsidRPr="001B5F0E" w:rsidRDefault="004137E7" w:rsidP="004137E7">
            <w:pPr>
              <w:rPr>
                <w:b/>
                <w:bCs/>
                <w:sz w:val="22"/>
                <w:szCs w:val="22"/>
              </w:rPr>
            </w:pPr>
          </w:p>
          <w:p w14:paraId="07807862" w14:textId="3C77504D" w:rsidR="00690B8E" w:rsidRPr="001B5F0E" w:rsidRDefault="00690B8E" w:rsidP="004137E7">
            <w:pPr>
              <w:rPr>
                <w:b/>
                <w:bCs/>
                <w:sz w:val="22"/>
                <w:szCs w:val="22"/>
              </w:rPr>
            </w:pPr>
          </w:p>
          <w:p w14:paraId="485073D0" w14:textId="29343FB3" w:rsidR="00690B8E" w:rsidRPr="001B5F0E" w:rsidRDefault="00690B8E" w:rsidP="004137E7">
            <w:pPr>
              <w:rPr>
                <w:b/>
                <w:bCs/>
                <w:sz w:val="22"/>
                <w:szCs w:val="22"/>
              </w:rPr>
            </w:pPr>
          </w:p>
          <w:p w14:paraId="2B790044" w14:textId="77777777" w:rsidR="00B169BD" w:rsidRPr="001B5F0E" w:rsidRDefault="00B169BD" w:rsidP="00690B8E">
            <w:pPr>
              <w:jc w:val="center"/>
              <w:rPr>
                <w:sz w:val="20"/>
                <w:szCs w:val="20"/>
              </w:rPr>
            </w:pPr>
          </w:p>
          <w:p w14:paraId="61E8D0AA" w14:textId="77777777" w:rsidR="00690B8E" w:rsidRPr="001B5F0E" w:rsidRDefault="00690B8E" w:rsidP="004137E7">
            <w:pPr>
              <w:rPr>
                <w:b/>
                <w:bCs/>
                <w:sz w:val="22"/>
                <w:szCs w:val="22"/>
              </w:rPr>
            </w:pPr>
          </w:p>
          <w:p w14:paraId="36EB86C5" w14:textId="77777777" w:rsidR="00690B8E" w:rsidRPr="001B5F0E" w:rsidRDefault="00690B8E" w:rsidP="004137E7">
            <w:pPr>
              <w:adjustRightInd w:val="0"/>
              <w:rPr>
                <w:color w:val="000000"/>
                <w:sz w:val="22"/>
                <w:szCs w:val="22"/>
              </w:rPr>
            </w:pPr>
          </w:p>
          <w:p w14:paraId="399DD79E" w14:textId="77777777" w:rsidR="00690B8E" w:rsidRDefault="00690B8E" w:rsidP="004137E7">
            <w:pPr>
              <w:adjustRightInd w:val="0"/>
              <w:rPr>
                <w:color w:val="000000"/>
                <w:sz w:val="22"/>
                <w:szCs w:val="22"/>
              </w:rPr>
            </w:pPr>
          </w:p>
          <w:p w14:paraId="79876F79" w14:textId="77777777" w:rsidR="00A25494" w:rsidRDefault="00A25494" w:rsidP="004137E7">
            <w:pPr>
              <w:adjustRightInd w:val="0"/>
              <w:rPr>
                <w:color w:val="000000"/>
                <w:sz w:val="22"/>
                <w:szCs w:val="22"/>
              </w:rPr>
            </w:pPr>
          </w:p>
          <w:p w14:paraId="2FE5326F" w14:textId="77777777" w:rsidR="00A25494" w:rsidRDefault="00A25494" w:rsidP="004137E7">
            <w:pPr>
              <w:adjustRightInd w:val="0"/>
              <w:rPr>
                <w:color w:val="000000"/>
                <w:sz w:val="22"/>
                <w:szCs w:val="22"/>
              </w:rPr>
            </w:pPr>
          </w:p>
          <w:p w14:paraId="4CB1E356" w14:textId="77777777" w:rsidR="00A25494" w:rsidRPr="001B5F0E" w:rsidRDefault="00A25494" w:rsidP="004137E7">
            <w:pPr>
              <w:adjustRightInd w:val="0"/>
              <w:rPr>
                <w:color w:val="000000"/>
                <w:sz w:val="22"/>
                <w:szCs w:val="22"/>
              </w:rPr>
            </w:pPr>
          </w:p>
          <w:p w14:paraId="6F8108A9" w14:textId="77777777" w:rsidR="00B169BD" w:rsidRPr="001B5F0E" w:rsidRDefault="00B169BD" w:rsidP="00B169BD">
            <w:pPr>
              <w:jc w:val="center"/>
              <w:rPr>
                <w:b/>
                <w:sz w:val="20"/>
                <w:szCs w:val="20"/>
              </w:rPr>
            </w:pPr>
            <w:r w:rsidRPr="001B5F0E">
              <w:rPr>
                <w:sz w:val="20"/>
                <w:szCs w:val="20"/>
              </w:rPr>
              <w:t>575/2001</w:t>
            </w:r>
          </w:p>
          <w:p w14:paraId="7A337112" w14:textId="77777777" w:rsidR="00690B8E" w:rsidRPr="001B5F0E" w:rsidRDefault="00690B8E" w:rsidP="004137E7">
            <w:pPr>
              <w:adjustRightInd w:val="0"/>
              <w:rPr>
                <w:color w:val="000000"/>
                <w:sz w:val="22"/>
                <w:szCs w:val="22"/>
              </w:rPr>
            </w:pPr>
          </w:p>
          <w:p w14:paraId="37559A91" w14:textId="77777777" w:rsidR="00690B8E" w:rsidRPr="001B5F0E" w:rsidRDefault="00690B8E" w:rsidP="004137E7">
            <w:pPr>
              <w:adjustRightInd w:val="0"/>
              <w:rPr>
                <w:color w:val="000000"/>
                <w:sz w:val="22"/>
                <w:szCs w:val="22"/>
              </w:rPr>
            </w:pPr>
          </w:p>
          <w:p w14:paraId="76662F20" w14:textId="77777777" w:rsidR="00690B8E" w:rsidRPr="001B5F0E" w:rsidRDefault="00690B8E" w:rsidP="004137E7">
            <w:pPr>
              <w:adjustRightInd w:val="0"/>
              <w:rPr>
                <w:color w:val="000000"/>
                <w:sz w:val="22"/>
                <w:szCs w:val="22"/>
              </w:rPr>
            </w:pPr>
          </w:p>
          <w:p w14:paraId="51BBE310" w14:textId="77777777" w:rsidR="00690B8E" w:rsidRPr="001B5F0E" w:rsidRDefault="00690B8E" w:rsidP="004137E7">
            <w:pPr>
              <w:adjustRightInd w:val="0"/>
              <w:rPr>
                <w:color w:val="000000"/>
                <w:sz w:val="22"/>
                <w:szCs w:val="22"/>
              </w:rPr>
            </w:pPr>
          </w:p>
          <w:p w14:paraId="4D842E5C" w14:textId="77777777" w:rsidR="00690B8E" w:rsidRPr="001B5F0E" w:rsidRDefault="00690B8E" w:rsidP="004137E7">
            <w:pPr>
              <w:adjustRightInd w:val="0"/>
              <w:rPr>
                <w:color w:val="000000"/>
                <w:sz w:val="22"/>
                <w:szCs w:val="22"/>
              </w:rPr>
            </w:pPr>
          </w:p>
          <w:p w14:paraId="2BB98819" w14:textId="77777777" w:rsidR="00690B8E" w:rsidRPr="001B5F0E" w:rsidRDefault="00690B8E" w:rsidP="004137E7">
            <w:pPr>
              <w:adjustRightInd w:val="0"/>
              <w:rPr>
                <w:color w:val="000000"/>
                <w:sz w:val="22"/>
                <w:szCs w:val="22"/>
              </w:rPr>
            </w:pPr>
          </w:p>
          <w:p w14:paraId="4881E8C9" w14:textId="77777777" w:rsidR="00B169BD" w:rsidRPr="001B5F0E" w:rsidRDefault="00B169BD" w:rsidP="00690B8E">
            <w:pPr>
              <w:adjustRightInd w:val="0"/>
              <w:rPr>
                <w:color w:val="000000"/>
                <w:sz w:val="22"/>
                <w:szCs w:val="22"/>
              </w:rPr>
            </w:pPr>
          </w:p>
          <w:p w14:paraId="308378B9" w14:textId="77777777" w:rsidR="00B169BD" w:rsidRPr="001B5F0E" w:rsidRDefault="00B169BD" w:rsidP="00690B8E">
            <w:pPr>
              <w:adjustRightInd w:val="0"/>
              <w:rPr>
                <w:color w:val="000000"/>
                <w:sz w:val="22"/>
                <w:szCs w:val="22"/>
              </w:rPr>
            </w:pPr>
          </w:p>
          <w:p w14:paraId="6A646B15" w14:textId="77777777" w:rsidR="00B169BD" w:rsidRPr="001B5F0E" w:rsidRDefault="00B169BD" w:rsidP="00690B8E">
            <w:pPr>
              <w:adjustRightInd w:val="0"/>
              <w:rPr>
                <w:color w:val="000000"/>
                <w:sz w:val="22"/>
                <w:szCs w:val="22"/>
              </w:rPr>
            </w:pPr>
          </w:p>
          <w:p w14:paraId="3A868526" w14:textId="77777777" w:rsidR="00B169BD" w:rsidRPr="001B5F0E" w:rsidRDefault="00B169BD" w:rsidP="00690B8E">
            <w:pPr>
              <w:adjustRightInd w:val="0"/>
              <w:rPr>
                <w:color w:val="000000"/>
                <w:sz w:val="22"/>
                <w:szCs w:val="22"/>
              </w:rPr>
            </w:pPr>
          </w:p>
          <w:p w14:paraId="170DBB54" w14:textId="329934AC" w:rsidR="00690B8E" w:rsidRPr="001B5F0E" w:rsidRDefault="00690B8E" w:rsidP="00690B8E">
            <w:pPr>
              <w:adjustRightInd w:val="0"/>
              <w:rPr>
                <w:color w:val="000000"/>
                <w:sz w:val="22"/>
                <w:szCs w:val="22"/>
              </w:rPr>
            </w:pPr>
            <w:r w:rsidRPr="001B5F0E">
              <w:rPr>
                <w:color w:val="000000"/>
                <w:sz w:val="22"/>
                <w:szCs w:val="22"/>
              </w:rPr>
              <w:t>566/2001</w:t>
            </w:r>
          </w:p>
          <w:p w14:paraId="70FC7484" w14:textId="7B7B6642" w:rsidR="00690B8E" w:rsidRPr="001B5F0E" w:rsidRDefault="00690B8E" w:rsidP="004137E7">
            <w:pPr>
              <w:adjustRightInd w:val="0"/>
              <w:rPr>
                <w:color w:val="000000"/>
                <w:sz w:val="22"/>
                <w:szCs w:val="22"/>
              </w:rPr>
            </w:pPr>
          </w:p>
          <w:p w14:paraId="480EE750" w14:textId="02C4E1FC" w:rsidR="00690B8E" w:rsidRPr="001B5F0E" w:rsidRDefault="00690B8E" w:rsidP="004137E7">
            <w:pPr>
              <w:adjustRightInd w:val="0"/>
              <w:rPr>
                <w:color w:val="000000"/>
                <w:sz w:val="22"/>
                <w:szCs w:val="22"/>
              </w:rPr>
            </w:pPr>
          </w:p>
          <w:p w14:paraId="561E2303" w14:textId="77777777" w:rsidR="00690B8E" w:rsidRPr="001B5F0E" w:rsidRDefault="00690B8E" w:rsidP="004137E7">
            <w:pPr>
              <w:adjustRightInd w:val="0"/>
              <w:rPr>
                <w:color w:val="000000"/>
                <w:sz w:val="22"/>
                <w:szCs w:val="22"/>
              </w:rPr>
            </w:pPr>
          </w:p>
          <w:p w14:paraId="11B220AD" w14:textId="77777777" w:rsidR="00690B8E" w:rsidRPr="001B5F0E" w:rsidRDefault="00690B8E" w:rsidP="004137E7">
            <w:pPr>
              <w:adjustRightInd w:val="0"/>
              <w:rPr>
                <w:color w:val="000000"/>
                <w:sz w:val="22"/>
                <w:szCs w:val="22"/>
              </w:rPr>
            </w:pPr>
          </w:p>
          <w:p w14:paraId="092C13DA" w14:textId="78167C79" w:rsidR="004137E7" w:rsidRPr="001B5F0E" w:rsidRDefault="004137E7" w:rsidP="004137E7">
            <w:pPr>
              <w:adjustRightInd w:val="0"/>
              <w:rPr>
                <w:color w:val="000000"/>
                <w:sz w:val="22"/>
                <w:szCs w:val="22"/>
              </w:rPr>
            </w:pPr>
            <w:r w:rsidRPr="001B5F0E">
              <w:rPr>
                <w:color w:val="000000"/>
                <w:sz w:val="22"/>
                <w:szCs w:val="22"/>
              </w:rPr>
              <w:t>566/2001</w:t>
            </w:r>
          </w:p>
          <w:p w14:paraId="7B023D47" w14:textId="77777777" w:rsidR="004137E7" w:rsidRPr="001B5F0E" w:rsidRDefault="004137E7" w:rsidP="004137E7">
            <w:pPr>
              <w:rPr>
                <w:b/>
                <w:bCs/>
                <w:sz w:val="22"/>
                <w:szCs w:val="22"/>
              </w:rPr>
            </w:pPr>
            <w:r w:rsidRPr="001B5F0E">
              <w:rPr>
                <w:color w:val="000000"/>
                <w:sz w:val="22"/>
                <w:szCs w:val="22"/>
              </w:rPr>
              <w:t xml:space="preserve">a </w:t>
            </w:r>
            <w:r w:rsidRPr="001B5F0E">
              <w:rPr>
                <w:b/>
                <w:bCs/>
                <w:sz w:val="22"/>
                <w:szCs w:val="22"/>
              </w:rPr>
              <w:t>Návrh</w:t>
            </w:r>
          </w:p>
          <w:p w14:paraId="1FF5B7A5" w14:textId="77777777" w:rsidR="004137E7" w:rsidRPr="001B5F0E" w:rsidRDefault="004137E7" w:rsidP="004137E7">
            <w:pPr>
              <w:rPr>
                <w:b/>
                <w:bCs/>
                <w:sz w:val="22"/>
                <w:szCs w:val="22"/>
              </w:rPr>
            </w:pPr>
            <w:r w:rsidRPr="001B5F0E">
              <w:rPr>
                <w:b/>
                <w:bCs/>
                <w:sz w:val="22"/>
                <w:szCs w:val="22"/>
              </w:rPr>
              <w:t>Čl. I.</w:t>
            </w:r>
          </w:p>
          <w:p w14:paraId="3092E951" w14:textId="676155AF" w:rsidR="004137E7" w:rsidRPr="001B5F0E" w:rsidRDefault="00B66CE1" w:rsidP="004137E7">
            <w:pPr>
              <w:rPr>
                <w:color w:val="000000"/>
                <w:sz w:val="22"/>
                <w:szCs w:val="22"/>
              </w:rPr>
            </w:pPr>
            <w:r w:rsidRPr="001B5F0E">
              <w:rPr>
                <w:b/>
                <w:bCs/>
                <w:sz w:val="22"/>
                <w:szCs w:val="22"/>
              </w:rPr>
              <w:t xml:space="preserve">Bod </w:t>
            </w:r>
            <w:r w:rsidR="008159BD">
              <w:rPr>
                <w:b/>
                <w:bCs/>
                <w:sz w:val="22"/>
                <w:szCs w:val="22"/>
              </w:rPr>
              <w:t>4</w:t>
            </w:r>
            <w:r w:rsidR="00AC1613">
              <w:rPr>
                <w:b/>
                <w:bCs/>
                <w:sz w:val="22"/>
                <w:szCs w:val="22"/>
              </w:rPr>
              <w:t>5</w:t>
            </w:r>
          </w:p>
          <w:p w14:paraId="0F0DA0FF" w14:textId="77777777" w:rsidR="004137E7" w:rsidRPr="001B5F0E" w:rsidRDefault="004137E7" w:rsidP="004137E7">
            <w:pPr>
              <w:rPr>
                <w:b/>
                <w:bCs/>
                <w:sz w:val="22"/>
                <w:szCs w:val="22"/>
              </w:rPr>
            </w:pPr>
          </w:p>
          <w:p w14:paraId="18E5FE94" w14:textId="77777777" w:rsidR="004137E7" w:rsidRPr="001B5F0E" w:rsidRDefault="004137E7" w:rsidP="004137E7">
            <w:pPr>
              <w:rPr>
                <w:b/>
                <w:bCs/>
                <w:sz w:val="22"/>
                <w:szCs w:val="22"/>
              </w:rPr>
            </w:pPr>
          </w:p>
          <w:p w14:paraId="4A64201F" w14:textId="77777777" w:rsidR="004137E7" w:rsidRPr="001B5F0E" w:rsidRDefault="004137E7" w:rsidP="004137E7">
            <w:pPr>
              <w:rPr>
                <w:b/>
                <w:bCs/>
                <w:sz w:val="22"/>
                <w:szCs w:val="22"/>
              </w:rPr>
            </w:pPr>
          </w:p>
          <w:p w14:paraId="7E31337A" w14:textId="15ADA6D5" w:rsidR="004137E7" w:rsidRPr="001B5F0E" w:rsidRDefault="004137E7" w:rsidP="004137E7">
            <w:pPr>
              <w:rPr>
                <w:b/>
                <w:bCs/>
                <w:sz w:val="22"/>
                <w:szCs w:val="22"/>
              </w:rPr>
            </w:pPr>
          </w:p>
          <w:p w14:paraId="41E5F2A0" w14:textId="17FB25C1" w:rsidR="00B66CE1" w:rsidRDefault="00B66CE1" w:rsidP="004137E7">
            <w:pPr>
              <w:rPr>
                <w:b/>
                <w:bCs/>
                <w:sz w:val="22"/>
                <w:szCs w:val="22"/>
              </w:rPr>
            </w:pPr>
          </w:p>
          <w:p w14:paraId="3943541F" w14:textId="77777777" w:rsidR="00AC1613" w:rsidRPr="001B5F0E" w:rsidRDefault="00AC1613" w:rsidP="004137E7">
            <w:pPr>
              <w:rPr>
                <w:b/>
                <w:bCs/>
                <w:sz w:val="22"/>
                <w:szCs w:val="22"/>
              </w:rPr>
            </w:pPr>
          </w:p>
          <w:p w14:paraId="6352500B" w14:textId="77777777" w:rsidR="00B66CE1" w:rsidRPr="001B5F0E" w:rsidRDefault="00B66CE1" w:rsidP="004137E7">
            <w:pPr>
              <w:adjustRightInd w:val="0"/>
              <w:rPr>
                <w:color w:val="000000"/>
                <w:sz w:val="22"/>
                <w:szCs w:val="22"/>
              </w:rPr>
            </w:pPr>
          </w:p>
          <w:p w14:paraId="4090D6F1" w14:textId="6943A65E" w:rsidR="004137E7" w:rsidRPr="001B5F0E" w:rsidRDefault="004137E7" w:rsidP="004137E7">
            <w:pPr>
              <w:adjustRightInd w:val="0"/>
              <w:rPr>
                <w:color w:val="000000"/>
                <w:sz w:val="22"/>
                <w:szCs w:val="22"/>
              </w:rPr>
            </w:pPr>
            <w:r w:rsidRPr="001B5F0E">
              <w:rPr>
                <w:color w:val="000000"/>
                <w:sz w:val="22"/>
                <w:szCs w:val="22"/>
              </w:rPr>
              <w:t>429/2002</w:t>
            </w:r>
          </w:p>
          <w:p w14:paraId="310E1ACD" w14:textId="77777777" w:rsidR="004137E7" w:rsidRPr="001B5F0E" w:rsidRDefault="004137E7" w:rsidP="004137E7">
            <w:pPr>
              <w:rPr>
                <w:b/>
                <w:bCs/>
                <w:sz w:val="22"/>
                <w:szCs w:val="22"/>
              </w:rPr>
            </w:pPr>
          </w:p>
          <w:p w14:paraId="7F09E35B" w14:textId="77777777" w:rsidR="00B66CE1" w:rsidRPr="001B5F0E" w:rsidRDefault="00B66CE1" w:rsidP="00B66CE1">
            <w:pPr>
              <w:adjustRightInd w:val="0"/>
              <w:rPr>
                <w:color w:val="000000"/>
                <w:sz w:val="22"/>
                <w:szCs w:val="22"/>
              </w:rPr>
            </w:pPr>
          </w:p>
          <w:p w14:paraId="1B3B0605" w14:textId="77777777" w:rsidR="00B66CE1" w:rsidRDefault="00B66CE1" w:rsidP="00B66CE1">
            <w:pPr>
              <w:adjustRightInd w:val="0"/>
              <w:rPr>
                <w:color w:val="000000"/>
                <w:sz w:val="22"/>
                <w:szCs w:val="22"/>
              </w:rPr>
            </w:pPr>
          </w:p>
          <w:p w14:paraId="31A3681B" w14:textId="77777777" w:rsidR="00AC1613" w:rsidRPr="001B5F0E" w:rsidRDefault="00AC1613" w:rsidP="00B66CE1">
            <w:pPr>
              <w:adjustRightInd w:val="0"/>
              <w:rPr>
                <w:color w:val="000000"/>
                <w:sz w:val="22"/>
                <w:szCs w:val="22"/>
              </w:rPr>
            </w:pPr>
          </w:p>
          <w:p w14:paraId="70439F86" w14:textId="5C0086AA" w:rsidR="00B66CE1" w:rsidRPr="001B5F0E" w:rsidRDefault="00B66CE1" w:rsidP="00B66CE1">
            <w:pPr>
              <w:adjustRightInd w:val="0"/>
              <w:rPr>
                <w:color w:val="000000"/>
                <w:sz w:val="22"/>
                <w:szCs w:val="22"/>
              </w:rPr>
            </w:pPr>
            <w:r w:rsidRPr="001B5F0E">
              <w:rPr>
                <w:color w:val="000000"/>
                <w:sz w:val="22"/>
                <w:szCs w:val="22"/>
              </w:rPr>
              <w:t>429/2002</w:t>
            </w:r>
          </w:p>
          <w:p w14:paraId="6D4BBAA8" w14:textId="77777777" w:rsidR="00B66CE1" w:rsidRPr="001B5F0E" w:rsidRDefault="00B66CE1" w:rsidP="00B66CE1">
            <w:pPr>
              <w:rPr>
                <w:b/>
                <w:bCs/>
                <w:sz w:val="22"/>
                <w:szCs w:val="22"/>
              </w:rPr>
            </w:pPr>
            <w:r w:rsidRPr="001B5F0E">
              <w:rPr>
                <w:color w:val="000000"/>
                <w:sz w:val="22"/>
                <w:szCs w:val="22"/>
              </w:rPr>
              <w:t xml:space="preserve">a </w:t>
            </w:r>
            <w:r w:rsidRPr="001B5F0E">
              <w:rPr>
                <w:b/>
                <w:bCs/>
                <w:sz w:val="22"/>
                <w:szCs w:val="22"/>
              </w:rPr>
              <w:t>Návrh</w:t>
            </w:r>
          </w:p>
          <w:p w14:paraId="0D44BD4A" w14:textId="3DED479F" w:rsidR="00B66CE1" w:rsidRPr="00A25494" w:rsidRDefault="00B66CE1" w:rsidP="00B66CE1">
            <w:pPr>
              <w:rPr>
                <w:b/>
                <w:bCs/>
                <w:sz w:val="22"/>
                <w:szCs w:val="22"/>
              </w:rPr>
            </w:pPr>
            <w:r w:rsidRPr="00A25494">
              <w:rPr>
                <w:b/>
                <w:bCs/>
                <w:sz w:val="22"/>
                <w:szCs w:val="22"/>
              </w:rPr>
              <w:t>Čl. II</w:t>
            </w:r>
          </w:p>
          <w:p w14:paraId="211E75E9" w14:textId="7A519AA6" w:rsidR="00B66CE1" w:rsidRPr="001B5F0E" w:rsidRDefault="00AE3563" w:rsidP="00B66CE1">
            <w:pPr>
              <w:rPr>
                <w:color w:val="000000"/>
                <w:sz w:val="22"/>
                <w:szCs w:val="22"/>
              </w:rPr>
            </w:pPr>
            <w:r w:rsidRPr="00A25494">
              <w:rPr>
                <w:b/>
                <w:bCs/>
                <w:sz w:val="22"/>
                <w:szCs w:val="22"/>
              </w:rPr>
              <w:t xml:space="preserve">Bod </w:t>
            </w:r>
            <w:r w:rsidR="001B5F0E" w:rsidRPr="00A25494">
              <w:rPr>
                <w:b/>
                <w:bCs/>
                <w:sz w:val="22"/>
                <w:szCs w:val="22"/>
              </w:rPr>
              <w:t>4</w:t>
            </w:r>
            <w:r w:rsidR="00055CC7">
              <w:rPr>
                <w:b/>
                <w:bCs/>
                <w:sz w:val="22"/>
                <w:szCs w:val="22"/>
              </w:rPr>
              <w:t>5</w:t>
            </w:r>
          </w:p>
          <w:p w14:paraId="080CB342" w14:textId="77777777" w:rsidR="00B66CE1" w:rsidRPr="001B5F0E" w:rsidRDefault="00B66CE1" w:rsidP="004137E7">
            <w:pPr>
              <w:rPr>
                <w:b/>
                <w:bCs/>
                <w:sz w:val="22"/>
                <w:szCs w:val="22"/>
              </w:rPr>
            </w:pPr>
          </w:p>
          <w:p w14:paraId="741215FD" w14:textId="77777777" w:rsidR="00AE3563" w:rsidRPr="001B5F0E" w:rsidRDefault="00AE3563" w:rsidP="004137E7">
            <w:pPr>
              <w:rPr>
                <w:b/>
                <w:bCs/>
                <w:sz w:val="22"/>
                <w:szCs w:val="22"/>
              </w:rPr>
            </w:pPr>
          </w:p>
          <w:p w14:paraId="36F1D3A6" w14:textId="77777777" w:rsidR="00AE3563" w:rsidRPr="001B5F0E" w:rsidRDefault="00AE3563" w:rsidP="004137E7">
            <w:pPr>
              <w:rPr>
                <w:b/>
                <w:bCs/>
                <w:sz w:val="22"/>
                <w:szCs w:val="22"/>
              </w:rPr>
            </w:pPr>
          </w:p>
          <w:p w14:paraId="1630DBBA" w14:textId="77777777" w:rsidR="00AE3563" w:rsidRDefault="00AE3563" w:rsidP="004137E7">
            <w:pPr>
              <w:rPr>
                <w:b/>
                <w:bCs/>
                <w:sz w:val="22"/>
                <w:szCs w:val="22"/>
              </w:rPr>
            </w:pPr>
          </w:p>
          <w:p w14:paraId="6E051422" w14:textId="77777777" w:rsidR="001B5F0E" w:rsidRPr="001B5F0E" w:rsidRDefault="001B5F0E" w:rsidP="004137E7">
            <w:pPr>
              <w:rPr>
                <w:b/>
                <w:bCs/>
                <w:sz w:val="22"/>
                <w:szCs w:val="22"/>
              </w:rPr>
            </w:pPr>
          </w:p>
          <w:p w14:paraId="74988F08" w14:textId="338BB0B4" w:rsidR="00AE3563" w:rsidRPr="001B5F0E" w:rsidRDefault="00AE3563" w:rsidP="004137E7">
            <w:pPr>
              <w:rPr>
                <w:b/>
                <w:bCs/>
                <w:sz w:val="22"/>
                <w:szCs w:val="22"/>
              </w:rPr>
            </w:pPr>
            <w:r w:rsidRPr="001B5F0E">
              <w:rPr>
                <w:sz w:val="20"/>
                <w:szCs w:val="20"/>
              </w:rPr>
              <w:t>575/2001</w:t>
            </w:r>
          </w:p>
        </w:tc>
        <w:tc>
          <w:tcPr>
            <w:tcW w:w="992" w:type="dxa"/>
            <w:tcBorders>
              <w:top w:val="single" w:sz="4" w:space="0" w:color="auto"/>
              <w:left w:val="single" w:sz="4" w:space="0" w:color="auto"/>
              <w:bottom w:val="single" w:sz="4" w:space="0" w:color="auto"/>
              <w:right w:val="single" w:sz="4" w:space="0" w:color="auto"/>
            </w:tcBorders>
          </w:tcPr>
          <w:p w14:paraId="65050182" w14:textId="77777777" w:rsidR="004137E7" w:rsidRPr="000F685E" w:rsidRDefault="004137E7" w:rsidP="004137E7">
            <w:pPr>
              <w:jc w:val="center"/>
              <w:rPr>
                <w:b/>
                <w:sz w:val="22"/>
                <w:szCs w:val="22"/>
              </w:rPr>
            </w:pPr>
          </w:p>
          <w:p w14:paraId="0C17CCF8" w14:textId="77777777" w:rsidR="004137E7" w:rsidRPr="000F685E" w:rsidRDefault="004137E7" w:rsidP="004137E7">
            <w:pPr>
              <w:jc w:val="center"/>
              <w:rPr>
                <w:b/>
                <w:sz w:val="22"/>
                <w:szCs w:val="22"/>
              </w:rPr>
            </w:pPr>
          </w:p>
          <w:p w14:paraId="081EF96C" w14:textId="77777777" w:rsidR="004137E7" w:rsidRPr="000F685E" w:rsidRDefault="004137E7" w:rsidP="004137E7">
            <w:pPr>
              <w:jc w:val="center"/>
              <w:rPr>
                <w:b/>
                <w:sz w:val="22"/>
                <w:szCs w:val="22"/>
              </w:rPr>
            </w:pPr>
          </w:p>
          <w:p w14:paraId="275367F9" w14:textId="77777777" w:rsidR="004137E7" w:rsidRPr="000F685E" w:rsidRDefault="004137E7" w:rsidP="004137E7">
            <w:pPr>
              <w:jc w:val="center"/>
              <w:rPr>
                <w:b/>
                <w:sz w:val="22"/>
                <w:szCs w:val="22"/>
              </w:rPr>
            </w:pPr>
          </w:p>
          <w:p w14:paraId="367F8B0C" w14:textId="77777777" w:rsidR="004137E7" w:rsidRPr="000F685E" w:rsidRDefault="004137E7" w:rsidP="004137E7">
            <w:pPr>
              <w:jc w:val="center"/>
              <w:rPr>
                <w:b/>
                <w:sz w:val="22"/>
                <w:szCs w:val="22"/>
              </w:rPr>
            </w:pPr>
          </w:p>
          <w:p w14:paraId="56061E27" w14:textId="77777777" w:rsidR="004137E7" w:rsidRPr="000F685E" w:rsidRDefault="004137E7" w:rsidP="004137E7">
            <w:pPr>
              <w:jc w:val="center"/>
              <w:rPr>
                <w:b/>
                <w:sz w:val="22"/>
                <w:szCs w:val="22"/>
              </w:rPr>
            </w:pPr>
          </w:p>
          <w:p w14:paraId="43BFB35B" w14:textId="77777777" w:rsidR="004137E7" w:rsidRPr="000F685E" w:rsidRDefault="004137E7" w:rsidP="004137E7">
            <w:pPr>
              <w:jc w:val="center"/>
              <w:rPr>
                <w:b/>
                <w:sz w:val="22"/>
                <w:szCs w:val="22"/>
              </w:rPr>
            </w:pPr>
          </w:p>
          <w:p w14:paraId="2C508732" w14:textId="77777777" w:rsidR="004137E7" w:rsidRPr="000F685E" w:rsidRDefault="004137E7" w:rsidP="004137E7">
            <w:pPr>
              <w:jc w:val="center"/>
              <w:rPr>
                <w:b/>
                <w:sz w:val="22"/>
                <w:szCs w:val="22"/>
              </w:rPr>
            </w:pPr>
          </w:p>
          <w:p w14:paraId="285F5A8A" w14:textId="77777777" w:rsidR="004137E7" w:rsidRDefault="004137E7" w:rsidP="004137E7">
            <w:pPr>
              <w:jc w:val="center"/>
              <w:rPr>
                <w:b/>
                <w:sz w:val="22"/>
                <w:szCs w:val="22"/>
              </w:rPr>
            </w:pPr>
          </w:p>
          <w:p w14:paraId="7A58F720" w14:textId="77777777" w:rsidR="00A25494" w:rsidRDefault="00A25494" w:rsidP="004137E7">
            <w:pPr>
              <w:jc w:val="center"/>
              <w:rPr>
                <w:b/>
                <w:sz w:val="22"/>
                <w:szCs w:val="22"/>
              </w:rPr>
            </w:pPr>
          </w:p>
          <w:p w14:paraId="1AFA705A" w14:textId="77777777" w:rsidR="00A25494" w:rsidRDefault="00A25494" w:rsidP="004137E7">
            <w:pPr>
              <w:jc w:val="center"/>
              <w:rPr>
                <w:b/>
                <w:sz w:val="22"/>
                <w:szCs w:val="22"/>
              </w:rPr>
            </w:pPr>
          </w:p>
          <w:p w14:paraId="70CAF8C4" w14:textId="77777777" w:rsidR="00A25494" w:rsidRPr="000F685E" w:rsidRDefault="00A25494" w:rsidP="004137E7">
            <w:pPr>
              <w:jc w:val="center"/>
              <w:rPr>
                <w:b/>
                <w:sz w:val="22"/>
                <w:szCs w:val="22"/>
              </w:rPr>
            </w:pPr>
          </w:p>
          <w:p w14:paraId="6D211DA6" w14:textId="77777777" w:rsidR="004137E7" w:rsidRPr="000F685E" w:rsidRDefault="004137E7" w:rsidP="004137E7">
            <w:pPr>
              <w:jc w:val="center"/>
              <w:rPr>
                <w:b/>
                <w:sz w:val="22"/>
                <w:szCs w:val="22"/>
              </w:rPr>
            </w:pPr>
          </w:p>
          <w:p w14:paraId="6A9579F9" w14:textId="77777777" w:rsidR="00B169BD" w:rsidRPr="001B5F0E" w:rsidRDefault="00B169BD" w:rsidP="00B169BD">
            <w:pPr>
              <w:jc w:val="center"/>
              <w:rPr>
                <w:b/>
                <w:sz w:val="20"/>
                <w:szCs w:val="20"/>
              </w:rPr>
            </w:pPr>
            <w:r w:rsidRPr="001B5F0E">
              <w:rPr>
                <w:sz w:val="20"/>
                <w:szCs w:val="20"/>
              </w:rPr>
              <w:t>§ 35 O 7</w:t>
            </w:r>
          </w:p>
          <w:p w14:paraId="56868BB5" w14:textId="77777777" w:rsidR="004137E7" w:rsidRPr="001B5F0E" w:rsidRDefault="004137E7" w:rsidP="004137E7">
            <w:pPr>
              <w:jc w:val="center"/>
              <w:rPr>
                <w:b/>
                <w:sz w:val="22"/>
                <w:szCs w:val="22"/>
              </w:rPr>
            </w:pPr>
          </w:p>
          <w:p w14:paraId="02AA78D2" w14:textId="77777777" w:rsidR="004137E7" w:rsidRDefault="004137E7" w:rsidP="004137E7">
            <w:pPr>
              <w:jc w:val="center"/>
              <w:rPr>
                <w:b/>
                <w:sz w:val="22"/>
                <w:szCs w:val="22"/>
                <w:highlight w:val="yellow"/>
              </w:rPr>
            </w:pPr>
          </w:p>
          <w:p w14:paraId="60E9D080" w14:textId="77777777" w:rsidR="004137E7" w:rsidRDefault="004137E7" w:rsidP="004137E7">
            <w:pPr>
              <w:jc w:val="center"/>
              <w:rPr>
                <w:b/>
                <w:sz w:val="22"/>
                <w:szCs w:val="22"/>
                <w:highlight w:val="yellow"/>
              </w:rPr>
            </w:pPr>
          </w:p>
          <w:p w14:paraId="04F0B1E5" w14:textId="77777777" w:rsidR="004137E7" w:rsidRDefault="004137E7" w:rsidP="004137E7">
            <w:pPr>
              <w:jc w:val="center"/>
              <w:rPr>
                <w:b/>
                <w:sz w:val="22"/>
                <w:szCs w:val="22"/>
                <w:highlight w:val="yellow"/>
              </w:rPr>
            </w:pPr>
          </w:p>
          <w:p w14:paraId="20E55E2F" w14:textId="77777777" w:rsidR="004137E7" w:rsidRDefault="004137E7" w:rsidP="004137E7">
            <w:pPr>
              <w:jc w:val="center"/>
              <w:rPr>
                <w:b/>
                <w:sz w:val="22"/>
                <w:szCs w:val="22"/>
                <w:highlight w:val="yellow"/>
              </w:rPr>
            </w:pPr>
          </w:p>
          <w:p w14:paraId="1A5AE933" w14:textId="77777777" w:rsidR="004137E7" w:rsidRDefault="004137E7" w:rsidP="004137E7">
            <w:pPr>
              <w:jc w:val="center"/>
              <w:rPr>
                <w:b/>
                <w:sz w:val="22"/>
                <w:szCs w:val="22"/>
                <w:highlight w:val="yellow"/>
              </w:rPr>
            </w:pPr>
          </w:p>
          <w:p w14:paraId="4CE5EC19" w14:textId="77777777" w:rsidR="00B169BD" w:rsidRDefault="00B169BD" w:rsidP="004137E7">
            <w:pPr>
              <w:jc w:val="center"/>
              <w:rPr>
                <w:sz w:val="22"/>
                <w:szCs w:val="22"/>
                <w:highlight w:val="yellow"/>
              </w:rPr>
            </w:pPr>
          </w:p>
          <w:p w14:paraId="77558BE8" w14:textId="77777777" w:rsidR="00B169BD" w:rsidRDefault="00B169BD" w:rsidP="004137E7">
            <w:pPr>
              <w:jc w:val="center"/>
              <w:rPr>
                <w:sz w:val="22"/>
                <w:szCs w:val="22"/>
                <w:highlight w:val="yellow"/>
              </w:rPr>
            </w:pPr>
          </w:p>
          <w:p w14:paraId="163FB6C6" w14:textId="77777777" w:rsidR="00B169BD" w:rsidRPr="001B5F0E" w:rsidRDefault="00B169BD" w:rsidP="004137E7">
            <w:pPr>
              <w:jc w:val="center"/>
              <w:rPr>
                <w:sz w:val="22"/>
                <w:szCs w:val="22"/>
              </w:rPr>
            </w:pPr>
          </w:p>
          <w:p w14:paraId="071456E4" w14:textId="77777777" w:rsidR="00B169BD" w:rsidRPr="001B5F0E" w:rsidRDefault="00B169BD" w:rsidP="004137E7">
            <w:pPr>
              <w:jc w:val="center"/>
              <w:rPr>
                <w:sz w:val="22"/>
                <w:szCs w:val="22"/>
              </w:rPr>
            </w:pPr>
          </w:p>
          <w:p w14:paraId="2CB0FEE1" w14:textId="60827020" w:rsidR="00B66CE1" w:rsidRPr="001B5F0E" w:rsidRDefault="00690B8E" w:rsidP="004137E7">
            <w:pPr>
              <w:jc w:val="center"/>
              <w:rPr>
                <w:sz w:val="22"/>
                <w:szCs w:val="22"/>
              </w:rPr>
            </w:pPr>
            <w:r w:rsidRPr="001B5F0E">
              <w:rPr>
                <w:sz w:val="22"/>
                <w:szCs w:val="22"/>
              </w:rPr>
              <w:t>§ 158a</w:t>
            </w:r>
          </w:p>
          <w:p w14:paraId="7048DB77" w14:textId="77777777" w:rsidR="00B66CE1" w:rsidRPr="001B5F0E" w:rsidRDefault="00B66CE1" w:rsidP="00B66CE1">
            <w:pPr>
              <w:rPr>
                <w:sz w:val="22"/>
                <w:szCs w:val="22"/>
              </w:rPr>
            </w:pPr>
          </w:p>
          <w:p w14:paraId="5C5F7B48" w14:textId="77777777" w:rsidR="00B66CE1" w:rsidRPr="00B66CE1" w:rsidRDefault="00B66CE1" w:rsidP="00B66CE1">
            <w:pPr>
              <w:rPr>
                <w:sz w:val="22"/>
                <w:szCs w:val="22"/>
                <w:highlight w:val="yellow"/>
              </w:rPr>
            </w:pPr>
          </w:p>
          <w:p w14:paraId="42D5435D" w14:textId="77777777" w:rsidR="00B66CE1" w:rsidRPr="00B66CE1" w:rsidRDefault="00B66CE1" w:rsidP="00B66CE1">
            <w:pPr>
              <w:rPr>
                <w:sz w:val="22"/>
                <w:szCs w:val="22"/>
                <w:highlight w:val="yellow"/>
              </w:rPr>
            </w:pPr>
          </w:p>
          <w:p w14:paraId="67251988" w14:textId="6593C518" w:rsidR="00B66CE1" w:rsidRDefault="00B66CE1" w:rsidP="00B66CE1">
            <w:pPr>
              <w:rPr>
                <w:sz w:val="22"/>
                <w:szCs w:val="22"/>
                <w:highlight w:val="yellow"/>
              </w:rPr>
            </w:pPr>
          </w:p>
          <w:p w14:paraId="4C5C20AD" w14:textId="3D551EB9" w:rsidR="00B66CE1" w:rsidRPr="001B5F0E" w:rsidRDefault="00B66CE1" w:rsidP="00B66CE1">
            <w:pPr>
              <w:pStyle w:val="Normlny0"/>
            </w:pPr>
            <w:r w:rsidRPr="001B5F0E">
              <w:t>Príloha</w:t>
            </w:r>
          </w:p>
          <w:p w14:paraId="055E67D1" w14:textId="7319DD8A" w:rsidR="00B66CE1" w:rsidRPr="005E0FE5" w:rsidRDefault="00B66CE1" w:rsidP="00B66CE1">
            <w:pPr>
              <w:pStyle w:val="Normlny0"/>
              <w:rPr>
                <w:highlight w:val="yellow"/>
              </w:rPr>
            </w:pPr>
            <w:r w:rsidRPr="001B5F0E">
              <w:t>B3</w:t>
            </w:r>
            <w:r w:rsidR="0071725B">
              <w:t>1</w:t>
            </w:r>
          </w:p>
          <w:p w14:paraId="70FD0E32" w14:textId="0E149C21" w:rsidR="00B66CE1" w:rsidRDefault="00B66CE1" w:rsidP="00B66CE1">
            <w:pPr>
              <w:rPr>
                <w:sz w:val="22"/>
                <w:szCs w:val="22"/>
                <w:highlight w:val="yellow"/>
              </w:rPr>
            </w:pPr>
          </w:p>
          <w:p w14:paraId="4322C5DB" w14:textId="77777777" w:rsidR="00B66CE1" w:rsidRPr="00B66CE1" w:rsidRDefault="00B66CE1" w:rsidP="00B66CE1">
            <w:pPr>
              <w:rPr>
                <w:sz w:val="22"/>
                <w:szCs w:val="22"/>
                <w:highlight w:val="yellow"/>
              </w:rPr>
            </w:pPr>
          </w:p>
          <w:p w14:paraId="206554A0" w14:textId="77777777" w:rsidR="00B66CE1" w:rsidRPr="00B66CE1" w:rsidRDefault="00B66CE1" w:rsidP="00B66CE1">
            <w:pPr>
              <w:rPr>
                <w:sz w:val="22"/>
                <w:szCs w:val="22"/>
                <w:highlight w:val="yellow"/>
              </w:rPr>
            </w:pPr>
          </w:p>
          <w:p w14:paraId="536CF5FB" w14:textId="77777777" w:rsidR="00B66CE1" w:rsidRPr="00B66CE1" w:rsidRDefault="00B66CE1" w:rsidP="00B66CE1">
            <w:pPr>
              <w:rPr>
                <w:sz w:val="22"/>
                <w:szCs w:val="22"/>
                <w:highlight w:val="yellow"/>
              </w:rPr>
            </w:pPr>
          </w:p>
          <w:p w14:paraId="35385E56" w14:textId="77777777" w:rsidR="00B66CE1" w:rsidRPr="00B66CE1" w:rsidRDefault="00B66CE1" w:rsidP="00B66CE1">
            <w:pPr>
              <w:rPr>
                <w:sz w:val="22"/>
                <w:szCs w:val="22"/>
                <w:highlight w:val="yellow"/>
              </w:rPr>
            </w:pPr>
          </w:p>
          <w:p w14:paraId="4E3C2D02" w14:textId="77777777" w:rsidR="00B66CE1" w:rsidRPr="00B66CE1" w:rsidRDefault="00B66CE1" w:rsidP="00B66CE1">
            <w:pPr>
              <w:rPr>
                <w:sz w:val="22"/>
                <w:szCs w:val="22"/>
                <w:highlight w:val="yellow"/>
              </w:rPr>
            </w:pPr>
          </w:p>
          <w:p w14:paraId="4F87350A" w14:textId="77777777" w:rsidR="00B66CE1" w:rsidRDefault="00B66CE1" w:rsidP="00B66CE1">
            <w:pPr>
              <w:rPr>
                <w:sz w:val="22"/>
                <w:szCs w:val="22"/>
              </w:rPr>
            </w:pPr>
          </w:p>
          <w:p w14:paraId="61C1DB9F" w14:textId="77777777" w:rsidR="00AC1613" w:rsidRPr="001B5F0E" w:rsidRDefault="00AC1613" w:rsidP="00B66CE1">
            <w:pPr>
              <w:rPr>
                <w:sz w:val="22"/>
                <w:szCs w:val="22"/>
              </w:rPr>
            </w:pPr>
          </w:p>
          <w:p w14:paraId="5D36F840" w14:textId="77777777" w:rsidR="00B66CE1" w:rsidRPr="001B5F0E" w:rsidRDefault="00B66CE1" w:rsidP="00B66CE1">
            <w:pPr>
              <w:rPr>
                <w:sz w:val="22"/>
                <w:szCs w:val="22"/>
              </w:rPr>
            </w:pPr>
          </w:p>
          <w:p w14:paraId="0CD701FA" w14:textId="6F2E166E" w:rsidR="00B66CE1" w:rsidRPr="001B5F0E" w:rsidRDefault="00B66CE1" w:rsidP="00B66CE1">
            <w:pPr>
              <w:rPr>
                <w:sz w:val="22"/>
                <w:szCs w:val="22"/>
              </w:rPr>
            </w:pPr>
            <w:r w:rsidRPr="001B5F0E">
              <w:rPr>
                <w:sz w:val="22"/>
                <w:szCs w:val="22"/>
              </w:rPr>
              <w:t>§</w:t>
            </w:r>
            <w:r w:rsidRPr="001B5F0E">
              <w:rPr>
                <w:b/>
                <w:sz w:val="22"/>
                <w:szCs w:val="22"/>
              </w:rPr>
              <w:t xml:space="preserve"> </w:t>
            </w:r>
            <w:r w:rsidRPr="001B5F0E">
              <w:rPr>
                <w:sz w:val="22"/>
                <w:szCs w:val="22"/>
              </w:rPr>
              <w:t>64a</w:t>
            </w:r>
          </w:p>
          <w:p w14:paraId="3390B6E6" w14:textId="77777777" w:rsidR="00B66CE1" w:rsidRPr="001B5F0E" w:rsidRDefault="00B66CE1" w:rsidP="00B66CE1">
            <w:pPr>
              <w:rPr>
                <w:sz w:val="22"/>
                <w:szCs w:val="22"/>
              </w:rPr>
            </w:pPr>
          </w:p>
          <w:p w14:paraId="1A1C37BC" w14:textId="77777777" w:rsidR="00B66CE1" w:rsidRPr="00B66CE1" w:rsidRDefault="00B66CE1" w:rsidP="00B66CE1">
            <w:pPr>
              <w:rPr>
                <w:sz w:val="22"/>
                <w:szCs w:val="22"/>
                <w:highlight w:val="yellow"/>
              </w:rPr>
            </w:pPr>
          </w:p>
          <w:p w14:paraId="68D124BC" w14:textId="77777777" w:rsidR="00B66CE1" w:rsidRPr="00B66CE1" w:rsidRDefault="00B66CE1" w:rsidP="00B66CE1">
            <w:pPr>
              <w:rPr>
                <w:sz w:val="22"/>
                <w:szCs w:val="22"/>
                <w:highlight w:val="yellow"/>
              </w:rPr>
            </w:pPr>
          </w:p>
          <w:p w14:paraId="25328280" w14:textId="77777777" w:rsidR="00B66CE1" w:rsidRPr="00B66CE1" w:rsidRDefault="00B66CE1" w:rsidP="00B66CE1">
            <w:pPr>
              <w:rPr>
                <w:sz w:val="22"/>
                <w:szCs w:val="22"/>
                <w:highlight w:val="yellow"/>
              </w:rPr>
            </w:pPr>
          </w:p>
          <w:p w14:paraId="331BDA74" w14:textId="77777777" w:rsidR="00B66CE1" w:rsidRPr="00B66CE1" w:rsidRDefault="00B66CE1" w:rsidP="00B66CE1">
            <w:pPr>
              <w:rPr>
                <w:sz w:val="22"/>
                <w:szCs w:val="22"/>
                <w:highlight w:val="yellow"/>
              </w:rPr>
            </w:pPr>
          </w:p>
          <w:p w14:paraId="44A3F730" w14:textId="77777777" w:rsidR="00B66CE1" w:rsidRPr="00B66CE1" w:rsidRDefault="00B66CE1" w:rsidP="00B66CE1">
            <w:pPr>
              <w:rPr>
                <w:sz w:val="22"/>
                <w:szCs w:val="22"/>
                <w:highlight w:val="yellow"/>
              </w:rPr>
            </w:pPr>
          </w:p>
          <w:p w14:paraId="561F60B0" w14:textId="7A82748D" w:rsidR="00B66CE1" w:rsidRPr="001B5F0E" w:rsidRDefault="00B66CE1" w:rsidP="00B66CE1">
            <w:pPr>
              <w:rPr>
                <w:sz w:val="22"/>
                <w:szCs w:val="22"/>
              </w:rPr>
            </w:pPr>
          </w:p>
          <w:p w14:paraId="5B5212AF" w14:textId="77777777" w:rsidR="00B66CE1" w:rsidRPr="001B5F0E" w:rsidRDefault="00B66CE1" w:rsidP="00B66CE1">
            <w:pPr>
              <w:pStyle w:val="Normlny0"/>
            </w:pPr>
            <w:r w:rsidRPr="001B5F0E">
              <w:t>Príloha</w:t>
            </w:r>
          </w:p>
          <w:p w14:paraId="76A39E4F" w14:textId="4CCD3C2A" w:rsidR="00B66CE1" w:rsidRPr="001B5F0E" w:rsidRDefault="008B6C4B" w:rsidP="00B66CE1">
            <w:pPr>
              <w:pStyle w:val="Normlny0"/>
            </w:pPr>
            <w:r w:rsidRPr="001B5F0E">
              <w:t>B1</w:t>
            </w:r>
            <w:r w:rsidR="0071725B">
              <w:t>2</w:t>
            </w:r>
          </w:p>
          <w:p w14:paraId="663756A1" w14:textId="77777777" w:rsidR="004137E7" w:rsidRPr="001B5F0E" w:rsidRDefault="004137E7" w:rsidP="00B66CE1">
            <w:pPr>
              <w:rPr>
                <w:sz w:val="22"/>
                <w:szCs w:val="22"/>
              </w:rPr>
            </w:pPr>
          </w:p>
          <w:p w14:paraId="51F43813" w14:textId="77777777" w:rsidR="00AE3563" w:rsidRDefault="00AE3563" w:rsidP="00B66CE1">
            <w:pPr>
              <w:rPr>
                <w:sz w:val="22"/>
                <w:szCs w:val="22"/>
              </w:rPr>
            </w:pPr>
          </w:p>
          <w:p w14:paraId="770D80E4" w14:textId="77777777" w:rsidR="001B5F0E" w:rsidRDefault="001B5F0E" w:rsidP="00B66CE1">
            <w:pPr>
              <w:rPr>
                <w:sz w:val="22"/>
                <w:szCs w:val="22"/>
              </w:rPr>
            </w:pPr>
          </w:p>
          <w:p w14:paraId="24844BB3" w14:textId="77777777" w:rsidR="00AC1613" w:rsidRPr="001B5F0E" w:rsidRDefault="00AC1613" w:rsidP="00B66CE1">
            <w:pPr>
              <w:rPr>
                <w:sz w:val="22"/>
                <w:szCs w:val="22"/>
              </w:rPr>
            </w:pPr>
          </w:p>
          <w:p w14:paraId="3AAD9BB1" w14:textId="5493600E" w:rsidR="00AE3563" w:rsidRPr="001B5F0E" w:rsidRDefault="00AE3563" w:rsidP="00B66CE1">
            <w:pPr>
              <w:rPr>
                <w:sz w:val="20"/>
                <w:szCs w:val="20"/>
              </w:rPr>
            </w:pPr>
            <w:r w:rsidRPr="001B5F0E">
              <w:rPr>
                <w:sz w:val="20"/>
                <w:szCs w:val="20"/>
              </w:rPr>
              <w:t>§ 35 O 7</w:t>
            </w:r>
          </w:p>
          <w:p w14:paraId="79BE4439" w14:textId="55D3D560" w:rsidR="00AE3563" w:rsidRPr="00B66CE1" w:rsidRDefault="00AE3563" w:rsidP="00B66CE1">
            <w:pPr>
              <w:rPr>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49B32DA1" w14:textId="3199A2F1" w:rsidR="00B169BD" w:rsidRPr="00AC1613" w:rsidRDefault="00D13AB3" w:rsidP="00AC1613">
            <w:pPr>
              <w:jc w:val="both"/>
              <w:rPr>
                <w:b/>
                <w:bCs/>
                <w:sz w:val="20"/>
                <w:szCs w:val="20"/>
              </w:rPr>
            </w:pPr>
            <w:r w:rsidRPr="00173CB0">
              <w:rPr>
                <w:b/>
                <w:bCs/>
                <w:noProof/>
                <w:sz w:val="20"/>
                <w:szCs w:val="20"/>
              </w:rPr>
              <w:lastRenderedPageBreak/>
              <w:t xml:space="preserve">Tento zákon nadobúda účinnosť 1. novembra 2025 okrem čl. I bodov 19, 20, 23 až 25, 29, 32, 34, 36, 39 a 41, ktoré  nadobúdajú účinnosť 5. júna </w:t>
            </w:r>
            <w:r w:rsidRPr="00173CB0">
              <w:rPr>
                <w:b/>
                <w:bCs/>
                <w:noProof/>
                <w:sz w:val="20"/>
                <w:szCs w:val="20"/>
              </w:rPr>
              <w:lastRenderedPageBreak/>
              <w:t>2026, čl. I bodov 14, 15, 35 a 46 a čl. II bodov 3 až 5, 7 až 20, 24, 26 až 29, 41 až 43 a 46, ktoré nadobúdajú účinnosť 6. júna 2026 a čl. I bodov 2, 9 až 11, 22 a 47, ktoré nadobúdajú účinnosť 25. júna 2026  a čl. I bodu 44 a čl. II bodu 44, ktoré nadobúdajú účinnosť 5. decembra 2026</w:t>
            </w:r>
            <w:r w:rsidR="00B169BD" w:rsidRPr="00AC1613">
              <w:rPr>
                <w:b/>
                <w:bCs/>
                <w:sz w:val="20"/>
                <w:szCs w:val="20"/>
              </w:rPr>
              <w:t>.</w:t>
            </w:r>
          </w:p>
          <w:p w14:paraId="30F34BBE" w14:textId="54DD884E" w:rsidR="004137E7" w:rsidRPr="00084172" w:rsidRDefault="004137E7" w:rsidP="004137E7">
            <w:pPr>
              <w:rPr>
                <w:sz w:val="20"/>
                <w:szCs w:val="20"/>
              </w:rPr>
            </w:pPr>
          </w:p>
          <w:p w14:paraId="51C2F732" w14:textId="62049C4E" w:rsidR="00690B8E" w:rsidRPr="00084172" w:rsidRDefault="00690B8E" w:rsidP="004137E7">
            <w:pPr>
              <w:rPr>
                <w:sz w:val="20"/>
                <w:szCs w:val="20"/>
              </w:rPr>
            </w:pPr>
          </w:p>
          <w:p w14:paraId="0DA4525D" w14:textId="77777777" w:rsidR="00690B8E" w:rsidRPr="00084172" w:rsidRDefault="00690B8E" w:rsidP="00690B8E">
            <w:pPr>
              <w:jc w:val="both"/>
              <w:rPr>
                <w:b/>
                <w:sz w:val="20"/>
                <w:szCs w:val="20"/>
              </w:rPr>
            </w:pPr>
            <w:r w:rsidRPr="00084172">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65ED4A67" w14:textId="6523E598" w:rsidR="00690B8E" w:rsidRPr="00084172" w:rsidRDefault="00690B8E" w:rsidP="004137E7">
            <w:pPr>
              <w:rPr>
                <w:sz w:val="20"/>
                <w:szCs w:val="20"/>
              </w:rPr>
            </w:pPr>
          </w:p>
          <w:p w14:paraId="2D2BE40B" w14:textId="3F236ED4" w:rsidR="00690B8E" w:rsidRPr="00084172" w:rsidRDefault="00690B8E" w:rsidP="004137E7">
            <w:pPr>
              <w:rPr>
                <w:sz w:val="20"/>
                <w:szCs w:val="20"/>
              </w:rPr>
            </w:pPr>
          </w:p>
          <w:p w14:paraId="354ABB3A" w14:textId="0FEDF9C7" w:rsidR="00690B8E" w:rsidRPr="00084172" w:rsidRDefault="00690B8E" w:rsidP="004137E7">
            <w:pPr>
              <w:rPr>
                <w:sz w:val="20"/>
                <w:szCs w:val="20"/>
              </w:rPr>
            </w:pPr>
          </w:p>
          <w:p w14:paraId="3793F0BB" w14:textId="45D4D533" w:rsidR="00690B8E" w:rsidRPr="00084172" w:rsidRDefault="00690B8E" w:rsidP="004137E7">
            <w:pPr>
              <w:rPr>
                <w:sz w:val="20"/>
                <w:szCs w:val="20"/>
              </w:rPr>
            </w:pPr>
          </w:p>
          <w:p w14:paraId="1103DA20" w14:textId="4C4E0752" w:rsidR="00690B8E" w:rsidRPr="00084172" w:rsidRDefault="00690B8E" w:rsidP="004137E7">
            <w:pPr>
              <w:rPr>
                <w:sz w:val="20"/>
                <w:szCs w:val="20"/>
              </w:rPr>
            </w:pPr>
          </w:p>
          <w:p w14:paraId="3BD20460" w14:textId="03A37966" w:rsidR="00690B8E" w:rsidRPr="00084172" w:rsidRDefault="00690B8E" w:rsidP="00690B8E">
            <w:pPr>
              <w:pStyle w:val="Normlny0"/>
              <w:jc w:val="both"/>
            </w:pPr>
            <w:r w:rsidRPr="00084172">
              <w:t>Týmto zákonom sa preberajú právne záväzné akty Európskej únie uvedené v prílohe.</w:t>
            </w:r>
          </w:p>
          <w:p w14:paraId="687BC0D5" w14:textId="616F078F" w:rsidR="00690B8E" w:rsidRPr="00084172" w:rsidRDefault="00690B8E" w:rsidP="004137E7">
            <w:pPr>
              <w:rPr>
                <w:sz w:val="20"/>
                <w:szCs w:val="20"/>
              </w:rPr>
            </w:pPr>
          </w:p>
          <w:p w14:paraId="7B81F181" w14:textId="49D6FB3B" w:rsidR="00690B8E" w:rsidRPr="00084172" w:rsidRDefault="00690B8E" w:rsidP="004137E7">
            <w:pPr>
              <w:rPr>
                <w:sz w:val="20"/>
                <w:szCs w:val="20"/>
              </w:rPr>
            </w:pPr>
          </w:p>
          <w:p w14:paraId="5770E55E" w14:textId="7D314CD2" w:rsidR="00690B8E" w:rsidRPr="00084172" w:rsidRDefault="00B66CE1" w:rsidP="004137E7">
            <w:pPr>
              <w:rPr>
                <w:sz w:val="20"/>
                <w:szCs w:val="20"/>
              </w:rPr>
            </w:pPr>
            <w:r w:rsidRPr="00084172">
              <w:rPr>
                <w:sz w:val="20"/>
                <w:szCs w:val="20"/>
              </w:rPr>
              <w:t>ZOZNAM PREBERANÝCH PRÁVNE ZÁVÄZNÝCH AKTOV EURÓPSKEJ ÚNIE</w:t>
            </w:r>
          </w:p>
          <w:p w14:paraId="675D1012" w14:textId="77777777" w:rsidR="00C164AD" w:rsidRPr="00084172" w:rsidRDefault="00C164AD" w:rsidP="004137E7">
            <w:pPr>
              <w:rPr>
                <w:sz w:val="20"/>
                <w:szCs w:val="20"/>
              </w:rPr>
            </w:pPr>
          </w:p>
          <w:p w14:paraId="19385135" w14:textId="2229FCEB" w:rsidR="004137E7" w:rsidRPr="00084172" w:rsidRDefault="00C164AD" w:rsidP="004137E7">
            <w:pPr>
              <w:shd w:val="clear" w:color="auto" w:fill="FFFFFF"/>
              <w:jc w:val="both"/>
              <w:rPr>
                <w:iCs/>
                <w:sz w:val="20"/>
                <w:szCs w:val="20"/>
              </w:rPr>
            </w:pPr>
            <w:r w:rsidRPr="00F66263">
              <w:rPr>
                <w:b/>
                <w:bCs/>
                <w:iCs/>
                <w:sz w:val="20"/>
                <w:szCs w:val="20"/>
              </w:rPr>
              <w:t xml:space="preserve"> </w:t>
            </w:r>
            <w:r w:rsidR="004137E7" w:rsidRPr="00F66263">
              <w:rPr>
                <w:iCs/>
                <w:sz w:val="20"/>
                <w:szCs w:val="20"/>
              </w:rPr>
              <w:t>„</w:t>
            </w:r>
            <w:r w:rsidR="004137E7" w:rsidRPr="00F66263">
              <w:rPr>
                <w:b/>
                <w:bCs/>
                <w:iCs/>
                <w:sz w:val="20"/>
                <w:szCs w:val="20"/>
              </w:rPr>
              <w:t>3</w:t>
            </w:r>
            <w:r w:rsidR="0071725B">
              <w:rPr>
                <w:b/>
                <w:bCs/>
                <w:iCs/>
                <w:sz w:val="20"/>
                <w:szCs w:val="20"/>
              </w:rPr>
              <w:t>1</w:t>
            </w:r>
            <w:r w:rsidR="004137E7" w:rsidRPr="00F66263">
              <w:rPr>
                <w:b/>
                <w:bCs/>
                <w:iCs/>
                <w:sz w:val="20"/>
                <w:szCs w:val="20"/>
              </w:rPr>
              <w:t xml:space="preserve">. Smernica Európskeho Parlamentu a Rady </w:t>
            </w:r>
            <w:r w:rsidR="004137E7" w:rsidRPr="00F66263">
              <w:rPr>
                <w:b/>
                <w:bCs/>
                <w:sz w:val="20"/>
                <w:szCs w:val="20"/>
              </w:rPr>
              <w:t>(EÚ) 2024/790 z 28. februára 2024, ktorou sa mení smernica 2014/65/EÚ o trhoch s finančnými nástrojmi</w:t>
            </w:r>
            <w:r w:rsidR="004137E7" w:rsidRPr="00F66263">
              <w:rPr>
                <w:b/>
                <w:bCs/>
                <w:iCs/>
                <w:sz w:val="20"/>
                <w:szCs w:val="20"/>
              </w:rPr>
              <w:t xml:space="preserve"> (Ú. v. EÚ L</w:t>
            </w:r>
            <w:r w:rsidR="00B66CE1" w:rsidRPr="00F66263">
              <w:rPr>
                <w:b/>
                <w:bCs/>
                <w:iCs/>
                <w:sz w:val="20"/>
                <w:szCs w:val="20"/>
              </w:rPr>
              <w:t xml:space="preserve"> 2024/790</w:t>
            </w:r>
            <w:r w:rsidR="004137E7" w:rsidRPr="00F66263">
              <w:rPr>
                <w:b/>
                <w:bCs/>
                <w:iCs/>
                <w:sz w:val="20"/>
                <w:szCs w:val="20"/>
              </w:rPr>
              <w:t>, 8.3.2024).</w:t>
            </w:r>
            <w:r w:rsidR="004137E7" w:rsidRPr="00F66263">
              <w:rPr>
                <w:iCs/>
                <w:sz w:val="20"/>
                <w:szCs w:val="20"/>
              </w:rPr>
              <w:t>“.</w:t>
            </w:r>
          </w:p>
          <w:p w14:paraId="20902092" w14:textId="5E2C05F8" w:rsidR="004137E7" w:rsidRPr="00084172" w:rsidRDefault="004137E7" w:rsidP="004137E7">
            <w:pPr>
              <w:shd w:val="clear" w:color="auto" w:fill="FFFFFF"/>
              <w:ind w:left="284"/>
              <w:jc w:val="both"/>
              <w:rPr>
                <w:iCs/>
                <w:sz w:val="20"/>
                <w:szCs w:val="20"/>
              </w:rPr>
            </w:pPr>
          </w:p>
          <w:p w14:paraId="3852EC69" w14:textId="77777777" w:rsidR="00AC1613" w:rsidRDefault="00AC1613" w:rsidP="00B66CE1">
            <w:pPr>
              <w:pStyle w:val="Normlny0"/>
              <w:jc w:val="both"/>
            </w:pPr>
          </w:p>
          <w:p w14:paraId="503EB69D" w14:textId="1C20FB3C" w:rsidR="00B66CE1" w:rsidRPr="00084172" w:rsidRDefault="00B66CE1" w:rsidP="00B66CE1">
            <w:pPr>
              <w:pStyle w:val="Normlny0"/>
              <w:jc w:val="both"/>
            </w:pPr>
            <w:r w:rsidRPr="00084172">
              <w:t>Týmto zákonom sa preberajú právne záväzné akty Európskej únie uvedené v prílohe.</w:t>
            </w:r>
          </w:p>
          <w:p w14:paraId="2BA99244" w14:textId="452AC6CB" w:rsidR="00B66CE1" w:rsidRPr="00084172" w:rsidRDefault="00B66CE1" w:rsidP="004137E7">
            <w:pPr>
              <w:shd w:val="clear" w:color="auto" w:fill="FFFFFF"/>
              <w:ind w:left="284"/>
              <w:jc w:val="both"/>
              <w:rPr>
                <w:iCs/>
                <w:sz w:val="20"/>
                <w:szCs w:val="20"/>
              </w:rPr>
            </w:pPr>
          </w:p>
          <w:p w14:paraId="27C8AB9A" w14:textId="418B2733" w:rsidR="00B66CE1" w:rsidRPr="00084172" w:rsidRDefault="00B66CE1" w:rsidP="00B66CE1">
            <w:pPr>
              <w:pStyle w:val="Normlny0"/>
              <w:jc w:val="both"/>
              <w:rPr>
                <w:b/>
              </w:rPr>
            </w:pPr>
          </w:p>
          <w:p w14:paraId="2F42695B" w14:textId="77777777" w:rsidR="00B66CE1" w:rsidRPr="00084172" w:rsidRDefault="00B66CE1" w:rsidP="00B66CE1">
            <w:pPr>
              <w:rPr>
                <w:sz w:val="20"/>
                <w:szCs w:val="20"/>
              </w:rPr>
            </w:pPr>
            <w:r w:rsidRPr="00084172">
              <w:rPr>
                <w:sz w:val="20"/>
                <w:szCs w:val="20"/>
              </w:rPr>
              <w:lastRenderedPageBreak/>
              <w:t>ZOZNAM PREBERANÝCH PRÁVNE ZÁVÄZNÝCH AKTOV EURÓPSKEJ ÚNIE</w:t>
            </w:r>
          </w:p>
          <w:p w14:paraId="71BDAA32" w14:textId="5ED93EEB" w:rsidR="004137E7" w:rsidRPr="00084172" w:rsidRDefault="00C164AD" w:rsidP="004137E7">
            <w:pPr>
              <w:shd w:val="clear" w:color="auto" w:fill="FFFFFF"/>
              <w:jc w:val="both"/>
              <w:rPr>
                <w:iCs/>
                <w:sz w:val="20"/>
                <w:szCs w:val="20"/>
              </w:rPr>
            </w:pPr>
            <w:r w:rsidRPr="00084172">
              <w:rPr>
                <w:iCs/>
                <w:sz w:val="20"/>
                <w:szCs w:val="20"/>
              </w:rPr>
              <w:t xml:space="preserve"> </w:t>
            </w:r>
            <w:r w:rsidR="008B6C4B" w:rsidRPr="00084172">
              <w:rPr>
                <w:iCs/>
                <w:sz w:val="20"/>
                <w:szCs w:val="20"/>
              </w:rPr>
              <w:t>„</w:t>
            </w:r>
            <w:r w:rsidR="008B6C4B" w:rsidRPr="00F66263">
              <w:rPr>
                <w:b/>
                <w:bCs/>
                <w:iCs/>
                <w:sz w:val="20"/>
                <w:szCs w:val="20"/>
              </w:rPr>
              <w:t>1</w:t>
            </w:r>
            <w:r w:rsidR="0071725B">
              <w:rPr>
                <w:b/>
                <w:bCs/>
                <w:iCs/>
                <w:sz w:val="20"/>
                <w:szCs w:val="20"/>
              </w:rPr>
              <w:t>2</w:t>
            </w:r>
            <w:r w:rsidR="004137E7" w:rsidRPr="00F66263">
              <w:rPr>
                <w:b/>
                <w:bCs/>
                <w:iCs/>
                <w:sz w:val="20"/>
                <w:szCs w:val="20"/>
              </w:rPr>
              <w:t xml:space="preserve">. Smernica Európskeho Parlamentu a Rady </w:t>
            </w:r>
            <w:r w:rsidR="004137E7" w:rsidRPr="00F66263">
              <w:rPr>
                <w:b/>
                <w:bCs/>
                <w:sz w:val="20"/>
                <w:szCs w:val="20"/>
              </w:rPr>
              <w:t>(EÚ) 2024/790 z 28. februára 2024, ktorou sa mení smernica 2014/65/EÚ o trhoch s finančnými nástrojmi</w:t>
            </w:r>
            <w:r w:rsidR="004137E7" w:rsidRPr="00F66263">
              <w:rPr>
                <w:b/>
                <w:bCs/>
                <w:iCs/>
                <w:sz w:val="20"/>
                <w:szCs w:val="20"/>
              </w:rPr>
              <w:t xml:space="preserve"> (Ú. v. EÚ L</w:t>
            </w:r>
            <w:r w:rsidRPr="00F66263">
              <w:rPr>
                <w:b/>
                <w:bCs/>
                <w:iCs/>
                <w:sz w:val="20"/>
                <w:szCs w:val="20"/>
              </w:rPr>
              <w:t xml:space="preserve"> 2024/790</w:t>
            </w:r>
            <w:r w:rsidR="004137E7" w:rsidRPr="00F66263">
              <w:rPr>
                <w:b/>
                <w:bCs/>
                <w:iCs/>
                <w:sz w:val="20"/>
                <w:szCs w:val="20"/>
              </w:rPr>
              <w:t>, 8.3.2024).</w:t>
            </w:r>
            <w:r w:rsidR="004137E7" w:rsidRPr="00F66263">
              <w:rPr>
                <w:iCs/>
                <w:sz w:val="20"/>
                <w:szCs w:val="20"/>
              </w:rPr>
              <w:t>“.</w:t>
            </w:r>
          </w:p>
          <w:p w14:paraId="0908C474" w14:textId="448E716C" w:rsidR="00AE3563" w:rsidRPr="00084172" w:rsidRDefault="00AE3563" w:rsidP="004137E7">
            <w:pPr>
              <w:shd w:val="clear" w:color="auto" w:fill="FFFFFF"/>
              <w:jc w:val="both"/>
              <w:rPr>
                <w:iCs/>
                <w:sz w:val="20"/>
                <w:szCs w:val="20"/>
              </w:rPr>
            </w:pPr>
          </w:p>
          <w:p w14:paraId="27A20FC8" w14:textId="6412C237" w:rsidR="00AE3563" w:rsidRPr="00084172" w:rsidRDefault="00AE3563" w:rsidP="004137E7">
            <w:pPr>
              <w:shd w:val="clear" w:color="auto" w:fill="FFFFFF"/>
              <w:jc w:val="both"/>
              <w:rPr>
                <w:iCs/>
                <w:sz w:val="20"/>
                <w:szCs w:val="20"/>
              </w:rPr>
            </w:pPr>
            <w:r w:rsidRPr="00084172">
              <w:rPr>
                <w:iCs/>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143732A8" w14:textId="77777777" w:rsidR="004137E7" w:rsidRPr="00084172" w:rsidRDefault="004137E7" w:rsidP="004137E7">
            <w:pPr>
              <w:rPr>
                <w:sz w:val="20"/>
                <w:szCs w:val="20"/>
              </w:rPr>
            </w:pPr>
          </w:p>
        </w:tc>
        <w:tc>
          <w:tcPr>
            <w:tcW w:w="709" w:type="dxa"/>
            <w:tcBorders>
              <w:top w:val="single" w:sz="4" w:space="0" w:color="auto"/>
              <w:left w:val="single" w:sz="4" w:space="0" w:color="auto"/>
              <w:right w:val="single" w:sz="4" w:space="0" w:color="auto"/>
            </w:tcBorders>
          </w:tcPr>
          <w:p w14:paraId="249F1F7D" w14:textId="77777777" w:rsidR="004137E7" w:rsidRDefault="004137E7" w:rsidP="004137E7">
            <w:pPr>
              <w:adjustRightInd w:val="0"/>
              <w:rPr>
                <w:color w:val="000000"/>
                <w:sz w:val="22"/>
                <w:szCs w:val="22"/>
              </w:rPr>
            </w:pPr>
            <w:r>
              <w:rPr>
                <w:color w:val="000000"/>
                <w:sz w:val="22"/>
                <w:szCs w:val="22"/>
              </w:rPr>
              <w:lastRenderedPageBreak/>
              <w:t>Ú</w:t>
            </w:r>
          </w:p>
          <w:p w14:paraId="0787CAB1" w14:textId="77777777" w:rsidR="004137E7" w:rsidRDefault="004137E7" w:rsidP="004137E7">
            <w:pPr>
              <w:adjustRightInd w:val="0"/>
              <w:rPr>
                <w:color w:val="000000"/>
                <w:sz w:val="22"/>
                <w:szCs w:val="22"/>
              </w:rPr>
            </w:pPr>
          </w:p>
          <w:p w14:paraId="7F779854" w14:textId="77777777" w:rsidR="004137E7" w:rsidRDefault="004137E7" w:rsidP="004137E7">
            <w:pPr>
              <w:adjustRightInd w:val="0"/>
              <w:rPr>
                <w:color w:val="000000"/>
                <w:sz w:val="22"/>
                <w:szCs w:val="22"/>
              </w:rPr>
            </w:pPr>
          </w:p>
          <w:p w14:paraId="2A1BB8EA" w14:textId="77777777" w:rsidR="004137E7" w:rsidRDefault="004137E7" w:rsidP="004137E7">
            <w:pPr>
              <w:adjustRightInd w:val="0"/>
              <w:rPr>
                <w:color w:val="000000"/>
                <w:sz w:val="22"/>
                <w:szCs w:val="22"/>
              </w:rPr>
            </w:pPr>
          </w:p>
          <w:p w14:paraId="0491C027" w14:textId="77777777" w:rsidR="004137E7" w:rsidRDefault="004137E7" w:rsidP="004137E7">
            <w:pPr>
              <w:adjustRightInd w:val="0"/>
              <w:rPr>
                <w:color w:val="000000"/>
                <w:sz w:val="22"/>
                <w:szCs w:val="22"/>
              </w:rPr>
            </w:pPr>
            <w:r>
              <w:rPr>
                <w:color w:val="000000"/>
                <w:sz w:val="22"/>
                <w:szCs w:val="22"/>
              </w:rPr>
              <w:lastRenderedPageBreak/>
              <w:t>Ú</w:t>
            </w:r>
          </w:p>
          <w:p w14:paraId="66855528" w14:textId="77777777" w:rsidR="004137E7" w:rsidRDefault="004137E7" w:rsidP="004137E7">
            <w:pPr>
              <w:adjustRightInd w:val="0"/>
              <w:rPr>
                <w:color w:val="000000"/>
                <w:sz w:val="22"/>
                <w:szCs w:val="22"/>
              </w:rPr>
            </w:pPr>
          </w:p>
          <w:p w14:paraId="2420DA31" w14:textId="77777777" w:rsidR="004137E7" w:rsidRDefault="004137E7" w:rsidP="004137E7">
            <w:pPr>
              <w:adjustRightInd w:val="0"/>
              <w:rPr>
                <w:color w:val="000000"/>
                <w:sz w:val="22"/>
                <w:szCs w:val="22"/>
              </w:rPr>
            </w:pPr>
          </w:p>
          <w:p w14:paraId="1B5F4A8B" w14:textId="77777777" w:rsidR="004137E7" w:rsidRDefault="004137E7" w:rsidP="004137E7">
            <w:pPr>
              <w:adjustRightInd w:val="0"/>
              <w:rPr>
                <w:color w:val="000000"/>
                <w:sz w:val="22"/>
                <w:szCs w:val="22"/>
              </w:rPr>
            </w:pPr>
          </w:p>
          <w:p w14:paraId="31BB6793" w14:textId="77777777" w:rsidR="004137E7" w:rsidRDefault="004137E7" w:rsidP="004137E7">
            <w:pPr>
              <w:adjustRightInd w:val="0"/>
              <w:rPr>
                <w:color w:val="000000"/>
                <w:sz w:val="22"/>
                <w:szCs w:val="22"/>
              </w:rPr>
            </w:pPr>
          </w:p>
          <w:p w14:paraId="7D814B44" w14:textId="77777777" w:rsidR="004137E7" w:rsidRDefault="004137E7" w:rsidP="004137E7">
            <w:pPr>
              <w:adjustRightInd w:val="0"/>
              <w:rPr>
                <w:color w:val="000000"/>
                <w:sz w:val="22"/>
                <w:szCs w:val="22"/>
              </w:rPr>
            </w:pPr>
          </w:p>
          <w:p w14:paraId="643159E0" w14:textId="77777777" w:rsidR="004137E7" w:rsidRDefault="004137E7" w:rsidP="004137E7">
            <w:pPr>
              <w:adjustRightInd w:val="0"/>
              <w:rPr>
                <w:color w:val="000000"/>
                <w:sz w:val="22"/>
                <w:szCs w:val="22"/>
              </w:rPr>
            </w:pPr>
          </w:p>
          <w:p w14:paraId="5451CF0D" w14:textId="77777777" w:rsidR="004137E7" w:rsidRDefault="004137E7" w:rsidP="004137E7">
            <w:pPr>
              <w:adjustRightInd w:val="0"/>
              <w:rPr>
                <w:color w:val="000000"/>
                <w:sz w:val="22"/>
                <w:szCs w:val="22"/>
              </w:rPr>
            </w:pPr>
          </w:p>
          <w:p w14:paraId="6180F60B" w14:textId="77777777" w:rsidR="004137E7" w:rsidRPr="00531286" w:rsidRDefault="004137E7" w:rsidP="004137E7">
            <w:pPr>
              <w:adjustRightInd w:val="0"/>
              <w:rPr>
                <w:color w:val="000000"/>
                <w:sz w:val="22"/>
                <w:szCs w:val="22"/>
              </w:rPr>
            </w:pPr>
            <w:r>
              <w:rPr>
                <w:color w:val="000000"/>
                <w:sz w:val="22"/>
                <w:szCs w:val="22"/>
              </w:rPr>
              <w:t>Ú</w:t>
            </w:r>
          </w:p>
        </w:tc>
        <w:tc>
          <w:tcPr>
            <w:tcW w:w="1077" w:type="dxa"/>
            <w:tcBorders>
              <w:top w:val="single" w:sz="4" w:space="0" w:color="auto"/>
              <w:left w:val="single" w:sz="4" w:space="0" w:color="auto"/>
              <w:right w:val="single" w:sz="4" w:space="0" w:color="auto"/>
            </w:tcBorders>
          </w:tcPr>
          <w:p w14:paraId="2B6BF969"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684BFCD2" w14:textId="64AB0E99" w:rsidR="00C164AD" w:rsidRPr="00201781" w:rsidRDefault="00201781" w:rsidP="00C164AD">
            <w:pPr>
              <w:spacing w:before="75" w:after="75"/>
              <w:rPr>
                <w:color w:val="000000"/>
                <w:sz w:val="20"/>
                <w:szCs w:val="20"/>
              </w:rPr>
            </w:pPr>
            <w:r w:rsidRPr="0024482C">
              <w:rPr>
                <w:color w:val="000000"/>
                <w:sz w:val="20"/>
                <w:szCs w:val="20"/>
              </w:rPr>
              <w:t>GP-N</w:t>
            </w:r>
          </w:p>
        </w:tc>
        <w:tc>
          <w:tcPr>
            <w:tcW w:w="1418" w:type="dxa"/>
            <w:tcBorders>
              <w:top w:val="single" w:sz="4" w:space="0" w:color="auto"/>
              <w:left w:val="single" w:sz="4" w:space="0" w:color="auto"/>
              <w:right w:val="single" w:sz="12" w:space="0" w:color="auto"/>
            </w:tcBorders>
          </w:tcPr>
          <w:p w14:paraId="462EEFA9" w14:textId="77777777" w:rsidR="004137E7" w:rsidRPr="00531286" w:rsidRDefault="004137E7" w:rsidP="004137E7">
            <w:pPr>
              <w:spacing w:before="75" w:after="75"/>
              <w:rPr>
                <w:sz w:val="22"/>
                <w:szCs w:val="22"/>
              </w:rPr>
            </w:pPr>
          </w:p>
        </w:tc>
      </w:tr>
      <w:tr w:rsidR="004137E7" w:rsidRPr="0066733C" w14:paraId="6C34DD9D" w14:textId="77777777" w:rsidTr="004B4186">
        <w:tc>
          <w:tcPr>
            <w:tcW w:w="682" w:type="dxa"/>
            <w:tcBorders>
              <w:top w:val="single" w:sz="4" w:space="0" w:color="auto"/>
              <w:left w:val="single" w:sz="12" w:space="0" w:color="auto"/>
              <w:right w:val="single" w:sz="4" w:space="0" w:color="auto"/>
            </w:tcBorders>
          </w:tcPr>
          <w:p w14:paraId="369B1C33" w14:textId="77777777" w:rsidR="004137E7" w:rsidRPr="00531286" w:rsidRDefault="004137E7" w:rsidP="004137E7">
            <w:pPr>
              <w:jc w:val="center"/>
              <w:rPr>
                <w:sz w:val="22"/>
                <w:szCs w:val="22"/>
              </w:rPr>
            </w:pPr>
            <w:r w:rsidRPr="00531286">
              <w:rPr>
                <w:sz w:val="22"/>
                <w:szCs w:val="22"/>
              </w:rPr>
              <w:lastRenderedPageBreak/>
              <w:t>Č: 3</w:t>
            </w:r>
          </w:p>
          <w:p w14:paraId="7795A9B0"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439BCAFC" w14:textId="77777777" w:rsidR="004137E7" w:rsidRPr="00531286" w:rsidRDefault="004137E7" w:rsidP="004137E7">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Nadobudnutie účinnosti</w:t>
            </w:r>
          </w:p>
          <w:p w14:paraId="4AC6FDBD" w14:textId="77777777" w:rsidR="004137E7" w:rsidRPr="00531286" w:rsidRDefault="004137E7" w:rsidP="004137E7">
            <w:pPr>
              <w:pStyle w:val="PredformtovanHTML"/>
              <w:shd w:val="clear" w:color="auto" w:fill="F8F9FA"/>
              <w:rPr>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Táto smernica nadobúda účinnosť dvadsiatym dňom po jej uverejnení v Úradnom vestníku Európskej únie.</w:t>
            </w:r>
          </w:p>
          <w:p w14:paraId="4F010D7B" w14:textId="77777777" w:rsidR="004137E7" w:rsidRPr="00531286" w:rsidRDefault="004137E7" w:rsidP="004137E7">
            <w:pPr>
              <w:pStyle w:val="PredformtovanHTML"/>
              <w:shd w:val="clear" w:color="auto" w:fill="F8F9FA"/>
              <w:rPr>
                <w:rStyle w:val="y2iqfc"/>
                <w:rFonts w:ascii="Times New Roman" w:hAnsi="Times New Roman" w:cs="Times New Roman"/>
                <w:color w:val="202124"/>
                <w:sz w:val="22"/>
                <w:szCs w:val="22"/>
              </w:rPr>
            </w:pPr>
          </w:p>
        </w:tc>
        <w:tc>
          <w:tcPr>
            <w:tcW w:w="850" w:type="dxa"/>
            <w:tcBorders>
              <w:top w:val="single" w:sz="4" w:space="0" w:color="auto"/>
              <w:left w:val="single" w:sz="4" w:space="0" w:color="auto"/>
              <w:right w:val="single" w:sz="12" w:space="0" w:color="auto"/>
            </w:tcBorders>
          </w:tcPr>
          <w:p w14:paraId="766F0F02" w14:textId="77777777" w:rsidR="004137E7" w:rsidRPr="00531286" w:rsidRDefault="004137E7" w:rsidP="004137E7">
            <w:pPr>
              <w:adjustRightInd w:val="0"/>
              <w:jc w:val="center"/>
              <w:rPr>
                <w:color w:val="000000"/>
                <w:sz w:val="22"/>
                <w:szCs w:val="22"/>
              </w:rPr>
            </w:pPr>
            <w:proofErr w:type="spellStart"/>
            <w:r w:rsidRPr="00531286">
              <w:rPr>
                <w:color w:val="000000"/>
                <w:sz w:val="22"/>
                <w:szCs w:val="22"/>
              </w:rPr>
              <w:t>n.a</w:t>
            </w:r>
            <w:proofErr w:type="spellEnd"/>
            <w:r w:rsidRPr="00531286">
              <w:rPr>
                <w:color w:val="000000"/>
                <w:sz w:val="22"/>
                <w:szCs w:val="22"/>
              </w:rPr>
              <w:t>.</w:t>
            </w:r>
          </w:p>
        </w:tc>
        <w:tc>
          <w:tcPr>
            <w:tcW w:w="993" w:type="dxa"/>
            <w:tcBorders>
              <w:top w:val="single" w:sz="4" w:space="0" w:color="auto"/>
              <w:left w:val="nil"/>
              <w:right w:val="single" w:sz="4" w:space="0" w:color="auto"/>
            </w:tcBorders>
          </w:tcPr>
          <w:p w14:paraId="1D9FAC13" w14:textId="77777777" w:rsidR="004137E7" w:rsidRPr="00531286" w:rsidRDefault="004137E7" w:rsidP="004137E7">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1199218F" w14:textId="77777777" w:rsidR="004137E7" w:rsidRPr="00531286" w:rsidRDefault="004137E7" w:rsidP="004137E7">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3AA91775" w14:textId="77777777" w:rsidR="004137E7" w:rsidRPr="00531286" w:rsidRDefault="004137E7" w:rsidP="004137E7">
            <w:pPr>
              <w:rPr>
                <w:sz w:val="22"/>
                <w:szCs w:val="22"/>
              </w:rPr>
            </w:pPr>
          </w:p>
        </w:tc>
        <w:tc>
          <w:tcPr>
            <w:tcW w:w="709" w:type="dxa"/>
            <w:tcBorders>
              <w:top w:val="single" w:sz="4" w:space="0" w:color="auto"/>
              <w:left w:val="single" w:sz="4" w:space="0" w:color="auto"/>
              <w:right w:val="single" w:sz="4" w:space="0" w:color="auto"/>
            </w:tcBorders>
          </w:tcPr>
          <w:p w14:paraId="03F5B94D" w14:textId="77777777" w:rsidR="004137E7" w:rsidRPr="00531286" w:rsidRDefault="004137E7" w:rsidP="004137E7">
            <w:pPr>
              <w:adjustRightInd w:val="0"/>
              <w:rPr>
                <w:color w:val="000000"/>
                <w:sz w:val="22"/>
                <w:szCs w:val="22"/>
              </w:rPr>
            </w:pPr>
            <w:proofErr w:type="spellStart"/>
            <w:r w:rsidRPr="00531286">
              <w:rPr>
                <w:color w:val="000000"/>
                <w:sz w:val="22"/>
                <w:szCs w:val="22"/>
              </w:rPr>
              <w:t>n.a</w:t>
            </w:r>
            <w:proofErr w:type="spellEnd"/>
            <w:r w:rsidRPr="00531286">
              <w:rPr>
                <w:color w:val="000000"/>
                <w:sz w:val="22"/>
                <w:szCs w:val="22"/>
              </w:rPr>
              <w:t>.</w:t>
            </w:r>
          </w:p>
        </w:tc>
        <w:tc>
          <w:tcPr>
            <w:tcW w:w="1077" w:type="dxa"/>
            <w:tcBorders>
              <w:top w:val="single" w:sz="4" w:space="0" w:color="auto"/>
              <w:left w:val="single" w:sz="4" w:space="0" w:color="auto"/>
              <w:right w:val="single" w:sz="4" w:space="0" w:color="auto"/>
            </w:tcBorders>
          </w:tcPr>
          <w:p w14:paraId="04D271A1"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185DD8E0" w14:textId="77777777" w:rsidR="004137E7" w:rsidRPr="00531286" w:rsidRDefault="004137E7" w:rsidP="004137E7">
            <w:pPr>
              <w:spacing w:before="75" w:after="75"/>
              <w:rPr>
                <w:sz w:val="22"/>
                <w:szCs w:val="22"/>
              </w:rPr>
            </w:pPr>
          </w:p>
        </w:tc>
        <w:tc>
          <w:tcPr>
            <w:tcW w:w="1418" w:type="dxa"/>
            <w:tcBorders>
              <w:top w:val="single" w:sz="4" w:space="0" w:color="auto"/>
              <w:left w:val="single" w:sz="4" w:space="0" w:color="auto"/>
              <w:right w:val="single" w:sz="12" w:space="0" w:color="auto"/>
            </w:tcBorders>
          </w:tcPr>
          <w:p w14:paraId="6355C35E" w14:textId="77777777" w:rsidR="004137E7" w:rsidRPr="00531286" w:rsidRDefault="004137E7" w:rsidP="004137E7">
            <w:pPr>
              <w:spacing w:before="75" w:after="75"/>
              <w:rPr>
                <w:sz w:val="22"/>
                <w:szCs w:val="22"/>
              </w:rPr>
            </w:pPr>
          </w:p>
        </w:tc>
      </w:tr>
      <w:tr w:rsidR="004137E7" w:rsidRPr="0066733C" w14:paraId="6C8E6E20" w14:textId="77777777" w:rsidTr="004B4186">
        <w:tc>
          <w:tcPr>
            <w:tcW w:w="682" w:type="dxa"/>
            <w:tcBorders>
              <w:top w:val="single" w:sz="4" w:space="0" w:color="auto"/>
              <w:left w:val="single" w:sz="12" w:space="0" w:color="auto"/>
              <w:right w:val="single" w:sz="4" w:space="0" w:color="auto"/>
            </w:tcBorders>
          </w:tcPr>
          <w:p w14:paraId="4326C287" w14:textId="77777777" w:rsidR="004137E7" w:rsidRPr="00531286" w:rsidRDefault="004137E7" w:rsidP="004137E7">
            <w:pPr>
              <w:jc w:val="center"/>
              <w:rPr>
                <w:sz w:val="22"/>
                <w:szCs w:val="22"/>
              </w:rPr>
            </w:pPr>
            <w:r w:rsidRPr="00531286">
              <w:rPr>
                <w:sz w:val="22"/>
                <w:szCs w:val="22"/>
              </w:rPr>
              <w:t>Č: 4</w:t>
            </w:r>
          </w:p>
          <w:p w14:paraId="41017D80" w14:textId="77777777" w:rsidR="004137E7" w:rsidRPr="00531286" w:rsidRDefault="004137E7" w:rsidP="004137E7">
            <w:pPr>
              <w:jc w:val="center"/>
              <w:rPr>
                <w:sz w:val="22"/>
                <w:szCs w:val="22"/>
              </w:rPr>
            </w:pPr>
          </w:p>
        </w:tc>
        <w:tc>
          <w:tcPr>
            <w:tcW w:w="4620" w:type="dxa"/>
            <w:tcBorders>
              <w:top w:val="single" w:sz="4" w:space="0" w:color="auto"/>
              <w:left w:val="single" w:sz="4" w:space="0" w:color="auto"/>
              <w:right w:val="single" w:sz="4" w:space="0" w:color="auto"/>
            </w:tcBorders>
          </w:tcPr>
          <w:p w14:paraId="713863C6" w14:textId="77777777" w:rsidR="004137E7" w:rsidRPr="00531286" w:rsidRDefault="004137E7" w:rsidP="004137E7">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Adresáti</w:t>
            </w:r>
          </w:p>
          <w:p w14:paraId="1B589FB0" w14:textId="497CCCDD" w:rsidR="004137E7" w:rsidRPr="000A06A6" w:rsidRDefault="004137E7" w:rsidP="004137E7">
            <w:pPr>
              <w:pStyle w:val="PredformtovanHTML"/>
              <w:shd w:val="clear" w:color="auto" w:fill="F8F9FA"/>
              <w:rPr>
                <w:rStyle w:val="y2iqfc"/>
                <w:rFonts w:ascii="Times New Roman" w:hAnsi="Times New Roman" w:cs="Times New Roman"/>
                <w:color w:val="202124"/>
                <w:sz w:val="22"/>
                <w:szCs w:val="22"/>
              </w:rPr>
            </w:pPr>
            <w:r w:rsidRPr="00531286">
              <w:rPr>
                <w:rStyle w:val="y2iqfc"/>
                <w:rFonts w:ascii="Times New Roman" w:hAnsi="Times New Roman" w:cs="Times New Roman"/>
                <w:color w:val="202124"/>
                <w:sz w:val="22"/>
                <w:szCs w:val="22"/>
              </w:rPr>
              <w:t xml:space="preserve">Táto smernica </w:t>
            </w:r>
            <w:r w:rsidRPr="000A06A6">
              <w:rPr>
                <w:rStyle w:val="y2iqfc"/>
                <w:rFonts w:ascii="Times New Roman" w:hAnsi="Times New Roman" w:cs="Times New Roman"/>
                <w:color w:val="202124"/>
                <w:sz w:val="22"/>
                <w:szCs w:val="22"/>
              </w:rPr>
              <w:t>je určená členským štátom.</w:t>
            </w:r>
          </w:p>
          <w:p w14:paraId="2DD048E8" w14:textId="77777777" w:rsidR="00C40137" w:rsidRPr="000A06A6" w:rsidRDefault="00C40137" w:rsidP="000C72AE">
            <w:pPr>
              <w:pStyle w:val="oj-normal"/>
              <w:shd w:val="clear" w:color="auto" w:fill="FFFFFF"/>
              <w:spacing w:before="120" w:beforeAutospacing="0" w:after="0" w:afterAutospacing="0" w:line="312" w:lineRule="atLeast"/>
              <w:rPr>
                <w:color w:val="333333"/>
                <w:sz w:val="27"/>
                <w:szCs w:val="27"/>
              </w:rPr>
            </w:pPr>
            <w:r w:rsidRPr="000A06A6">
              <w:rPr>
                <w:color w:val="333333"/>
                <w:sz w:val="27"/>
                <w:szCs w:val="27"/>
              </w:rPr>
              <w:t>V Štrasburgu 28. februára 2024</w:t>
            </w:r>
          </w:p>
          <w:p w14:paraId="2A89B616" w14:textId="77777777" w:rsidR="00C40137" w:rsidRPr="000A06A6" w:rsidRDefault="00C40137" w:rsidP="000C72AE">
            <w:pPr>
              <w:pStyle w:val="oj-signatory"/>
              <w:shd w:val="clear" w:color="auto" w:fill="FFFFFF"/>
              <w:spacing w:before="60" w:beforeAutospacing="0" w:after="60" w:afterAutospacing="0" w:line="312" w:lineRule="atLeast"/>
              <w:rPr>
                <w:color w:val="333333"/>
                <w:sz w:val="27"/>
                <w:szCs w:val="27"/>
              </w:rPr>
            </w:pPr>
            <w:r w:rsidRPr="000A06A6">
              <w:rPr>
                <w:rStyle w:val="oj-italic"/>
                <w:i/>
                <w:iCs/>
                <w:color w:val="333333"/>
                <w:sz w:val="27"/>
                <w:szCs w:val="27"/>
              </w:rPr>
              <w:t>Za Európsky parlament</w:t>
            </w:r>
          </w:p>
          <w:p w14:paraId="001B409D" w14:textId="77777777" w:rsidR="00C40137" w:rsidRPr="000A06A6" w:rsidRDefault="00C40137" w:rsidP="000C72AE">
            <w:pPr>
              <w:pStyle w:val="oj-signatory"/>
              <w:shd w:val="clear" w:color="auto" w:fill="FFFFFF"/>
              <w:spacing w:before="60" w:beforeAutospacing="0" w:after="60" w:afterAutospacing="0" w:line="312" w:lineRule="atLeast"/>
              <w:rPr>
                <w:color w:val="333333"/>
                <w:sz w:val="27"/>
                <w:szCs w:val="27"/>
              </w:rPr>
            </w:pPr>
            <w:r w:rsidRPr="000A06A6">
              <w:rPr>
                <w:rStyle w:val="oj-italic"/>
                <w:i/>
                <w:iCs/>
                <w:color w:val="333333"/>
                <w:sz w:val="27"/>
                <w:szCs w:val="27"/>
              </w:rPr>
              <w:t>predsedníčka</w:t>
            </w:r>
          </w:p>
          <w:p w14:paraId="308A799D" w14:textId="77777777" w:rsidR="00C40137" w:rsidRPr="000A06A6" w:rsidRDefault="00C40137" w:rsidP="000C72AE">
            <w:pPr>
              <w:pStyle w:val="oj-signatory"/>
              <w:shd w:val="clear" w:color="auto" w:fill="FFFFFF"/>
              <w:spacing w:before="60" w:beforeAutospacing="0" w:after="60" w:afterAutospacing="0" w:line="312" w:lineRule="atLeast"/>
              <w:rPr>
                <w:color w:val="333333"/>
                <w:sz w:val="27"/>
                <w:szCs w:val="27"/>
              </w:rPr>
            </w:pPr>
            <w:r w:rsidRPr="000A06A6">
              <w:rPr>
                <w:color w:val="333333"/>
                <w:sz w:val="27"/>
                <w:szCs w:val="27"/>
              </w:rPr>
              <w:t>R. METSOLA</w:t>
            </w:r>
          </w:p>
          <w:p w14:paraId="4B6846D1" w14:textId="77777777" w:rsidR="00C40137" w:rsidRPr="000A06A6" w:rsidRDefault="00C40137" w:rsidP="000C72AE">
            <w:pPr>
              <w:pStyle w:val="oj-signatory"/>
              <w:shd w:val="clear" w:color="auto" w:fill="FFFFFF"/>
              <w:spacing w:before="60" w:beforeAutospacing="0" w:after="60" w:afterAutospacing="0" w:line="312" w:lineRule="atLeast"/>
              <w:rPr>
                <w:color w:val="333333"/>
                <w:sz w:val="27"/>
                <w:szCs w:val="27"/>
              </w:rPr>
            </w:pPr>
            <w:r w:rsidRPr="000A06A6">
              <w:rPr>
                <w:rStyle w:val="oj-italic"/>
                <w:i/>
                <w:iCs/>
                <w:color w:val="333333"/>
                <w:sz w:val="27"/>
                <w:szCs w:val="27"/>
              </w:rPr>
              <w:t>Za Radu</w:t>
            </w:r>
          </w:p>
          <w:p w14:paraId="7A718C6D" w14:textId="77777777" w:rsidR="00C40137" w:rsidRPr="000A06A6" w:rsidRDefault="00C40137" w:rsidP="000C72AE">
            <w:pPr>
              <w:pStyle w:val="oj-signatory"/>
              <w:shd w:val="clear" w:color="auto" w:fill="FFFFFF"/>
              <w:spacing w:before="60" w:beforeAutospacing="0" w:after="60" w:afterAutospacing="0" w:line="312" w:lineRule="atLeast"/>
              <w:rPr>
                <w:color w:val="333333"/>
                <w:sz w:val="27"/>
                <w:szCs w:val="27"/>
              </w:rPr>
            </w:pPr>
            <w:r w:rsidRPr="000A06A6">
              <w:rPr>
                <w:rStyle w:val="oj-italic"/>
                <w:i/>
                <w:iCs/>
                <w:color w:val="333333"/>
                <w:sz w:val="27"/>
                <w:szCs w:val="27"/>
              </w:rPr>
              <w:t>predseda</w:t>
            </w:r>
          </w:p>
          <w:p w14:paraId="71251CE4" w14:textId="77777777" w:rsidR="00C40137" w:rsidRPr="000C72AE" w:rsidRDefault="00C40137" w:rsidP="000C72AE">
            <w:pPr>
              <w:pStyle w:val="oj-signatory"/>
              <w:shd w:val="clear" w:color="auto" w:fill="FFFFFF"/>
              <w:spacing w:before="60" w:beforeAutospacing="0" w:after="60" w:afterAutospacing="0" w:line="312" w:lineRule="atLeast"/>
              <w:rPr>
                <w:color w:val="333333"/>
                <w:sz w:val="20"/>
                <w:szCs w:val="20"/>
              </w:rPr>
            </w:pPr>
            <w:r w:rsidRPr="000A06A6">
              <w:rPr>
                <w:color w:val="333333"/>
                <w:sz w:val="27"/>
                <w:szCs w:val="27"/>
              </w:rPr>
              <w:t>M. MICHEL</w:t>
            </w:r>
          </w:p>
          <w:p w14:paraId="53CC26B5" w14:textId="77777777" w:rsidR="00AE3563" w:rsidRPr="00531286" w:rsidRDefault="00AE3563" w:rsidP="004137E7">
            <w:pPr>
              <w:pStyle w:val="PredformtovanHTML"/>
              <w:shd w:val="clear" w:color="auto" w:fill="F8F9FA"/>
              <w:rPr>
                <w:rFonts w:ascii="Times New Roman" w:hAnsi="Times New Roman" w:cs="Times New Roman"/>
                <w:color w:val="202124"/>
                <w:sz w:val="22"/>
                <w:szCs w:val="22"/>
              </w:rPr>
            </w:pPr>
          </w:p>
          <w:p w14:paraId="31F2E70C" w14:textId="77777777" w:rsidR="004137E7" w:rsidRPr="00531286" w:rsidRDefault="004137E7" w:rsidP="004137E7">
            <w:pPr>
              <w:pStyle w:val="PredformtovanHTML"/>
              <w:shd w:val="clear" w:color="auto" w:fill="F8F9FA"/>
              <w:rPr>
                <w:rStyle w:val="y2iqfc"/>
                <w:rFonts w:ascii="Times New Roman" w:hAnsi="Times New Roman" w:cs="Times New Roman"/>
                <w:color w:val="202124"/>
                <w:sz w:val="22"/>
                <w:szCs w:val="22"/>
              </w:rPr>
            </w:pPr>
          </w:p>
        </w:tc>
        <w:tc>
          <w:tcPr>
            <w:tcW w:w="850" w:type="dxa"/>
            <w:tcBorders>
              <w:top w:val="single" w:sz="4" w:space="0" w:color="auto"/>
              <w:left w:val="single" w:sz="4" w:space="0" w:color="auto"/>
              <w:right w:val="single" w:sz="12" w:space="0" w:color="auto"/>
            </w:tcBorders>
          </w:tcPr>
          <w:p w14:paraId="4E969578" w14:textId="77777777" w:rsidR="004137E7" w:rsidRPr="00531286" w:rsidRDefault="004137E7" w:rsidP="004137E7">
            <w:pPr>
              <w:adjustRightInd w:val="0"/>
              <w:jc w:val="center"/>
              <w:rPr>
                <w:color w:val="000000"/>
                <w:sz w:val="22"/>
                <w:szCs w:val="22"/>
              </w:rPr>
            </w:pPr>
            <w:proofErr w:type="spellStart"/>
            <w:r w:rsidRPr="00531286">
              <w:rPr>
                <w:color w:val="000000"/>
                <w:sz w:val="22"/>
                <w:szCs w:val="22"/>
              </w:rPr>
              <w:t>n.a</w:t>
            </w:r>
            <w:proofErr w:type="spellEnd"/>
            <w:r w:rsidRPr="00531286">
              <w:rPr>
                <w:color w:val="000000"/>
                <w:sz w:val="22"/>
                <w:szCs w:val="22"/>
              </w:rPr>
              <w:t>.</w:t>
            </w:r>
          </w:p>
        </w:tc>
        <w:tc>
          <w:tcPr>
            <w:tcW w:w="993" w:type="dxa"/>
            <w:tcBorders>
              <w:top w:val="single" w:sz="4" w:space="0" w:color="auto"/>
              <w:left w:val="nil"/>
              <w:right w:val="single" w:sz="4" w:space="0" w:color="auto"/>
            </w:tcBorders>
          </w:tcPr>
          <w:p w14:paraId="01F0FBD5" w14:textId="77777777" w:rsidR="004137E7" w:rsidRPr="00531286" w:rsidRDefault="004137E7" w:rsidP="004137E7">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14F9C8B0" w14:textId="77777777" w:rsidR="004137E7" w:rsidRPr="00531286" w:rsidRDefault="004137E7" w:rsidP="004137E7">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4D94C528" w14:textId="77777777" w:rsidR="004137E7" w:rsidRPr="00531286" w:rsidRDefault="004137E7" w:rsidP="004137E7">
            <w:pPr>
              <w:rPr>
                <w:sz w:val="22"/>
                <w:szCs w:val="22"/>
              </w:rPr>
            </w:pPr>
          </w:p>
        </w:tc>
        <w:tc>
          <w:tcPr>
            <w:tcW w:w="709" w:type="dxa"/>
            <w:tcBorders>
              <w:top w:val="single" w:sz="4" w:space="0" w:color="auto"/>
              <w:left w:val="single" w:sz="4" w:space="0" w:color="auto"/>
              <w:right w:val="single" w:sz="4" w:space="0" w:color="auto"/>
            </w:tcBorders>
          </w:tcPr>
          <w:p w14:paraId="5F5C695E" w14:textId="77777777" w:rsidR="004137E7" w:rsidRPr="00531286" w:rsidRDefault="004137E7" w:rsidP="004137E7">
            <w:pPr>
              <w:adjustRightInd w:val="0"/>
              <w:rPr>
                <w:color w:val="000000"/>
                <w:sz w:val="22"/>
                <w:szCs w:val="22"/>
              </w:rPr>
            </w:pPr>
            <w:proofErr w:type="spellStart"/>
            <w:r w:rsidRPr="00531286">
              <w:rPr>
                <w:color w:val="000000"/>
                <w:sz w:val="22"/>
                <w:szCs w:val="22"/>
              </w:rPr>
              <w:t>n.a</w:t>
            </w:r>
            <w:proofErr w:type="spellEnd"/>
            <w:r w:rsidRPr="00531286">
              <w:rPr>
                <w:color w:val="000000"/>
                <w:sz w:val="22"/>
                <w:szCs w:val="22"/>
              </w:rPr>
              <w:t>.</w:t>
            </w:r>
          </w:p>
        </w:tc>
        <w:tc>
          <w:tcPr>
            <w:tcW w:w="1077" w:type="dxa"/>
            <w:tcBorders>
              <w:top w:val="single" w:sz="4" w:space="0" w:color="auto"/>
              <w:left w:val="single" w:sz="4" w:space="0" w:color="auto"/>
              <w:right w:val="single" w:sz="4" w:space="0" w:color="auto"/>
            </w:tcBorders>
          </w:tcPr>
          <w:p w14:paraId="7743332E" w14:textId="77777777" w:rsidR="004137E7" w:rsidRPr="00531286" w:rsidRDefault="004137E7" w:rsidP="004137E7">
            <w:pPr>
              <w:spacing w:before="75" w:after="75"/>
              <w:rPr>
                <w:sz w:val="22"/>
                <w:szCs w:val="22"/>
              </w:rPr>
            </w:pPr>
          </w:p>
        </w:tc>
        <w:tc>
          <w:tcPr>
            <w:tcW w:w="1332" w:type="dxa"/>
            <w:tcBorders>
              <w:top w:val="single" w:sz="4" w:space="0" w:color="auto"/>
              <w:left w:val="single" w:sz="4" w:space="0" w:color="auto"/>
              <w:right w:val="single" w:sz="12" w:space="0" w:color="auto"/>
            </w:tcBorders>
          </w:tcPr>
          <w:p w14:paraId="680F6B76" w14:textId="77777777" w:rsidR="004137E7" w:rsidRPr="00531286" w:rsidRDefault="004137E7" w:rsidP="004137E7">
            <w:pPr>
              <w:spacing w:before="75" w:after="75"/>
              <w:rPr>
                <w:sz w:val="22"/>
                <w:szCs w:val="22"/>
              </w:rPr>
            </w:pPr>
          </w:p>
        </w:tc>
        <w:tc>
          <w:tcPr>
            <w:tcW w:w="1418" w:type="dxa"/>
            <w:tcBorders>
              <w:top w:val="single" w:sz="4" w:space="0" w:color="auto"/>
              <w:left w:val="single" w:sz="4" w:space="0" w:color="auto"/>
              <w:right w:val="single" w:sz="12" w:space="0" w:color="auto"/>
            </w:tcBorders>
          </w:tcPr>
          <w:p w14:paraId="329A8288" w14:textId="77777777" w:rsidR="004137E7" w:rsidRPr="00531286" w:rsidRDefault="004137E7" w:rsidP="004137E7">
            <w:pPr>
              <w:spacing w:before="75" w:after="75"/>
              <w:rPr>
                <w:sz w:val="22"/>
                <w:szCs w:val="22"/>
              </w:rPr>
            </w:pPr>
          </w:p>
        </w:tc>
      </w:tr>
    </w:tbl>
    <w:p w14:paraId="2F23AFD9"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1960"/>
        <w:gridCol w:w="7580"/>
      </w:tblGrid>
      <w:tr w:rsidR="008C54C3" w:rsidRPr="00D74E1A" w14:paraId="45ECEAB3" w14:textId="77777777" w:rsidTr="00360DD3">
        <w:tc>
          <w:tcPr>
            <w:tcW w:w="2410" w:type="dxa"/>
            <w:tcBorders>
              <w:top w:val="nil"/>
              <w:left w:val="nil"/>
              <w:bottom w:val="nil"/>
              <w:right w:val="nil"/>
            </w:tcBorders>
          </w:tcPr>
          <w:p w14:paraId="071DD2CE"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t>V stĺpci (1):</w:t>
            </w:r>
          </w:p>
          <w:p w14:paraId="1E2CDA71"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Č – článok</w:t>
            </w:r>
          </w:p>
          <w:p w14:paraId="39C4DDF8"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O – odsek</w:t>
            </w:r>
          </w:p>
          <w:p w14:paraId="5084406B"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lastRenderedPageBreak/>
              <w:t>V – veta</w:t>
            </w:r>
          </w:p>
          <w:p w14:paraId="7CA83417"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 xml:space="preserve">P – </w:t>
            </w:r>
            <w:r w:rsidR="00DA0F6C" w:rsidRPr="0066733C">
              <w:rPr>
                <w:rFonts w:ascii="Arial Narrow" w:hAnsi="Arial Narrow"/>
                <w:sz w:val="22"/>
                <w:szCs w:val="22"/>
              </w:rPr>
              <w:t>číslo</w:t>
            </w:r>
            <w:r w:rsidRPr="0066733C">
              <w:rPr>
                <w:rFonts w:ascii="Arial Narrow" w:hAnsi="Arial Narrow"/>
                <w:sz w:val="22"/>
                <w:szCs w:val="22"/>
              </w:rPr>
              <w:t xml:space="preserve"> (</w:t>
            </w:r>
            <w:r w:rsidR="00DA0F6C" w:rsidRPr="0066733C">
              <w:rPr>
                <w:rFonts w:ascii="Arial Narrow" w:hAnsi="Arial Narrow"/>
                <w:sz w:val="22"/>
                <w:szCs w:val="22"/>
              </w:rPr>
              <w:t>písmeno</w:t>
            </w:r>
            <w:r w:rsidRPr="0066733C">
              <w:rPr>
                <w:rFonts w:ascii="Arial Narrow" w:hAnsi="Arial Narrow"/>
                <w:sz w:val="22"/>
                <w:szCs w:val="22"/>
              </w:rPr>
              <w:t>)</w:t>
            </w:r>
          </w:p>
          <w:p w14:paraId="5BE353C9" w14:textId="77777777" w:rsidR="008C54C3" w:rsidRPr="0066733C" w:rsidRDefault="008C54C3">
            <w:pPr>
              <w:autoSpaceDE/>
              <w:autoSpaceDN/>
              <w:rPr>
                <w:rFonts w:ascii="Arial Narrow" w:hAnsi="Arial Narrow"/>
                <w:sz w:val="22"/>
                <w:szCs w:val="22"/>
              </w:rPr>
            </w:pPr>
          </w:p>
        </w:tc>
        <w:tc>
          <w:tcPr>
            <w:tcW w:w="3780" w:type="dxa"/>
            <w:tcBorders>
              <w:top w:val="nil"/>
              <w:left w:val="nil"/>
              <w:bottom w:val="nil"/>
              <w:right w:val="nil"/>
            </w:tcBorders>
          </w:tcPr>
          <w:p w14:paraId="3B12228E"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lastRenderedPageBreak/>
              <w:t>V stĺpci (3):</w:t>
            </w:r>
          </w:p>
          <w:p w14:paraId="41C487F0"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N – bežná transpozícia</w:t>
            </w:r>
          </w:p>
          <w:p w14:paraId="2B9FE0AC"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O – transpozícia s možnosťou voľby</w:t>
            </w:r>
          </w:p>
          <w:p w14:paraId="2F7B0233"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lastRenderedPageBreak/>
              <w:t>D – transpozícia podľa úvahy (dobrovoľná)</w:t>
            </w:r>
          </w:p>
          <w:p w14:paraId="1D101E98" w14:textId="77777777" w:rsidR="008C54C3" w:rsidRPr="0066733C" w:rsidRDefault="008C54C3">
            <w:pPr>
              <w:autoSpaceDE/>
              <w:autoSpaceDN/>
              <w:rPr>
                <w:rFonts w:ascii="Arial Narrow" w:hAnsi="Arial Narrow"/>
                <w:sz w:val="22"/>
                <w:szCs w:val="22"/>
              </w:rPr>
            </w:pPr>
            <w:proofErr w:type="spellStart"/>
            <w:r w:rsidRPr="0066733C">
              <w:rPr>
                <w:rFonts w:ascii="Arial Narrow" w:hAnsi="Arial Narrow"/>
                <w:sz w:val="22"/>
                <w:szCs w:val="22"/>
              </w:rPr>
              <w:t>n.a</w:t>
            </w:r>
            <w:proofErr w:type="spellEnd"/>
            <w:r w:rsidRPr="0066733C">
              <w:rPr>
                <w:rFonts w:ascii="Arial Narrow" w:hAnsi="Arial Narrow"/>
                <w:sz w:val="22"/>
                <w:szCs w:val="22"/>
              </w:rPr>
              <w:t>. – transpozícia sa neuskutočňuje</w:t>
            </w:r>
          </w:p>
        </w:tc>
        <w:tc>
          <w:tcPr>
            <w:tcW w:w="1960" w:type="dxa"/>
            <w:tcBorders>
              <w:top w:val="nil"/>
              <w:left w:val="nil"/>
              <w:bottom w:val="nil"/>
              <w:right w:val="nil"/>
            </w:tcBorders>
          </w:tcPr>
          <w:p w14:paraId="0E726C50"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lastRenderedPageBreak/>
              <w:t>V stĺpci (5):</w:t>
            </w:r>
          </w:p>
          <w:p w14:paraId="56B1EA4A"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Č – článok</w:t>
            </w:r>
          </w:p>
          <w:p w14:paraId="0275FFB0"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 – paragraf</w:t>
            </w:r>
          </w:p>
          <w:p w14:paraId="03DEBE82"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lastRenderedPageBreak/>
              <w:t>O – odsek</w:t>
            </w:r>
          </w:p>
          <w:p w14:paraId="133F4438"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V – veta</w:t>
            </w:r>
          </w:p>
          <w:p w14:paraId="7D28CB48"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P – písmeno (číslo)</w:t>
            </w:r>
          </w:p>
        </w:tc>
        <w:tc>
          <w:tcPr>
            <w:tcW w:w="7580" w:type="dxa"/>
            <w:tcBorders>
              <w:top w:val="nil"/>
              <w:left w:val="nil"/>
              <w:bottom w:val="nil"/>
              <w:right w:val="nil"/>
            </w:tcBorders>
          </w:tcPr>
          <w:p w14:paraId="210B8DE5"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lastRenderedPageBreak/>
              <w:t>V stĺpci (7):</w:t>
            </w:r>
          </w:p>
          <w:p w14:paraId="534F484E" w14:textId="77777777" w:rsidR="008C54C3" w:rsidRPr="0066733C" w:rsidRDefault="008C54C3" w:rsidP="008C54C3">
            <w:pPr>
              <w:autoSpaceDE/>
              <w:autoSpaceDN/>
              <w:ind w:left="290" w:hanging="290"/>
              <w:rPr>
                <w:rFonts w:ascii="Arial Narrow" w:hAnsi="Arial Narrow"/>
                <w:sz w:val="22"/>
                <w:szCs w:val="22"/>
              </w:rPr>
            </w:pPr>
            <w:r w:rsidRPr="0066733C">
              <w:rPr>
                <w:rFonts w:ascii="Arial Narrow" w:hAnsi="Arial Narrow"/>
                <w:sz w:val="22"/>
                <w:szCs w:val="22"/>
              </w:rPr>
              <w:lastRenderedPageBreak/>
              <w:t>Ú – úplná zhoda (ak bolo ustanovenie smernice prebraté v celom rozsahu, správne, v príslušnej form</w:t>
            </w:r>
            <w:r w:rsidR="00391DC5" w:rsidRPr="0066733C">
              <w:rPr>
                <w:rFonts w:ascii="Arial Narrow" w:hAnsi="Arial Narrow"/>
                <w:sz w:val="22"/>
                <w:szCs w:val="22"/>
              </w:rPr>
              <w:t>e</w:t>
            </w:r>
            <w:r w:rsidRPr="0066733C">
              <w:rPr>
                <w:rFonts w:ascii="Arial Narrow" w:hAnsi="Arial Narrow"/>
                <w:sz w:val="22"/>
                <w:szCs w:val="22"/>
              </w:rPr>
              <w:t>, so zabezpečenou inštitucionálnou</w:t>
            </w:r>
            <w:r w:rsidR="000C2E53" w:rsidRPr="0066733C">
              <w:rPr>
                <w:rFonts w:ascii="Arial Narrow" w:hAnsi="Arial Narrow"/>
                <w:sz w:val="22"/>
                <w:szCs w:val="22"/>
              </w:rPr>
              <w:t xml:space="preserve"> </w:t>
            </w:r>
            <w:r w:rsidRPr="0066733C">
              <w:rPr>
                <w:rFonts w:ascii="Arial Narrow" w:hAnsi="Arial Narrow"/>
                <w:sz w:val="22"/>
                <w:szCs w:val="22"/>
              </w:rPr>
              <w:t xml:space="preserve"> </w:t>
            </w:r>
            <w:r w:rsidR="000C2E53" w:rsidRPr="0066733C">
              <w:rPr>
                <w:rFonts w:ascii="Arial Narrow" w:hAnsi="Arial Narrow"/>
                <w:sz w:val="22"/>
                <w:szCs w:val="22"/>
              </w:rPr>
              <w:t>i</w:t>
            </w:r>
            <w:r w:rsidRPr="0066733C">
              <w:rPr>
                <w:rFonts w:ascii="Arial Narrow" w:hAnsi="Arial Narrow"/>
                <w:sz w:val="22"/>
                <w:szCs w:val="22"/>
              </w:rPr>
              <w:t>nfraštruktúrou, s príslušnými sankciami a vo vzájomnej súvislosti)</w:t>
            </w:r>
          </w:p>
          <w:p w14:paraId="2395C86E"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Č – čiastočná zhoda (ak minimálne jedna z podmienok úplnej zhody nie je splnená)</w:t>
            </w:r>
          </w:p>
          <w:p w14:paraId="4436F39C" w14:textId="77777777" w:rsidR="008C54C3" w:rsidRPr="0066733C" w:rsidRDefault="008C54C3">
            <w:pPr>
              <w:pStyle w:val="Zarkazkladnhotextu2"/>
              <w:rPr>
                <w:rFonts w:ascii="Arial Narrow" w:hAnsi="Arial Narrow"/>
                <w:sz w:val="22"/>
                <w:szCs w:val="22"/>
              </w:rPr>
            </w:pPr>
            <w:r w:rsidRPr="0066733C">
              <w:rPr>
                <w:rFonts w:ascii="Arial Narrow" w:hAnsi="Arial Narrow"/>
                <w:sz w:val="22"/>
                <w:szCs w:val="22"/>
              </w:rPr>
              <w:t xml:space="preserve">Ž – žiadna zhoda (ak nebola dosiahnutá ani úplná ani </w:t>
            </w:r>
            <w:proofErr w:type="spellStart"/>
            <w:r w:rsidRPr="0066733C">
              <w:rPr>
                <w:rFonts w:ascii="Arial Narrow" w:hAnsi="Arial Narrow"/>
                <w:sz w:val="22"/>
                <w:szCs w:val="22"/>
              </w:rPr>
              <w:t>čiast</w:t>
            </w:r>
            <w:proofErr w:type="spellEnd"/>
            <w:r w:rsidRPr="0066733C">
              <w:rPr>
                <w:rFonts w:ascii="Arial Narrow" w:hAnsi="Arial Narrow"/>
                <w:sz w:val="22"/>
                <w:szCs w:val="22"/>
              </w:rPr>
              <w:t>. zhoda alebo k prebratiu dôjde v budúcnosti)</w:t>
            </w:r>
          </w:p>
          <w:p w14:paraId="0B2C84BD" w14:textId="77777777" w:rsidR="008C54C3" w:rsidRPr="00D74E1A" w:rsidRDefault="008C54C3">
            <w:pPr>
              <w:autoSpaceDE/>
              <w:autoSpaceDN/>
              <w:ind w:left="290" w:hanging="290"/>
              <w:rPr>
                <w:rFonts w:ascii="Arial Narrow" w:hAnsi="Arial Narrow"/>
                <w:sz w:val="22"/>
                <w:szCs w:val="22"/>
              </w:rPr>
            </w:pPr>
            <w:proofErr w:type="spellStart"/>
            <w:r w:rsidRPr="0066733C">
              <w:rPr>
                <w:rFonts w:ascii="Arial Narrow" w:hAnsi="Arial Narrow"/>
                <w:sz w:val="22"/>
                <w:szCs w:val="22"/>
              </w:rPr>
              <w:t>n.a</w:t>
            </w:r>
            <w:proofErr w:type="spellEnd"/>
            <w:r w:rsidRPr="0066733C">
              <w:rPr>
                <w:rFonts w:ascii="Arial Narrow" w:hAnsi="Arial Narrow"/>
                <w:sz w:val="22"/>
                <w:szCs w:val="22"/>
              </w:rPr>
              <w:t>. – neaplikovateľnosť (ak sa ustanovenie smernice netýka SR alebo nie je potrebné ho prebrať)</w:t>
            </w:r>
          </w:p>
        </w:tc>
      </w:tr>
    </w:tbl>
    <w:p w14:paraId="2CF4BD08" w14:textId="77777777" w:rsidR="008C54C3" w:rsidRDefault="008C54C3" w:rsidP="00360DD3">
      <w:pPr>
        <w:pStyle w:val="Hlavika"/>
        <w:tabs>
          <w:tab w:val="clear" w:pos="4536"/>
          <w:tab w:val="clear" w:pos="9072"/>
        </w:tabs>
        <w:autoSpaceDE/>
        <w:autoSpaceDN/>
        <w:rPr>
          <w:rFonts w:ascii="Arial Narrow" w:hAnsi="Arial Narrow"/>
          <w:sz w:val="22"/>
          <w:szCs w:val="22"/>
        </w:rPr>
      </w:pPr>
    </w:p>
    <w:p w14:paraId="440493E1" w14:textId="77777777" w:rsidR="001A6D92" w:rsidRDefault="001A6D92" w:rsidP="00360DD3">
      <w:pPr>
        <w:pStyle w:val="Hlavika"/>
        <w:tabs>
          <w:tab w:val="clear" w:pos="4536"/>
          <w:tab w:val="clear" w:pos="9072"/>
        </w:tabs>
        <w:autoSpaceDE/>
        <w:autoSpaceDN/>
        <w:rPr>
          <w:rFonts w:ascii="Arial Narrow" w:hAnsi="Arial Narrow"/>
          <w:sz w:val="22"/>
          <w:szCs w:val="22"/>
        </w:rPr>
      </w:pPr>
    </w:p>
    <w:p w14:paraId="7EA9EC83" w14:textId="77777777" w:rsidR="001A6D92" w:rsidRDefault="001A6D92" w:rsidP="00360DD3">
      <w:pPr>
        <w:pStyle w:val="Hlavika"/>
        <w:tabs>
          <w:tab w:val="clear" w:pos="4536"/>
          <w:tab w:val="clear" w:pos="9072"/>
        </w:tabs>
        <w:autoSpaceDE/>
        <w:autoSpaceDN/>
        <w:rPr>
          <w:rFonts w:ascii="Arial Narrow" w:hAnsi="Arial Narrow"/>
          <w:sz w:val="22"/>
          <w:szCs w:val="22"/>
        </w:rPr>
      </w:pPr>
    </w:p>
    <w:p w14:paraId="27F82849" w14:textId="77777777" w:rsidR="001A6D92" w:rsidRPr="00D74E1A" w:rsidRDefault="001A6D92" w:rsidP="00360DD3">
      <w:pPr>
        <w:pStyle w:val="Hlavika"/>
        <w:tabs>
          <w:tab w:val="clear" w:pos="4536"/>
          <w:tab w:val="clear" w:pos="9072"/>
        </w:tabs>
        <w:autoSpaceDE/>
        <w:autoSpaceDN/>
        <w:rPr>
          <w:rFonts w:ascii="Arial Narrow" w:hAnsi="Arial Narrow"/>
          <w:sz w:val="22"/>
          <w:szCs w:val="22"/>
        </w:rPr>
      </w:pPr>
    </w:p>
    <w:sectPr w:rsidR="001A6D92" w:rsidRPr="00D74E1A" w:rsidSect="006B721E">
      <w:footerReference w:type="default" r:id="rId17"/>
      <w:pgSz w:w="16838" w:h="11906" w:orient="landscape" w:code="9"/>
      <w:pgMar w:top="720" w:right="68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669E" w14:textId="77777777" w:rsidR="00867609" w:rsidRDefault="00867609">
      <w:r>
        <w:separator/>
      </w:r>
    </w:p>
  </w:endnote>
  <w:endnote w:type="continuationSeparator" w:id="0">
    <w:p w14:paraId="12E0BEAB" w14:textId="77777777" w:rsidR="00867609" w:rsidRDefault="0086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86A9" w14:textId="7CE877E7" w:rsidR="00D6713D" w:rsidRDefault="00D6713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B32F2">
      <w:rPr>
        <w:rStyle w:val="slostrany"/>
        <w:noProof/>
      </w:rPr>
      <w:t>1</w:t>
    </w:r>
    <w:r>
      <w:rPr>
        <w:rStyle w:val="slostrany"/>
      </w:rPr>
      <w:fldChar w:fldCharType="end"/>
    </w:r>
  </w:p>
  <w:p w14:paraId="6BFE02F1" w14:textId="77777777" w:rsidR="00D6713D" w:rsidRDefault="00D6713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A2FA" w14:textId="77777777" w:rsidR="00867609" w:rsidRDefault="00867609">
      <w:r>
        <w:separator/>
      </w:r>
    </w:p>
  </w:footnote>
  <w:footnote w:type="continuationSeparator" w:id="0">
    <w:p w14:paraId="27248724" w14:textId="77777777" w:rsidR="00867609" w:rsidRDefault="00867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7"/>
    <w:multiLevelType w:val="hybridMultilevel"/>
    <w:tmpl w:val="F9667F6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F937BD"/>
    <w:multiLevelType w:val="hybridMultilevel"/>
    <w:tmpl w:val="A66055BA"/>
    <w:lvl w:ilvl="0" w:tplc="041B0017">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CC264B"/>
    <w:multiLevelType w:val="hybridMultilevel"/>
    <w:tmpl w:val="99943D4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6F52313"/>
    <w:multiLevelType w:val="hybridMultilevel"/>
    <w:tmpl w:val="C8E21F66"/>
    <w:lvl w:ilvl="0" w:tplc="0405000F">
      <w:start w:val="1"/>
      <w:numFmt w:val="decimal"/>
      <w:lvlText w:val="%1."/>
      <w:lvlJc w:val="left"/>
      <w:pPr>
        <w:tabs>
          <w:tab w:val="num" w:pos="360"/>
        </w:tabs>
        <w:ind w:left="360" w:hanging="360"/>
      </w:pPr>
      <w:rPr>
        <w:rFonts w:cs="Times New Roman" w:hint="default"/>
      </w:rPr>
    </w:lvl>
    <w:lvl w:ilvl="1" w:tplc="F80A626A">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714A5A"/>
    <w:multiLevelType w:val="hybridMultilevel"/>
    <w:tmpl w:val="377AB118"/>
    <w:lvl w:ilvl="0" w:tplc="193A097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05569"/>
    <w:multiLevelType w:val="hybridMultilevel"/>
    <w:tmpl w:val="E85EE886"/>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07103C0"/>
    <w:multiLevelType w:val="hybridMultilevel"/>
    <w:tmpl w:val="EBD84E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11" w15:restartNumberingAfterBreak="0">
    <w:nsid w:val="11842152"/>
    <w:multiLevelType w:val="hybridMultilevel"/>
    <w:tmpl w:val="EFCAC5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2B2E03"/>
    <w:multiLevelType w:val="hybridMultilevel"/>
    <w:tmpl w:val="8982C1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A5D0512"/>
    <w:multiLevelType w:val="hybridMultilevel"/>
    <w:tmpl w:val="89BA437E"/>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1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16" w15:restartNumberingAfterBreak="0">
    <w:nsid w:val="1C5D5E3E"/>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17" w15:restartNumberingAfterBreak="0">
    <w:nsid w:val="1E91463D"/>
    <w:multiLevelType w:val="hybridMultilevel"/>
    <w:tmpl w:val="E4CCFFDE"/>
    <w:lvl w:ilvl="0" w:tplc="8960C1C0">
      <w:start w:val="2"/>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20E1992"/>
    <w:multiLevelType w:val="hybridMultilevel"/>
    <w:tmpl w:val="132A9B00"/>
    <w:lvl w:ilvl="0" w:tplc="041B000F">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AFA6959"/>
    <w:multiLevelType w:val="hybridMultilevel"/>
    <w:tmpl w:val="5246DD8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5523C5E"/>
    <w:multiLevelType w:val="hybridMultilevel"/>
    <w:tmpl w:val="BA34F36C"/>
    <w:lvl w:ilvl="0" w:tplc="A472322E">
      <w:start w:val="1"/>
      <w:numFmt w:val="lowerLetter"/>
      <w:lvlText w:val="%1)"/>
      <w:lvlJc w:val="left"/>
      <w:pPr>
        <w:ind w:left="217" w:hanging="360"/>
      </w:pPr>
      <w:rPr>
        <w:rFonts w:hint="default"/>
      </w:rPr>
    </w:lvl>
    <w:lvl w:ilvl="1" w:tplc="041B000F">
      <w:start w:val="1"/>
      <w:numFmt w:val="decimal"/>
      <w:lvlText w:val="%2."/>
      <w:lvlJc w:val="left"/>
      <w:pPr>
        <w:ind w:left="937" w:hanging="360"/>
      </w:pPr>
    </w:lvl>
    <w:lvl w:ilvl="2" w:tplc="041B001B" w:tentative="1">
      <w:start w:val="1"/>
      <w:numFmt w:val="lowerRoman"/>
      <w:lvlText w:val="%3."/>
      <w:lvlJc w:val="right"/>
      <w:pPr>
        <w:ind w:left="1657" w:hanging="180"/>
      </w:pPr>
    </w:lvl>
    <w:lvl w:ilvl="3" w:tplc="041B000F" w:tentative="1">
      <w:start w:val="1"/>
      <w:numFmt w:val="decimal"/>
      <w:lvlText w:val="%4."/>
      <w:lvlJc w:val="left"/>
      <w:pPr>
        <w:ind w:left="2377" w:hanging="360"/>
      </w:pPr>
    </w:lvl>
    <w:lvl w:ilvl="4" w:tplc="041B0019" w:tentative="1">
      <w:start w:val="1"/>
      <w:numFmt w:val="lowerLetter"/>
      <w:lvlText w:val="%5."/>
      <w:lvlJc w:val="left"/>
      <w:pPr>
        <w:ind w:left="3097" w:hanging="360"/>
      </w:pPr>
    </w:lvl>
    <w:lvl w:ilvl="5" w:tplc="041B001B" w:tentative="1">
      <w:start w:val="1"/>
      <w:numFmt w:val="lowerRoman"/>
      <w:lvlText w:val="%6."/>
      <w:lvlJc w:val="right"/>
      <w:pPr>
        <w:ind w:left="3817" w:hanging="180"/>
      </w:pPr>
    </w:lvl>
    <w:lvl w:ilvl="6" w:tplc="041B000F" w:tentative="1">
      <w:start w:val="1"/>
      <w:numFmt w:val="decimal"/>
      <w:lvlText w:val="%7."/>
      <w:lvlJc w:val="left"/>
      <w:pPr>
        <w:ind w:left="4537" w:hanging="360"/>
      </w:pPr>
    </w:lvl>
    <w:lvl w:ilvl="7" w:tplc="041B0019" w:tentative="1">
      <w:start w:val="1"/>
      <w:numFmt w:val="lowerLetter"/>
      <w:lvlText w:val="%8."/>
      <w:lvlJc w:val="left"/>
      <w:pPr>
        <w:ind w:left="5257" w:hanging="360"/>
      </w:pPr>
    </w:lvl>
    <w:lvl w:ilvl="8" w:tplc="041B001B" w:tentative="1">
      <w:start w:val="1"/>
      <w:numFmt w:val="lowerRoman"/>
      <w:lvlText w:val="%9."/>
      <w:lvlJc w:val="right"/>
      <w:pPr>
        <w:ind w:left="5977" w:hanging="180"/>
      </w:pPr>
    </w:lvl>
  </w:abstractNum>
  <w:abstractNum w:abstractNumId="21"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613B07"/>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24" w15:restartNumberingAfterBreak="0">
    <w:nsid w:val="45312AD4"/>
    <w:multiLevelType w:val="hybridMultilevel"/>
    <w:tmpl w:val="5BECDB56"/>
    <w:lvl w:ilvl="0" w:tplc="041B0017">
      <w:start w:val="1"/>
      <w:numFmt w:val="lowerLetter"/>
      <w:lvlText w:val="%1)"/>
      <w:lvlJc w:val="left"/>
      <w:pPr>
        <w:ind w:left="757" w:hanging="360"/>
      </w:p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5" w15:restartNumberingAfterBreak="0">
    <w:nsid w:val="464D2C99"/>
    <w:multiLevelType w:val="hybridMultilevel"/>
    <w:tmpl w:val="EB245254"/>
    <w:lvl w:ilvl="0" w:tplc="4C76CD54">
      <w:start w:val="1"/>
      <w:numFmt w:val="decimal"/>
      <w:pStyle w:val="odsekCharChar"/>
      <w:lvlText w:val="(%1)"/>
      <w:lvlJc w:val="left"/>
      <w:pPr>
        <w:tabs>
          <w:tab w:val="num" w:pos="680"/>
        </w:tabs>
        <w:ind w:left="0"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tplc="E488D188">
      <w:start w:val="1"/>
      <w:numFmt w:val="lowerLetter"/>
      <w:lvlText w:val="%2)"/>
      <w:lvlJc w:val="left"/>
      <w:pPr>
        <w:tabs>
          <w:tab w:val="num" w:pos="797"/>
        </w:tabs>
        <w:ind w:left="797" w:hanging="360"/>
      </w:pPr>
      <w:rPr>
        <w:rFonts w:ascii="Times New Roman" w:eastAsia="Times New Roman" w:hAnsi="Times New Roman" w:cs="Times New Roman" w:hint="default"/>
        <w:i w:val="0"/>
        <w:strike w:val="0"/>
        <w:color w:val="auto"/>
      </w:rPr>
    </w:lvl>
    <w:lvl w:ilvl="2" w:tplc="5D24CBFA">
      <w:start w:val="1"/>
      <w:numFmt w:val="decimal"/>
      <w:lvlText w:val="%3."/>
      <w:lvlJc w:val="left"/>
      <w:pPr>
        <w:tabs>
          <w:tab w:val="num" w:pos="1877"/>
        </w:tabs>
        <w:ind w:left="1877" w:hanging="360"/>
      </w:pPr>
      <w:rPr>
        <w:rFonts w:cs="Times New Roman" w:hint="default"/>
      </w:rPr>
    </w:lvl>
    <w:lvl w:ilvl="3" w:tplc="041B000F">
      <w:start w:val="1"/>
      <w:numFmt w:val="decimal"/>
      <w:lvlText w:val="%4."/>
      <w:lvlJc w:val="left"/>
      <w:pPr>
        <w:tabs>
          <w:tab w:val="num" w:pos="2237"/>
        </w:tabs>
        <w:ind w:left="2237" w:hanging="360"/>
      </w:pPr>
      <w:rPr>
        <w:rFonts w:cs="Times New Roman" w:hint="default"/>
      </w:rPr>
    </w:lvl>
    <w:lvl w:ilvl="4" w:tplc="041B0019" w:tentative="1">
      <w:start w:val="1"/>
      <w:numFmt w:val="lowerLetter"/>
      <w:lvlText w:val="%5."/>
      <w:lvlJc w:val="left"/>
      <w:pPr>
        <w:tabs>
          <w:tab w:val="num" w:pos="2957"/>
        </w:tabs>
        <w:ind w:left="2957" w:hanging="360"/>
      </w:pPr>
      <w:rPr>
        <w:rFonts w:cs="Times New Roman"/>
      </w:rPr>
    </w:lvl>
    <w:lvl w:ilvl="5" w:tplc="041B001B" w:tentative="1">
      <w:start w:val="1"/>
      <w:numFmt w:val="lowerRoman"/>
      <w:lvlText w:val="%6."/>
      <w:lvlJc w:val="right"/>
      <w:pPr>
        <w:tabs>
          <w:tab w:val="num" w:pos="3677"/>
        </w:tabs>
        <w:ind w:left="3677" w:hanging="180"/>
      </w:pPr>
      <w:rPr>
        <w:rFonts w:cs="Times New Roman"/>
      </w:rPr>
    </w:lvl>
    <w:lvl w:ilvl="6" w:tplc="041B000F" w:tentative="1">
      <w:start w:val="1"/>
      <w:numFmt w:val="decimal"/>
      <w:lvlText w:val="%7."/>
      <w:lvlJc w:val="left"/>
      <w:pPr>
        <w:tabs>
          <w:tab w:val="num" w:pos="4397"/>
        </w:tabs>
        <w:ind w:left="4397" w:hanging="360"/>
      </w:pPr>
      <w:rPr>
        <w:rFonts w:cs="Times New Roman"/>
      </w:rPr>
    </w:lvl>
    <w:lvl w:ilvl="7" w:tplc="041B0019" w:tentative="1">
      <w:start w:val="1"/>
      <w:numFmt w:val="lowerLetter"/>
      <w:lvlText w:val="%8."/>
      <w:lvlJc w:val="left"/>
      <w:pPr>
        <w:tabs>
          <w:tab w:val="num" w:pos="5117"/>
        </w:tabs>
        <w:ind w:left="5117" w:hanging="360"/>
      </w:pPr>
      <w:rPr>
        <w:rFonts w:cs="Times New Roman"/>
      </w:rPr>
    </w:lvl>
    <w:lvl w:ilvl="8" w:tplc="041B001B" w:tentative="1">
      <w:start w:val="1"/>
      <w:numFmt w:val="lowerRoman"/>
      <w:lvlText w:val="%9."/>
      <w:lvlJc w:val="right"/>
      <w:pPr>
        <w:tabs>
          <w:tab w:val="num" w:pos="5837"/>
        </w:tabs>
        <w:ind w:left="5837" w:hanging="180"/>
      </w:pPr>
      <w:rPr>
        <w:rFonts w:cs="Times New Roman"/>
      </w:rPr>
    </w:lvl>
  </w:abstractNum>
  <w:abstractNum w:abstractNumId="26" w15:restartNumberingAfterBreak="0">
    <w:nsid w:val="484128E3"/>
    <w:multiLevelType w:val="hybridMultilevel"/>
    <w:tmpl w:val="BA2244C0"/>
    <w:lvl w:ilvl="0" w:tplc="F5B600AA">
      <w:start w:val="1"/>
      <w:numFmt w:val="lowerLetter"/>
      <w:lvlText w:val="%1)"/>
      <w:lvlJc w:val="left"/>
      <w:pPr>
        <w:ind w:left="1146" w:hanging="360"/>
      </w:pPr>
      <w:rPr>
        <w:rFonts w:ascii="Arial Narrow" w:hAnsi="Arial Narrow" w:cs="Times New Roman" w:hint="default"/>
        <w:strike w:val="0"/>
        <w:sz w:val="22"/>
        <w:szCs w:val="22"/>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7"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45B59"/>
    <w:multiLevelType w:val="singleLevel"/>
    <w:tmpl w:val="041B000F"/>
    <w:lvl w:ilvl="0">
      <w:start w:val="1"/>
      <w:numFmt w:val="decimal"/>
      <w:lvlText w:val="%1."/>
      <w:lvlJc w:val="left"/>
      <w:pPr>
        <w:ind w:left="502" w:hanging="360"/>
      </w:pPr>
      <w:rPr>
        <w:rFonts w:cs="Times New Roman" w:hint="default"/>
      </w:rPr>
    </w:lvl>
  </w:abstractNum>
  <w:abstractNum w:abstractNumId="31" w15:restartNumberingAfterBreak="0">
    <w:nsid w:val="523E6170"/>
    <w:multiLevelType w:val="hybridMultilevel"/>
    <w:tmpl w:val="E6CE0522"/>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62A6016"/>
    <w:multiLevelType w:val="hybridMultilevel"/>
    <w:tmpl w:val="36DCF5EE"/>
    <w:lvl w:ilvl="0" w:tplc="92E28B30">
      <w:start w:val="1"/>
      <w:numFmt w:val="lowerLetter"/>
      <w:lvlText w:val="%1)"/>
      <w:lvlJc w:val="left"/>
      <w:pPr>
        <w:ind w:left="360" w:hanging="360"/>
      </w:pPr>
      <w:rPr>
        <w:rFonts w:eastAsiaTheme="majorEastAsia"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8700738"/>
    <w:multiLevelType w:val="hybridMultilevel"/>
    <w:tmpl w:val="653AE4D8"/>
    <w:lvl w:ilvl="0" w:tplc="041B000F">
      <w:start w:val="1"/>
      <w:numFmt w:val="decimal"/>
      <w:lvlText w:val="%1."/>
      <w:lvlJc w:val="left"/>
      <w:pPr>
        <w:ind w:left="1076" w:hanging="360"/>
      </w:pPr>
    </w:lvl>
    <w:lvl w:ilvl="1" w:tplc="041B0019">
      <w:start w:val="1"/>
      <w:numFmt w:val="lowerLetter"/>
      <w:lvlText w:val="%2."/>
      <w:lvlJc w:val="left"/>
      <w:pPr>
        <w:ind w:left="1796" w:hanging="360"/>
      </w:pPr>
    </w:lvl>
    <w:lvl w:ilvl="2" w:tplc="041B001B" w:tentative="1">
      <w:start w:val="1"/>
      <w:numFmt w:val="lowerRoman"/>
      <w:lvlText w:val="%3."/>
      <w:lvlJc w:val="right"/>
      <w:pPr>
        <w:ind w:left="2516" w:hanging="180"/>
      </w:pPr>
    </w:lvl>
    <w:lvl w:ilvl="3" w:tplc="041B000F" w:tentative="1">
      <w:start w:val="1"/>
      <w:numFmt w:val="decimal"/>
      <w:lvlText w:val="%4."/>
      <w:lvlJc w:val="left"/>
      <w:pPr>
        <w:ind w:left="3236" w:hanging="360"/>
      </w:pPr>
    </w:lvl>
    <w:lvl w:ilvl="4" w:tplc="041B0019" w:tentative="1">
      <w:start w:val="1"/>
      <w:numFmt w:val="lowerLetter"/>
      <w:lvlText w:val="%5."/>
      <w:lvlJc w:val="left"/>
      <w:pPr>
        <w:ind w:left="3956" w:hanging="360"/>
      </w:pPr>
    </w:lvl>
    <w:lvl w:ilvl="5" w:tplc="041B001B" w:tentative="1">
      <w:start w:val="1"/>
      <w:numFmt w:val="lowerRoman"/>
      <w:lvlText w:val="%6."/>
      <w:lvlJc w:val="right"/>
      <w:pPr>
        <w:ind w:left="4676" w:hanging="180"/>
      </w:pPr>
    </w:lvl>
    <w:lvl w:ilvl="6" w:tplc="041B000F" w:tentative="1">
      <w:start w:val="1"/>
      <w:numFmt w:val="decimal"/>
      <w:lvlText w:val="%7."/>
      <w:lvlJc w:val="left"/>
      <w:pPr>
        <w:ind w:left="5396" w:hanging="360"/>
      </w:pPr>
    </w:lvl>
    <w:lvl w:ilvl="7" w:tplc="041B0019" w:tentative="1">
      <w:start w:val="1"/>
      <w:numFmt w:val="lowerLetter"/>
      <w:lvlText w:val="%8."/>
      <w:lvlJc w:val="left"/>
      <w:pPr>
        <w:ind w:left="6116" w:hanging="360"/>
      </w:pPr>
    </w:lvl>
    <w:lvl w:ilvl="8" w:tplc="041B001B" w:tentative="1">
      <w:start w:val="1"/>
      <w:numFmt w:val="lowerRoman"/>
      <w:lvlText w:val="%9."/>
      <w:lvlJc w:val="right"/>
      <w:pPr>
        <w:ind w:left="6836" w:hanging="180"/>
      </w:pPr>
    </w:lvl>
  </w:abstractNum>
  <w:abstractNum w:abstractNumId="34" w15:restartNumberingAfterBreak="0">
    <w:nsid w:val="59427EF7"/>
    <w:multiLevelType w:val="hybridMultilevel"/>
    <w:tmpl w:val="262A6D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970BC7"/>
    <w:multiLevelType w:val="hybridMultilevel"/>
    <w:tmpl w:val="26C266C6"/>
    <w:lvl w:ilvl="0" w:tplc="041B000F">
      <w:start w:val="1"/>
      <w:numFmt w:val="decimal"/>
      <w:lvlText w:val="%1."/>
      <w:lvlJc w:val="left"/>
      <w:pPr>
        <w:ind w:left="1477" w:hanging="360"/>
      </w:pPr>
    </w:lvl>
    <w:lvl w:ilvl="1" w:tplc="041B0019" w:tentative="1">
      <w:start w:val="1"/>
      <w:numFmt w:val="lowerLetter"/>
      <w:lvlText w:val="%2."/>
      <w:lvlJc w:val="left"/>
      <w:pPr>
        <w:ind w:left="2197" w:hanging="360"/>
      </w:pPr>
    </w:lvl>
    <w:lvl w:ilvl="2" w:tplc="041B001B" w:tentative="1">
      <w:start w:val="1"/>
      <w:numFmt w:val="lowerRoman"/>
      <w:lvlText w:val="%3."/>
      <w:lvlJc w:val="right"/>
      <w:pPr>
        <w:ind w:left="2917" w:hanging="180"/>
      </w:pPr>
    </w:lvl>
    <w:lvl w:ilvl="3" w:tplc="041B000F" w:tentative="1">
      <w:start w:val="1"/>
      <w:numFmt w:val="decimal"/>
      <w:lvlText w:val="%4."/>
      <w:lvlJc w:val="left"/>
      <w:pPr>
        <w:ind w:left="3637" w:hanging="360"/>
      </w:pPr>
    </w:lvl>
    <w:lvl w:ilvl="4" w:tplc="041B0019" w:tentative="1">
      <w:start w:val="1"/>
      <w:numFmt w:val="lowerLetter"/>
      <w:lvlText w:val="%5."/>
      <w:lvlJc w:val="left"/>
      <w:pPr>
        <w:ind w:left="4357" w:hanging="360"/>
      </w:pPr>
    </w:lvl>
    <w:lvl w:ilvl="5" w:tplc="041B001B" w:tentative="1">
      <w:start w:val="1"/>
      <w:numFmt w:val="lowerRoman"/>
      <w:lvlText w:val="%6."/>
      <w:lvlJc w:val="right"/>
      <w:pPr>
        <w:ind w:left="5077" w:hanging="180"/>
      </w:pPr>
    </w:lvl>
    <w:lvl w:ilvl="6" w:tplc="041B000F" w:tentative="1">
      <w:start w:val="1"/>
      <w:numFmt w:val="decimal"/>
      <w:lvlText w:val="%7."/>
      <w:lvlJc w:val="left"/>
      <w:pPr>
        <w:ind w:left="5797" w:hanging="360"/>
      </w:pPr>
    </w:lvl>
    <w:lvl w:ilvl="7" w:tplc="041B0019" w:tentative="1">
      <w:start w:val="1"/>
      <w:numFmt w:val="lowerLetter"/>
      <w:lvlText w:val="%8."/>
      <w:lvlJc w:val="left"/>
      <w:pPr>
        <w:ind w:left="6517" w:hanging="360"/>
      </w:pPr>
    </w:lvl>
    <w:lvl w:ilvl="8" w:tplc="041B001B" w:tentative="1">
      <w:start w:val="1"/>
      <w:numFmt w:val="lowerRoman"/>
      <w:lvlText w:val="%9."/>
      <w:lvlJc w:val="right"/>
      <w:pPr>
        <w:ind w:left="7237" w:hanging="180"/>
      </w:pPr>
    </w:lvl>
  </w:abstractNum>
  <w:abstractNum w:abstractNumId="37" w15:restartNumberingAfterBreak="0">
    <w:nsid w:val="5D747492"/>
    <w:multiLevelType w:val="hybridMultilevel"/>
    <w:tmpl w:val="58181D96"/>
    <w:lvl w:ilvl="0" w:tplc="48BA89E0">
      <w:start w:val="1"/>
      <w:numFmt w:val="lowerLetter"/>
      <w:lvlText w:val="%1)"/>
      <w:lvlJc w:val="left"/>
      <w:pPr>
        <w:tabs>
          <w:tab w:val="num" w:pos="786"/>
        </w:tabs>
        <w:ind w:left="786" w:hanging="360"/>
      </w:pPr>
      <w:rPr>
        <w:rFonts w:ascii="Arial Narrow" w:hAnsi="Arial Narrow" w:cs="Arial Narrow" w:hint="default"/>
        <w:b w:val="0"/>
        <w:bCs w:val="0"/>
        <w:sz w:val="22"/>
        <w:szCs w:val="22"/>
      </w:rPr>
    </w:lvl>
    <w:lvl w:ilvl="1" w:tplc="03F8BEB4">
      <w:start w:val="1"/>
      <w:numFmt w:val="lowerRoman"/>
      <w:lvlText w:val="%2)"/>
      <w:lvlJc w:val="left"/>
      <w:pPr>
        <w:tabs>
          <w:tab w:val="num" w:pos="1866"/>
        </w:tabs>
        <w:ind w:left="1866" w:hanging="720"/>
      </w:pPr>
      <w:rPr>
        <w:rFonts w:cs="Times New Roman" w:hint="default"/>
        <w:b w:val="0"/>
        <w:bCs w:val="0"/>
        <w:sz w:val="16"/>
        <w:szCs w:val="16"/>
      </w:rPr>
    </w:lvl>
    <w:lvl w:ilvl="2" w:tplc="041B001B">
      <w:start w:val="1"/>
      <w:numFmt w:val="lowerRoman"/>
      <w:lvlText w:val="%3."/>
      <w:lvlJc w:val="right"/>
      <w:pPr>
        <w:tabs>
          <w:tab w:val="num" w:pos="2226"/>
        </w:tabs>
        <w:ind w:left="2226" w:hanging="180"/>
      </w:pPr>
      <w:rPr>
        <w:rFonts w:cs="Times New Roman"/>
      </w:rPr>
    </w:lvl>
    <w:lvl w:ilvl="3" w:tplc="2612F200">
      <w:start w:val="1"/>
      <w:numFmt w:val="decimal"/>
      <w:lvlText w:val="%4."/>
      <w:lvlJc w:val="left"/>
      <w:pPr>
        <w:tabs>
          <w:tab w:val="num" w:pos="2946"/>
        </w:tabs>
        <w:ind w:left="2946" w:hanging="360"/>
      </w:pPr>
      <w:rPr>
        <w:rFonts w:cs="Times New Roman" w:hint="default"/>
        <w:b w:val="0"/>
        <w:bCs w:val="0"/>
        <w:sz w:val="22"/>
        <w:szCs w:val="22"/>
      </w:rPr>
    </w:lvl>
    <w:lvl w:ilvl="4" w:tplc="041B0019">
      <w:start w:val="1"/>
      <w:numFmt w:val="lowerLetter"/>
      <w:lvlText w:val="%5."/>
      <w:lvlJc w:val="left"/>
      <w:pPr>
        <w:tabs>
          <w:tab w:val="num" w:pos="3666"/>
        </w:tabs>
        <w:ind w:left="3666" w:hanging="360"/>
      </w:pPr>
      <w:rPr>
        <w:rFonts w:cs="Times New Roman"/>
      </w:rPr>
    </w:lvl>
    <w:lvl w:ilvl="5" w:tplc="041B001B">
      <w:start w:val="1"/>
      <w:numFmt w:val="lowerRoman"/>
      <w:lvlText w:val="%6."/>
      <w:lvlJc w:val="right"/>
      <w:pPr>
        <w:tabs>
          <w:tab w:val="num" w:pos="4386"/>
        </w:tabs>
        <w:ind w:left="4386" w:hanging="180"/>
      </w:pPr>
      <w:rPr>
        <w:rFonts w:cs="Times New Roman"/>
      </w:rPr>
    </w:lvl>
    <w:lvl w:ilvl="6" w:tplc="041B000F">
      <w:start w:val="1"/>
      <w:numFmt w:val="decimal"/>
      <w:lvlText w:val="%7."/>
      <w:lvlJc w:val="left"/>
      <w:pPr>
        <w:tabs>
          <w:tab w:val="num" w:pos="5106"/>
        </w:tabs>
        <w:ind w:left="5106" w:hanging="360"/>
      </w:pPr>
      <w:rPr>
        <w:rFonts w:cs="Times New Roman"/>
      </w:rPr>
    </w:lvl>
    <w:lvl w:ilvl="7" w:tplc="041B0019">
      <w:start w:val="1"/>
      <w:numFmt w:val="lowerLetter"/>
      <w:lvlText w:val="%8."/>
      <w:lvlJc w:val="left"/>
      <w:pPr>
        <w:tabs>
          <w:tab w:val="num" w:pos="5826"/>
        </w:tabs>
        <w:ind w:left="5826" w:hanging="360"/>
      </w:pPr>
      <w:rPr>
        <w:rFonts w:cs="Times New Roman"/>
      </w:rPr>
    </w:lvl>
    <w:lvl w:ilvl="8" w:tplc="041B001B">
      <w:start w:val="1"/>
      <w:numFmt w:val="lowerRoman"/>
      <w:lvlText w:val="%9."/>
      <w:lvlJc w:val="right"/>
      <w:pPr>
        <w:tabs>
          <w:tab w:val="num" w:pos="6546"/>
        </w:tabs>
        <w:ind w:left="6546" w:hanging="180"/>
      </w:pPr>
      <w:rPr>
        <w:rFonts w:cs="Times New Roman"/>
      </w:rPr>
    </w:lvl>
  </w:abstractNum>
  <w:abstractNum w:abstractNumId="38" w15:restartNumberingAfterBreak="0">
    <w:nsid w:val="5F853F49"/>
    <w:multiLevelType w:val="hybridMultilevel"/>
    <w:tmpl w:val="0B3EB760"/>
    <w:lvl w:ilvl="0" w:tplc="B23E6234">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57A4289"/>
    <w:multiLevelType w:val="hybridMultilevel"/>
    <w:tmpl w:val="9238FF28"/>
    <w:lvl w:ilvl="0" w:tplc="01207570">
      <w:start w:val="2"/>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7503B51"/>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41" w15:restartNumberingAfterBreak="0">
    <w:nsid w:val="67796CD1"/>
    <w:multiLevelType w:val="hybridMultilevel"/>
    <w:tmpl w:val="5BC88BE0"/>
    <w:lvl w:ilvl="0" w:tplc="041B0017">
      <w:start w:val="1"/>
      <w:numFmt w:val="lowerLetter"/>
      <w:lvlText w:val="%1)"/>
      <w:lvlJc w:val="left"/>
      <w:pPr>
        <w:ind w:left="512" w:hanging="360"/>
      </w:pPr>
    </w:lvl>
    <w:lvl w:ilvl="1" w:tplc="041B000F">
      <w:start w:val="1"/>
      <w:numFmt w:val="decimal"/>
      <w:lvlText w:val="%2."/>
      <w:lvlJc w:val="left"/>
      <w:pPr>
        <w:ind w:left="1232" w:hanging="360"/>
      </w:pPr>
    </w:lvl>
    <w:lvl w:ilvl="2" w:tplc="041B001B" w:tentative="1">
      <w:start w:val="1"/>
      <w:numFmt w:val="lowerRoman"/>
      <w:lvlText w:val="%3."/>
      <w:lvlJc w:val="right"/>
      <w:pPr>
        <w:ind w:left="1952" w:hanging="180"/>
      </w:pPr>
    </w:lvl>
    <w:lvl w:ilvl="3" w:tplc="041B000F" w:tentative="1">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42" w15:restartNumberingAfterBreak="0">
    <w:nsid w:val="70A40DB1"/>
    <w:multiLevelType w:val="hybridMultilevel"/>
    <w:tmpl w:val="913E94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4B75307"/>
    <w:multiLevelType w:val="hybridMultilevel"/>
    <w:tmpl w:val="D098F2FE"/>
    <w:lvl w:ilvl="0" w:tplc="041B000F">
      <w:start w:val="1"/>
      <w:numFmt w:val="decimal"/>
      <w:lvlText w:val="%1."/>
      <w:lvlJc w:val="left"/>
      <w:pPr>
        <w:ind w:left="360" w:hanging="360"/>
      </w:pPr>
      <w:rPr>
        <w:rFonts w:hint="default"/>
      </w:rPr>
    </w:lvl>
    <w:lvl w:ilvl="1" w:tplc="46A6C06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D707FEE"/>
    <w:multiLevelType w:val="hybridMultilevel"/>
    <w:tmpl w:val="E85EE886"/>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ED50FCD"/>
    <w:multiLevelType w:val="hybridMultilevel"/>
    <w:tmpl w:val="3814BC0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BF1B7F"/>
    <w:multiLevelType w:val="hybridMultilevel"/>
    <w:tmpl w:val="C28894FE"/>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393312652">
    <w:abstractNumId w:val="10"/>
  </w:num>
  <w:num w:numId="2" w16cid:durableId="2001810374">
    <w:abstractNumId w:val="10"/>
    <w:lvlOverride w:ilvl="0">
      <w:startOverride w:val="3"/>
    </w:lvlOverride>
  </w:num>
  <w:num w:numId="3" w16cid:durableId="890848676">
    <w:abstractNumId w:val="23"/>
  </w:num>
  <w:num w:numId="4" w16cid:durableId="222062179">
    <w:abstractNumId w:val="23"/>
    <w:lvlOverride w:ilvl="0">
      <w:startOverride w:val="2"/>
    </w:lvlOverride>
  </w:num>
  <w:num w:numId="5" w16cid:durableId="823084832">
    <w:abstractNumId w:val="15"/>
  </w:num>
  <w:num w:numId="6" w16cid:durableId="1899628307">
    <w:abstractNumId w:val="15"/>
    <w:lvlOverride w:ilvl="0">
      <w:startOverride w:val="1"/>
    </w:lvlOverride>
  </w:num>
  <w:num w:numId="7" w16cid:durableId="1627616338">
    <w:abstractNumId w:val="27"/>
  </w:num>
  <w:num w:numId="8" w16cid:durableId="10185031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000575">
    <w:abstractNumId w:val="21"/>
  </w:num>
  <w:num w:numId="10" w16cid:durableId="1826360787">
    <w:abstractNumId w:val="3"/>
  </w:num>
  <w:num w:numId="11" w16cid:durableId="1928230106">
    <w:abstractNumId w:val="35"/>
  </w:num>
  <w:num w:numId="12" w16cid:durableId="330067959">
    <w:abstractNumId w:val="9"/>
  </w:num>
  <w:num w:numId="13" w16cid:durableId="977952591">
    <w:abstractNumId w:val="29"/>
  </w:num>
  <w:num w:numId="14" w16cid:durableId="2007979218">
    <w:abstractNumId w:val="6"/>
  </w:num>
  <w:num w:numId="15" w16cid:durableId="1598174870">
    <w:abstractNumId w:val="28"/>
  </w:num>
  <w:num w:numId="16" w16cid:durableId="1641183990">
    <w:abstractNumId w:val="40"/>
  </w:num>
  <w:num w:numId="17" w16cid:durableId="1918784816">
    <w:abstractNumId w:val="14"/>
  </w:num>
  <w:num w:numId="18" w16cid:durableId="1047685181">
    <w:abstractNumId w:val="16"/>
  </w:num>
  <w:num w:numId="19" w16cid:durableId="1213998678">
    <w:abstractNumId w:val="30"/>
  </w:num>
  <w:num w:numId="20" w16cid:durableId="758794474">
    <w:abstractNumId w:val="46"/>
  </w:num>
  <w:num w:numId="21" w16cid:durableId="1052073058">
    <w:abstractNumId w:val="5"/>
  </w:num>
  <w:num w:numId="22" w16cid:durableId="304507716">
    <w:abstractNumId w:val="37"/>
  </w:num>
  <w:num w:numId="23" w16cid:durableId="502672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462728">
    <w:abstractNumId w:val="18"/>
  </w:num>
  <w:num w:numId="25" w16cid:durableId="1430000664">
    <w:abstractNumId w:val="4"/>
  </w:num>
  <w:num w:numId="26" w16cid:durableId="1654990594">
    <w:abstractNumId w:val="39"/>
  </w:num>
  <w:num w:numId="27" w16cid:durableId="1074817803">
    <w:abstractNumId w:val="31"/>
  </w:num>
  <w:num w:numId="28" w16cid:durableId="854002064">
    <w:abstractNumId w:val="7"/>
  </w:num>
  <w:num w:numId="29" w16cid:durableId="1167016058">
    <w:abstractNumId w:val="44"/>
  </w:num>
  <w:num w:numId="30" w16cid:durableId="1847556769">
    <w:abstractNumId w:val="26"/>
  </w:num>
  <w:num w:numId="31" w16cid:durableId="1175536741">
    <w:abstractNumId w:val="1"/>
  </w:num>
  <w:num w:numId="32" w16cid:durableId="2060545889">
    <w:abstractNumId w:val="2"/>
  </w:num>
  <w:num w:numId="33" w16cid:durableId="634407925">
    <w:abstractNumId w:val="12"/>
  </w:num>
  <w:num w:numId="34" w16cid:durableId="960384100">
    <w:abstractNumId w:val="24"/>
  </w:num>
  <w:num w:numId="35" w16cid:durableId="668947483">
    <w:abstractNumId w:val="36"/>
  </w:num>
  <w:num w:numId="36" w16cid:durableId="388726275">
    <w:abstractNumId w:val="41"/>
  </w:num>
  <w:num w:numId="37" w16cid:durableId="1052147476">
    <w:abstractNumId w:val="20"/>
  </w:num>
  <w:num w:numId="38" w16cid:durableId="645862091">
    <w:abstractNumId w:val="38"/>
  </w:num>
  <w:num w:numId="39" w16cid:durableId="1415785465">
    <w:abstractNumId w:val="22"/>
  </w:num>
  <w:num w:numId="40" w16cid:durableId="1095320439">
    <w:abstractNumId w:val="25"/>
  </w:num>
  <w:num w:numId="41" w16cid:durableId="1522012908">
    <w:abstractNumId w:val="13"/>
  </w:num>
  <w:num w:numId="42" w16cid:durableId="1795833611">
    <w:abstractNumId w:val="43"/>
  </w:num>
  <w:num w:numId="43" w16cid:durableId="578905770">
    <w:abstractNumId w:val="11"/>
  </w:num>
  <w:num w:numId="44" w16cid:durableId="417287190">
    <w:abstractNumId w:val="42"/>
  </w:num>
  <w:num w:numId="45" w16cid:durableId="1377854462">
    <w:abstractNumId w:val="8"/>
  </w:num>
  <w:num w:numId="46" w16cid:durableId="13653901">
    <w:abstractNumId w:val="32"/>
  </w:num>
  <w:num w:numId="47" w16cid:durableId="63071903">
    <w:abstractNumId w:val="34"/>
  </w:num>
  <w:num w:numId="48" w16cid:durableId="1027216807">
    <w:abstractNumId w:val="17"/>
  </w:num>
  <w:num w:numId="49" w16cid:durableId="293024406">
    <w:abstractNumId w:val="45"/>
  </w:num>
  <w:num w:numId="50" w16cid:durableId="2069379077">
    <w:abstractNumId w:val="0"/>
  </w:num>
  <w:num w:numId="51" w16cid:durableId="9202127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01DEE"/>
    <w:rsid w:val="00001F4E"/>
    <w:rsid w:val="0000255B"/>
    <w:rsid w:val="00002C0C"/>
    <w:rsid w:val="0000346A"/>
    <w:rsid w:val="00003CE9"/>
    <w:rsid w:val="00003CFA"/>
    <w:rsid w:val="00007B33"/>
    <w:rsid w:val="00012561"/>
    <w:rsid w:val="00012792"/>
    <w:rsid w:val="000135E5"/>
    <w:rsid w:val="00020585"/>
    <w:rsid w:val="0002098D"/>
    <w:rsid w:val="00021117"/>
    <w:rsid w:val="000231A1"/>
    <w:rsid w:val="00024D6F"/>
    <w:rsid w:val="00024D8B"/>
    <w:rsid w:val="00025920"/>
    <w:rsid w:val="00026B7F"/>
    <w:rsid w:val="000320A6"/>
    <w:rsid w:val="000340E5"/>
    <w:rsid w:val="0003471E"/>
    <w:rsid w:val="00037238"/>
    <w:rsid w:val="00047278"/>
    <w:rsid w:val="00055B37"/>
    <w:rsid w:val="00055CC7"/>
    <w:rsid w:val="000567A4"/>
    <w:rsid w:val="00057FB3"/>
    <w:rsid w:val="00063575"/>
    <w:rsid w:val="00065D44"/>
    <w:rsid w:val="00073CD8"/>
    <w:rsid w:val="00074E8F"/>
    <w:rsid w:val="0007521E"/>
    <w:rsid w:val="0007653C"/>
    <w:rsid w:val="00082255"/>
    <w:rsid w:val="00084172"/>
    <w:rsid w:val="00086BF7"/>
    <w:rsid w:val="00087068"/>
    <w:rsid w:val="0008713F"/>
    <w:rsid w:val="000907F9"/>
    <w:rsid w:val="00090E78"/>
    <w:rsid w:val="0009232E"/>
    <w:rsid w:val="00095F84"/>
    <w:rsid w:val="00096ADB"/>
    <w:rsid w:val="00096E74"/>
    <w:rsid w:val="000A06A6"/>
    <w:rsid w:val="000A2A3B"/>
    <w:rsid w:val="000A30C9"/>
    <w:rsid w:val="000A4AE0"/>
    <w:rsid w:val="000A62F3"/>
    <w:rsid w:val="000B0F0B"/>
    <w:rsid w:val="000B214D"/>
    <w:rsid w:val="000B6758"/>
    <w:rsid w:val="000C2955"/>
    <w:rsid w:val="000C2E53"/>
    <w:rsid w:val="000C6C5C"/>
    <w:rsid w:val="000C72AE"/>
    <w:rsid w:val="000D041C"/>
    <w:rsid w:val="000D73F6"/>
    <w:rsid w:val="000E03CB"/>
    <w:rsid w:val="000E0D2B"/>
    <w:rsid w:val="000E2257"/>
    <w:rsid w:val="000E4886"/>
    <w:rsid w:val="000E4AB0"/>
    <w:rsid w:val="000E4E15"/>
    <w:rsid w:val="000E5D3F"/>
    <w:rsid w:val="000F0F63"/>
    <w:rsid w:val="000F26D9"/>
    <w:rsid w:val="000F27EB"/>
    <w:rsid w:val="000F3430"/>
    <w:rsid w:val="000F393B"/>
    <w:rsid w:val="000F685E"/>
    <w:rsid w:val="00102AB8"/>
    <w:rsid w:val="001039E2"/>
    <w:rsid w:val="001054D0"/>
    <w:rsid w:val="00107C21"/>
    <w:rsid w:val="001139B0"/>
    <w:rsid w:val="00115ED2"/>
    <w:rsid w:val="00121720"/>
    <w:rsid w:val="00121E12"/>
    <w:rsid w:val="001237C8"/>
    <w:rsid w:val="0012394B"/>
    <w:rsid w:val="00124B5C"/>
    <w:rsid w:val="001253E2"/>
    <w:rsid w:val="0012640D"/>
    <w:rsid w:val="00126BF2"/>
    <w:rsid w:val="00126D23"/>
    <w:rsid w:val="00127033"/>
    <w:rsid w:val="00127B0E"/>
    <w:rsid w:val="00127E46"/>
    <w:rsid w:val="00131937"/>
    <w:rsid w:val="00132CD6"/>
    <w:rsid w:val="001344CE"/>
    <w:rsid w:val="001353C3"/>
    <w:rsid w:val="001421B7"/>
    <w:rsid w:val="0014248F"/>
    <w:rsid w:val="00146FE9"/>
    <w:rsid w:val="0015019E"/>
    <w:rsid w:val="00153B33"/>
    <w:rsid w:val="00160AC0"/>
    <w:rsid w:val="00162578"/>
    <w:rsid w:val="001655AD"/>
    <w:rsid w:val="0016730A"/>
    <w:rsid w:val="00167831"/>
    <w:rsid w:val="00173560"/>
    <w:rsid w:val="00175106"/>
    <w:rsid w:val="001771B0"/>
    <w:rsid w:val="00177D71"/>
    <w:rsid w:val="00181CD6"/>
    <w:rsid w:val="001847B0"/>
    <w:rsid w:val="00186909"/>
    <w:rsid w:val="00194794"/>
    <w:rsid w:val="0019690F"/>
    <w:rsid w:val="00196BD1"/>
    <w:rsid w:val="00197548"/>
    <w:rsid w:val="00197DC0"/>
    <w:rsid w:val="001A1851"/>
    <w:rsid w:val="001A2DED"/>
    <w:rsid w:val="001A34EA"/>
    <w:rsid w:val="001A3637"/>
    <w:rsid w:val="001A628D"/>
    <w:rsid w:val="001A6D92"/>
    <w:rsid w:val="001A7CFB"/>
    <w:rsid w:val="001B5416"/>
    <w:rsid w:val="001B5F0E"/>
    <w:rsid w:val="001B70E2"/>
    <w:rsid w:val="001C2190"/>
    <w:rsid w:val="001C2D8C"/>
    <w:rsid w:val="001C5C9A"/>
    <w:rsid w:val="001D0AA4"/>
    <w:rsid w:val="001D12E6"/>
    <w:rsid w:val="001D5124"/>
    <w:rsid w:val="001D5F56"/>
    <w:rsid w:val="001D6E9B"/>
    <w:rsid w:val="001E2661"/>
    <w:rsid w:val="001E2837"/>
    <w:rsid w:val="001E28AA"/>
    <w:rsid w:val="001E53D2"/>
    <w:rsid w:val="001E65CD"/>
    <w:rsid w:val="001E7465"/>
    <w:rsid w:val="001F4809"/>
    <w:rsid w:val="001F5A7A"/>
    <w:rsid w:val="001F7D0F"/>
    <w:rsid w:val="00200663"/>
    <w:rsid w:val="00200CE9"/>
    <w:rsid w:val="00201781"/>
    <w:rsid w:val="00206138"/>
    <w:rsid w:val="00217748"/>
    <w:rsid w:val="00217BF4"/>
    <w:rsid w:val="00231A14"/>
    <w:rsid w:val="00240120"/>
    <w:rsid w:val="0024482C"/>
    <w:rsid w:val="002510D4"/>
    <w:rsid w:val="002511C9"/>
    <w:rsid w:val="00251A39"/>
    <w:rsid w:val="002523AA"/>
    <w:rsid w:val="00261E17"/>
    <w:rsid w:val="002622E9"/>
    <w:rsid w:val="00262EA4"/>
    <w:rsid w:val="002634AA"/>
    <w:rsid w:val="0026401A"/>
    <w:rsid w:val="0026453A"/>
    <w:rsid w:val="00265ECE"/>
    <w:rsid w:val="002673BA"/>
    <w:rsid w:val="00267EBD"/>
    <w:rsid w:val="00270E65"/>
    <w:rsid w:val="00277585"/>
    <w:rsid w:val="0028097C"/>
    <w:rsid w:val="0028385E"/>
    <w:rsid w:val="002844F5"/>
    <w:rsid w:val="002865FB"/>
    <w:rsid w:val="00287661"/>
    <w:rsid w:val="002921C9"/>
    <w:rsid w:val="00292FD6"/>
    <w:rsid w:val="00293DDF"/>
    <w:rsid w:val="00294613"/>
    <w:rsid w:val="00295CB2"/>
    <w:rsid w:val="002A4AB9"/>
    <w:rsid w:val="002B2DD3"/>
    <w:rsid w:val="002B75FA"/>
    <w:rsid w:val="002C4B42"/>
    <w:rsid w:val="002C5F55"/>
    <w:rsid w:val="002C7D24"/>
    <w:rsid w:val="002D052B"/>
    <w:rsid w:val="002D1F26"/>
    <w:rsid w:val="002D3139"/>
    <w:rsid w:val="002D5A6E"/>
    <w:rsid w:val="002D771C"/>
    <w:rsid w:val="002E11B0"/>
    <w:rsid w:val="002E19C6"/>
    <w:rsid w:val="002E1D16"/>
    <w:rsid w:val="002E21FB"/>
    <w:rsid w:val="002E2A86"/>
    <w:rsid w:val="002E3CEB"/>
    <w:rsid w:val="002E4E73"/>
    <w:rsid w:val="002F12CC"/>
    <w:rsid w:val="002F147A"/>
    <w:rsid w:val="002F5E57"/>
    <w:rsid w:val="002F651A"/>
    <w:rsid w:val="00302875"/>
    <w:rsid w:val="00304A17"/>
    <w:rsid w:val="003069C7"/>
    <w:rsid w:val="003073B0"/>
    <w:rsid w:val="003107C0"/>
    <w:rsid w:val="00311ED3"/>
    <w:rsid w:val="00312C89"/>
    <w:rsid w:val="0032032B"/>
    <w:rsid w:val="0032116E"/>
    <w:rsid w:val="00323555"/>
    <w:rsid w:val="00323645"/>
    <w:rsid w:val="00324407"/>
    <w:rsid w:val="00327430"/>
    <w:rsid w:val="00330066"/>
    <w:rsid w:val="003303CD"/>
    <w:rsid w:val="003362E2"/>
    <w:rsid w:val="00336D12"/>
    <w:rsid w:val="00343C42"/>
    <w:rsid w:val="003444A5"/>
    <w:rsid w:val="00352F81"/>
    <w:rsid w:val="00355847"/>
    <w:rsid w:val="003607A5"/>
    <w:rsid w:val="00360DD3"/>
    <w:rsid w:val="00363A61"/>
    <w:rsid w:val="00366F11"/>
    <w:rsid w:val="00371ADA"/>
    <w:rsid w:val="003731B6"/>
    <w:rsid w:val="00373458"/>
    <w:rsid w:val="00373927"/>
    <w:rsid w:val="003742B8"/>
    <w:rsid w:val="00374DAB"/>
    <w:rsid w:val="003807D7"/>
    <w:rsid w:val="003818BF"/>
    <w:rsid w:val="00381C85"/>
    <w:rsid w:val="0038272A"/>
    <w:rsid w:val="00382CAE"/>
    <w:rsid w:val="0038383D"/>
    <w:rsid w:val="00391DC5"/>
    <w:rsid w:val="0039236B"/>
    <w:rsid w:val="00393CB5"/>
    <w:rsid w:val="003973BD"/>
    <w:rsid w:val="003A2A3C"/>
    <w:rsid w:val="003A466A"/>
    <w:rsid w:val="003A66DE"/>
    <w:rsid w:val="003A7955"/>
    <w:rsid w:val="003B04A2"/>
    <w:rsid w:val="003B0E6C"/>
    <w:rsid w:val="003B0FBF"/>
    <w:rsid w:val="003C143F"/>
    <w:rsid w:val="003C18D2"/>
    <w:rsid w:val="003C4268"/>
    <w:rsid w:val="003D123E"/>
    <w:rsid w:val="003D2E06"/>
    <w:rsid w:val="003D339F"/>
    <w:rsid w:val="003E117F"/>
    <w:rsid w:val="003E50C0"/>
    <w:rsid w:val="003E6CDD"/>
    <w:rsid w:val="003E7B78"/>
    <w:rsid w:val="003E7F03"/>
    <w:rsid w:val="003F0512"/>
    <w:rsid w:val="003F1363"/>
    <w:rsid w:val="003F3A84"/>
    <w:rsid w:val="003F4624"/>
    <w:rsid w:val="003F54E7"/>
    <w:rsid w:val="003F7211"/>
    <w:rsid w:val="00400B79"/>
    <w:rsid w:val="00401C2A"/>
    <w:rsid w:val="00403DE2"/>
    <w:rsid w:val="0040465E"/>
    <w:rsid w:val="00405249"/>
    <w:rsid w:val="00410550"/>
    <w:rsid w:val="00411E20"/>
    <w:rsid w:val="004132A4"/>
    <w:rsid w:val="004137E7"/>
    <w:rsid w:val="00415A8E"/>
    <w:rsid w:val="00417C03"/>
    <w:rsid w:val="00420266"/>
    <w:rsid w:val="00421C44"/>
    <w:rsid w:val="004238CA"/>
    <w:rsid w:val="00423FE5"/>
    <w:rsid w:val="00424270"/>
    <w:rsid w:val="004263FC"/>
    <w:rsid w:val="00431404"/>
    <w:rsid w:val="0043237A"/>
    <w:rsid w:val="00433BBB"/>
    <w:rsid w:val="004369B7"/>
    <w:rsid w:val="00440A2A"/>
    <w:rsid w:val="00440A96"/>
    <w:rsid w:val="0044167C"/>
    <w:rsid w:val="004429E4"/>
    <w:rsid w:val="004469F9"/>
    <w:rsid w:val="00450E8F"/>
    <w:rsid w:val="00452A8E"/>
    <w:rsid w:val="00455D49"/>
    <w:rsid w:val="004577EC"/>
    <w:rsid w:val="00457C5A"/>
    <w:rsid w:val="00457FF1"/>
    <w:rsid w:val="0046130E"/>
    <w:rsid w:val="00461419"/>
    <w:rsid w:val="00461EB9"/>
    <w:rsid w:val="00462ABD"/>
    <w:rsid w:val="00463370"/>
    <w:rsid w:val="00463463"/>
    <w:rsid w:val="0047202F"/>
    <w:rsid w:val="00474BE1"/>
    <w:rsid w:val="00474F4B"/>
    <w:rsid w:val="00482084"/>
    <w:rsid w:val="00492B3E"/>
    <w:rsid w:val="0049520B"/>
    <w:rsid w:val="00496EB9"/>
    <w:rsid w:val="004A14B7"/>
    <w:rsid w:val="004A1EC0"/>
    <w:rsid w:val="004A37C8"/>
    <w:rsid w:val="004A4493"/>
    <w:rsid w:val="004A690B"/>
    <w:rsid w:val="004A6D30"/>
    <w:rsid w:val="004A787D"/>
    <w:rsid w:val="004B0C36"/>
    <w:rsid w:val="004B12A4"/>
    <w:rsid w:val="004B32F2"/>
    <w:rsid w:val="004B3427"/>
    <w:rsid w:val="004B38D5"/>
    <w:rsid w:val="004B4186"/>
    <w:rsid w:val="004B5528"/>
    <w:rsid w:val="004C0DA4"/>
    <w:rsid w:val="004C13CC"/>
    <w:rsid w:val="004D0FCA"/>
    <w:rsid w:val="004D1171"/>
    <w:rsid w:val="004D62CC"/>
    <w:rsid w:val="004E30E1"/>
    <w:rsid w:val="004E5EE2"/>
    <w:rsid w:val="004E714E"/>
    <w:rsid w:val="004E7385"/>
    <w:rsid w:val="004F0476"/>
    <w:rsid w:val="004F20A1"/>
    <w:rsid w:val="004F6ED6"/>
    <w:rsid w:val="004F78C5"/>
    <w:rsid w:val="00500C2E"/>
    <w:rsid w:val="00502FFA"/>
    <w:rsid w:val="0050561A"/>
    <w:rsid w:val="00506123"/>
    <w:rsid w:val="00510D5F"/>
    <w:rsid w:val="00511832"/>
    <w:rsid w:val="005128DA"/>
    <w:rsid w:val="005130F7"/>
    <w:rsid w:val="00513D1C"/>
    <w:rsid w:val="00513F93"/>
    <w:rsid w:val="00514D8E"/>
    <w:rsid w:val="005170A9"/>
    <w:rsid w:val="005204BA"/>
    <w:rsid w:val="00520CD1"/>
    <w:rsid w:val="00523BAE"/>
    <w:rsid w:val="00526431"/>
    <w:rsid w:val="00526F53"/>
    <w:rsid w:val="00527941"/>
    <w:rsid w:val="00531286"/>
    <w:rsid w:val="005323F1"/>
    <w:rsid w:val="00534867"/>
    <w:rsid w:val="00535F1D"/>
    <w:rsid w:val="005412D6"/>
    <w:rsid w:val="005430FA"/>
    <w:rsid w:val="005435B2"/>
    <w:rsid w:val="00544F8F"/>
    <w:rsid w:val="00552C56"/>
    <w:rsid w:val="00560462"/>
    <w:rsid w:val="005610DB"/>
    <w:rsid w:val="00561B2E"/>
    <w:rsid w:val="005732BC"/>
    <w:rsid w:val="00573821"/>
    <w:rsid w:val="00580207"/>
    <w:rsid w:val="005919EC"/>
    <w:rsid w:val="005947B8"/>
    <w:rsid w:val="005A2AE4"/>
    <w:rsid w:val="005B5E49"/>
    <w:rsid w:val="005C0BCC"/>
    <w:rsid w:val="005C4EBB"/>
    <w:rsid w:val="005D2056"/>
    <w:rsid w:val="005D36FC"/>
    <w:rsid w:val="005D5248"/>
    <w:rsid w:val="005E08D4"/>
    <w:rsid w:val="005E0B20"/>
    <w:rsid w:val="005E147F"/>
    <w:rsid w:val="005E64A1"/>
    <w:rsid w:val="005F67C3"/>
    <w:rsid w:val="00611DAA"/>
    <w:rsid w:val="00612873"/>
    <w:rsid w:val="00622967"/>
    <w:rsid w:val="006261AB"/>
    <w:rsid w:val="00626BBE"/>
    <w:rsid w:val="0063136C"/>
    <w:rsid w:val="00632428"/>
    <w:rsid w:val="00633CEF"/>
    <w:rsid w:val="006342A4"/>
    <w:rsid w:val="00640148"/>
    <w:rsid w:val="00640FA8"/>
    <w:rsid w:val="00641164"/>
    <w:rsid w:val="0064290B"/>
    <w:rsid w:val="00642D4C"/>
    <w:rsid w:val="0064397E"/>
    <w:rsid w:val="0064434C"/>
    <w:rsid w:val="0064543A"/>
    <w:rsid w:val="00651021"/>
    <w:rsid w:val="006547EC"/>
    <w:rsid w:val="0065524E"/>
    <w:rsid w:val="00665870"/>
    <w:rsid w:val="00666180"/>
    <w:rsid w:val="006671E4"/>
    <w:rsid w:val="0066733C"/>
    <w:rsid w:val="006706D8"/>
    <w:rsid w:val="006725C3"/>
    <w:rsid w:val="00672E8D"/>
    <w:rsid w:val="00676DFE"/>
    <w:rsid w:val="00680683"/>
    <w:rsid w:val="00683A6B"/>
    <w:rsid w:val="00690311"/>
    <w:rsid w:val="006903C3"/>
    <w:rsid w:val="00690B8E"/>
    <w:rsid w:val="00693ABA"/>
    <w:rsid w:val="00694A42"/>
    <w:rsid w:val="0069525F"/>
    <w:rsid w:val="00697D85"/>
    <w:rsid w:val="006A3C9E"/>
    <w:rsid w:val="006A58CB"/>
    <w:rsid w:val="006B0AF1"/>
    <w:rsid w:val="006B20CC"/>
    <w:rsid w:val="006B31A5"/>
    <w:rsid w:val="006B3989"/>
    <w:rsid w:val="006B721E"/>
    <w:rsid w:val="006B7B08"/>
    <w:rsid w:val="006C3EB1"/>
    <w:rsid w:val="006C4331"/>
    <w:rsid w:val="006C72A8"/>
    <w:rsid w:val="006D0585"/>
    <w:rsid w:val="006D0F47"/>
    <w:rsid w:val="006D179C"/>
    <w:rsid w:val="006D2CC2"/>
    <w:rsid w:val="006D2E0E"/>
    <w:rsid w:val="006D5629"/>
    <w:rsid w:val="006D7B34"/>
    <w:rsid w:val="006E1247"/>
    <w:rsid w:val="006E1DD0"/>
    <w:rsid w:val="006E2CA3"/>
    <w:rsid w:val="006E50F0"/>
    <w:rsid w:val="006E63A1"/>
    <w:rsid w:val="006E689D"/>
    <w:rsid w:val="006E7EBD"/>
    <w:rsid w:val="006F1121"/>
    <w:rsid w:val="006F14E0"/>
    <w:rsid w:val="006F263A"/>
    <w:rsid w:val="006F2A44"/>
    <w:rsid w:val="006F2A62"/>
    <w:rsid w:val="006F632E"/>
    <w:rsid w:val="00700075"/>
    <w:rsid w:val="00701CDB"/>
    <w:rsid w:val="0070398B"/>
    <w:rsid w:val="00703CD0"/>
    <w:rsid w:val="00704300"/>
    <w:rsid w:val="00710FB0"/>
    <w:rsid w:val="00714776"/>
    <w:rsid w:val="00716C11"/>
    <w:rsid w:val="0071725B"/>
    <w:rsid w:val="007207ED"/>
    <w:rsid w:val="00723D39"/>
    <w:rsid w:val="00725858"/>
    <w:rsid w:val="007265AE"/>
    <w:rsid w:val="00727F9D"/>
    <w:rsid w:val="0073034B"/>
    <w:rsid w:val="00732B35"/>
    <w:rsid w:val="0073310F"/>
    <w:rsid w:val="00733A2B"/>
    <w:rsid w:val="0073777C"/>
    <w:rsid w:val="00737D73"/>
    <w:rsid w:val="0074134C"/>
    <w:rsid w:val="00742501"/>
    <w:rsid w:val="0074512A"/>
    <w:rsid w:val="00752008"/>
    <w:rsid w:val="007532EB"/>
    <w:rsid w:val="00756853"/>
    <w:rsid w:val="00756FDC"/>
    <w:rsid w:val="00757F02"/>
    <w:rsid w:val="00760127"/>
    <w:rsid w:val="007609AB"/>
    <w:rsid w:val="007619E7"/>
    <w:rsid w:val="00761E7E"/>
    <w:rsid w:val="0076520A"/>
    <w:rsid w:val="00767A66"/>
    <w:rsid w:val="00770C2A"/>
    <w:rsid w:val="007710EE"/>
    <w:rsid w:val="00781C76"/>
    <w:rsid w:val="0078217F"/>
    <w:rsid w:val="0078287E"/>
    <w:rsid w:val="0078356C"/>
    <w:rsid w:val="007843DE"/>
    <w:rsid w:val="00791E44"/>
    <w:rsid w:val="007934D3"/>
    <w:rsid w:val="007945F9"/>
    <w:rsid w:val="00794F43"/>
    <w:rsid w:val="00795241"/>
    <w:rsid w:val="007A175E"/>
    <w:rsid w:val="007A4073"/>
    <w:rsid w:val="007B0DA8"/>
    <w:rsid w:val="007B4F52"/>
    <w:rsid w:val="007B5E61"/>
    <w:rsid w:val="007B6320"/>
    <w:rsid w:val="007B6B0E"/>
    <w:rsid w:val="007B7151"/>
    <w:rsid w:val="007C7865"/>
    <w:rsid w:val="007D061D"/>
    <w:rsid w:val="007D0A14"/>
    <w:rsid w:val="007D7290"/>
    <w:rsid w:val="007D7573"/>
    <w:rsid w:val="007D79B4"/>
    <w:rsid w:val="007E0008"/>
    <w:rsid w:val="007E09C6"/>
    <w:rsid w:val="007E09F8"/>
    <w:rsid w:val="007E14AC"/>
    <w:rsid w:val="007E4FDD"/>
    <w:rsid w:val="007F2EDA"/>
    <w:rsid w:val="007F4273"/>
    <w:rsid w:val="007F60AF"/>
    <w:rsid w:val="00801B29"/>
    <w:rsid w:val="00804423"/>
    <w:rsid w:val="00805A04"/>
    <w:rsid w:val="00806CC2"/>
    <w:rsid w:val="00807A98"/>
    <w:rsid w:val="008113BC"/>
    <w:rsid w:val="00813B43"/>
    <w:rsid w:val="00814E7B"/>
    <w:rsid w:val="008159BD"/>
    <w:rsid w:val="0081692C"/>
    <w:rsid w:val="00816AA1"/>
    <w:rsid w:val="0081721F"/>
    <w:rsid w:val="0082147A"/>
    <w:rsid w:val="008218D4"/>
    <w:rsid w:val="00823B31"/>
    <w:rsid w:val="00823C32"/>
    <w:rsid w:val="00824153"/>
    <w:rsid w:val="0082536D"/>
    <w:rsid w:val="00827C3F"/>
    <w:rsid w:val="00831DF6"/>
    <w:rsid w:val="00832096"/>
    <w:rsid w:val="00835EF8"/>
    <w:rsid w:val="00840D76"/>
    <w:rsid w:val="00842A30"/>
    <w:rsid w:val="00845703"/>
    <w:rsid w:val="008459FC"/>
    <w:rsid w:val="00846881"/>
    <w:rsid w:val="0085071D"/>
    <w:rsid w:val="00854BEA"/>
    <w:rsid w:val="0085794F"/>
    <w:rsid w:val="00857EA6"/>
    <w:rsid w:val="0086031E"/>
    <w:rsid w:val="008666BE"/>
    <w:rsid w:val="0086686A"/>
    <w:rsid w:val="00867609"/>
    <w:rsid w:val="008703CD"/>
    <w:rsid w:val="00874BB9"/>
    <w:rsid w:val="00877358"/>
    <w:rsid w:val="00884F0E"/>
    <w:rsid w:val="00885E89"/>
    <w:rsid w:val="00886FC6"/>
    <w:rsid w:val="00891716"/>
    <w:rsid w:val="00891EEF"/>
    <w:rsid w:val="00891F0B"/>
    <w:rsid w:val="00892973"/>
    <w:rsid w:val="00893F74"/>
    <w:rsid w:val="008A2E2C"/>
    <w:rsid w:val="008A41AB"/>
    <w:rsid w:val="008A5161"/>
    <w:rsid w:val="008A7118"/>
    <w:rsid w:val="008B0935"/>
    <w:rsid w:val="008B0CB6"/>
    <w:rsid w:val="008B1FE3"/>
    <w:rsid w:val="008B4F42"/>
    <w:rsid w:val="008B6C4B"/>
    <w:rsid w:val="008B7210"/>
    <w:rsid w:val="008B7D71"/>
    <w:rsid w:val="008C2D66"/>
    <w:rsid w:val="008C54C3"/>
    <w:rsid w:val="008C55FF"/>
    <w:rsid w:val="008C652A"/>
    <w:rsid w:val="008C7921"/>
    <w:rsid w:val="008C7F80"/>
    <w:rsid w:val="008D2586"/>
    <w:rsid w:val="008D505A"/>
    <w:rsid w:val="008E00FD"/>
    <w:rsid w:val="008E116C"/>
    <w:rsid w:val="008E154A"/>
    <w:rsid w:val="008E6E26"/>
    <w:rsid w:val="008E73BA"/>
    <w:rsid w:val="00903497"/>
    <w:rsid w:val="00904D5F"/>
    <w:rsid w:val="00910CF4"/>
    <w:rsid w:val="00912A30"/>
    <w:rsid w:val="009143D6"/>
    <w:rsid w:val="00915BAC"/>
    <w:rsid w:val="0091636B"/>
    <w:rsid w:val="00917A0B"/>
    <w:rsid w:val="009245A1"/>
    <w:rsid w:val="00925C46"/>
    <w:rsid w:val="009272F7"/>
    <w:rsid w:val="009301E3"/>
    <w:rsid w:val="00930557"/>
    <w:rsid w:val="009317D6"/>
    <w:rsid w:val="009331CF"/>
    <w:rsid w:val="00933E1D"/>
    <w:rsid w:val="009402B6"/>
    <w:rsid w:val="00944855"/>
    <w:rsid w:val="0095017B"/>
    <w:rsid w:val="009557B2"/>
    <w:rsid w:val="009612CE"/>
    <w:rsid w:val="009674F7"/>
    <w:rsid w:val="0097005C"/>
    <w:rsid w:val="00970A76"/>
    <w:rsid w:val="009725A5"/>
    <w:rsid w:val="00975223"/>
    <w:rsid w:val="009753B6"/>
    <w:rsid w:val="00976F6A"/>
    <w:rsid w:val="00980778"/>
    <w:rsid w:val="009826E3"/>
    <w:rsid w:val="0098594F"/>
    <w:rsid w:val="00987986"/>
    <w:rsid w:val="00996474"/>
    <w:rsid w:val="009A16A9"/>
    <w:rsid w:val="009A37FB"/>
    <w:rsid w:val="009B2EAD"/>
    <w:rsid w:val="009B3953"/>
    <w:rsid w:val="009C308A"/>
    <w:rsid w:val="009C5744"/>
    <w:rsid w:val="009C686D"/>
    <w:rsid w:val="009C6B0B"/>
    <w:rsid w:val="009D1948"/>
    <w:rsid w:val="009D33C5"/>
    <w:rsid w:val="009D44C2"/>
    <w:rsid w:val="009E0D5B"/>
    <w:rsid w:val="009E62DB"/>
    <w:rsid w:val="009E7FFD"/>
    <w:rsid w:val="009F0338"/>
    <w:rsid w:val="009F059B"/>
    <w:rsid w:val="009F6E97"/>
    <w:rsid w:val="00A01AAB"/>
    <w:rsid w:val="00A033F1"/>
    <w:rsid w:val="00A05183"/>
    <w:rsid w:val="00A05DB7"/>
    <w:rsid w:val="00A10DF3"/>
    <w:rsid w:val="00A11FD9"/>
    <w:rsid w:val="00A12DF3"/>
    <w:rsid w:val="00A13F35"/>
    <w:rsid w:val="00A15DA8"/>
    <w:rsid w:val="00A16ECF"/>
    <w:rsid w:val="00A23BA4"/>
    <w:rsid w:val="00A25494"/>
    <w:rsid w:val="00A262BE"/>
    <w:rsid w:val="00A270AE"/>
    <w:rsid w:val="00A4281E"/>
    <w:rsid w:val="00A42F3D"/>
    <w:rsid w:val="00A43D3B"/>
    <w:rsid w:val="00A457FC"/>
    <w:rsid w:val="00A46A0E"/>
    <w:rsid w:val="00A503B7"/>
    <w:rsid w:val="00A53AE8"/>
    <w:rsid w:val="00A53C43"/>
    <w:rsid w:val="00A55A4D"/>
    <w:rsid w:val="00A63BC7"/>
    <w:rsid w:val="00A67016"/>
    <w:rsid w:val="00A671D7"/>
    <w:rsid w:val="00A67F07"/>
    <w:rsid w:val="00A70DA8"/>
    <w:rsid w:val="00A71ABE"/>
    <w:rsid w:val="00A73685"/>
    <w:rsid w:val="00A74DBF"/>
    <w:rsid w:val="00A76BB8"/>
    <w:rsid w:val="00A82188"/>
    <w:rsid w:val="00A847B4"/>
    <w:rsid w:val="00A9063F"/>
    <w:rsid w:val="00A90B1E"/>
    <w:rsid w:val="00A91B17"/>
    <w:rsid w:val="00A953B8"/>
    <w:rsid w:val="00A95F46"/>
    <w:rsid w:val="00AA0225"/>
    <w:rsid w:val="00AA11ED"/>
    <w:rsid w:val="00AA21B1"/>
    <w:rsid w:val="00AA4C33"/>
    <w:rsid w:val="00AA7AD7"/>
    <w:rsid w:val="00AB1034"/>
    <w:rsid w:val="00AB15A9"/>
    <w:rsid w:val="00AB1FE4"/>
    <w:rsid w:val="00AB3887"/>
    <w:rsid w:val="00AB4616"/>
    <w:rsid w:val="00AB4BF1"/>
    <w:rsid w:val="00AB5B8F"/>
    <w:rsid w:val="00AB6075"/>
    <w:rsid w:val="00AB6AF1"/>
    <w:rsid w:val="00AB7180"/>
    <w:rsid w:val="00AC15EF"/>
    <w:rsid w:val="00AC1613"/>
    <w:rsid w:val="00AC2609"/>
    <w:rsid w:val="00AC7D1C"/>
    <w:rsid w:val="00AC7DD1"/>
    <w:rsid w:val="00AC7EB3"/>
    <w:rsid w:val="00AD51FF"/>
    <w:rsid w:val="00AD56C3"/>
    <w:rsid w:val="00AE18F4"/>
    <w:rsid w:val="00AE3011"/>
    <w:rsid w:val="00AE3563"/>
    <w:rsid w:val="00AE62C3"/>
    <w:rsid w:val="00AE6FE0"/>
    <w:rsid w:val="00AF1494"/>
    <w:rsid w:val="00AF3697"/>
    <w:rsid w:val="00AF3BEE"/>
    <w:rsid w:val="00B008D5"/>
    <w:rsid w:val="00B05FC7"/>
    <w:rsid w:val="00B105AD"/>
    <w:rsid w:val="00B11E70"/>
    <w:rsid w:val="00B162C8"/>
    <w:rsid w:val="00B169BD"/>
    <w:rsid w:val="00B16E6B"/>
    <w:rsid w:val="00B21378"/>
    <w:rsid w:val="00B222B2"/>
    <w:rsid w:val="00B27498"/>
    <w:rsid w:val="00B329BA"/>
    <w:rsid w:val="00B36E98"/>
    <w:rsid w:val="00B406D3"/>
    <w:rsid w:val="00B46D40"/>
    <w:rsid w:val="00B47C0F"/>
    <w:rsid w:val="00B47CF6"/>
    <w:rsid w:val="00B525B1"/>
    <w:rsid w:val="00B52C3C"/>
    <w:rsid w:val="00B52ECD"/>
    <w:rsid w:val="00B612DF"/>
    <w:rsid w:val="00B621BC"/>
    <w:rsid w:val="00B62653"/>
    <w:rsid w:val="00B6267E"/>
    <w:rsid w:val="00B64B09"/>
    <w:rsid w:val="00B66CE1"/>
    <w:rsid w:val="00B7066E"/>
    <w:rsid w:val="00B7275B"/>
    <w:rsid w:val="00B732ED"/>
    <w:rsid w:val="00B80BB5"/>
    <w:rsid w:val="00B82D67"/>
    <w:rsid w:val="00B911A6"/>
    <w:rsid w:val="00B940E8"/>
    <w:rsid w:val="00B9674C"/>
    <w:rsid w:val="00B97973"/>
    <w:rsid w:val="00BB01F7"/>
    <w:rsid w:val="00BB2116"/>
    <w:rsid w:val="00BB403D"/>
    <w:rsid w:val="00BB47E1"/>
    <w:rsid w:val="00BC1443"/>
    <w:rsid w:val="00BC7AF7"/>
    <w:rsid w:val="00BD0C3F"/>
    <w:rsid w:val="00BE030F"/>
    <w:rsid w:val="00BE1699"/>
    <w:rsid w:val="00BE31C6"/>
    <w:rsid w:val="00BE42C7"/>
    <w:rsid w:val="00BE49C3"/>
    <w:rsid w:val="00BF3202"/>
    <w:rsid w:val="00BF388D"/>
    <w:rsid w:val="00BF3977"/>
    <w:rsid w:val="00BF7B25"/>
    <w:rsid w:val="00C03F1A"/>
    <w:rsid w:val="00C046D4"/>
    <w:rsid w:val="00C07B6F"/>
    <w:rsid w:val="00C139A5"/>
    <w:rsid w:val="00C164AD"/>
    <w:rsid w:val="00C164CA"/>
    <w:rsid w:val="00C1775A"/>
    <w:rsid w:val="00C202C2"/>
    <w:rsid w:val="00C21CEF"/>
    <w:rsid w:val="00C22392"/>
    <w:rsid w:val="00C22B23"/>
    <w:rsid w:val="00C23B45"/>
    <w:rsid w:val="00C24965"/>
    <w:rsid w:val="00C2630F"/>
    <w:rsid w:val="00C31BE1"/>
    <w:rsid w:val="00C34EF5"/>
    <w:rsid w:val="00C37146"/>
    <w:rsid w:val="00C40137"/>
    <w:rsid w:val="00C41839"/>
    <w:rsid w:val="00C450D2"/>
    <w:rsid w:val="00C4773A"/>
    <w:rsid w:val="00C50849"/>
    <w:rsid w:val="00C50D55"/>
    <w:rsid w:val="00C524AF"/>
    <w:rsid w:val="00C531AE"/>
    <w:rsid w:val="00C545D3"/>
    <w:rsid w:val="00C558A3"/>
    <w:rsid w:val="00C56647"/>
    <w:rsid w:val="00C60529"/>
    <w:rsid w:val="00C674DD"/>
    <w:rsid w:val="00C70103"/>
    <w:rsid w:val="00C71ACA"/>
    <w:rsid w:val="00C7399C"/>
    <w:rsid w:val="00C74EA7"/>
    <w:rsid w:val="00C830F9"/>
    <w:rsid w:val="00C83681"/>
    <w:rsid w:val="00C848C5"/>
    <w:rsid w:val="00C8622D"/>
    <w:rsid w:val="00C873AE"/>
    <w:rsid w:val="00C87AD9"/>
    <w:rsid w:val="00C905A4"/>
    <w:rsid w:val="00C9061D"/>
    <w:rsid w:val="00C90CB8"/>
    <w:rsid w:val="00C91FC0"/>
    <w:rsid w:val="00C9780D"/>
    <w:rsid w:val="00CA3218"/>
    <w:rsid w:val="00CA41DB"/>
    <w:rsid w:val="00CB13E4"/>
    <w:rsid w:val="00CB1673"/>
    <w:rsid w:val="00CB1B0F"/>
    <w:rsid w:val="00CB2932"/>
    <w:rsid w:val="00CB2E5D"/>
    <w:rsid w:val="00CB5369"/>
    <w:rsid w:val="00CB57EF"/>
    <w:rsid w:val="00CB64E4"/>
    <w:rsid w:val="00CC09FD"/>
    <w:rsid w:val="00CC1E94"/>
    <w:rsid w:val="00CC1ECC"/>
    <w:rsid w:val="00CC22B5"/>
    <w:rsid w:val="00CC72CF"/>
    <w:rsid w:val="00CD0035"/>
    <w:rsid w:val="00CD2F4C"/>
    <w:rsid w:val="00CD4AD3"/>
    <w:rsid w:val="00CD6181"/>
    <w:rsid w:val="00CD6FDD"/>
    <w:rsid w:val="00CD70EA"/>
    <w:rsid w:val="00CE0344"/>
    <w:rsid w:val="00CE15EF"/>
    <w:rsid w:val="00CE3CD4"/>
    <w:rsid w:val="00CE4750"/>
    <w:rsid w:val="00CE7607"/>
    <w:rsid w:val="00CF3406"/>
    <w:rsid w:val="00CF44A6"/>
    <w:rsid w:val="00CF524A"/>
    <w:rsid w:val="00CF63F3"/>
    <w:rsid w:val="00D036AC"/>
    <w:rsid w:val="00D134F0"/>
    <w:rsid w:val="00D13AB3"/>
    <w:rsid w:val="00D15D8E"/>
    <w:rsid w:val="00D17337"/>
    <w:rsid w:val="00D21427"/>
    <w:rsid w:val="00D22A7B"/>
    <w:rsid w:val="00D25897"/>
    <w:rsid w:val="00D263F1"/>
    <w:rsid w:val="00D27CC1"/>
    <w:rsid w:val="00D327E4"/>
    <w:rsid w:val="00D34954"/>
    <w:rsid w:val="00D427F6"/>
    <w:rsid w:val="00D443A0"/>
    <w:rsid w:val="00D45B1C"/>
    <w:rsid w:val="00D46E7D"/>
    <w:rsid w:val="00D47819"/>
    <w:rsid w:val="00D53D47"/>
    <w:rsid w:val="00D57291"/>
    <w:rsid w:val="00D6632E"/>
    <w:rsid w:val="00D6713D"/>
    <w:rsid w:val="00D67DDC"/>
    <w:rsid w:val="00D71410"/>
    <w:rsid w:val="00D735BD"/>
    <w:rsid w:val="00D74E1A"/>
    <w:rsid w:val="00D75523"/>
    <w:rsid w:val="00D75EC9"/>
    <w:rsid w:val="00D76024"/>
    <w:rsid w:val="00D765BA"/>
    <w:rsid w:val="00D82A86"/>
    <w:rsid w:val="00D862CC"/>
    <w:rsid w:val="00D9091A"/>
    <w:rsid w:val="00D917C0"/>
    <w:rsid w:val="00D91D69"/>
    <w:rsid w:val="00D93EDA"/>
    <w:rsid w:val="00D94A97"/>
    <w:rsid w:val="00D94E7A"/>
    <w:rsid w:val="00D96C12"/>
    <w:rsid w:val="00DA0F6C"/>
    <w:rsid w:val="00DA1D9B"/>
    <w:rsid w:val="00DB1FB1"/>
    <w:rsid w:val="00DB375C"/>
    <w:rsid w:val="00DB5C7D"/>
    <w:rsid w:val="00DB5FC5"/>
    <w:rsid w:val="00DC1512"/>
    <w:rsid w:val="00DC1959"/>
    <w:rsid w:val="00DC58B2"/>
    <w:rsid w:val="00DC59DE"/>
    <w:rsid w:val="00DD3E96"/>
    <w:rsid w:val="00DD4A1F"/>
    <w:rsid w:val="00DD786A"/>
    <w:rsid w:val="00DE03C0"/>
    <w:rsid w:val="00DE0F85"/>
    <w:rsid w:val="00DE20DC"/>
    <w:rsid w:val="00DE2313"/>
    <w:rsid w:val="00DE3459"/>
    <w:rsid w:val="00DE65B7"/>
    <w:rsid w:val="00DE7E47"/>
    <w:rsid w:val="00DF0E61"/>
    <w:rsid w:val="00DF1EF9"/>
    <w:rsid w:val="00DF209A"/>
    <w:rsid w:val="00DF2DB3"/>
    <w:rsid w:val="00DF6487"/>
    <w:rsid w:val="00E01CA4"/>
    <w:rsid w:val="00E06C93"/>
    <w:rsid w:val="00E14DEF"/>
    <w:rsid w:val="00E16665"/>
    <w:rsid w:val="00E16DF4"/>
    <w:rsid w:val="00E22102"/>
    <w:rsid w:val="00E2249D"/>
    <w:rsid w:val="00E320C6"/>
    <w:rsid w:val="00E3597A"/>
    <w:rsid w:val="00E40670"/>
    <w:rsid w:val="00E45D76"/>
    <w:rsid w:val="00E51B36"/>
    <w:rsid w:val="00E51C18"/>
    <w:rsid w:val="00E521A0"/>
    <w:rsid w:val="00E53D69"/>
    <w:rsid w:val="00E638DC"/>
    <w:rsid w:val="00E64813"/>
    <w:rsid w:val="00E676D1"/>
    <w:rsid w:val="00E710A8"/>
    <w:rsid w:val="00E745B5"/>
    <w:rsid w:val="00E75E2F"/>
    <w:rsid w:val="00E814F9"/>
    <w:rsid w:val="00E869A4"/>
    <w:rsid w:val="00E87F8C"/>
    <w:rsid w:val="00E92CFA"/>
    <w:rsid w:val="00E93043"/>
    <w:rsid w:val="00E93403"/>
    <w:rsid w:val="00E9406E"/>
    <w:rsid w:val="00EA0FD6"/>
    <w:rsid w:val="00EA30DC"/>
    <w:rsid w:val="00EA640D"/>
    <w:rsid w:val="00EB129B"/>
    <w:rsid w:val="00EB17B9"/>
    <w:rsid w:val="00EB2DB9"/>
    <w:rsid w:val="00EB3A0C"/>
    <w:rsid w:val="00EB4296"/>
    <w:rsid w:val="00EB6910"/>
    <w:rsid w:val="00EB6FCF"/>
    <w:rsid w:val="00EB7653"/>
    <w:rsid w:val="00EC2F17"/>
    <w:rsid w:val="00EC6ACB"/>
    <w:rsid w:val="00EC7B64"/>
    <w:rsid w:val="00ED1E04"/>
    <w:rsid w:val="00ED3698"/>
    <w:rsid w:val="00ED6B9C"/>
    <w:rsid w:val="00EE000B"/>
    <w:rsid w:val="00EE06E8"/>
    <w:rsid w:val="00EE0837"/>
    <w:rsid w:val="00EE7DD6"/>
    <w:rsid w:val="00EF079B"/>
    <w:rsid w:val="00EF1094"/>
    <w:rsid w:val="00EF7CCD"/>
    <w:rsid w:val="00F02513"/>
    <w:rsid w:val="00F0263C"/>
    <w:rsid w:val="00F02685"/>
    <w:rsid w:val="00F02B9E"/>
    <w:rsid w:val="00F02EA6"/>
    <w:rsid w:val="00F03A53"/>
    <w:rsid w:val="00F04679"/>
    <w:rsid w:val="00F047A8"/>
    <w:rsid w:val="00F05142"/>
    <w:rsid w:val="00F127EC"/>
    <w:rsid w:val="00F1639F"/>
    <w:rsid w:val="00F164D2"/>
    <w:rsid w:val="00F22EB5"/>
    <w:rsid w:val="00F243E7"/>
    <w:rsid w:val="00F248DB"/>
    <w:rsid w:val="00F3417D"/>
    <w:rsid w:val="00F373D2"/>
    <w:rsid w:val="00F3771A"/>
    <w:rsid w:val="00F4080C"/>
    <w:rsid w:val="00F41776"/>
    <w:rsid w:val="00F4367B"/>
    <w:rsid w:val="00F44006"/>
    <w:rsid w:val="00F47D24"/>
    <w:rsid w:val="00F5060F"/>
    <w:rsid w:val="00F51653"/>
    <w:rsid w:val="00F60AEE"/>
    <w:rsid w:val="00F61290"/>
    <w:rsid w:val="00F636E0"/>
    <w:rsid w:val="00F66263"/>
    <w:rsid w:val="00F70257"/>
    <w:rsid w:val="00F702AD"/>
    <w:rsid w:val="00F71158"/>
    <w:rsid w:val="00F71B0B"/>
    <w:rsid w:val="00F73013"/>
    <w:rsid w:val="00F754EE"/>
    <w:rsid w:val="00F76588"/>
    <w:rsid w:val="00F7685B"/>
    <w:rsid w:val="00F80F1E"/>
    <w:rsid w:val="00F83B13"/>
    <w:rsid w:val="00F87813"/>
    <w:rsid w:val="00F9476B"/>
    <w:rsid w:val="00F96674"/>
    <w:rsid w:val="00FA085A"/>
    <w:rsid w:val="00FA113D"/>
    <w:rsid w:val="00FA2155"/>
    <w:rsid w:val="00FA2C04"/>
    <w:rsid w:val="00FA61B9"/>
    <w:rsid w:val="00FB285E"/>
    <w:rsid w:val="00FB2FDD"/>
    <w:rsid w:val="00FB55DC"/>
    <w:rsid w:val="00FB7B11"/>
    <w:rsid w:val="00FC1177"/>
    <w:rsid w:val="00FC7F5A"/>
    <w:rsid w:val="00FD012C"/>
    <w:rsid w:val="00FE2E77"/>
    <w:rsid w:val="00FE3B57"/>
    <w:rsid w:val="00FF54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71D3E"/>
  <w14:defaultImageDpi w14:val="0"/>
  <w15:docId w15:val="{6170F40A-EC66-4A49-BE9F-E3BD81E5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autoSpaceDE/>
      <w:autoSpaceDN/>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97005C"/>
    <w:pPr>
      <w:autoSpaceDE/>
      <w:autoSpaceDN/>
      <w:ind w:left="708"/>
    </w:pPr>
    <w:rPr>
      <w:sz w:val="20"/>
      <w:szCs w:val="20"/>
      <w:lang w:eastAsia="cs-CZ"/>
    </w:rPr>
  </w:style>
  <w:style w:type="paragraph" w:styleId="Textbubliny">
    <w:name w:val="Balloon Text"/>
    <w:basedOn w:val="Normlny"/>
    <w:link w:val="TextbublinyChar"/>
    <w:uiPriority w:val="99"/>
    <w:semiHidden/>
    <w:unhideWhenUsed/>
    <w:rsid w:val="006B721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B721E"/>
    <w:rPr>
      <w:rFonts w:ascii="Tahoma" w:hAnsi="Tahoma" w:cs="Tahoma"/>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A71ABE"/>
    <w:rPr>
      <w:sz w:val="20"/>
      <w:lang w:val="x-none" w:eastAsia="cs-CZ"/>
    </w:rPr>
  </w:style>
  <w:style w:type="character" w:styleId="Zstupntext">
    <w:name w:val="Placeholder Text"/>
    <w:basedOn w:val="Predvolenpsmoodseku"/>
    <w:uiPriority w:val="99"/>
    <w:semiHidden/>
    <w:rsid w:val="00930557"/>
    <w:rPr>
      <w:rFonts w:ascii="Times New Roman" w:hAnsi="Times New Roman" w:cs="Times New Roman"/>
      <w:color w:val="808080"/>
    </w:rPr>
  </w:style>
  <w:style w:type="character" w:styleId="Hypertextovprepojenie">
    <w:name w:val="Hyperlink"/>
    <w:basedOn w:val="Predvolenpsmoodseku"/>
    <w:uiPriority w:val="99"/>
    <w:unhideWhenUsed/>
    <w:rsid w:val="007945F9"/>
    <w:rPr>
      <w:rFonts w:cs="Times New Roman"/>
      <w:color w:val="0000FF"/>
      <w:u w:val="single"/>
    </w:rPr>
  </w:style>
  <w:style w:type="paragraph" w:customStyle="1" w:styleId="oj-sti-art">
    <w:name w:val="oj-sti-art"/>
    <w:basedOn w:val="Normlny"/>
    <w:rsid w:val="00F04679"/>
    <w:pPr>
      <w:autoSpaceDE/>
      <w:autoSpaceDN/>
      <w:spacing w:before="100" w:beforeAutospacing="1" w:after="100" w:afterAutospacing="1"/>
    </w:pPr>
  </w:style>
  <w:style w:type="paragraph" w:customStyle="1" w:styleId="oj-normal">
    <w:name w:val="oj-normal"/>
    <w:basedOn w:val="Normlny"/>
    <w:rsid w:val="00F04679"/>
    <w:pPr>
      <w:autoSpaceDE/>
      <w:autoSpaceDN/>
      <w:spacing w:before="100" w:beforeAutospacing="1" w:after="100" w:afterAutospacing="1"/>
    </w:pPr>
  </w:style>
  <w:style w:type="paragraph" w:customStyle="1" w:styleId="oj-signatory">
    <w:name w:val="oj-signatory"/>
    <w:basedOn w:val="Normlny"/>
    <w:rsid w:val="00F04679"/>
    <w:pPr>
      <w:autoSpaceDE/>
      <w:autoSpaceDN/>
      <w:spacing w:before="100" w:beforeAutospacing="1" w:after="100" w:afterAutospacing="1"/>
    </w:pPr>
  </w:style>
  <w:style w:type="character" w:customStyle="1" w:styleId="oj-italic">
    <w:name w:val="oj-italic"/>
    <w:basedOn w:val="Predvolenpsmoodseku"/>
    <w:rsid w:val="00F04679"/>
  </w:style>
  <w:style w:type="character" w:styleId="Odkaznakomentr">
    <w:name w:val="annotation reference"/>
    <w:basedOn w:val="Predvolenpsmoodseku"/>
    <w:uiPriority w:val="99"/>
    <w:unhideWhenUsed/>
    <w:rsid w:val="00482084"/>
    <w:rPr>
      <w:sz w:val="16"/>
      <w:szCs w:val="16"/>
    </w:rPr>
  </w:style>
  <w:style w:type="paragraph" w:styleId="Textkomentra">
    <w:name w:val="annotation text"/>
    <w:basedOn w:val="Normlny"/>
    <w:link w:val="TextkomentraChar"/>
    <w:uiPriority w:val="99"/>
    <w:unhideWhenUsed/>
    <w:rsid w:val="00482084"/>
    <w:pPr>
      <w:autoSpaceDE/>
      <w:autoSpaceDN/>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sid w:val="00482084"/>
    <w:rPr>
      <w:rFonts w:eastAsiaTheme="minorHAnsi" w:cstheme="minorBidi"/>
      <w:sz w:val="20"/>
      <w:szCs w:val="20"/>
      <w:lang w:eastAsia="en-US"/>
    </w:rPr>
  </w:style>
  <w:style w:type="paragraph" w:customStyle="1" w:styleId="vymenovanie">
    <w:name w:val="vymenovanie"/>
    <w:basedOn w:val="Normlny"/>
    <w:rsid w:val="00302875"/>
    <w:pPr>
      <w:tabs>
        <w:tab w:val="num" w:pos="1440"/>
      </w:tabs>
      <w:autoSpaceDE/>
      <w:autoSpaceDN/>
      <w:ind w:left="1440" w:hanging="360"/>
      <w:jc w:val="both"/>
    </w:pPr>
    <w:rPr>
      <w:rFonts w:ascii="Arial Narrow" w:eastAsia="SimSun" w:hAnsi="Arial Narrow"/>
      <w:sz w:val="22"/>
      <w:szCs w:val="22"/>
    </w:rPr>
  </w:style>
  <w:style w:type="paragraph" w:customStyle="1" w:styleId="odsek">
    <w:name w:val="odsek"/>
    <w:basedOn w:val="Normlny"/>
    <w:link w:val="odsekChar"/>
    <w:rsid w:val="00302875"/>
    <w:pPr>
      <w:tabs>
        <w:tab w:val="num" w:pos="360"/>
      </w:tabs>
      <w:autoSpaceDE/>
      <w:autoSpaceDN/>
      <w:spacing w:before="220"/>
      <w:jc w:val="both"/>
    </w:pPr>
    <w:rPr>
      <w:rFonts w:ascii="Arial Narrow" w:hAnsi="Arial Narrow"/>
      <w:sz w:val="22"/>
      <w:szCs w:val="22"/>
    </w:rPr>
  </w:style>
  <w:style w:type="character" w:customStyle="1" w:styleId="odsekChar">
    <w:name w:val="odsek Char"/>
    <w:link w:val="odsek"/>
    <w:locked/>
    <w:rsid w:val="00302875"/>
    <w:rPr>
      <w:rFonts w:ascii="Arial Narrow" w:hAnsi="Arial Narrow"/>
    </w:rPr>
  </w:style>
  <w:style w:type="paragraph" w:customStyle="1" w:styleId="CharChar1">
    <w:name w:val="Char Char1"/>
    <w:basedOn w:val="Normlny"/>
    <w:rsid w:val="00302875"/>
    <w:pPr>
      <w:autoSpaceDE/>
      <w:autoSpaceDN/>
      <w:spacing w:after="160" w:line="240" w:lineRule="exact"/>
    </w:pPr>
    <w:rPr>
      <w:rFonts w:ascii="Tahoma" w:hAnsi="Tahoma" w:cs="Tahoma"/>
      <w:sz w:val="20"/>
      <w:szCs w:val="20"/>
      <w:lang w:val="en-US" w:eastAsia="en-US"/>
    </w:rPr>
  </w:style>
  <w:style w:type="paragraph" w:styleId="Zkladntext0">
    <w:name w:val="Body Text"/>
    <w:basedOn w:val="Normlny"/>
    <w:link w:val="ZkladntextChar"/>
    <w:uiPriority w:val="99"/>
    <w:rsid w:val="00F02B9E"/>
    <w:pPr>
      <w:autoSpaceDE/>
      <w:autoSpaceDN/>
    </w:pPr>
    <w:rPr>
      <w:sz w:val="20"/>
      <w:szCs w:val="20"/>
      <w:lang w:eastAsia="cs-CZ"/>
    </w:rPr>
  </w:style>
  <w:style w:type="character" w:customStyle="1" w:styleId="ZkladntextChar">
    <w:name w:val="Základný text Char"/>
    <w:basedOn w:val="Predvolenpsmoodseku"/>
    <w:link w:val="Zkladntext0"/>
    <w:uiPriority w:val="99"/>
    <w:rsid w:val="00F02B9E"/>
    <w:rPr>
      <w:sz w:val="20"/>
      <w:szCs w:val="20"/>
      <w:lang w:eastAsia="cs-CZ"/>
    </w:rPr>
  </w:style>
  <w:style w:type="paragraph" w:customStyle="1" w:styleId="predslovie">
    <w:name w:val="predslovie"/>
    <w:basedOn w:val="Normlny"/>
    <w:rsid w:val="00F02B9E"/>
    <w:pPr>
      <w:autoSpaceDE/>
      <w:autoSpaceDN/>
      <w:spacing w:before="220"/>
      <w:ind w:firstLine="284"/>
      <w:jc w:val="both"/>
    </w:pPr>
    <w:rPr>
      <w:rFonts w:ascii="Arial Narrow" w:hAnsi="Arial Narrow"/>
      <w:sz w:val="22"/>
      <w:szCs w:val="22"/>
    </w:rPr>
  </w:style>
  <w:style w:type="paragraph" w:customStyle="1" w:styleId="odsekCharChar">
    <w:name w:val="odsek Char Char"/>
    <w:basedOn w:val="Normlny"/>
    <w:link w:val="odsekCharCharChar"/>
    <w:rsid w:val="005D36FC"/>
    <w:pPr>
      <w:numPr>
        <w:numId w:val="40"/>
      </w:numPr>
      <w:autoSpaceDE/>
      <w:autoSpaceDN/>
      <w:spacing w:before="220"/>
      <w:jc w:val="both"/>
    </w:pPr>
    <w:rPr>
      <w:rFonts w:ascii="Arial Narrow" w:hAnsi="Arial Narrow"/>
      <w:sz w:val="22"/>
      <w:szCs w:val="22"/>
    </w:rPr>
  </w:style>
  <w:style w:type="character" w:customStyle="1" w:styleId="odsekCharCharChar">
    <w:name w:val="odsek Char Char Char"/>
    <w:basedOn w:val="Predvolenpsmoodseku"/>
    <w:link w:val="odsekCharChar"/>
    <w:locked/>
    <w:rsid w:val="005D36FC"/>
    <w:rPr>
      <w:rFonts w:ascii="Arial Narrow" w:hAnsi="Arial Narrow"/>
    </w:rPr>
  </w:style>
  <w:style w:type="character" w:styleId="Vrazn">
    <w:name w:val="Strong"/>
    <w:basedOn w:val="Predvolenpsmoodseku"/>
    <w:uiPriority w:val="99"/>
    <w:qFormat/>
    <w:rsid w:val="007B7151"/>
    <w:rPr>
      <w:rFonts w:cs="Times New Roman"/>
      <w:b/>
      <w:bCs/>
    </w:rPr>
  </w:style>
  <w:style w:type="paragraph" w:customStyle="1" w:styleId="oj-doc-ti">
    <w:name w:val="oj-doc-ti"/>
    <w:basedOn w:val="Normlny"/>
    <w:rsid w:val="007B7151"/>
    <w:pPr>
      <w:autoSpaceDE/>
      <w:autoSpaceDN/>
      <w:spacing w:before="100" w:beforeAutospacing="1" w:after="100" w:afterAutospacing="1"/>
    </w:pPr>
  </w:style>
  <w:style w:type="character" w:customStyle="1" w:styleId="oj-super">
    <w:name w:val="oj-super"/>
    <w:basedOn w:val="Predvolenpsmoodseku"/>
    <w:rsid w:val="007B7151"/>
  </w:style>
  <w:style w:type="paragraph" w:customStyle="1" w:styleId="oj-note">
    <w:name w:val="oj-note"/>
    <w:basedOn w:val="Normlny"/>
    <w:rsid w:val="007B7151"/>
    <w:pPr>
      <w:autoSpaceDE/>
      <w:autoSpaceDN/>
      <w:spacing w:before="100" w:beforeAutospacing="1" w:after="100" w:afterAutospacing="1"/>
    </w:pPr>
  </w:style>
  <w:style w:type="paragraph" w:styleId="Bezriadkovania">
    <w:name w:val="No Spacing"/>
    <w:uiPriority w:val="1"/>
    <w:qFormat/>
    <w:rsid w:val="007B7151"/>
    <w:pPr>
      <w:spacing w:after="0" w:line="240" w:lineRule="auto"/>
    </w:pPr>
    <w:rPr>
      <w:rFonts w:asciiTheme="minorHAnsi" w:eastAsiaTheme="minorHAnsi" w:hAnsiTheme="minorHAnsi" w:cstheme="minorBidi"/>
      <w:lang w:eastAsia="en-US"/>
    </w:rPr>
  </w:style>
  <w:style w:type="paragraph" w:customStyle="1" w:styleId="oj-ti-art">
    <w:name w:val="oj-ti-art"/>
    <w:basedOn w:val="Normlny"/>
    <w:rsid w:val="007B7151"/>
    <w:pPr>
      <w:autoSpaceDE/>
      <w:autoSpaceDN/>
      <w:spacing w:before="360" w:after="120"/>
      <w:jc w:val="center"/>
    </w:pPr>
    <w:rPr>
      <w:i/>
      <w:iCs/>
    </w:rPr>
  </w:style>
  <w:style w:type="table" w:styleId="Mriekatabuky">
    <w:name w:val="Table Grid"/>
    <w:basedOn w:val="Normlnatabuka"/>
    <w:uiPriority w:val="59"/>
    <w:rsid w:val="001A6D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emennHTML">
    <w:name w:val="HTML Variable"/>
    <w:basedOn w:val="Predvolenpsmoodseku"/>
    <w:uiPriority w:val="99"/>
    <w:unhideWhenUsed/>
    <w:rsid w:val="00F4367B"/>
    <w:rPr>
      <w:i/>
      <w:iCs/>
    </w:rPr>
  </w:style>
  <w:style w:type="paragraph" w:customStyle="1" w:styleId="Titreobjet">
    <w:name w:val="Titre objet"/>
    <w:basedOn w:val="Normlny"/>
    <w:next w:val="Normlny"/>
    <w:rsid w:val="00F51653"/>
    <w:pPr>
      <w:autoSpaceDE/>
      <w:autoSpaceDN/>
      <w:spacing w:before="360" w:after="360"/>
      <w:jc w:val="center"/>
    </w:pPr>
    <w:rPr>
      <w:rFonts w:eastAsiaTheme="minorHAnsi"/>
      <w:b/>
      <w:szCs w:val="22"/>
      <w:lang w:val="en-GB" w:eastAsia="en-US"/>
    </w:rPr>
  </w:style>
  <w:style w:type="paragraph" w:styleId="PredformtovanHTML">
    <w:name w:val="HTML Preformatted"/>
    <w:basedOn w:val="Normlny"/>
    <w:link w:val="PredformtovanHTMLChar"/>
    <w:uiPriority w:val="99"/>
    <w:unhideWhenUsed/>
    <w:rsid w:val="00C5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524AF"/>
    <w:rPr>
      <w:rFonts w:ascii="Courier New" w:hAnsi="Courier New" w:cs="Courier New"/>
      <w:sz w:val="20"/>
      <w:szCs w:val="20"/>
    </w:rPr>
  </w:style>
  <w:style w:type="character" w:customStyle="1" w:styleId="y2iqfc">
    <w:name w:val="y2iqfc"/>
    <w:basedOn w:val="Predvolenpsmoodseku"/>
    <w:rsid w:val="00C524AF"/>
  </w:style>
  <w:style w:type="paragraph" w:customStyle="1" w:styleId="Text1">
    <w:name w:val="Text 1"/>
    <w:basedOn w:val="Normlny"/>
    <w:rsid w:val="00C524AF"/>
    <w:pPr>
      <w:autoSpaceDE/>
      <w:autoSpaceDN/>
      <w:spacing w:before="120" w:after="120"/>
      <w:ind w:left="850"/>
      <w:jc w:val="both"/>
    </w:pPr>
    <w:rPr>
      <w:rFonts w:eastAsiaTheme="minorHAnsi"/>
      <w:szCs w:val="22"/>
      <w:lang w:val="en-GB" w:eastAsia="en-US"/>
    </w:rPr>
  </w:style>
  <w:style w:type="paragraph" w:customStyle="1" w:styleId="ManualNumPar1">
    <w:name w:val="Manual NumPar 1"/>
    <w:basedOn w:val="Normlny"/>
    <w:next w:val="Text1"/>
    <w:rsid w:val="00C524AF"/>
    <w:pPr>
      <w:autoSpaceDE/>
      <w:autoSpaceDN/>
      <w:spacing w:before="120" w:after="120"/>
      <w:ind w:left="850" w:hanging="850"/>
      <w:jc w:val="both"/>
    </w:pPr>
    <w:rPr>
      <w:rFonts w:eastAsiaTheme="minorHAnsi"/>
      <w:szCs w:val="22"/>
      <w:lang w:val="en-GB" w:eastAsia="en-US"/>
    </w:rPr>
  </w:style>
  <w:style w:type="character" w:styleId="Zvraznenie">
    <w:name w:val="Emphasis"/>
    <w:basedOn w:val="Predvolenpsmoodseku"/>
    <w:uiPriority w:val="20"/>
    <w:qFormat/>
    <w:rsid w:val="00001DEE"/>
    <w:rPr>
      <w:i/>
      <w:iCs/>
    </w:rPr>
  </w:style>
  <w:style w:type="character" w:customStyle="1" w:styleId="awspan">
    <w:name w:val="awspan"/>
    <w:basedOn w:val="Predvolenpsmoodseku"/>
    <w:rsid w:val="00D67DDC"/>
  </w:style>
  <w:style w:type="paragraph" w:styleId="Predmetkomentra">
    <w:name w:val="annotation subject"/>
    <w:basedOn w:val="Textkomentra"/>
    <w:next w:val="Textkomentra"/>
    <w:link w:val="PredmetkomentraChar"/>
    <w:uiPriority w:val="99"/>
    <w:rsid w:val="00294613"/>
    <w:pPr>
      <w:autoSpaceDE w:val="0"/>
      <w:autoSpaceDN w:val="0"/>
      <w:spacing w:after="0"/>
    </w:pPr>
    <w:rPr>
      <w:rFonts w:eastAsia="Times New Roman" w:cs="Times New Roman"/>
      <w:b/>
      <w:bCs/>
      <w:lang w:eastAsia="sk-SK"/>
    </w:rPr>
  </w:style>
  <w:style w:type="character" w:customStyle="1" w:styleId="PredmetkomentraChar">
    <w:name w:val="Predmet komentára Char"/>
    <w:basedOn w:val="TextkomentraChar"/>
    <w:link w:val="Predmetkomentra"/>
    <w:uiPriority w:val="99"/>
    <w:rsid w:val="00294613"/>
    <w:rPr>
      <w:rFonts w:eastAsia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62">
      <w:marLeft w:val="0"/>
      <w:marRight w:val="0"/>
      <w:marTop w:val="0"/>
      <w:marBottom w:val="0"/>
      <w:divBdr>
        <w:top w:val="none" w:sz="0" w:space="0" w:color="auto"/>
        <w:left w:val="none" w:sz="0" w:space="0" w:color="auto"/>
        <w:bottom w:val="none" w:sz="0" w:space="0" w:color="auto"/>
        <w:right w:val="none" w:sz="0" w:space="0" w:color="auto"/>
      </w:divBdr>
      <w:divsChild>
        <w:div w:id="4014780">
          <w:marLeft w:val="255"/>
          <w:marRight w:val="0"/>
          <w:marTop w:val="0"/>
          <w:marBottom w:val="0"/>
          <w:divBdr>
            <w:top w:val="none" w:sz="0" w:space="0" w:color="auto"/>
            <w:left w:val="none" w:sz="0" w:space="0" w:color="auto"/>
            <w:bottom w:val="none" w:sz="0" w:space="0" w:color="auto"/>
            <w:right w:val="none" w:sz="0" w:space="0" w:color="auto"/>
          </w:divBdr>
          <w:divsChild>
            <w:div w:id="4014779">
              <w:marLeft w:val="255"/>
              <w:marRight w:val="0"/>
              <w:marTop w:val="75"/>
              <w:marBottom w:val="0"/>
              <w:divBdr>
                <w:top w:val="none" w:sz="0" w:space="0" w:color="auto"/>
                <w:left w:val="none" w:sz="0" w:space="0" w:color="auto"/>
                <w:bottom w:val="none" w:sz="0" w:space="0" w:color="auto"/>
                <w:right w:val="none" w:sz="0" w:space="0" w:color="auto"/>
              </w:divBdr>
              <w:divsChild>
                <w:div w:id="4014784">
                  <w:marLeft w:val="0"/>
                  <w:marRight w:val="225"/>
                  <w:marTop w:val="0"/>
                  <w:marBottom w:val="0"/>
                  <w:divBdr>
                    <w:top w:val="none" w:sz="0" w:space="0" w:color="auto"/>
                    <w:left w:val="none" w:sz="0" w:space="0" w:color="auto"/>
                    <w:bottom w:val="none" w:sz="0" w:space="0" w:color="auto"/>
                    <w:right w:val="none" w:sz="0" w:space="0" w:color="auto"/>
                  </w:divBdr>
                </w:div>
              </w:divsChild>
            </w:div>
            <w:div w:id="4014782">
              <w:marLeft w:val="255"/>
              <w:marRight w:val="0"/>
              <w:marTop w:val="75"/>
              <w:marBottom w:val="0"/>
              <w:divBdr>
                <w:top w:val="none" w:sz="0" w:space="0" w:color="auto"/>
                <w:left w:val="none" w:sz="0" w:space="0" w:color="auto"/>
                <w:bottom w:val="none" w:sz="0" w:space="0" w:color="auto"/>
                <w:right w:val="none" w:sz="0" w:space="0" w:color="auto"/>
              </w:divBdr>
              <w:divsChild>
                <w:div w:id="4014788">
                  <w:marLeft w:val="0"/>
                  <w:marRight w:val="225"/>
                  <w:marTop w:val="0"/>
                  <w:marBottom w:val="0"/>
                  <w:divBdr>
                    <w:top w:val="none" w:sz="0" w:space="0" w:color="auto"/>
                    <w:left w:val="none" w:sz="0" w:space="0" w:color="auto"/>
                    <w:bottom w:val="none" w:sz="0" w:space="0" w:color="auto"/>
                    <w:right w:val="none" w:sz="0" w:space="0" w:color="auto"/>
                  </w:divBdr>
                </w:div>
              </w:divsChild>
            </w:div>
            <w:div w:id="4014783">
              <w:marLeft w:val="255"/>
              <w:marRight w:val="0"/>
              <w:marTop w:val="75"/>
              <w:marBottom w:val="0"/>
              <w:divBdr>
                <w:top w:val="none" w:sz="0" w:space="0" w:color="auto"/>
                <w:left w:val="none" w:sz="0" w:space="0" w:color="auto"/>
                <w:bottom w:val="none" w:sz="0" w:space="0" w:color="auto"/>
                <w:right w:val="none" w:sz="0" w:space="0" w:color="auto"/>
              </w:divBdr>
              <w:divsChild>
                <w:div w:id="4014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014781">
          <w:marLeft w:val="255"/>
          <w:marRight w:val="0"/>
          <w:marTop w:val="0"/>
          <w:marBottom w:val="0"/>
          <w:divBdr>
            <w:top w:val="none" w:sz="0" w:space="0" w:color="auto"/>
            <w:left w:val="none" w:sz="0" w:space="0" w:color="auto"/>
            <w:bottom w:val="none" w:sz="0" w:space="0" w:color="auto"/>
            <w:right w:val="none" w:sz="0" w:space="0" w:color="auto"/>
          </w:divBdr>
        </w:div>
        <w:div w:id="4014785">
          <w:marLeft w:val="255"/>
          <w:marRight w:val="0"/>
          <w:marTop w:val="0"/>
          <w:marBottom w:val="0"/>
          <w:divBdr>
            <w:top w:val="none" w:sz="0" w:space="0" w:color="auto"/>
            <w:left w:val="none" w:sz="0" w:space="0" w:color="auto"/>
            <w:bottom w:val="none" w:sz="0" w:space="0" w:color="auto"/>
            <w:right w:val="none" w:sz="0" w:space="0" w:color="auto"/>
          </w:divBdr>
        </w:div>
        <w:div w:id="4014787">
          <w:marLeft w:val="255"/>
          <w:marRight w:val="0"/>
          <w:marTop w:val="0"/>
          <w:marBottom w:val="0"/>
          <w:divBdr>
            <w:top w:val="none" w:sz="0" w:space="0" w:color="auto"/>
            <w:left w:val="none" w:sz="0" w:space="0" w:color="auto"/>
            <w:bottom w:val="none" w:sz="0" w:space="0" w:color="auto"/>
            <w:right w:val="none" w:sz="0" w:space="0" w:color="auto"/>
          </w:divBdr>
        </w:div>
      </w:divsChild>
    </w:div>
    <w:div w:id="4014763">
      <w:marLeft w:val="0"/>
      <w:marRight w:val="0"/>
      <w:marTop w:val="0"/>
      <w:marBottom w:val="0"/>
      <w:divBdr>
        <w:top w:val="none" w:sz="0" w:space="0" w:color="auto"/>
        <w:left w:val="none" w:sz="0" w:space="0" w:color="auto"/>
        <w:bottom w:val="none" w:sz="0" w:space="0" w:color="auto"/>
        <w:right w:val="none" w:sz="0" w:space="0" w:color="auto"/>
      </w:divBdr>
    </w:div>
    <w:div w:id="4014764">
      <w:marLeft w:val="0"/>
      <w:marRight w:val="0"/>
      <w:marTop w:val="0"/>
      <w:marBottom w:val="0"/>
      <w:divBdr>
        <w:top w:val="none" w:sz="0" w:space="0" w:color="auto"/>
        <w:left w:val="none" w:sz="0" w:space="0" w:color="auto"/>
        <w:bottom w:val="none" w:sz="0" w:space="0" w:color="auto"/>
        <w:right w:val="none" w:sz="0" w:space="0" w:color="auto"/>
      </w:divBdr>
      <w:divsChild>
        <w:div w:id="40147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5">
      <w:marLeft w:val="0"/>
      <w:marRight w:val="0"/>
      <w:marTop w:val="0"/>
      <w:marBottom w:val="0"/>
      <w:divBdr>
        <w:top w:val="none" w:sz="0" w:space="0" w:color="auto"/>
        <w:left w:val="none" w:sz="0" w:space="0" w:color="auto"/>
        <w:bottom w:val="none" w:sz="0" w:space="0" w:color="auto"/>
        <w:right w:val="none" w:sz="0" w:space="0" w:color="auto"/>
      </w:divBdr>
      <w:divsChild>
        <w:div w:id="40147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6">
      <w:marLeft w:val="0"/>
      <w:marRight w:val="0"/>
      <w:marTop w:val="0"/>
      <w:marBottom w:val="0"/>
      <w:divBdr>
        <w:top w:val="none" w:sz="0" w:space="0" w:color="auto"/>
        <w:left w:val="none" w:sz="0" w:space="0" w:color="auto"/>
        <w:bottom w:val="none" w:sz="0" w:space="0" w:color="auto"/>
        <w:right w:val="none" w:sz="0" w:space="0" w:color="auto"/>
      </w:divBdr>
      <w:divsChild>
        <w:div w:id="40147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7">
      <w:marLeft w:val="0"/>
      <w:marRight w:val="0"/>
      <w:marTop w:val="0"/>
      <w:marBottom w:val="0"/>
      <w:divBdr>
        <w:top w:val="none" w:sz="0" w:space="0" w:color="auto"/>
        <w:left w:val="none" w:sz="0" w:space="0" w:color="auto"/>
        <w:bottom w:val="none" w:sz="0" w:space="0" w:color="auto"/>
        <w:right w:val="none" w:sz="0" w:space="0" w:color="auto"/>
      </w:divBdr>
      <w:divsChild>
        <w:div w:id="40147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0">
      <w:marLeft w:val="0"/>
      <w:marRight w:val="0"/>
      <w:marTop w:val="0"/>
      <w:marBottom w:val="0"/>
      <w:divBdr>
        <w:top w:val="none" w:sz="0" w:space="0" w:color="auto"/>
        <w:left w:val="none" w:sz="0" w:space="0" w:color="auto"/>
        <w:bottom w:val="none" w:sz="0" w:space="0" w:color="auto"/>
        <w:right w:val="none" w:sz="0" w:space="0" w:color="auto"/>
      </w:divBdr>
      <w:divsChild>
        <w:div w:id="40147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3">
      <w:marLeft w:val="0"/>
      <w:marRight w:val="0"/>
      <w:marTop w:val="0"/>
      <w:marBottom w:val="0"/>
      <w:divBdr>
        <w:top w:val="none" w:sz="0" w:space="0" w:color="auto"/>
        <w:left w:val="none" w:sz="0" w:space="0" w:color="auto"/>
        <w:bottom w:val="none" w:sz="0" w:space="0" w:color="auto"/>
        <w:right w:val="none" w:sz="0" w:space="0" w:color="auto"/>
      </w:divBdr>
      <w:divsChild>
        <w:div w:id="40147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6">
      <w:marLeft w:val="0"/>
      <w:marRight w:val="0"/>
      <w:marTop w:val="0"/>
      <w:marBottom w:val="0"/>
      <w:divBdr>
        <w:top w:val="none" w:sz="0" w:space="0" w:color="auto"/>
        <w:left w:val="none" w:sz="0" w:space="0" w:color="auto"/>
        <w:bottom w:val="none" w:sz="0" w:space="0" w:color="auto"/>
        <w:right w:val="none" w:sz="0" w:space="0" w:color="auto"/>
      </w:divBdr>
    </w:div>
    <w:div w:id="4014777">
      <w:marLeft w:val="0"/>
      <w:marRight w:val="0"/>
      <w:marTop w:val="0"/>
      <w:marBottom w:val="0"/>
      <w:divBdr>
        <w:top w:val="none" w:sz="0" w:space="0" w:color="auto"/>
        <w:left w:val="none" w:sz="0" w:space="0" w:color="auto"/>
        <w:bottom w:val="none" w:sz="0" w:space="0" w:color="auto"/>
        <w:right w:val="none" w:sz="0" w:space="0" w:color="auto"/>
      </w:divBdr>
    </w:div>
    <w:div w:id="4014778">
      <w:marLeft w:val="0"/>
      <w:marRight w:val="0"/>
      <w:marTop w:val="0"/>
      <w:marBottom w:val="0"/>
      <w:divBdr>
        <w:top w:val="none" w:sz="0" w:space="0" w:color="auto"/>
        <w:left w:val="none" w:sz="0" w:space="0" w:color="auto"/>
        <w:bottom w:val="none" w:sz="0" w:space="0" w:color="auto"/>
        <w:right w:val="none" w:sz="0" w:space="0" w:color="auto"/>
      </w:divBdr>
    </w:div>
    <w:div w:id="4014789">
      <w:marLeft w:val="0"/>
      <w:marRight w:val="0"/>
      <w:marTop w:val="0"/>
      <w:marBottom w:val="0"/>
      <w:divBdr>
        <w:top w:val="none" w:sz="0" w:space="0" w:color="auto"/>
        <w:left w:val="none" w:sz="0" w:space="0" w:color="auto"/>
        <w:bottom w:val="none" w:sz="0" w:space="0" w:color="auto"/>
        <w:right w:val="none" w:sz="0" w:space="0" w:color="auto"/>
      </w:divBdr>
      <w:divsChild>
        <w:div w:id="4014791">
          <w:marLeft w:val="255"/>
          <w:marRight w:val="0"/>
          <w:marTop w:val="0"/>
          <w:marBottom w:val="0"/>
          <w:divBdr>
            <w:top w:val="none" w:sz="0" w:space="0" w:color="auto"/>
            <w:left w:val="none" w:sz="0" w:space="0" w:color="auto"/>
            <w:bottom w:val="none" w:sz="0" w:space="0" w:color="auto"/>
            <w:right w:val="none" w:sz="0" w:space="0" w:color="auto"/>
          </w:divBdr>
        </w:div>
        <w:div w:id="4014792">
          <w:marLeft w:val="255"/>
          <w:marRight w:val="0"/>
          <w:marTop w:val="0"/>
          <w:marBottom w:val="0"/>
          <w:divBdr>
            <w:top w:val="none" w:sz="0" w:space="0" w:color="auto"/>
            <w:left w:val="none" w:sz="0" w:space="0" w:color="auto"/>
            <w:bottom w:val="none" w:sz="0" w:space="0" w:color="auto"/>
            <w:right w:val="none" w:sz="0" w:space="0" w:color="auto"/>
          </w:divBdr>
        </w:div>
        <w:div w:id="4014799">
          <w:marLeft w:val="255"/>
          <w:marRight w:val="0"/>
          <w:marTop w:val="0"/>
          <w:marBottom w:val="0"/>
          <w:divBdr>
            <w:top w:val="none" w:sz="0" w:space="0" w:color="auto"/>
            <w:left w:val="none" w:sz="0" w:space="0" w:color="auto"/>
            <w:bottom w:val="none" w:sz="0" w:space="0" w:color="auto"/>
            <w:right w:val="none" w:sz="0" w:space="0" w:color="auto"/>
          </w:divBdr>
        </w:div>
      </w:divsChild>
    </w:div>
    <w:div w:id="4014790">
      <w:marLeft w:val="0"/>
      <w:marRight w:val="0"/>
      <w:marTop w:val="0"/>
      <w:marBottom w:val="0"/>
      <w:divBdr>
        <w:top w:val="none" w:sz="0" w:space="0" w:color="auto"/>
        <w:left w:val="none" w:sz="0" w:space="0" w:color="auto"/>
        <w:bottom w:val="none" w:sz="0" w:space="0" w:color="auto"/>
        <w:right w:val="none" w:sz="0" w:space="0" w:color="auto"/>
      </w:divBdr>
      <w:divsChild>
        <w:div w:id="4014761">
          <w:marLeft w:val="255"/>
          <w:marRight w:val="0"/>
          <w:marTop w:val="0"/>
          <w:marBottom w:val="0"/>
          <w:divBdr>
            <w:top w:val="none" w:sz="0" w:space="0" w:color="auto"/>
            <w:left w:val="none" w:sz="0" w:space="0" w:color="auto"/>
            <w:bottom w:val="none" w:sz="0" w:space="0" w:color="auto"/>
            <w:right w:val="none" w:sz="0" w:space="0" w:color="auto"/>
          </w:divBdr>
        </w:div>
        <w:div w:id="4014795">
          <w:marLeft w:val="255"/>
          <w:marRight w:val="0"/>
          <w:marTop w:val="0"/>
          <w:marBottom w:val="0"/>
          <w:divBdr>
            <w:top w:val="none" w:sz="0" w:space="0" w:color="auto"/>
            <w:left w:val="none" w:sz="0" w:space="0" w:color="auto"/>
            <w:bottom w:val="none" w:sz="0" w:space="0" w:color="auto"/>
            <w:right w:val="none" w:sz="0" w:space="0" w:color="auto"/>
          </w:divBdr>
        </w:div>
        <w:div w:id="4014797">
          <w:marLeft w:val="255"/>
          <w:marRight w:val="0"/>
          <w:marTop w:val="0"/>
          <w:marBottom w:val="0"/>
          <w:divBdr>
            <w:top w:val="none" w:sz="0" w:space="0" w:color="auto"/>
            <w:left w:val="none" w:sz="0" w:space="0" w:color="auto"/>
            <w:bottom w:val="none" w:sz="0" w:space="0" w:color="auto"/>
            <w:right w:val="none" w:sz="0" w:space="0" w:color="auto"/>
          </w:divBdr>
        </w:div>
      </w:divsChild>
    </w:div>
    <w:div w:id="4014794">
      <w:marLeft w:val="0"/>
      <w:marRight w:val="0"/>
      <w:marTop w:val="0"/>
      <w:marBottom w:val="0"/>
      <w:divBdr>
        <w:top w:val="none" w:sz="0" w:space="0" w:color="auto"/>
        <w:left w:val="none" w:sz="0" w:space="0" w:color="auto"/>
        <w:bottom w:val="none" w:sz="0" w:space="0" w:color="auto"/>
        <w:right w:val="none" w:sz="0" w:space="0" w:color="auto"/>
      </w:divBdr>
      <w:divsChild>
        <w:div w:id="4014793">
          <w:marLeft w:val="255"/>
          <w:marRight w:val="0"/>
          <w:marTop w:val="0"/>
          <w:marBottom w:val="0"/>
          <w:divBdr>
            <w:top w:val="none" w:sz="0" w:space="0" w:color="auto"/>
            <w:left w:val="none" w:sz="0" w:space="0" w:color="auto"/>
            <w:bottom w:val="none" w:sz="0" w:space="0" w:color="auto"/>
            <w:right w:val="none" w:sz="0" w:space="0" w:color="auto"/>
          </w:divBdr>
        </w:div>
      </w:divsChild>
    </w:div>
    <w:div w:id="4014796">
      <w:marLeft w:val="0"/>
      <w:marRight w:val="0"/>
      <w:marTop w:val="0"/>
      <w:marBottom w:val="0"/>
      <w:divBdr>
        <w:top w:val="none" w:sz="0" w:space="0" w:color="auto"/>
        <w:left w:val="none" w:sz="0" w:space="0" w:color="auto"/>
        <w:bottom w:val="none" w:sz="0" w:space="0" w:color="auto"/>
        <w:right w:val="none" w:sz="0" w:space="0" w:color="auto"/>
      </w:divBdr>
      <w:divsChild>
        <w:div w:id="4014760">
          <w:marLeft w:val="255"/>
          <w:marRight w:val="0"/>
          <w:marTop w:val="0"/>
          <w:marBottom w:val="0"/>
          <w:divBdr>
            <w:top w:val="none" w:sz="0" w:space="0" w:color="auto"/>
            <w:left w:val="none" w:sz="0" w:space="0" w:color="auto"/>
            <w:bottom w:val="none" w:sz="0" w:space="0" w:color="auto"/>
            <w:right w:val="none" w:sz="0" w:space="0" w:color="auto"/>
          </w:divBdr>
        </w:div>
        <w:div w:id="4014798">
          <w:marLeft w:val="255"/>
          <w:marRight w:val="0"/>
          <w:marTop w:val="0"/>
          <w:marBottom w:val="0"/>
          <w:divBdr>
            <w:top w:val="none" w:sz="0" w:space="0" w:color="auto"/>
            <w:left w:val="none" w:sz="0" w:space="0" w:color="auto"/>
            <w:bottom w:val="none" w:sz="0" w:space="0" w:color="auto"/>
            <w:right w:val="none" w:sz="0" w:space="0" w:color="auto"/>
          </w:divBdr>
        </w:div>
        <w:div w:id="4014800">
          <w:marLeft w:val="255"/>
          <w:marRight w:val="0"/>
          <w:marTop w:val="0"/>
          <w:marBottom w:val="0"/>
          <w:divBdr>
            <w:top w:val="none" w:sz="0" w:space="0" w:color="auto"/>
            <w:left w:val="none" w:sz="0" w:space="0" w:color="auto"/>
            <w:bottom w:val="none" w:sz="0" w:space="0" w:color="auto"/>
            <w:right w:val="none" w:sz="0" w:space="0" w:color="auto"/>
          </w:divBdr>
        </w:div>
      </w:divsChild>
    </w:div>
    <w:div w:id="43603000">
      <w:bodyDiv w:val="1"/>
      <w:marLeft w:val="0"/>
      <w:marRight w:val="0"/>
      <w:marTop w:val="0"/>
      <w:marBottom w:val="0"/>
      <w:divBdr>
        <w:top w:val="none" w:sz="0" w:space="0" w:color="auto"/>
        <w:left w:val="none" w:sz="0" w:space="0" w:color="auto"/>
        <w:bottom w:val="none" w:sz="0" w:space="0" w:color="auto"/>
        <w:right w:val="none" w:sz="0" w:space="0" w:color="auto"/>
      </w:divBdr>
    </w:div>
    <w:div w:id="53893352">
      <w:bodyDiv w:val="1"/>
      <w:marLeft w:val="0"/>
      <w:marRight w:val="0"/>
      <w:marTop w:val="0"/>
      <w:marBottom w:val="0"/>
      <w:divBdr>
        <w:top w:val="none" w:sz="0" w:space="0" w:color="auto"/>
        <w:left w:val="none" w:sz="0" w:space="0" w:color="auto"/>
        <w:bottom w:val="none" w:sz="0" w:space="0" w:color="auto"/>
        <w:right w:val="none" w:sz="0" w:space="0" w:color="auto"/>
      </w:divBdr>
    </w:div>
    <w:div w:id="60257428">
      <w:bodyDiv w:val="1"/>
      <w:marLeft w:val="0"/>
      <w:marRight w:val="0"/>
      <w:marTop w:val="0"/>
      <w:marBottom w:val="0"/>
      <w:divBdr>
        <w:top w:val="none" w:sz="0" w:space="0" w:color="auto"/>
        <w:left w:val="none" w:sz="0" w:space="0" w:color="auto"/>
        <w:bottom w:val="none" w:sz="0" w:space="0" w:color="auto"/>
        <w:right w:val="none" w:sz="0" w:space="0" w:color="auto"/>
      </w:divBdr>
    </w:div>
    <w:div w:id="113595805">
      <w:bodyDiv w:val="1"/>
      <w:marLeft w:val="0"/>
      <w:marRight w:val="0"/>
      <w:marTop w:val="0"/>
      <w:marBottom w:val="0"/>
      <w:divBdr>
        <w:top w:val="none" w:sz="0" w:space="0" w:color="auto"/>
        <w:left w:val="none" w:sz="0" w:space="0" w:color="auto"/>
        <w:bottom w:val="none" w:sz="0" w:space="0" w:color="auto"/>
        <w:right w:val="none" w:sz="0" w:space="0" w:color="auto"/>
      </w:divBdr>
    </w:div>
    <w:div w:id="121922810">
      <w:bodyDiv w:val="1"/>
      <w:marLeft w:val="0"/>
      <w:marRight w:val="0"/>
      <w:marTop w:val="0"/>
      <w:marBottom w:val="0"/>
      <w:divBdr>
        <w:top w:val="none" w:sz="0" w:space="0" w:color="auto"/>
        <w:left w:val="none" w:sz="0" w:space="0" w:color="auto"/>
        <w:bottom w:val="none" w:sz="0" w:space="0" w:color="auto"/>
        <w:right w:val="none" w:sz="0" w:space="0" w:color="auto"/>
      </w:divBdr>
    </w:div>
    <w:div w:id="137769489">
      <w:bodyDiv w:val="1"/>
      <w:marLeft w:val="0"/>
      <w:marRight w:val="0"/>
      <w:marTop w:val="0"/>
      <w:marBottom w:val="0"/>
      <w:divBdr>
        <w:top w:val="none" w:sz="0" w:space="0" w:color="auto"/>
        <w:left w:val="none" w:sz="0" w:space="0" w:color="auto"/>
        <w:bottom w:val="none" w:sz="0" w:space="0" w:color="auto"/>
        <w:right w:val="none" w:sz="0" w:space="0" w:color="auto"/>
      </w:divBdr>
      <w:divsChild>
        <w:div w:id="1135104930">
          <w:marLeft w:val="255"/>
          <w:marRight w:val="0"/>
          <w:marTop w:val="0"/>
          <w:marBottom w:val="0"/>
          <w:divBdr>
            <w:top w:val="none" w:sz="0" w:space="0" w:color="auto"/>
            <w:left w:val="none" w:sz="0" w:space="0" w:color="auto"/>
            <w:bottom w:val="none" w:sz="0" w:space="0" w:color="auto"/>
            <w:right w:val="none" w:sz="0" w:space="0" w:color="auto"/>
          </w:divBdr>
        </w:div>
        <w:div w:id="279727186">
          <w:marLeft w:val="255"/>
          <w:marRight w:val="0"/>
          <w:marTop w:val="0"/>
          <w:marBottom w:val="0"/>
          <w:divBdr>
            <w:top w:val="none" w:sz="0" w:space="0" w:color="auto"/>
            <w:left w:val="none" w:sz="0" w:space="0" w:color="auto"/>
            <w:bottom w:val="none" w:sz="0" w:space="0" w:color="auto"/>
            <w:right w:val="none" w:sz="0" w:space="0" w:color="auto"/>
          </w:divBdr>
        </w:div>
        <w:div w:id="193008801">
          <w:marLeft w:val="255"/>
          <w:marRight w:val="0"/>
          <w:marTop w:val="0"/>
          <w:marBottom w:val="0"/>
          <w:divBdr>
            <w:top w:val="none" w:sz="0" w:space="0" w:color="auto"/>
            <w:left w:val="none" w:sz="0" w:space="0" w:color="auto"/>
            <w:bottom w:val="none" w:sz="0" w:space="0" w:color="auto"/>
            <w:right w:val="none" w:sz="0" w:space="0" w:color="auto"/>
          </w:divBdr>
        </w:div>
        <w:div w:id="1865440611">
          <w:marLeft w:val="255"/>
          <w:marRight w:val="0"/>
          <w:marTop w:val="0"/>
          <w:marBottom w:val="0"/>
          <w:divBdr>
            <w:top w:val="none" w:sz="0" w:space="0" w:color="auto"/>
            <w:left w:val="none" w:sz="0" w:space="0" w:color="auto"/>
            <w:bottom w:val="none" w:sz="0" w:space="0" w:color="auto"/>
            <w:right w:val="none" w:sz="0" w:space="0" w:color="auto"/>
          </w:divBdr>
        </w:div>
        <w:div w:id="1114515589">
          <w:marLeft w:val="255"/>
          <w:marRight w:val="0"/>
          <w:marTop w:val="0"/>
          <w:marBottom w:val="0"/>
          <w:divBdr>
            <w:top w:val="none" w:sz="0" w:space="0" w:color="auto"/>
            <w:left w:val="none" w:sz="0" w:space="0" w:color="auto"/>
            <w:bottom w:val="none" w:sz="0" w:space="0" w:color="auto"/>
            <w:right w:val="none" w:sz="0" w:space="0" w:color="auto"/>
          </w:divBdr>
        </w:div>
      </w:divsChild>
    </w:div>
    <w:div w:id="176236653">
      <w:bodyDiv w:val="1"/>
      <w:marLeft w:val="0"/>
      <w:marRight w:val="0"/>
      <w:marTop w:val="0"/>
      <w:marBottom w:val="0"/>
      <w:divBdr>
        <w:top w:val="none" w:sz="0" w:space="0" w:color="auto"/>
        <w:left w:val="none" w:sz="0" w:space="0" w:color="auto"/>
        <w:bottom w:val="none" w:sz="0" w:space="0" w:color="auto"/>
        <w:right w:val="none" w:sz="0" w:space="0" w:color="auto"/>
      </w:divBdr>
      <w:divsChild>
        <w:div w:id="1597786607">
          <w:marLeft w:val="255"/>
          <w:marRight w:val="0"/>
          <w:marTop w:val="0"/>
          <w:marBottom w:val="0"/>
          <w:divBdr>
            <w:top w:val="none" w:sz="0" w:space="0" w:color="auto"/>
            <w:left w:val="none" w:sz="0" w:space="0" w:color="auto"/>
            <w:bottom w:val="none" w:sz="0" w:space="0" w:color="auto"/>
            <w:right w:val="none" w:sz="0" w:space="0" w:color="auto"/>
          </w:divBdr>
        </w:div>
        <w:div w:id="2048799998">
          <w:marLeft w:val="255"/>
          <w:marRight w:val="0"/>
          <w:marTop w:val="0"/>
          <w:marBottom w:val="0"/>
          <w:divBdr>
            <w:top w:val="none" w:sz="0" w:space="0" w:color="auto"/>
            <w:left w:val="none" w:sz="0" w:space="0" w:color="auto"/>
            <w:bottom w:val="none" w:sz="0" w:space="0" w:color="auto"/>
            <w:right w:val="none" w:sz="0" w:space="0" w:color="auto"/>
          </w:divBdr>
        </w:div>
        <w:div w:id="415827766">
          <w:marLeft w:val="255"/>
          <w:marRight w:val="0"/>
          <w:marTop w:val="0"/>
          <w:marBottom w:val="0"/>
          <w:divBdr>
            <w:top w:val="none" w:sz="0" w:space="0" w:color="auto"/>
            <w:left w:val="none" w:sz="0" w:space="0" w:color="auto"/>
            <w:bottom w:val="none" w:sz="0" w:space="0" w:color="auto"/>
            <w:right w:val="none" w:sz="0" w:space="0" w:color="auto"/>
          </w:divBdr>
        </w:div>
        <w:div w:id="745691539">
          <w:marLeft w:val="255"/>
          <w:marRight w:val="0"/>
          <w:marTop w:val="0"/>
          <w:marBottom w:val="0"/>
          <w:divBdr>
            <w:top w:val="none" w:sz="0" w:space="0" w:color="auto"/>
            <w:left w:val="none" w:sz="0" w:space="0" w:color="auto"/>
            <w:bottom w:val="none" w:sz="0" w:space="0" w:color="auto"/>
            <w:right w:val="none" w:sz="0" w:space="0" w:color="auto"/>
          </w:divBdr>
        </w:div>
      </w:divsChild>
    </w:div>
    <w:div w:id="210581438">
      <w:bodyDiv w:val="1"/>
      <w:marLeft w:val="0"/>
      <w:marRight w:val="0"/>
      <w:marTop w:val="0"/>
      <w:marBottom w:val="0"/>
      <w:divBdr>
        <w:top w:val="none" w:sz="0" w:space="0" w:color="auto"/>
        <w:left w:val="none" w:sz="0" w:space="0" w:color="auto"/>
        <w:bottom w:val="none" w:sz="0" w:space="0" w:color="auto"/>
        <w:right w:val="none" w:sz="0" w:space="0" w:color="auto"/>
      </w:divBdr>
    </w:div>
    <w:div w:id="235744360">
      <w:bodyDiv w:val="1"/>
      <w:marLeft w:val="0"/>
      <w:marRight w:val="0"/>
      <w:marTop w:val="0"/>
      <w:marBottom w:val="0"/>
      <w:divBdr>
        <w:top w:val="none" w:sz="0" w:space="0" w:color="auto"/>
        <w:left w:val="none" w:sz="0" w:space="0" w:color="auto"/>
        <w:bottom w:val="none" w:sz="0" w:space="0" w:color="auto"/>
        <w:right w:val="none" w:sz="0" w:space="0" w:color="auto"/>
      </w:divBdr>
    </w:div>
    <w:div w:id="253516663">
      <w:bodyDiv w:val="1"/>
      <w:marLeft w:val="0"/>
      <w:marRight w:val="0"/>
      <w:marTop w:val="0"/>
      <w:marBottom w:val="0"/>
      <w:divBdr>
        <w:top w:val="none" w:sz="0" w:space="0" w:color="auto"/>
        <w:left w:val="none" w:sz="0" w:space="0" w:color="auto"/>
        <w:bottom w:val="none" w:sz="0" w:space="0" w:color="auto"/>
        <w:right w:val="none" w:sz="0" w:space="0" w:color="auto"/>
      </w:divBdr>
    </w:div>
    <w:div w:id="258217853">
      <w:bodyDiv w:val="1"/>
      <w:marLeft w:val="0"/>
      <w:marRight w:val="0"/>
      <w:marTop w:val="0"/>
      <w:marBottom w:val="0"/>
      <w:divBdr>
        <w:top w:val="none" w:sz="0" w:space="0" w:color="auto"/>
        <w:left w:val="none" w:sz="0" w:space="0" w:color="auto"/>
        <w:bottom w:val="none" w:sz="0" w:space="0" w:color="auto"/>
        <w:right w:val="none" w:sz="0" w:space="0" w:color="auto"/>
      </w:divBdr>
      <w:divsChild>
        <w:div w:id="1414279366">
          <w:marLeft w:val="0"/>
          <w:marRight w:val="75"/>
          <w:marTop w:val="0"/>
          <w:marBottom w:val="0"/>
          <w:divBdr>
            <w:top w:val="none" w:sz="0" w:space="0" w:color="auto"/>
            <w:left w:val="none" w:sz="0" w:space="0" w:color="auto"/>
            <w:bottom w:val="none" w:sz="0" w:space="0" w:color="auto"/>
            <w:right w:val="none" w:sz="0" w:space="0" w:color="auto"/>
          </w:divBdr>
        </w:div>
        <w:div w:id="682829374">
          <w:marLeft w:val="0"/>
          <w:marRight w:val="0"/>
          <w:marTop w:val="0"/>
          <w:marBottom w:val="300"/>
          <w:divBdr>
            <w:top w:val="none" w:sz="0" w:space="0" w:color="auto"/>
            <w:left w:val="none" w:sz="0" w:space="0" w:color="auto"/>
            <w:bottom w:val="none" w:sz="0" w:space="0" w:color="auto"/>
            <w:right w:val="none" w:sz="0" w:space="0" w:color="auto"/>
          </w:divBdr>
        </w:div>
        <w:div w:id="1402410251">
          <w:marLeft w:val="255"/>
          <w:marRight w:val="0"/>
          <w:marTop w:val="75"/>
          <w:marBottom w:val="0"/>
          <w:divBdr>
            <w:top w:val="none" w:sz="0" w:space="0" w:color="auto"/>
            <w:left w:val="none" w:sz="0" w:space="0" w:color="auto"/>
            <w:bottom w:val="none" w:sz="0" w:space="0" w:color="auto"/>
            <w:right w:val="none" w:sz="0" w:space="0" w:color="auto"/>
          </w:divBdr>
          <w:divsChild>
            <w:div w:id="455611245">
              <w:marLeft w:val="255"/>
              <w:marRight w:val="0"/>
              <w:marTop w:val="0"/>
              <w:marBottom w:val="0"/>
              <w:divBdr>
                <w:top w:val="none" w:sz="0" w:space="0" w:color="auto"/>
                <w:left w:val="none" w:sz="0" w:space="0" w:color="auto"/>
                <w:bottom w:val="none" w:sz="0" w:space="0" w:color="auto"/>
                <w:right w:val="none" w:sz="0" w:space="0" w:color="auto"/>
              </w:divBdr>
              <w:divsChild>
                <w:div w:id="1632639062">
                  <w:marLeft w:val="255"/>
                  <w:marRight w:val="0"/>
                  <w:marTop w:val="75"/>
                  <w:marBottom w:val="0"/>
                  <w:divBdr>
                    <w:top w:val="none" w:sz="0" w:space="0" w:color="auto"/>
                    <w:left w:val="none" w:sz="0" w:space="0" w:color="auto"/>
                    <w:bottom w:val="none" w:sz="0" w:space="0" w:color="auto"/>
                    <w:right w:val="none" w:sz="0" w:space="0" w:color="auto"/>
                  </w:divBdr>
                  <w:divsChild>
                    <w:div w:id="984163033">
                      <w:marLeft w:val="0"/>
                      <w:marRight w:val="225"/>
                      <w:marTop w:val="0"/>
                      <w:marBottom w:val="0"/>
                      <w:divBdr>
                        <w:top w:val="none" w:sz="0" w:space="0" w:color="auto"/>
                        <w:left w:val="none" w:sz="0" w:space="0" w:color="auto"/>
                        <w:bottom w:val="none" w:sz="0" w:space="0" w:color="auto"/>
                        <w:right w:val="none" w:sz="0" w:space="0" w:color="auto"/>
                      </w:divBdr>
                    </w:div>
                  </w:divsChild>
                </w:div>
                <w:div w:id="717556226">
                  <w:marLeft w:val="255"/>
                  <w:marRight w:val="0"/>
                  <w:marTop w:val="75"/>
                  <w:marBottom w:val="0"/>
                  <w:divBdr>
                    <w:top w:val="none" w:sz="0" w:space="0" w:color="auto"/>
                    <w:left w:val="none" w:sz="0" w:space="0" w:color="auto"/>
                    <w:bottom w:val="none" w:sz="0" w:space="0" w:color="auto"/>
                    <w:right w:val="none" w:sz="0" w:space="0" w:color="auto"/>
                  </w:divBdr>
                  <w:divsChild>
                    <w:div w:id="974532422">
                      <w:marLeft w:val="0"/>
                      <w:marRight w:val="225"/>
                      <w:marTop w:val="0"/>
                      <w:marBottom w:val="0"/>
                      <w:divBdr>
                        <w:top w:val="none" w:sz="0" w:space="0" w:color="auto"/>
                        <w:left w:val="none" w:sz="0" w:space="0" w:color="auto"/>
                        <w:bottom w:val="none" w:sz="0" w:space="0" w:color="auto"/>
                        <w:right w:val="none" w:sz="0" w:space="0" w:color="auto"/>
                      </w:divBdr>
                    </w:div>
                  </w:divsChild>
                </w:div>
                <w:div w:id="1440684595">
                  <w:marLeft w:val="255"/>
                  <w:marRight w:val="0"/>
                  <w:marTop w:val="75"/>
                  <w:marBottom w:val="0"/>
                  <w:divBdr>
                    <w:top w:val="none" w:sz="0" w:space="0" w:color="auto"/>
                    <w:left w:val="none" w:sz="0" w:space="0" w:color="auto"/>
                    <w:bottom w:val="none" w:sz="0" w:space="0" w:color="auto"/>
                    <w:right w:val="none" w:sz="0" w:space="0" w:color="auto"/>
                  </w:divBdr>
                  <w:divsChild>
                    <w:div w:id="19715520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323511">
              <w:marLeft w:val="255"/>
              <w:marRight w:val="0"/>
              <w:marTop w:val="0"/>
              <w:marBottom w:val="0"/>
              <w:divBdr>
                <w:top w:val="none" w:sz="0" w:space="0" w:color="auto"/>
                <w:left w:val="none" w:sz="0" w:space="0" w:color="auto"/>
                <w:bottom w:val="none" w:sz="0" w:space="0" w:color="auto"/>
                <w:right w:val="none" w:sz="0" w:space="0" w:color="auto"/>
              </w:divBdr>
              <w:divsChild>
                <w:div w:id="2124959963">
                  <w:marLeft w:val="255"/>
                  <w:marRight w:val="0"/>
                  <w:marTop w:val="75"/>
                  <w:marBottom w:val="0"/>
                  <w:divBdr>
                    <w:top w:val="none" w:sz="0" w:space="0" w:color="auto"/>
                    <w:left w:val="none" w:sz="0" w:space="0" w:color="auto"/>
                    <w:bottom w:val="none" w:sz="0" w:space="0" w:color="auto"/>
                    <w:right w:val="none" w:sz="0" w:space="0" w:color="auto"/>
                  </w:divBdr>
                  <w:divsChild>
                    <w:div w:id="1485509113">
                      <w:marLeft w:val="0"/>
                      <w:marRight w:val="225"/>
                      <w:marTop w:val="0"/>
                      <w:marBottom w:val="0"/>
                      <w:divBdr>
                        <w:top w:val="none" w:sz="0" w:space="0" w:color="auto"/>
                        <w:left w:val="none" w:sz="0" w:space="0" w:color="auto"/>
                        <w:bottom w:val="none" w:sz="0" w:space="0" w:color="auto"/>
                        <w:right w:val="none" w:sz="0" w:space="0" w:color="auto"/>
                      </w:divBdr>
                    </w:div>
                  </w:divsChild>
                </w:div>
                <w:div w:id="2091584609">
                  <w:marLeft w:val="255"/>
                  <w:marRight w:val="0"/>
                  <w:marTop w:val="75"/>
                  <w:marBottom w:val="0"/>
                  <w:divBdr>
                    <w:top w:val="none" w:sz="0" w:space="0" w:color="auto"/>
                    <w:left w:val="none" w:sz="0" w:space="0" w:color="auto"/>
                    <w:bottom w:val="none" w:sz="0" w:space="0" w:color="auto"/>
                    <w:right w:val="none" w:sz="0" w:space="0" w:color="auto"/>
                  </w:divBdr>
                  <w:divsChild>
                    <w:div w:id="20073202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4273636">
              <w:marLeft w:val="255"/>
              <w:marRight w:val="0"/>
              <w:marTop w:val="0"/>
              <w:marBottom w:val="0"/>
              <w:divBdr>
                <w:top w:val="none" w:sz="0" w:space="0" w:color="auto"/>
                <w:left w:val="none" w:sz="0" w:space="0" w:color="auto"/>
                <w:bottom w:val="none" w:sz="0" w:space="0" w:color="auto"/>
                <w:right w:val="none" w:sz="0" w:space="0" w:color="auto"/>
              </w:divBdr>
              <w:divsChild>
                <w:div w:id="1172834789">
                  <w:marLeft w:val="255"/>
                  <w:marRight w:val="0"/>
                  <w:marTop w:val="75"/>
                  <w:marBottom w:val="0"/>
                  <w:divBdr>
                    <w:top w:val="none" w:sz="0" w:space="0" w:color="auto"/>
                    <w:left w:val="none" w:sz="0" w:space="0" w:color="auto"/>
                    <w:bottom w:val="none" w:sz="0" w:space="0" w:color="auto"/>
                    <w:right w:val="none" w:sz="0" w:space="0" w:color="auto"/>
                  </w:divBdr>
                  <w:divsChild>
                    <w:div w:id="609818981">
                      <w:marLeft w:val="0"/>
                      <w:marRight w:val="225"/>
                      <w:marTop w:val="0"/>
                      <w:marBottom w:val="0"/>
                      <w:divBdr>
                        <w:top w:val="none" w:sz="0" w:space="0" w:color="auto"/>
                        <w:left w:val="none" w:sz="0" w:space="0" w:color="auto"/>
                        <w:bottom w:val="none" w:sz="0" w:space="0" w:color="auto"/>
                        <w:right w:val="none" w:sz="0" w:space="0" w:color="auto"/>
                      </w:divBdr>
                    </w:div>
                  </w:divsChild>
                </w:div>
                <w:div w:id="953561065">
                  <w:marLeft w:val="255"/>
                  <w:marRight w:val="0"/>
                  <w:marTop w:val="75"/>
                  <w:marBottom w:val="0"/>
                  <w:divBdr>
                    <w:top w:val="none" w:sz="0" w:space="0" w:color="auto"/>
                    <w:left w:val="none" w:sz="0" w:space="0" w:color="auto"/>
                    <w:bottom w:val="none" w:sz="0" w:space="0" w:color="auto"/>
                    <w:right w:val="none" w:sz="0" w:space="0" w:color="auto"/>
                  </w:divBdr>
                  <w:divsChild>
                    <w:div w:id="4775792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48033389">
          <w:marLeft w:val="255"/>
          <w:marRight w:val="0"/>
          <w:marTop w:val="75"/>
          <w:marBottom w:val="0"/>
          <w:divBdr>
            <w:top w:val="none" w:sz="0" w:space="0" w:color="auto"/>
            <w:left w:val="none" w:sz="0" w:space="0" w:color="auto"/>
            <w:bottom w:val="none" w:sz="0" w:space="0" w:color="auto"/>
            <w:right w:val="none" w:sz="0" w:space="0" w:color="auto"/>
          </w:divBdr>
        </w:div>
        <w:div w:id="1323042206">
          <w:marLeft w:val="255"/>
          <w:marRight w:val="0"/>
          <w:marTop w:val="75"/>
          <w:marBottom w:val="0"/>
          <w:divBdr>
            <w:top w:val="none" w:sz="0" w:space="0" w:color="auto"/>
            <w:left w:val="none" w:sz="0" w:space="0" w:color="auto"/>
            <w:bottom w:val="none" w:sz="0" w:space="0" w:color="auto"/>
            <w:right w:val="none" w:sz="0" w:space="0" w:color="auto"/>
          </w:divBdr>
        </w:div>
      </w:divsChild>
    </w:div>
    <w:div w:id="262030582">
      <w:bodyDiv w:val="1"/>
      <w:marLeft w:val="0"/>
      <w:marRight w:val="0"/>
      <w:marTop w:val="0"/>
      <w:marBottom w:val="0"/>
      <w:divBdr>
        <w:top w:val="none" w:sz="0" w:space="0" w:color="auto"/>
        <w:left w:val="none" w:sz="0" w:space="0" w:color="auto"/>
        <w:bottom w:val="none" w:sz="0" w:space="0" w:color="auto"/>
        <w:right w:val="none" w:sz="0" w:space="0" w:color="auto"/>
      </w:divBdr>
      <w:divsChild>
        <w:div w:id="112332751">
          <w:marLeft w:val="0"/>
          <w:marRight w:val="0"/>
          <w:marTop w:val="0"/>
          <w:marBottom w:val="300"/>
          <w:divBdr>
            <w:top w:val="none" w:sz="0" w:space="0" w:color="auto"/>
            <w:left w:val="none" w:sz="0" w:space="0" w:color="auto"/>
            <w:bottom w:val="none" w:sz="0" w:space="0" w:color="auto"/>
            <w:right w:val="none" w:sz="0" w:space="0" w:color="auto"/>
          </w:divBdr>
        </w:div>
        <w:div w:id="1371034286">
          <w:marLeft w:val="255"/>
          <w:marRight w:val="0"/>
          <w:marTop w:val="75"/>
          <w:marBottom w:val="0"/>
          <w:divBdr>
            <w:top w:val="none" w:sz="0" w:space="0" w:color="auto"/>
            <w:left w:val="none" w:sz="0" w:space="0" w:color="auto"/>
            <w:bottom w:val="none" w:sz="0" w:space="0" w:color="auto"/>
            <w:right w:val="none" w:sz="0" w:space="0" w:color="auto"/>
          </w:divBdr>
          <w:divsChild>
            <w:div w:id="13582880">
              <w:marLeft w:val="255"/>
              <w:marRight w:val="0"/>
              <w:marTop w:val="0"/>
              <w:marBottom w:val="0"/>
              <w:divBdr>
                <w:top w:val="none" w:sz="0" w:space="0" w:color="auto"/>
                <w:left w:val="none" w:sz="0" w:space="0" w:color="auto"/>
                <w:bottom w:val="none" w:sz="0" w:space="0" w:color="auto"/>
                <w:right w:val="none" w:sz="0" w:space="0" w:color="auto"/>
              </w:divBdr>
              <w:divsChild>
                <w:div w:id="1054543995">
                  <w:marLeft w:val="255"/>
                  <w:marRight w:val="0"/>
                  <w:marTop w:val="75"/>
                  <w:marBottom w:val="0"/>
                  <w:divBdr>
                    <w:top w:val="none" w:sz="0" w:space="0" w:color="auto"/>
                    <w:left w:val="none" w:sz="0" w:space="0" w:color="auto"/>
                    <w:bottom w:val="none" w:sz="0" w:space="0" w:color="auto"/>
                    <w:right w:val="none" w:sz="0" w:space="0" w:color="auto"/>
                  </w:divBdr>
                  <w:divsChild>
                    <w:div w:id="121778311">
                      <w:marLeft w:val="0"/>
                      <w:marRight w:val="225"/>
                      <w:marTop w:val="0"/>
                      <w:marBottom w:val="0"/>
                      <w:divBdr>
                        <w:top w:val="none" w:sz="0" w:space="0" w:color="auto"/>
                        <w:left w:val="none" w:sz="0" w:space="0" w:color="auto"/>
                        <w:bottom w:val="none" w:sz="0" w:space="0" w:color="auto"/>
                        <w:right w:val="none" w:sz="0" w:space="0" w:color="auto"/>
                      </w:divBdr>
                    </w:div>
                  </w:divsChild>
                </w:div>
                <w:div w:id="916286261">
                  <w:marLeft w:val="255"/>
                  <w:marRight w:val="0"/>
                  <w:marTop w:val="75"/>
                  <w:marBottom w:val="0"/>
                  <w:divBdr>
                    <w:top w:val="none" w:sz="0" w:space="0" w:color="auto"/>
                    <w:left w:val="none" w:sz="0" w:space="0" w:color="auto"/>
                    <w:bottom w:val="none" w:sz="0" w:space="0" w:color="auto"/>
                    <w:right w:val="none" w:sz="0" w:space="0" w:color="auto"/>
                  </w:divBdr>
                  <w:divsChild>
                    <w:div w:id="11278927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95722">
      <w:bodyDiv w:val="1"/>
      <w:marLeft w:val="0"/>
      <w:marRight w:val="0"/>
      <w:marTop w:val="0"/>
      <w:marBottom w:val="0"/>
      <w:divBdr>
        <w:top w:val="none" w:sz="0" w:space="0" w:color="auto"/>
        <w:left w:val="none" w:sz="0" w:space="0" w:color="auto"/>
        <w:bottom w:val="none" w:sz="0" w:space="0" w:color="auto"/>
        <w:right w:val="none" w:sz="0" w:space="0" w:color="auto"/>
      </w:divBdr>
    </w:div>
    <w:div w:id="278804881">
      <w:bodyDiv w:val="1"/>
      <w:marLeft w:val="0"/>
      <w:marRight w:val="0"/>
      <w:marTop w:val="0"/>
      <w:marBottom w:val="0"/>
      <w:divBdr>
        <w:top w:val="none" w:sz="0" w:space="0" w:color="auto"/>
        <w:left w:val="none" w:sz="0" w:space="0" w:color="auto"/>
        <w:bottom w:val="none" w:sz="0" w:space="0" w:color="auto"/>
        <w:right w:val="none" w:sz="0" w:space="0" w:color="auto"/>
      </w:divBdr>
    </w:div>
    <w:div w:id="308948447">
      <w:bodyDiv w:val="1"/>
      <w:marLeft w:val="0"/>
      <w:marRight w:val="0"/>
      <w:marTop w:val="0"/>
      <w:marBottom w:val="0"/>
      <w:divBdr>
        <w:top w:val="none" w:sz="0" w:space="0" w:color="auto"/>
        <w:left w:val="none" w:sz="0" w:space="0" w:color="auto"/>
        <w:bottom w:val="none" w:sz="0" w:space="0" w:color="auto"/>
        <w:right w:val="none" w:sz="0" w:space="0" w:color="auto"/>
      </w:divBdr>
      <w:divsChild>
        <w:div w:id="1733120304">
          <w:marLeft w:val="255"/>
          <w:marRight w:val="0"/>
          <w:marTop w:val="0"/>
          <w:marBottom w:val="0"/>
          <w:divBdr>
            <w:top w:val="none" w:sz="0" w:space="0" w:color="auto"/>
            <w:left w:val="none" w:sz="0" w:space="0" w:color="auto"/>
            <w:bottom w:val="none" w:sz="0" w:space="0" w:color="auto"/>
            <w:right w:val="none" w:sz="0" w:space="0" w:color="auto"/>
          </w:divBdr>
        </w:div>
        <w:div w:id="838351196">
          <w:marLeft w:val="255"/>
          <w:marRight w:val="0"/>
          <w:marTop w:val="0"/>
          <w:marBottom w:val="0"/>
          <w:divBdr>
            <w:top w:val="none" w:sz="0" w:space="0" w:color="auto"/>
            <w:left w:val="none" w:sz="0" w:space="0" w:color="auto"/>
            <w:bottom w:val="none" w:sz="0" w:space="0" w:color="auto"/>
            <w:right w:val="none" w:sz="0" w:space="0" w:color="auto"/>
          </w:divBdr>
        </w:div>
        <w:div w:id="195392596">
          <w:marLeft w:val="255"/>
          <w:marRight w:val="0"/>
          <w:marTop w:val="0"/>
          <w:marBottom w:val="0"/>
          <w:divBdr>
            <w:top w:val="none" w:sz="0" w:space="0" w:color="auto"/>
            <w:left w:val="none" w:sz="0" w:space="0" w:color="auto"/>
            <w:bottom w:val="none" w:sz="0" w:space="0" w:color="auto"/>
            <w:right w:val="none" w:sz="0" w:space="0" w:color="auto"/>
          </w:divBdr>
        </w:div>
        <w:div w:id="1552303946">
          <w:marLeft w:val="255"/>
          <w:marRight w:val="0"/>
          <w:marTop w:val="0"/>
          <w:marBottom w:val="0"/>
          <w:divBdr>
            <w:top w:val="none" w:sz="0" w:space="0" w:color="auto"/>
            <w:left w:val="none" w:sz="0" w:space="0" w:color="auto"/>
            <w:bottom w:val="none" w:sz="0" w:space="0" w:color="auto"/>
            <w:right w:val="none" w:sz="0" w:space="0" w:color="auto"/>
          </w:divBdr>
        </w:div>
        <w:div w:id="209655239">
          <w:marLeft w:val="255"/>
          <w:marRight w:val="0"/>
          <w:marTop w:val="0"/>
          <w:marBottom w:val="0"/>
          <w:divBdr>
            <w:top w:val="none" w:sz="0" w:space="0" w:color="auto"/>
            <w:left w:val="none" w:sz="0" w:space="0" w:color="auto"/>
            <w:bottom w:val="none" w:sz="0" w:space="0" w:color="auto"/>
            <w:right w:val="none" w:sz="0" w:space="0" w:color="auto"/>
          </w:divBdr>
        </w:div>
      </w:divsChild>
    </w:div>
    <w:div w:id="339743199">
      <w:bodyDiv w:val="1"/>
      <w:marLeft w:val="0"/>
      <w:marRight w:val="0"/>
      <w:marTop w:val="0"/>
      <w:marBottom w:val="0"/>
      <w:divBdr>
        <w:top w:val="none" w:sz="0" w:space="0" w:color="auto"/>
        <w:left w:val="none" w:sz="0" w:space="0" w:color="auto"/>
        <w:bottom w:val="none" w:sz="0" w:space="0" w:color="auto"/>
        <w:right w:val="none" w:sz="0" w:space="0" w:color="auto"/>
      </w:divBdr>
      <w:divsChild>
        <w:div w:id="770442528">
          <w:marLeft w:val="255"/>
          <w:marRight w:val="0"/>
          <w:marTop w:val="0"/>
          <w:marBottom w:val="0"/>
          <w:divBdr>
            <w:top w:val="none" w:sz="0" w:space="0" w:color="auto"/>
            <w:left w:val="none" w:sz="0" w:space="0" w:color="auto"/>
            <w:bottom w:val="none" w:sz="0" w:space="0" w:color="auto"/>
            <w:right w:val="none" w:sz="0" w:space="0" w:color="auto"/>
          </w:divBdr>
        </w:div>
        <w:div w:id="610474664">
          <w:marLeft w:val="255"/>
          <w:marRight w:val="0"/>
          <w:marTop w:val="0"/>
          <w:marBottom w:val="0"/>
          <w:divBdr>
            <w:top w:val="none" w:sz="0" w:space="0" w:color="auto"/>
            <w:left w:val="none" w:sz="0" w:space="0" w:color="auto"/>
            <w:bottom w:val="none" w:sz="0" w:space="0" w:color="auto"/>
            <w:right w:val="none" w:sz="0" w:space="0" w:color="auto"/>
          </w:divBdr>
        </w:div>
        <w:div w:id="719671561">
          <w:marLeft w:val="255"/>
          <w:marRight w:val="0"/>
          <w:marTop w:val="0"/>
          <w:marBottom w:val="0"/>
          <w:divBdr>
            <w:top w:val="none" w:sz="0" w:space="0" w:color="auto"/>
            <w:left w:val="none" w:sz="0" w:space="0" w:color="auto"/>
            <w:bottom w:val="none" w:sz="0" w:space="0" w:color="auto"/>
            <w:right w:val="none" w:sz="0" w:space="0" w:color="auto"/>
          </w:divBdr>
        </w:div>
        <w:div w:id="1933396226">
          <w:marLeft w:val="255"/>
          <w:marRight w:val="0"/>
          <w:marTop w:val="0"/>
          <w:marBottom w:val="0"/>
          <w:divBdr>
            <w:top w:val="none" w:sz="0" w:space="0" w:color="auto"/>
            <w:left w:val="none" w:sz="0" w:space="0" w:color="auto"/>
            <w:bottom w:val="none" w:sz="0" w:space="0" w:color="auto"/>
            <w:right w:val="none" w:sz="0" w:space="0" w:color="auto"/>
          </w:divBdr>
        </w:div>
        <w:div w:id="1803766929">
          <w:marLeft w:val="255"/>
          <w:marRight w:val="0"/>
          <w:marTop w:val="0"/>
          <w:marBottom w:val="0"/>
          <w:divBdr>
            <w:top w:val="none" w:sz="0" w:space="0" w:color="auto"/>
            <w:left w:val="none" w:sz="0" w:space="0" w:color="auto"/>
            <w:bottom w:val="none" w:sz="0" w:space="0" w:color="auto"/>
            <w:right w:val="none" w:sz="0" w:space="0" w:color="auto"/>
          </w:divBdr>
        </w:div>
        <w:div w:id="1672492599">
          <w:marLeft w:val="255"/>
          <w:marRight w:val="0"/>
          <w:marTop w:val="0"/>
          <w:marBottom w:val="0"/>
          <w:divBdr>
            <w:top w:val="none" w:sz="0" w:space="0" w:color="auto"/>
            <w:left w:val="none" w:sz="0" w:space="0" w:color="auto"/>
            <w:bottom w:val="none" w:sz="0" w:space="0" w:color="auto"/>
            <w:right w:val="none" w:sz="0" w:space="0" w:color="auto"/>
          </w:divBdr>
        </w:div>
        <w:div w:id="23596864">
          <w:marLeft w:val="255"/>
          <w:marRight w:val="0"/>
          <w:marTop w:val="0"/>
          <w:marBottom w:val="0"/>
          <w:divBdr>
            <w:top w:val="none" w:sz="0" w:space="0" w:color="auto"/>
            <w:left w:val="none" w:sz="0" w:space="0" w:color="auto"/>
            <w:bottom w:val="none" w:sz="0" w:space="0" w:color="auto"/>
            <w:right w:val="none" w:sz="0" w:space="0" w:color="auto"/>
          </w:divBdr>
        </w:div>
      </w:divsChild>
    </w:div>
    <w:div w:id="368460549">
      <w:bodyDiv w:val="1"/>
      <w:marLeft w:val="0"/>
      <w:marRight w:val="0"/>
      <w:marTop w:val="0"/>
      <w:marBottom w:val="0"/>
      <w:divBdr>
        <w:top w:val="none" w:sz="0" w:space="0" w:color="auto"/>
        <w:left w:val="none" w:sz="0" w:space="0" w:color="auto"/>
        <w:bottom w:val="none" w:sz="0" w:space="0" w:color="auto"/>
        <w:right w:val="none" w:sz="0" w:space="0" w:color="auto"/>
      </w:divBdr>
      <w:divsChild>
        <w:div w:id="67580217">
          <w:marLeft w:val="255"/>
          <w:marRight w:val="0"/>
          <w:marTop w:val="0"/>
          <w:marBottom w:val="0"/>
          <w:divBdr>
            <w:top w:val="none" w:sz="0" w:space="0" w:color="auto"/>
            <w:left w:val="none" w:sz="0" w:space="0" w:color="auto"/>
            <w:bottom w:val="none" w:sz="0" w:space="0" w:color="auto"/>
            <w:right w:val="none" w:sz="0" w:space="0" w:color="auto"/>
          </w:divBdr>
        </w:div>
        <w:div w:id="1884318241">
          <w:marLeft w:val="255"/>
          <w:marRight w:val="0"/>
          <w:marTop w:val="0"/>
          <w:marBottom w:val="0"/>
          <w:divBdr>
            <w:top w:val="none" w:sz="0" w:space="0" w:color="auto"/>
            <w:left w:val="none" w:sz="0" w:space="0" w:color="auto"/>
            <w:bottom w:val="none" w:sz="0" w:space="0" w:color="auto"/>
            <w:right w:val="none" w:sz="0" w:space="0" w:color="auto"/>
          </w:divBdr>
        </w:div>
      </w:divsChild>
    </w:div>
    <w:div w:id="376782084">
      <w:bodyDiv w:val="1"/>
      <w:marLeft w:val="0"/>
      <w:marRight w:val="0"/>
      <w:marTop w:val="0"/>
      <w:marBottom w:val="0"/>
      <w:divBdr>
        <w:top w:val="none" w:sz="0" w:space="0" w:color="auto"/>
        <w:left w:val="none" w:sz="0" w:space="0" w:color="auto"/>
        <w:bottom w:val="none" w:sz="0" w:space="0" w:color="auto"/>
        <w:right w:val="none" w:sz="0" w:space="0" w:color="auto"/>
      </w:divBdr>
      <w:divsChild>
        <w:div w:id="2099014833">
          <w:marLeft w:val="0"/>
          <w:marRight w:val="0"/>
          <w:marTop w:val="0"/>
          <w:marBottom w:val="0"/>
          <w:divBdr>
            <w:top w:val="none" w:sz="0" w:space="0" w:color="auto"/>
            <w:left w:val="none" w:sz="0" w:space="0" w:color="auto"/>
            <w:bottom w:val="none" w:sz="0" w:space="0" w:color="auto"/>
            <w:right w:val="none" w:sz="0" w:space="0" w:color="auto"/>
          </w:divBdr>
        </w:div>
        <w:div w:id="915094096">
          <w:marLeft w:val="810"/>
          <w:marRight w:val="810"/>
          <w:marTop w:val="360"/>
          <w:marBottom w:val="0"/>
          <w:divBdr>
            <w:top w:val="none" w:sz="0" w:space="0" w:color="auto"/>
            <w:left w:val="none" w:sz="0" w:space="0" w:color="auto"/>
            <w:bottom w:val="none" w:sz="0" w:space="0" w:color="auto"/>
            <w:right w:val="none" w:sz="0" w:space="0" w:color="auto"/>
          </w:divBdr>
          <w:divsChild>
            <w:div w:id="1916744963">
              <w:marLeft w:val="4005"/>
              <w:marRight w:val="810"/>
              <w:marTop w:val="0"/>
              <w:marBottom w:val="0"/>
              <w:divBdr>
                <w:top w:val="none" w:sz="0" w:space="0" w:color="auto"/>
                <w:left w:val="none" w:sz="0" w:space="0" w:color="auto"/>
                <w:bottom w:val="none" w:sz="0" w:space="0" w:color="auto"/>
                <w:right w:val="none" w:sz="0" w:space="0" w:color="auto"/>
              </w:divBdr>
            </w:div>
            <w:div w:id="144129314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440994707">
      <w:bodyDiv w:val="1"/>
      <w:marLeft w:val="0"/>
      <w:marRight w:val="0"/>
      <w:marTop w:val="0"/>
      <w:marBottom w:val="0"/>
      <w:divBdr>
        <w:top w:val="none" w:sz="0" w:space="0" w:color="auto"/>
        <w:left w:val="none" w:sz="0" w:space="0" w:color="auto"/>
        <w:bottom w:val="none" w:sz="0" w:space="0" w:color="auto"/>
        <w:right w:val="none" w:sz="0" w:space="0" w:color="auto"/>
      </w:divBdr>
    </w:div>
    <w:div w:id="460422385">
      <w:bodyDiv w:val="1"/>
      <w:marLeft w:val="0"/>
      <w:marRight w:val="0"/>
      <w:marTop w:val="0"/>
      <w:marBottom w:val="0"/>
      <w:divBdr>
        <w:top w:val="none" w:sz="0" w:space="0" w:color="auto"/>
        <w:left w:val="none" w:sz="0" w:space="0" w:color="auto"/>
        <w:bottom w:val="none" w:sz="0" w:space="0" w:color="auto"/>
        <w:right w:val="none" w:sz="0" w:space="0" w:color="auto"/>
      </w:divBdr>
      <w:divsChild>
        <w:div w:id="924648435">
          <w:marLeft w:val="255"/>
          <w:marRight w:val="0"/>
          <w:marTop w:val="0"/>
          <w:marBottom w:val="0"/>
          <w:divBdr>
            <w:top w:val="none" w:sz="0" w:space="0" w:color="auto"/>
            <w:left w:val="none" w:sz="0" w:space="0" w:color="auto"/>
            <w:bottom w:val="none" w:sz="0" w:space="0" w:color="auto"/>
            <w:right w:val="none" w:sz="0" w:space="0" w:color="auto"/>
          </w:divBdr>
        </w:div>
      </w:divsChild>
    </w:div>
    <w:div w:id="462118257">
      <w:bodyDiv w:val="1"/>
      <w:marLeft w:val="0"/>
      <w:marRight w:val="0"/>
      <w:marTop w:val="0"/>
      <w:marBottom w:val="0"/>
      <w:divBdr>
        <w:top w:val="none" w:sz="0" w:space="0" w:color="auto"/>
        <w:left w:val="none" w:sz="0" w:space="0" w:color="auto"/>
        <w:bottom w:val="none" w:sz="0" w:space="0" w:color="auto"/>
        <w:right w:val="none" w:sz="0" w:space="0" w:color="auto"/>
      </w:divBdr>
    </w:div>
    <w:div w:id="503017507">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40364716">
      <w:bodyDiv w:val="1"/>
      <w:marLeft w:val="0"/>
      <w:marRight w:val="0"/>
      <w:marTop w:val="0"/>
      <w:marBottom w:val="0"/>
      <w:divBdr>
        <w:top w:val="none" w:sz="0" w:space="0" w:color="auto"/>
        <w:left w:val="none" w:sz="0" w:space="0" w:color="auto"/>
        <w:bottom w:val="none" w:sz="0" w:space="0" w:color="auto"/>
        <w:right w:val="none" w:sz="0" w:space="0" w:color="auto"/>
      </w:divBdr>
      <w:divsChild>
        <w:div w:id="2065060552">
          <w:marLeft w:val="255"/>
          <w:marRight w:val="0"/>
          <w:marTop w:val="0"/>
          <w:marBottom w:val="0"/>
          <w:divBdr>
            <w:top w:val="none" w:sz="0" w:space="0" w:color="auto"/>
            <w:left w:val="none" w:sz="0" w:space="0" w:color="auto"/>
            <w:bottom w:val="none" w:sz="0" w:space="0" w:color="auto"/>
            <w:right w:val="none" w:sz="0" w:space="0" w:color="auto"/>
          </w:divBdr>
        </w:div>
        <w:div w:id="1775831688">
          <w:marLeft w:val="255"/>
          <w:marRight w:val="0"/>
          <w:marTop w:val="0"/>
          <w:marBottom w:val="0"/>
          <w:divBdr>
            <w:top w:val="none" w:sz="0" w:space="0" w:color="auto"/>
            <w:left w:val="none" w:sz="0" w:space="0" w:color="auto"/>
            <w:bottom w:val="none" w:sz="0" w:space="0" w:color="auto"/>
            <w:right w:val="none" w:sz="0" w:space="0" w:color="auto"/>
          </w:divBdr>
        </w:div>
        <w:div w:id="405345705">
          <w:marLeft w:val="255"/>
          <w:marRight w:val="0"/>
          <w:marTop w:val="0"/>
          <w:marBottom w:val="0"/>
          <w:divBdr>
            <w:top w:val="none" w:sz="0" w:space="0" w:color="auto"/>
            <w:left w:val="none" w:sz="0" w:space="0" w:color="auto"/>
            <w:bottom w:val="none" w:sz="0" w:space="0" w:color="auto"/>
            <w:right w:val="none" w:sz="0" w:space="0" w:color="auto"/>
          </w:divBdr>
        </w:div>
        <w:div w:id="310838437">
          <w:marLeft w:val="255"/>
          <w:marRight w:val="0"/>
          <w:marTop w:val="0"/>
          <w:marBottom w:val="0"/>
          <w:divBdr>
            <w:top w:val="none" w:sz="0" w:space="0" w:color="auto"/>
            <w:left w:val="none" w:sz="0" w:space="0" w:color="auto"/>
            <w:bottom w:val="none" w:sz="0" w:space="0" w:color="auto"/>
            <w:right w:val="none" w:sz="0" w:space="0" w:color="auto"/>
          </w:divBdr>
        </w:div>
        <w:div w:id="843672107">
          <w:marLeft w:val="255"/>
          <w:marRight w:val="0"/>
          <w:marTop w:val="0"/>
          <w:marBottom w:val="0"/>
          <w:divBdr>
            <w:top w:val="none" w:sz="0" w:space="0" w:color="auto"/>
            <w:left w:val="none" w:sz="0" w:space="0" w:color="auto"/>
            <w:bottom w:val="none" w:sz="0" w:space="0" w:color="auto"/>
            <w:right w:val="none" w:sz="0" w:space="0" w:color="auto"/>
          </w:divBdr>
        </w:div>
      </w:divsChild>
    </w:div>
    <w:div w:id="578058259">
      <w:bodyDiv w:val="1"/>
      <w:marLeft w:val="0"/>
      <w:marRight w:val="0"/>
      <w:marTop w:val="0"/>
      <w:marBottom w:val="0"/>
      <w:divBdr>
        <w:top w:val="none" w:sz="0" w:space="0" w:color="auto"/>
        <w:left w:val="none" w:sz="0" w:space="0" w:color="auto"/>
        <w:bottom w:val="none" w:sz="0" w:space="0" w:color="auto"/>
        <w:right w:val="none" w:sz="0" w:space="0" w:color="auto"/>
      </w:divBdr>
    </w:div>
    <w:div w:id="666782539">
      <w:bodyDiv w:val="1"/>
      <w:marLeft w:val="0"/>
      <w:marRight w:val="0"/>
      <w:marTop w:val="0"/>
      <w:marBottom w:val="0"/>
      <w:divBdr>
        <w:top w:val="none" w:sz="0" w:space="0" w:color="auto"/>
        <w:left w:val="none" w:sz="0" w:space="0" w:color="auto"/>
        <w:bottom w:val="none" w:sz="0" w:space="0" w:color="auto"/>
        <w:right w:val="none" w:sz="0" w:space="0" w:color="auto"/>
      </w:divBdr>
      <w:divsChild>
        <w:div w:id="905652034">
          <w:marLeft w:val="255"/>
          <w:marRight w:val="0"/>
          <w:marTop w:val="0"/>
          <w:marBottom w:val="0"/>
          <w:divBdr>
            <w:top w:val="none" w:sz="0" w:space="0" w:color="auto"/>
            <w:left w:val="none" w:sz="0" w:space="0" w:color="auto"/>
            <w:bottom w:val="none" w:sz="0" w:space="0" w:color="auto"/>
            <w:right w:val="none" w:sz="0" w:space="0" w:color="auto"/>
          </w:divBdr>
        </w:div>
        <w:div w:id="504324374">
          <w:marLeft w:val="255"/>
          <w:marRight w:val="0"/>
          <w:marTop w:val="0"/>
          <w:marBottom w:val="0"/>
          <w:divBdr>
            <w:top w:val="none" w:sz="0" w:space="0" w:color="auto"/>
            <w:left w:val="none" w:sz="0" w:space="0" w:color="auto"/>
            <w:bottom w:val="none" w:sz="0" w:space="0" w:color="auto"/>
            <w:right w:val="none" w:sz="0" w:space="0" w:color="auto"/>
          </w:divBdr>
        </w:div>
      </w:divsChild>
    </w:div>
    <w:div w:id="681862305">
      <w:bodyDiv w:val="1"/>
      <w:marLeft w:val="0"/>
      <w:marRight w:val="0"/>
      <w:marTop w:val="0"/>
      <w:marBottom w:val="0"/>
      <w:divBdr>
        <w:top w:val="none" w:sz="0" w:space="0" w:color="auto"/>
        <w:left w:val="none" w:sz="0" w:space="0" w:color="auto"/>
        <w:bottom w:val="none" w:sz="0" w:space="0" w:color="auto"/>
        <w:right w:val="none" w:sz="0" w:space="0" w:color="auto"/>
      </w:divBdr>
      <w:divsChild>
        <w:div w:id="731850995">
          <w:marLeft w:val="0"/>
          <w:marRight w:val="0"/>
          <w:marTop w:val="225"/>
          <w:marBottom w:val="0"/>
          <w:divBdr>
            <w:top w:val="none" w:sz="0" w:space="0" w:color="auto"/>
            <w:left w:val="none" w:sz="0" w:space="0" w:color="auto"/>
            <w:bottom w:val="none" w:sz="0" w:space="0" w:color="auto"/>
            <w:right w:val="none" w:sz="0" w:space="0" w:color="auto"/>
          </w:divBdr>
          <w:divsChild>
            <w:div w:id="453866332">
              <w:marLeft w:val="0"/>
              <w:marRight w:val="0"/>
              <w:marTop w:val="0"/>
              <w:marBottom w:val="0"/>
              <w:divBdr>
                <w:top w:val="none" w:sz="0" w:space="0" w:color="auto"/>
                <w:left w:val="none" w:sz="0" w:space="0" w:color="auto"/>
                <w:bottom w:val="none" w:sz="0" w:space="0" w:color="auto"/>
                <w:right w:val="none" w:sz="0" w:space="0" w:color="auto"/>
              </w:divBdr>
            </w:div>
          </w:divsChild>
        </w:div>
        <w:div w:id="1010137241">
          <w:marLeft w:val="0"/>
          <w:marRight w:val="0"/>
          <w:marTop w:val="225"/>
          <w:marBottom w:val="0"/>
          <w:divBdr>
            <w:top w:val="none" w:sz="0" w:space="0" w:color="auto"/>
            <w:left w:val="none" w:sz="0" w:space="0" w:color="auto"/>
            <w:bottom w:val="none" w:sz="0" w:space="0" w:color="auto"/>
            <w:right w:val="none" w:sz="0" w:space="0" w:color="auto"/>
          </w:divBdr>
          <w:divsChild>
            <w:div w:id="338890659">
              <w:marLeft w:val="0"/>
              <w:marRight w:val="0"/>
              <w:marTop w:val="0"/>
              <w:marBottom w:val="0"/>
              <w:divBdr>
                <w:top w:val="none" w:sz="0" w:space="0" w:color="auto"/>
                <w:left w:val="none" w:sz="0" w:space="0" w:color="auto"/>
                <w:bottom w:val="none" w:sz="0" w:space="0" w:color="auto"/>
                <w:right w:val="none" w:sz="0" w:space="0" w:color="auto"/>
              </w:divBdr>
            </w:div>
            <w:div w:id="15336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5870">
      <w:bodyDiv w:val="1"/>
      <w:marLeft w:val="0"/>
      <w:marRight w:val="0"/>
      <w:marTop w:val="0"/>
      <w:marBottom w:val="0"/>
      <w:divBdr>
        <w:top w:val="none" w:sz="0" w:space="0" w:color="auto"/>
        <w:left w:val="none" w:sz="0" w:space="0" w:color="auto"/>
        <w:bottom w:val="none" w:sz="0" w:space="0" w:color="auto"/>
        <w:right w:val="none" w:sz="0" w:space="0" w:color="auto"/>
      </w:divBdr>
    </w:div>
    <w:div w:id="726488507">
      <w:bodyDiv w:val="1"/>
      <w:marLeft w:val="0"/>
      <w:marRight w:val="0"/>
      <w:marTop w:val="0"/>
      <w:marBottom w:val="0"/>
      <w:divBdr>
        <w:top w:val="none" w:sz="0" w:space="0" w:color="auto"/>
        <w:left w:val="none" w:sz="0" w:space="0" w:color="auto"/>
        <w:bottom w:val="none" w:sz="0" w:space="0" w:color="auto"/>
        <w:right w:val="none" w:sz="0" w:space="0" w:color="auto"/>
      </w:divBdr>
    </w:div>
    <w:div w:id="727337946">
      <w:bodyDiv w:val="1"/>
      <w:marLeft w:val="0"/>
      <w:marRight w:val="0"/>
      <w:marTop w:val="0"/>
      <w:marBottom w:val="0"/>
      <w:divBdr>
        <w:top w:val="none" w:sz="0" w:space="0" w:color="auto"/>
        <w:left w:val="none" w:sz="0" w:space="0" w:color="auto"/>
        <w:bottom w:val="none" w:sz="0" w:space="0" w:color="auto"/>
        <w:right w:val="none" w:sz="0" w:space="0" w:color="auto"/>
      </w:divBdr>
      <w:divsChild>
        <w:div w:id="2047483948">
          <w:marLeft w:val="255"/>
          <w:marRight w:val="0"/>
          <w:marTop w:val="0"/>
          <w:marBottom w:val="0"/>
          <w:divBdr>
            <w:top w:val="none" w:sz="0" w:space="0" w:color="auto"/>
            <w:left w:val="none" w:sz="0" w:space="0" w:color="auto"/>
            <w:bottom w:val="none" w:sz="0" w:space="0" w:color="auto"/>
            <w:right w:val="none" w:sz="0" w:space="0" w:color="auto"/>
          </w:divBdr>
        </w:div>
        <w:div w:id="1214191482">
          <w:marLeft w:val="255"/>
          <w:marRight w:val="0"/>
          <w:marTop w:val="0"/>
          <w:marBottom w:val="0"/>
          <w:divBdr>
            <w:top w:val="none" w:sz="0" w:space="0" w:color="auto"/>
            <w:left w:val="none" w:sz="0" w:space="0" w:color="auto"/>
            <w:bottom w:val="none" w:sz="0" w:space="0" w:color="auto"/>
            <w:right w:val="none" w:sz="0" w:space="0" w:color="auto"/>
          </w:divBdr>
        </w:div>
      </w:divsChild>
    </w:div>
    <w:div w:id="818693565">
      <w:bodyDiv w:val="1"/>
      <w:marLeft w:val="0"/>
      <w:marRight w:val="0"/>
      <w:marTop w:val="0"/>
      <w:marBottom w:val="0"/>
      <w:divBdr>
        <w:top w:val="none" w:sz="0" w:space="0" w:color="auto"/>
        <w:left w:val="none" w:sz="0" w:space="0" w:color="auto"/>
        <w:bottom w:val="none" w:sz="0" w:space="0" w:color="auto"/>
        <w:right w:val="none" w:sz="0" w:space="0" w:color="auto"/>
      </w:divBdr>
    </w:div>
    <w:div w:id="835614434">
      <w:bodyDiv w:val="1"/>
      <w:marLeft w:val="0"/>
      <w:marRight w:val="0"/>
      <w:marTop w:val="0"/>
      <w:marBottom w:val="0"/>
      <w:divBdr>
        <w:top w:val="none" w:sz="0" w:space="0" w:color="auto"/>
        <w:left w:val="none" w:sz="0" w:space="0" w:color="auto"/>
        <w:bottom w:val="none" w:sz="0" w:space="0" w:color="auto"/>
        <w:right w:val="none" w:sz="0" w:space="0" w:color="auto"/>
      </w:divBdr>
      <w:divsChild>
        <w:div w:id="486820017">
          <w:marLeft w:val="0"/>
          <w:marRight w:val="0"/>
          <w:marTop w:val="0"/>
          <w:marBottom w:val="300"/>
          <w:divBdr>
            <w:top w:val="none" w:sz="0" w:space="0" w:color="auto"/>
            <w:left w:val="none" w:sz="0" w:space="0" w:color="auto"/>
            <w:bottom w:val="none" w:sz="0" w:space="0" w:color="auto"/>
            <w:right w:val="none" w:sz="0" w:space="0" w:color="auto"/>
          </w:divBdr>
        </w:div>
        <w:div w:id="1455173860">
          <w:marLeft w:val="255"/>
          <w:marRight w:val="0"/>
          <w:marTop w:val="75"/>
          <w:marBottom w:val="0"/>
          <w:divBdr>
            <w:top w:val="none" w:sz="0" w:space="0" w:color="auto"/>
            <w:left w:val="none" w:sz="0" w:space="0" w:color="auto"/>
            <w:bottom w:val="none" w:sz="0" w:space="0" w:color="auto"/>
            <w:right w:val="none" w:sz="0" w:space="0" w:color="auto"/>
          </w:divBdr>
        </w:div>
      </w:divsChild>
    </w:div>
    <w:div w:id="903032651">
      <w:bodyDiv w:val="1"/>
      <w:marLeft w:val="0"/>
      <w:marRight w:val="0"/>
      <w:marTop w:val="0"/>
      <w:marBottom w:val="0"/>
      <w:divBdr>
        <w:top w:val="none" w:sz="0" w:space="0" w:color="auto"/>
        <w:left w:val="none" w:sz="0" w:space="0" w:color="auto"/>
        <w:bottom w:val="none" w:sz="0" w:space="0" w:color="auto"/>
        <w:right w:val="none" w:sz="0" w:space="0" w:color="auto"/>
      </w:divBdr>
      <w:divsChild>
        <w:div w:id="1325232927">
          <w:marLeft w:val="255"/>
          <w:marRight w:val="0"/>
          <w:marTop w:val="0"/>
          <w:marBottom w:val="0"/>
          <w:divBdr>
            <w:top w:val="none" w:sz="0" w:space="0" w:color="auto"/>
            <w:left w:val="none" w:sz="0" w:space="0" w:color="auto"/>
            <w:bottom w:val="none" w:sz="0" w:space="0" w:color="auto"/>
            <w:right w:val="none" w:sz="0" w:space="0" w:color="auto"/>
          </w:divBdr>
        </w:div>
        <w:div w:id="605770811">
          <w:marLeft w:val="255"/>
          <w:marRight w:val="0"/>
          <w:marTop w:val="0"/>
          <w:marBottom w:val="0"/>
          <w:divBdr>
            <w:top w:val="none" w:sz="0" w:space="0" w:color="auto"/>
            <w:left w:val="none" w:sz="0" w:space="0" w:color="auto"/>
            <w:bottom w:val="none" w:sz="0" w:space="0" w:color="auto"/>
            <w:right w:val="none" w:sz="0" w:space="0" w:color="auto"/>
          </w:divBdr>
        </w:div>
        <w:div w:id="1930001331">
          <w:marLeft w:val="255"/>
          <w:marRight w:val="0"/>
          <w:marTop w:val="0"/>
          <w:marBottom w:val="0"/>
          <w:divBdr>
            <w:top w:val="none" w:sz="0" w:space="0" w:color="auto"/>
            <w:left w:val="none" w:sz="0" w:space="0" w:color="auto"/>
            <w:bottom w:val="none" w:sz="0" w:space="0" w:color="auto"/>
            <w:right w:val="none" w:sz="0" w:space="0" w:color="auto"/>
          </w:divBdr>
        </w:div>
      </w:divsChild>
    </w:div>
    <w:div w:id="920723099">
      <w:bodyDiv w:val="1"/>
      <w:marLeft w:val="0"/>
      <w:marRight w:val="0"/>
      <w:marTop w:val="0"/>
      <w:marBottom w:val="0"/>
      <w:divBdr>
        <w:top w:val="none" w:sz="0" w:space="0" w:color="auto"/>
        <w:left w:val="none" w:sz="0" w:space="0" w:color="auto"/>
        <w:bottom w:val="none" w:sz="0" w:space="0" w:color="auto"/>
        <w:right w:val="none" w:sz="0" w:space="0" w:color="auto"/>
      </w:divBdr>
    </w:div>
    <w:div w:id="963577841">
      <w:bodyDiv w:val="1"/>
      <w:marLeft w:val="0"/>
      <w:marRight w:val="0"/>
      <w:marTop w:val="0"/>
      <w:marBottom w:val="0"/>
      <w:divBdr>
        <w:top w:val="none" w:sz="0" w:space="0" w:color="auto"/>
        <w:left w:val="none" w:sz="0" w:space="0" w:color="auto"/>
        <w:bottom w:val="none" w:sz="0" w:space="0" w:color="auto"/>
        <w:right w:val="none" w:sz="0" w:space="0" w:color="auto"/>
      </w:divBdr>
    </w:div>
    <w:div w:id="1030574659">
      <w:bodyDiv w:val="1"/>
      <w:marLeft w:val="0"/>
      <w:marRight w:val="0"/>
      <w:marTop w:val="0"/>
      <w:marBottom w:val="0"/>
      <w:divBdr>
        <w:top w:val="none" w:sz="0" w:space="0" w:color="auto"/>
        <w:left w:val="none" w:sz="0" w:space="0" w:color="auto"/>
        <w:bottom w:val="none" w:sz="0" w:space="0" w:color="auto"/>
        <w:right w:val="none" w:sz="0" w:space="0" w:color="auto"/>
      </w:divBdr>
    </w:div>
    <w:div w:id="1045761363">
      <w:bodyDiv w:val="1"/>
      <w:marLeft w:val="0"/>
      <w:marRight w:val="0"/>
      <w:marTop w:val="0"/>
      <w:marBottom w:val="0"/>
      <w:divBdr>
        <w:top w:val="none" w:sz="0" w:space="0" w:color="auto"/>
        <w:left w:val="none" w:sz="0" w:space="0" w:color="auto"/>
        <w:bottom w:val="none" w:sz="0" w:space="0" w:color="auto"/>
        <w:right w:val="none" w:sz="0" w:space="0" w:color="auto"/>
      </w:divBdr>
    </w:div>
    <w:div w:id="1085110466">
      <w:bodyDiv w:val="1"/>
      <w:marLeft w:val="0"/>
      <w:marRight w:val="0"/>
      <w:marTop w:val="0"/>
      <w:marBottom w:val="0"/>
      <w:divBdr>
        <w:top w:val="none" w:sz="0" w:space="0" w:color="auto"/>
        <w:left w:val="none" w:sz="0" w:space="0" w:color="auto"/>
        <w:bottom w:val="none" w:sz="0" w:space="0" w:color="auto"/>
        <w:right w:val="none" w:sz="0" w:space="0" w:color="auto"/>
      </w:divBdr>
      <w:divsChild>
        <w:div w:id="1902716341">
          <w:marLeft w:val="255"/>
          <w:marRight w:val="0"/>
          <w:marTop w:val="75"/>
          <w:marBottom w:val="0"/>
          <w:divBdr>
            <w:top w:val="none" w:sz="0" w:space="0" w:color="auto"/>
            <w:left w:val="none" w:sz="0" w:space="0" w:color="auto"/>
            <w:bottom w:val="none" w:sz="0" w:space="0" w:color="auto"/>
            <w:right w:val="none" w:sz="0" w:space="0" w:color="auto"/>
          </w:divBdr>
        </w:div>
        <w:div w:id="426000508">
          <w:marLeft w:val="255"/>
          <w:marRight w:val="0"/>
          <w:marTop w:val="75"/>
          <w:marBottom w:val="0"/>
          <w:divBdr>
            <w:top w:val="none" w:sz="0" w:space="0" w:color="auto"/>
            <w:left w:val="none" w:sz="0" w:space="0" w:color="auto"/>
            <w:bottom w:val="none" w:sz="0" w:space="0" w:color="auto"/>
            <w:right w:val="none" w:sz="0" w:space="0" w:color="auto"/>
          </w:divBdr>
        </w:div>
        <w:div w:id="2073844612">
          <w:marLeft w:val="255"/>
          <w:marRight w:val="0"/>
          <w:marTop w:val="75"/>
          <w:marBottom w:val="0"/>
          <w:divBdr>
            <w:top w:val="none" w:sz="0" w:space="0" w:color="auto"/>
            <w:left w:val="none" w:sz="0" w:space="0" w:color="auto"/>
            <w:bottom w:val="none" w:sz="0" w:space="0" w:color="auto"/>
            <w:right w:val="none" w:sz="0" w:space="0" w:color="auto"/>
          </w:divBdr>
        </w:div>
        <w:div w:id="1854370295">
          <w:marLeft w:val="255"/>
          <w:marRight w:val="0"/>
          <w:marTop w:val="75"/>
          <w:marBottom w:val="0"/>
          <w:divBdr>
            <w:top w:val="none" w:sz="0" w:space="0" w:color="auto"/>
            <w:left w:val="none" w:sz="0" w:space="0" w:color="auto"/>
            <w:bottom w:val="none" w:sz="0" w:space="0" w:color="auto"/>
            <w:right w:val="none" w:sz="0" w:space="0" w:color="auto"/>
          </w:divBdr>
        </w:div>
      </w:divsChild>
    </w:div>
    <w:div w:id="1085615932">
      <w:bodyDiv w:val="1"/>
      <w:marLeft w:val="0"/>
      <w:marRight w:val="0"/>
      <w:marTop w:val="0"/>
      <w:marBottom w:val="0"/>
      <w:divBdr>
        <w:top w:val="none" w:sz="0" w:space="0" w:color="auto"/>
        <w:left w:val="none" w:sz="0" w:space="0" w:color="auto"/>
        <w:bottom w:val="none" w:sz="0" w:space="0" w:color="auto"/>
        <w:right w:val="none" w:sz="0" w:space="0" w:color="auto"/>
      </w:divBdr>
    </w:div>
    <w:div w:id="1093356174">
      <w:bodyDiv w:val="1"/>
      <w:marLeft w:val="0"/>
      <w:marRight w:val="0"/>
      <w:marTop w:val="0"/>
      <w:marBottom w:val="0"/>
      <w:divBdr>
        <w:top w:val="none" w:sz="0" w:space="0" w:color="auto"/>
        <w:left w:val="none" w:sz="0" w:space="0" w:color="auto"/>
        <w:bottom w:val="none" w:sz="0" w:space="0" w:color="auto"/>
        <w:right w:val="none" w:sz="0" w:space="0" w:color="auto"/>
      </w:divBdr>
    </w:div>
    <w:div w:id="1155418699">
      <w:bodyDiv w:val="1"/>
      <w:marLeft w:val="0"/>
      <w:marRight w:val="0"/>
      <w:marTop w:val="0"/>
      <w:marBottom w:val="0"/>
      <w:divBdr>
        <w:top w:val="none" w:sz="0" w:space="0" w:color="auto"/>
        <w:left w:val="none" w:sz="0" w:space="0" w:color="auto"/>
        <w:bottom w:val="none" w:sz="0" w:space="0" w:color="auto"/>
        <w:right w:val="none" w:sz="0" w:space="0" w:color="auto"/>
      </w:divBdr>
    </w:div>
    <w:div w:id="1172912834">
      <w:bodyDiv w:val="1"/>
      <w:marLeft w:val="0"/>
      <w:marRight w:val="0"/>
      <w:marTop w:val="0"/>
      <w:marBottom w:val="0"/>
      <w:divBdr>
        <w:top w:val="none" w:sz="0" w:space="0" w:color="auto"/>
        <w:left w:val="none" w:sz="0" w:space="0" w:color="auto"/>
        <w:bottom w:val="none" w:sz="0" w:space="0" w:color="auto"/>
        <w:right w:val="none" w:sz="0" w:space="0" w:color="auto"/>
      </w:divBdr>
      <w:divsChild>
        <w:div w:id="1222212309">
          <w:marLeft w:val="0"/>
          <w:marRight w:val="0"/>
          <w:marTop w:val="0"/>
          <w:marBottom w:val="0"/>
          <w:divBdr>
            <w:top w:val="none" w:sz="0" w:space="0" w:color="auto"/>
            <w:left w:val="none" w:sz="0" w:space="0" w:color="auto"/>
            <w:bottom w:val="none" w:sz="0" w:space="0" w:color="auto"/>
            <w:right w:val="none" w:sz="0" w:space="0" w:color="auto"/>
          </w:divBdr>
        </w:div>
      </w:divsChild>
    </w:div>
    <w:div w:id="1185098635">
      <w:bodyDiv w:val="1"/>
      <w:marLeft w:val="0"/>
      <w:marRight w:val="0"/>
      <w:marTop w:val="0"/>
      <w:marBottom w:val="0"/>
      <w:divBdr>
        <w:top w:val="none" w:sz="0" w:space="0" w:color="auto"/>
        <w:left w:val="none" w:sz="0" w:space="0" w:color="auto"/>
        <w:bottom w:val="none" w:sz="0" w:space="0" w:color="auto"/>
        <w:right w:val="none" w:sz="0" w:space="0" w:color="auto"/>
      </w:divBdr>
      <w:divsChild>
        <w:div w:id="47799166">
          <w:marLeft w:val="255"/>
          <w:marRight w:val="0"/>
          <w:marTop w:val="0"/>
          <w:marBottom w:val="0"/>
          <w:divBdr>
            <w:top w:val="none" w:sz="0" w:space="0" w:color="auto"/>
            <w:left w:val="none" w:sz="0" w:space="0" w:color="auto"/>
            <w:bottom w:val="none" w:sz="0" w:space="0" w:color="auto"/>
            <w:right w:val="none" w:sz="0" w:space="0" w:color="auto"/>
          </w:divBdr>
        </w:div>
        <w:div w:id="258875563">
          <w:marLeft w:val="255"/>
          <w:marRight w:val="0"/>
          <w:marTop w:val="0"/>
          <w:marBottom w:val="0"/>
          <w:divBdr>
            <w:top w:val="none" w:sz="0" w:space="0" w:color="auto"/>
            <w:left w:val="none" w:sz="0" w:space="0" w:color="auto"/>
            <w:bottom w:val="none" w:sz="0" w:space="0" w:color="auto"/>
            <w:right w:val="none" w:sz="0" w:space="0" w:color="auto"/>
          </w:divBdr>
        </w:div>
      </w:divsChild>
    </w:div>
    <w:div w:id="1185168410">
      <w:bodyDiv w:val="1"/>
      <w:marLeft w:val="0"/>
      <w:marRight w:val="0"/>
      <w:marTop w:val="0"/>
      <w:marBottom w:val="0"/>
      <w:divBdr>
        <w:top w:val="none" w:sz="0" w:space="0" w:color="auto"/>
        <w:left w:val="none" w:sz="0" w:space="0" w:color="auto"/>
        <w:bottom w:val="none" w:sz="0" w:space="0" w:color="auto"/>
        <w:right w:val="none" w:sz="0" w:space="0" w:color="auto"/>
      </w:divBdr>
      <w:divsChild>
        <w:div w:id="2126120779">
          <w:marLeft w:val="0"/>
          <w:marRight w:val="0"/>
          <w:marTop w:val="0"/>
          <w:marBottom w:val="0"/>
          <w:divBdr>
            <w:top w:val="none" w:sz="0" w:space="0" w:color="auto"/>
            <w:left w:val="none" w:sz="0" w:space="0" w:color="auto"/>
            <w:bottom w:val="none" w:sz="0" w:space="0" w:color="auto"/>
            <w:right w:val="none" w:sz="0" w:space="0" w:color="auto"/>
          </w:divBdr>
        </w:div>
      </w:divsChild>
    </w:div>
    <w:div w:id="1189489243">
      <w:bodyDiv w:val="1"/>
      <w:marLeft w:val="0"/>
      <w:marRight w:val="0"/>
      <w:marTop w:val="0"/>
      <w:marBottom w:val="0"/>
      <w:divBdr>
        <w:top w:val="none" w:sz="0" w:space="0" w:color="auto"/>
        <w:left w:val="none" w:sz="0" w:space="0" w:color="auto"/>
        <w:bottom w:val="none" w:sz="0" w:space="0" w:color="auto"/>
        <w:right w:val="none" w:sz="0" w:space="0" w:color="auto"/>
      </w:divBdr>
    </w:div>
    <w:div w:id="1190215417">
      <w:bodyDiv w:val="1"/>
      <w:marLeft w:val="0"/>
      <w:marRight w:val="0"/>
      <w:marTop w:val="0"/>
      <w:marBottom w:val="0"/>
      <w:divBdr>
        <w:top w:val="none" w:sz="0" w:space="0" w:color="auto"/>
        <w:left w:val="none" w:sz="0" w:space="0" w:color="auto"/>
        <w:bottom w:val="none" w:sz="0" w:space="0" w:color="auto"/>
        <w:right w:val="none" w:sz="0" w:space="0" w:color="auto"/>
      </w:divBdr>
    </w:div>
    <w:div w:id="1191145855">
      <w:bodyDiv w:val="1"/>
      <w:marLeft w:val="0"/>
      <w:marRight w:val="0"/>
      <w:marTop w:val="0"/>
      <w:marBottom w:val="0"/>
      <w:divBdr>
        <w:top w:val="none" w:sz="0" w:space="0" w:color="auto"/>
        <w:left w:val="none" w:sz="0" w:space="0" w:color="auto"/>
        <w:bottom w:val="none" w:sz="0" w:space="0" w:color="auto"/>
        <w:right w:val="none" w:sz="0" w:space="0" w:color="auto"/>
      </w:divBdr>
      <w:divsChild>
        <w:div w:id="880283113">
          <w:marLeft w:val="255"/>
          <w:marRight w:val="0"/>
          <w:marTop w:val="0"/>
          <w:marBottom w:val="0"/>
          <w:divBdr>
            <w:top w:val="none" w:sz="0" w:space="0" w:color="auto"/>
            <w:left w:val="none" w:sz="0" w:space="0" w:color="auto"/>
            <w:bottom w:val="none" w:sz="0" w:space="0" w:color="auto"/>
            <w:right w:val="none" w:sz="0" w:space="0" w:color="auto"/>
          </w:divBdr>
        </w:div>
        <w:div w:id="1076980213">
          <w:marLeft w:val="255"/>
          <w:marRight w:val="0"/>
          <w:marTop w:val="0"/>
          <w:marBottom w:val="0"/>
          <w:divBdr>
            <w:top w:val="none" w:sz="0" w:space="0" w:color="auto"/>
            <w:left w:val="none" w:sz="0" w:space="0" w:color="auto"/>
            <w:bottom w:val="none" w:sz="0" w:space="0" w:color="auto"/>
            <w:right w:val="none" w:sz="0" w:space="0" w:color="auto"/>
          </w:divBdr>
        </w:div>
        <w:div w:id="2127582569">
          <w:marLeft w:val="255"/>
          <w:marRight w:val="0"/>
          <w:marTop w:val="0"/>
          <w:marBottom w:val="0"/>
          <w:divBdr>
            <w:top w:val="none" w:sz="0" w:space="0" w:color="auto"/>
            <w:left w:val="none" w:sz="0" w:space="0" w:color="auto"/>
            <w:bottom w:val="none" w:sz="0" w:space="0" w:color="auto"/>
            <w:right w:val="none" w:sz="0" w:space="0" w:color="auto"/>
          </w:divBdr>
        </w:div>
      </w:divsChild>
    </w:div>
    <w:div w:id="1205214046">
      <w:bodyDiv w:val="1"/>
      <w:marLeft w:val="0"/>
      <w:marRight w:val="0"/>
      <w:marTop w:val="0"/>
      <w:marBottom w:val="0"/>
      <w:divBdr>
        <w:top w:val="none" w:sz="0" w:space="0" w:color="auto"/>
        <w:left w:val="none" w:sz="0" w:space="0" w:color="auto"/>
        <w:bottom w:val="none" w:sz="0" w:space="0" w:color="auto"/>
        <w:right w:val="none" w:sz="0" w:space="0" w:color="auto"/>
      </w:divBdr>
    </w:div>
    <w:div w:id="1235362294">
      <w:bodyDiv w:val="1"/>
      <w:marLeft w:val="0"/>
      <w:marRight w:val="0"/>
      <w:marTop w:val="0"/>
      <w:marBottom w:val="0"/>
      <w:divBdr>
        <w:top w:val="none" w:sz="0" w:space="0" w:color="auto"/>
        <w:left w:val="none" w:sz="0" w:space="0" w:color="auto"/>
        <w:bottom w:val="none" w:sz="0" w:space="0" w:color="auto"/>
        <w:right w:val="none" w:sz="0" w:space="0" w:color="auto"/>
      </w:divBdr>
      <w:divsChild>
        <w:div w:id="692606890">
          <w:marLeft w:val="0"/>
          <w:marRight w:val="0"/>
          <w:marTop w:val="0"/>
          <w:marBottom w:val="300"/>
          <w:divBdr>
            <w:top w:val="none" w:sz="0" w:space="0" w:color="auto"/>
            <w:left w:val="none" w:sz="0" w:space="0" w:color="auto"/>
            <w:bottom w:val="none" w:sz="0" w:space="0" w:color="auto"/>
            <w:right w:val="none" w:sz="0" w:space="0" w:color="auto"/>
          </w:divBdr>
        </w:div>
        <w:div w:id="1082608900">
          <w:marLeft w:val="255"/>
          <w:marRight w:val="0"/>
          <w:marTop w:val="75"/>
          <w:marBottom w:val="0"/>
          <w:divBdr>
            <w:top w:val="none" w:sz="0" w:space="0" w:color="auto"/>
            <w:left w:val="none" w:sz="0" w:space="0" w:color="auto"/>
            <w:bottom w:val="none" w:sz="0" w:space="0" w:color="auto"/>
            <w:right w:val="none" w:sz="0" w:space="0" w:color="auto"/>
          </w:divBdr>
        </w:div>
        <w:div w:id="526530806">
          <w:marLeft w:val="255"/>
          <w:marRight w:val="0"/>
          <w:marTop w:val="75"/>
          <w:marBottom w:val="0"/>
          <w:divBdr>
            <w:top w:val="none" w:sz="0" w:space="0" w:color="auto"/>
            <w:left w:val="none" w:sz="0" w:space="0" w:color="auto"/>
            <w:bottom w:val="none" w:sz="0" w:space="0" w:color="auto"/>
            <w:right w:val="none" w:sz="0" w:space="0" w:color="auto"/>
          </w:divBdr>
        </w:div>
        <w:div w:id="1115832413">
          <w:marLeft w:val="255"/>
          <w:marRight w:val="0"/>
          <w:marTop w:val="75"/>
          <w:marBottom w:val="0"/>
          <w:divBdr>
            <w:top w:val="none" w:sz="0" w:space="0" w:color="auto"/>
            <w:left w:val="none" w:sz="0" w:space="0" w:color="auto"/>
            <w:bottom w:val="none" w:sz="0" w:space="0" w:color="auto"/>
            <w:right w:val="none" w:sz="0" w:space="0" w:color="auto"/>
          </w:divBdr>
        </w:div>
      </w:divsChild>
    </w:div>
    <w:div w:id="1246114911">
      <w:bodyDiv w:val="1"/>
      <w:marLeft w:val="0"/>
      <w:marRight w:val="0"/>
      <w:marTop w:val="0"/>
      <w:marBottom w:val="0"/>
      <w:divBdr>
        <w:top w:val="none" w:sz="0" w:space="0" w:color="auto"/>
        <w:left w:val="none" w:sz="0" w:space="0" w:color="auto"/>
        <w:bottom w:val="none" w:sz="0" w:space="0" w:color="auto"/>
        <w:right w:val="none" w:sz="0" w:space="0" w:color="auto"/>
      </w:divBdr>
    </w:div>
    <w:div w:id="1254821580">
      <w:bodyDiv w:val="1"/>
      <w:marLeft w:val="0"/>
      <w:marRight w:val="0"/>
      <w:marTop w:val="0"/>
      <w:marBottom w:val="0"/>
      <w:divBdr>
        <w:top w:val="none" w:sz="0" w:space="0" w:color="auto"/>
        <w:left w:val="none" w:sz="0" w:space="0" w:color="auto"/>
        <w:bottom w:val="none" w:sz="0" w:space="0" w:color="auto"/>
        <w:right w:val="none" w:sz="0" w:space="0" w:color="auto"/>
      </w:divBdr>
    </w:div>
    <w:div w:id="1262758279">
      <w:bodyDiv w:val="1"/>
      <w:marLeft w:val="0"/>
      <w:marRight w:val="0"/>
      <w:marTop w:val="0"/>
      <w:marBottom w:val="0"/>
      <w:divBdr>
        <w:top w:val="none" w:sz="0" w:space="0" w:color="auto"/>
        <w:left w:val="none" w:sz="0" w:space="0" w:color="auto"/>
        <w:bottom w:val="none" w:sz="0" w:space="0" w:color="auto"/>
        <w:right w:val="none" w:sz="0" w:space="0" w:color="auto"/>
      </w:divBdr>
      <w:divsChild>
        <w:div w:id="919757498">
          <w:marLeft w:val="255"/>
          <w:marRight w:val="0"/>
          <w:marTop w:val="0"/>
          <w:marBottom w:val="0"/>
          <w:divBdr>
            <w:top w:val="none" w:sz="0" w:space="0" w:color="auto"/>
            <w:left w:val="none" w:sz="0" w:space="0" w:color="auto"/>
            <w:bottom w:val="none" w:sz="0" w:space="0" w:color="auto"/>
            <w:right w:val="none" w:sz="0" w:space="0" w:color="auto"/>
          </w:divBdr>
        </w:div>
        <w:div w:id="709384020">
          <w:marLeft w:val="255"/>
          <w:marRight w:val="0"/>
          <w:marTop w:val="0"/>
          <w:marBottom w:val="0"/>
          <w:divBdr>
            <w:top w:val="none" w:sz="0" w:space="0" w:color="auto"/>
            <w:left w:val="none" w:sz="0" w:space="0" w:color="auto"/>
            <w:bottom w:val="none" w:sz="0" w:space="0" w:color="auto"/>
            <w:right w:val="none" w:sz="0" w:space="0" w:color="auto"/>
          </w:divBdr>
        </w:div>
        <w:div w:id="1480003936">
          <w:marLeft w:val="255"/>
          <w:marRight w:val="0"/>
          <w:marTop w:val="0"/>
          <w:marBottom w:val="0"/>
          <w:divBdr>
            <w:top w:val="none" w:sz="0" w:space="0" w:color="auto"/>
            <w:left w:val="none" w:sz="0" w:space="0" w:color="auto"/>
            <w:bottom w:val="none" w:sz="0" w:space="0" w:color="auto"/>
            <w:right w:val="none" w:sz="0" w:space="0" w:color="auto"/>
          </w:divBdr>
        </w:div>
        <w:div w:id="752315931">
          <w:marLeft w:val="255"/>
          <w:marRight w:val="0"/>
          <w:marTop w:val="0"/>
          <w:marBottom w:val="0"/>
          <w:divBdr>
            <w:top w:val="none" w:sz="0" w:space="0" w:color="auto"/>
            <w:left w:val="none" w:sz="0" w:space="0" w:color="auto"/>
            <w:bottom w:val="none" w:sz="0" w:space="0" w:color="auto"/>
            <w:right w:val="none" w:sz="0" w:space="0" w:color="auto"/>
          </w:divBdr>
        </w:div>
        <w:div w:id="794762783">
          <w:marLeft w:val="255"/>
          <w:marRight w:val="0"/>
          <w:marTop w:val="0"/>
          <w:marBottom w:val="0"/>
          <w:divBdr>
            <w:top w:val="none" w:sz="0" w:space="0" w:color="auto"/>
            <w:left w:val="none" w:sz="0" w:space="0" w:color="auto"/>
            <w:bottom w:val="none" w:sz="0" w:space="0" w:color="auto"/>
            <w:right w:val="none" w:sz="0" w:space="0" w:color="auto"/>
          </w:divBdr>
        </w:div>
        <w:div w:id="354304910">
          <w:marLeft w:val="255"/>
          <w:marRight w:val="0"/>
          <w:marTop w:val="0"/>
          <w:marBottom w:val="0"/>
          <w:divBdr>
            <w:top w:val="none" w:sz="0" w:space="0" w:color="auto"/>
            <w:left w:val="none" w:sz="0" w:space="0" w:color="auto"/>
            <w:bottom w:val="none" w:sz="0" w:space="0" w:color="auto"/>
            <w:right w:val="none" w:sz="0" w:space="0" w:color="auto"/>
          </w:divBdr>
        </w:div>
        <w:div w:id="923227868">
          <w:marLeft w:val="255"/>
          <w:marRight w:val="0"/>
          <w:marTop w:val="0"/>
          <w:marBottom w:val="0"/>
          <w:divBdr>
            <w:top w:val="none" w:sz="0" w:space="0" w:color="auto"/>
            <w:left w:val="none" w:sz="0" w:space="0" w:color="auto"/>
            <w:bottom w:val="none" w:sz="0" w:space="0" w:color="auto"/>
            <w:right w:val="none" w:sz="0" w:space="0" w:color="auto"/>
          </w:divBdr>
        </w:div>
      </w:divsChild>
    </w:div>
    <w:div w:id="1301233456">
      <w:bodyDiv w:val="1"/>
      <w:marLeft w:val="0"/>
      <w:marRight w:val="0"/>
      <w:marTop w:val="0"/>
      <w:marBottom w:val="0"/>
      <w:divBdr>
        <w:top w:val="none" w:sz="0" w:space="0" w:color="auto"/>
        <w:left w:val="none" w:sz="0" w:space="0" w:color="auto"/>
        <w:bottom w:val="none" w:sz="0" w:space="0" w:color="auto"/>
        <w:right w:val="none" w:sz="0" w:space="0" w:color="auto"/>
      </w:divBdr>
      <w:divsChild>
        <w:div w:id="392581541">
          <w:marLeft w:val="255"/>
          <w:marRight w:val="0"/>
          <w:marTop w:val="75"/>
          <w:marBottom w:val="0"/>
          <w:divBdr>
            <w:top w:val="none" w:sz="0" w:space="0" w:color="auto"/>
            <w:left w:val="none" w:sz="0" w:space="0" w:color="auto"/>
            <w:bottom w:val="none" w:sz="0" w:space="0" w:color="auto"/>
            <w:right w:val="none" w:sz="0" w:space="0" w:color="auto"/>
          </w:divBdr>
          <w:divsChild>
            <w:div w:id="1330985088">
              <w:marLeft w:val="0"/>
              <w:marRight w:val="225"/>
              <w:marTop w:val="0"/>
              <w:marBottom w:val="0"/>
              <w:divBdr>
                <w:top w:val="none" w:sz="0" w:space="0" w:color="auto"/>
                <w:left w:val="none" w:sz="0" w:space="0" w:color="auto"/>
                <w:bottom w:val="none" w:sz="0" w:space="0" w:color="auto"/>
                <w:right w:val="none" w:sz="0" w:space="0" w:color="auto"/>
              </w:divBdr>
            </w:div>
          </w:divsChild>
        </w:div>
        <w:div w:id="1580405316">
          <w:marLeft w:val="255"/>
          <w:marRight w:val="0"/>
          <w:marTop w:val="75"/>
          <w:marBottom w:val="0"/>
          <w:divBdr>
            <w:top w:val="none" w:sz="0" w:space="0" w:color="auto"/>
            <w:left w:val="none" w:sz="0" w:space="0" w:color="auto"/>
            <w:bottom w:val="none" w:sz="0" w:space="0" w:color="auto"/>
            <w:right w:val="none" w:sz="0" w:space="0" w:color="auto"/>
          </w:divBdr>
          <w:divsChild>
            <w:div w:id="875854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33068097">
      <w:bodyDiv w:val="1"/>
      <w:marLeft w:val="0"/>
      <w:marRight w:val="0"/>
      <w:marTop w:val="0"/>
      <w:marBottom w:val="0"/>
      <w:divBdr>
        <w:top w:val="none" w:sz="0" w:space="0" w:color="auto"/>
        <w:left w:val="none" w:sz="0" w:space="0" w:color="auto"/>
        <w:bottom w:val="none" w:sz="0" w:space="0" w:color="auto"/>
        <w:right w:val="none" w:sz="0" w:space="0" w:color="auto"/>
      </w:divBdr>
      <w:divsChild>
        <w:div w:id="1106846835">
          <w:marLeft w:val="0"/>
          <w:marRight w:val="0"/>
          <w:marTop w:val="225"/>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
            <w:div w:id="103577113">
              <w:marLeft w:val="0"/>
              <w:marRight w:val="0"/>
              <w:marTop w:val="0"/>
              <w:marBottom w:val="0"/>
              <w:divBdr>
                <w:top w:val="none" w:sz="0" w:space="0" w:color="auto"/>
                <w:left w:val="none" w:sz="0" w:space="0" w:color="auto"/>
                <w:bottom w:val="none" w:sz="0" w:space="0" w:color="auto"/>
                <w:right w:val="none" w:sz="0" w:space="0" w:color="auto"/>
              </w:divBdr>
            </w:div>
          </w:divsChild>
        </w:div>
        <w:div w:id="1356809510">
          <w:marLeft w:val="0"/>
          <w:marRight w:val="0"/>
          <w:marTop w:val="225"/>
          <w:marBottom w:val="0"/>
          <w:divBdr>
            <w:top w:val="none" w:sz="0" w:space="0" w:color="auto"/>
            <w:left w:val="none" w:sz="0" w:space="0" w:color="auto"/>
            <w:bottom w:val="none" w:sz="0" w:space="0" w:color="auto"/>
            <w:right w:val="none" w:sz="0" w:space="0" w:color="auto"/>
          </w:divBdr>
          <w:divsChild>
            <w:div w:id="1678850423">
              <w:marLeft w:val="0"/>
              <w:marRight w:val="0"/>
              <w:marTop w:val="0"/>
              <w:marBottom w:val="0"/>
              <w:divBdr>
                <w:top w:val="none" w:sz="0" w:space="0" w:color="auto"/>
                <w:left w:val="none" w:sz="0" w:space="0" w:color="auto"/>
                <w:bottom w:val="none" w:sz="0" w:space="0" w:color="auto"/>
                <w:right w:val="none" w:sz="0" w:space="0" w:color="auto"/>
              </w:divBdr>
            </w:div>
            <w:div w:id="5518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4012">
      <w:bodyDiv w:val="1"/>
      <w:marLeft w:val="0"/>
      <w:marRight w:val="0"/>
      <w:marTop w:val="0"/>
      <w:marBottom w:val="0"/>
      <w:divBdr>
        <w:top w:val="none" w:sz="0" w:space="0" w:color="auto"/>
        <w:left w:val="none" w:sz="0" w:space="0" w:color="auto"/>
        <w:bottom w:val="none" w:sz="0" w:space="0" w:color="auto"/>
        <w:right w:val="none" w:sz="0" w:space="0" w:color="auto"/>
      </w:divBdr>
    </w:div>
    <w:div w:id="1376268770">
      <w:bodyDiv w:val="1"/>
      <w:marLeft w:val="0"/>
      <w:marRight w:val="0"/>
      <w:marTop w:val="0"/>
      <w:marBottom w:val="0"/>
      <w:divBdr>
        <w:top w:val="none" w:sz="0" w:space="0" w:color="auto"/>
        <w:left w:val="none" w:sz="0" w:space="0" w:color="auto"/>
        <w:bottom w:val="none" w:sz="0" w:space="0" w:color="auto"/>
        <w:right w:val="none" w:sz="0" w:space="0" w:color="auto"/>
      </w:divBdr>
      <w:divsChild>
        <w:div w:id="959461002">
          <w:marLeft w:val="255"/>
          <w:marRight w:val="0"/>
          <w:marTop w:val="0"/>
          <w:marBottom w:val="0"/>
          <w:divBdr>
            <w:top w:val="none" w:sz="0" w:space="0" w:color="auto"/>
            <w:left w:val="none" w:sz="0" w:space="0" w:color="auto"/>
            <w:bottom w:val="none" w:sz="0" w:space="0" w:color="auto"/>
            <w:right w:val="none" w:sz="0" w:space="0" w:color="auto"/>
          </w:divBdr>
        </w:div>
        <w:div w:id="1674991960">
          <w:marLeft w:val="255"/>
          <w:marRight w:val="0"/>
          <w:marTop w:val="0"/>
          <w:marBottom w:val="0"/>
          <w:divBdr>
            <w:top w:val="none" w:sz="0" w:space="0" w:color="auto"/>
            <w:left w:val="none" w:sz="0" w:space="0" w:color="auto"/>
            <w:bottom w:val="none" w:sz="0" w:space="0" w:color="auto"/>
            <w:right w:val="none" w:sz="0" w:space="0" w:color="auto"/>
          </w:divBdr>
        </w:div>
        <w:div w:id="460995795">
          <w:marLeft w:val="255"/>
          <w:marRight w:val="0"/>
          <w:marTop w:val="0"/>
          <w:marBottom w:val="0"/>
          <w:divBdr>
            <w:top w:val="none" w:sz="0" w:space="0" w:color="auto"/>
            <w:left w:val="none" w:sz="0" w:space="0" w:color="auto"/>
            <w:bottom w:val="none" w:sz="0" w:space="0" w:color="auto"/>
            <w:right w:val="none" w:sz="0" w:space="0" w:color="auto"/>
          </w:divBdr>
        </w:div>
        <w:div w:id="2066249361">
          <w:marLeft w:val="255"/>
          <w:marRight w:val="0"/>
          <w:marTop w:val="0"/>
          <w:marBottom w:val="0"/>
          <w:divBdr>
            <w:top w:val="none" w:sz="0" w:space="0" w:color="auto"/>
            <w:left w:val="none" w:sz="0" w:space="0" w:color="auto"/>
            <w:bottom w:val="none" w:sz="0" w:space="0" w:color="auto"/>
            <w:right w:val="none" w:sz="0" w:space="0" w:color="auto"/>
          </w:divBdr>
        </w:div>
        <w:div w:id="1338389967">
          <w:marLeft w:val="255"/>
          <w:marRight w:val="0"/>
          <w:marTop w:val="0"/>
          <w:marBottom w:val="0"/>
          <w:divBdr>
            <w:top w:val="none" w:sz="0" w:space="0" w:color="auto"/>
            <w:left w:val="none" w:sz="0" w:space="0" w:color="auto"/>
            <w:bottom w:val="none" w:sz="0" w:space="0" w:color="auto"/>
            <w:right w:val="none" w:sz="0" w:space="0" w:color="auto"/>
          </w:divBdr>
        </w:div>
        <w:div w:id="1486749698">
          <w:marLeft w:val="255"/>
          <w:marRight w:val="0"/>
          <w:marTop w:val="0"/>
          <w:marBottom w:val="0"/>
          <w:divBdr>
            <w:top w:val="none" w:sz="0" w:space="0" w:color="auto"/>
            <w:left w:val="none" w:sz="0" w:space="0" w:color="auto"/>
            <w:bottom w:val="none" w:sz="0" w:space="0" w:color="auto"/>
            <w:right w:val="none" w:sz="0" w:space="0" w:color="auto"/>
          </w:divBdr>
        </w:div>
        <w:div w:id="1630354528">
          <w:marLeft w:val="255"/>
          <w:marRight w:val="0"/>
          <w:marTop w:val="0"/>
          <w:marBottom w:val="0"/>
          <w:divBdr>
            <w:top w:val="none" w:sz="0" w:space="0" w:color="auto"/>
            <w:left w:val="none" w:sz="0" w:space="0" w:color="auto"/>
            <w:bottom w:val="none" w:sz="0" w:space="0" w:color="auto"/>
            <w:right w:val="none" w:sz="0" w:space="0" w:color="auto"/>
          </w:divBdr>
        </w:div>
      </w:divsChild>
    </w:div>
    <w:div w:id="1382244295">
      <w:bodyDiv w:val="1"/>
      <w:marLeft w:val="0"/>
      <w:marRight w:val="0"/>
      <w:marTop w:val="0"/>
      <w:marBottom w:val="0"/>
      <w:divBdr>
        <w:top w:val="none" w:sz="0" w:space="0" w:color="auto"/>
        <w:left w:val="none" w:sz="0" w:space="0" w:color="auto"/>
        <w:bottom w:val="none" w:sz="0" w:space="0" w:color="auto"/>
        <w:right w:val="none" w:sz="0" w:space="0" w:color="auto"/>
      </w:divBdr>
    </w:div>
    <w:div w:id="1387144139">
      <w:bodyDiv w:val="1"/>
      <w:marLeft w:val="0"/>
      <w:marRight w:val="0"/>
      <w:marTop w:val="0"/>
      <w:marBottom w:val="0"/>
      <w:divBdr>
        <w:top w:val="none" w:sz="0" w:space="0" w:color="auto"/>
        <w:left w:val="none" w:sz="0" w:space="0" w:color="auto"/>
        <w:bottom w:val="none" w:sz="0" w:space="0" w:color="auto"/>
        <w:right w:val="none" w:sz="0" w:space="0" w:color="auto"/>
      </w:divBdr>
      <w:divsChild>
        <w:div w:id="440036220">
          <w:marLeft w:val="255"/>
          <w:marRight w:val="0"/>
          <w:marTop w:val="0"/>
          <w:marBottom w:val="0"/>
          <w:divBdr>
            <w:top w:val="none" w:sz="0" w:space="0" w:color="auto"/>
            <w:left w:val="none" w:sz="0" w:space="0" w:color="auto"/>
            <w:bottom w:val="none" w:sz="0" w:space="0" w:color="auto"/>
            <w:right w:val="none" w:sz="0" w:space="0" w:color="auto"/>
          </w:divBdr>
        </w:div>
        <w:div w:id="623389849">
          <w:marLeft w:val="255"/>
          <w:marRight w:val="0"/>
          <w:marTop w:val="0"/>
          <w:marBottom w:val="0"/>
          <w:divBdr>
            <w:top w:val="none" w:sz="0" w:space="0" w:color="auto"/>
            <w:left w:val="none" w:sz="0" w:space="0" w:color="auto"/>
            <w:bottom w:val="none" w:sz="0" w:space="0" w:color="auto"/>
            <w:right w:val="none" w:sz="0" w:space="0" w:color="auto"/>
          </w:divBdr>
        </w:div>
        <w:div w:id="246303665">
          <w:marLeft w:val="255"/>
          <w:marRight w:val="0"/>
          <w:marTop w:val="0"/>
          <w:marBottom w:val="0"/>
          <w:divBdr>
            <w:top w:val="none" w:sz="0" w:space="0" w:color="auto"/>
            <w:left w:val="none" w:sz="0" w:space="0" w:color="auto"/>
            <w:bottom w:val="none" w:sz="0" w:space="0" w:color="auto"/>
            <w:right w:val="none" w:sz="0" w:space="0" w:color="auto"/>
          </w:divBdr>
        </w:div>
      </w:divsChild>
    </w:div>
    <w:div w:id="1398091677">
      <w:bodyDiv w:val="1"/>
      <w:marLeft w:val="0"/>
      <w:marRight w:val="0"/>
      <w:marTop w:val="0"/>
      <w:marBottom w:val="0"/>
      <w:divBdr>
        <w:top w:val="none" w:sz="0" w:space="0" w:color="auto"/>
        <w:left w:val="none" w:sz="0" w:space="0" w:color="auto"/>
        <w:bottom w:val="none" w:sz="0" w:space="0" w:color="auto"/>
        <w:right w:val="none" w:sz="0" w:space="0" w:color="auto"/>
      </w:divBdr>
      <w:divsChild>
        <w:div w:id="2026905185">
          <w:marLeft w:val="255"/>
          <w:marRight w:val="0"/>
          <w:marTop w:val="0"/>
          <w:marBottom w:val="0"/>
          <w:divBdr>
            <w:top w:val="none" w:sz="0" w:space="0" w:color="auto"/>
            <w:left w:val="none" w:sz="0" w:space="0" w:color="auto"/>
            <w:bottom w:val="none" w:sz="0" w:space="0" w:color="auto"/>
            <w:right w:val="none" w:sz="0" w:space="0" w:color="auto"/>
          </w:divBdr>
        </w:div>
        <w:div w:id="2019497666">
          <w:marLeft w:val="255"/>
          <w:marRight w:val="0"/>
          <w:marTop w:val="0"/>
          <w:marBottom w:val="0"/>
          <w:divBdr>
            <w:top w:val="none" w:sz="0" w:space="0" w:color="auto"/>
            <w:left w:val="none" w:sz="0" w:space="0" w:color="auto"/>
            <w:bottom w:val="none" w:sz="0" w:space="0" w:color="auto"/>
            <w:right w:val="none" w:sz="0" w:space="0" w:color="auto"/>
          </w:divBdr>
        </w:div>
        <w:div w:id="241179177">
          <w:marLeft w:val="255"/>
          <w:marRight w:val="0"/>
          <w:marTop w:val="0"/>
          <w:marBottom w:val="0"/>
          <w:divBdr>
            <w:top w:val="none" w:sz="0" w:space="0" w:color="auto"/>
            <w:left w:val="none" w:sz="0" w:space="0" w:color="auto"/>
            <w:bottom w:val="none" w:sz="0" w:space="0" w:color="auto"/>
            <w:right w:val="none" w:sz="0" w:space="0" w:color="auto"/>
          </w:divBdr>
        </w:div>
        <w:div w:id="474640901">
          <w:marLeft w:val="255"/>
          <w:marRight w:val="0"/>
          <w:marTop w:val="0"/>
          <w:marBottom w:val="0"/>
          <w:divBdr>
            <w:top w:val="none" w:sz="0" w:space="0" w:color="auto"/>
            <w:left w:val="none" w:sz="0" w:space="0" w:color="auto"/>
            <w:bottom w:val="none" w:sz="0" w:space="0" w:color="auto"/>
            <w:right w:val="none" w:sz="0" w:space="0" w:color="auto"/>
          </w:divBdr>
        </w:div>
      </w:divsChild>
    </w:div>
    <w:div w:id="1441872627">
      <w:bodyDiv w:val="1"/>
      <w:marLeft w:val="0"/>
      <w:marRight w:val="0"/>
      <w:marTop w:val="0"/>
      <w:marBottom w:val="0"/>
      <w:divBdr>
        <w:top w:val="none" w:sz="0" w:space="0" w:color="auto"/>
        <w:left w:val="none" w:sz="0" w:space="0" w:color="auto"/>
        <w:bottom w:val="none" w:sz="0" w:space="0" w:color="auto"/>
        <w:right w:val="none" w:sz="0" w:space="0" w:color="auto"/>
      </w:divBdr>
      <w:divsChild>
        <w:div w:id="1718823176">
          <w:marLeft w:val="0"/>
          <w:marRight w:val="0"/>
          <w:marTop w:val="225"/>
          <w:marBottom w:val="0"/>
          <w:divBdr>
            <w:top w:val="none" w:sz="0" w:space="0" w:color="auto"/>
            <w:left w:val="none" w:sz="0" w:space="0" w:color="auto"/>
            <w:bottom w:val="none" w:sz="0" w:space="0" w:color="auto"/>
            <w:right w:val="none" w:sz="0" w:space="0" w:color="auto"/>
          </w:divBdr>
          <w:divsChild>
            <w:div w:id="393283558">
              <w:marLeft w:val="0"/>
              <w:marRight w:val="0"/>
              <w:marTop w:val="0"/>
              <w:marBottom w:val="0"/>
              <w:divBdr>
                <w:top w:val="none" w:sz="0" w:space="0" w:color="auto"/>
                <w:left w:val="none" w:sz="0" w:space="0" w:color="auto"/>
                <w:bottom w:val="none" w:sz="0" w:space="0" w:color="auto"/>
                <w:right w:val="none" w:sz="0" w:space="0" w:color="auto"/>
              </w:divBdr>
            </w:div>
            <w:div w:id="139688220">
              <w:marLeft w:val="0"/>
              <w:marRight w:val="0"/>
              <w:marTop w:val="0"/>
              <w:marBottom w:val="0"/>
              <w:divBdr>
                <w:top w:val="none" w:sz="0" w:space="0" w:color="auto"/>
                <w:left w:val="none" w:sz="0" w:space="0" w:color="auto"/>
                <w:bottom w:val="none" w:sz="0" w:space="0" w:color="auto"/>
                <w:right w:val="none" w:sz="0" w:space="0" w:color="auto"/>
              </w:divBdr>
            </w:div>
          </w:divsChild>
        </w:div>
        <w:div w:id="162085197">
          <w:marLeft w:val="0"/>
          <w:marRight w:val="0"/>
          <w:marTop w:val="225"/>
          <w:marBottom w:val="0"/>
          <w:divBdr>
            <w:top w:val="none" w:sz="0" w:space="0" w:color="auto"/>
            <w:left w:val="none" w:sz="0" w:space="0" w:color="auto"/>
            <w:bottom w:val="none" w:sz="0" w:space="0" w:color="auto"/>
            <w:right w:val="none" w:sz="0" w:space="0" w:color="auto"/>
          </w:divBdr>
          <w:divsChild>
            <w:div w:id="719329422">
              <w:marLeft w:val="0"/>
              <w:marRight w:val="0"/>
              <w:marTop w:val="0"/>
              <w:marBottom w:val="0"/>
              <w:divBdr>
                <w:top w:val="none" w:sz="0" w:space="0" w:color="auto"/>
                <w:left w:val="none" w:sz="0" w:space="0" w:color="auto"/>
                <w:bottom w:val="none" w:sz="0" w:space="0" w:color="auto"/>
                <w:right w:val="none" w:sz="0" w:space="0" w:color="auto"/>
              </w:divBdr>
            </w:div>
            <w:div w:id="77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3599">
      <w:bodyDiv w:val="1"/>
      <w:marLeft w:val="0"/>
      <w:marRight w:val="0"/>
      <w:marTop w:val="0"/>
      <w:marBottom w:val="0"/>
      <w:divBdr>
        <w:top w:val="none" w:sz="0" w:space="0" w:color="auto"/>
        <w:left w:val="none" w:sz="0" w:space="0" w:color="auto"/>
        <w:bottom w:val="none" w:sz="0" w:space="0" w:color="auto"/>
        <w:right w:val="none" w:sz="0" w:space="0" w:color="auto"/>
      </w:divBdr>
      <w:divsChild>
        <w:div w:id="319702613">
          <w:marLeft w:val="0"/>
          <w:marRight w:val="0"/>
          <w:marTop w:val="0"/>
          <w:marBottom w:val="0"/>
          <w:divBdr>
            <w:top w:val="none" w:sz="0" w:space="0" w:color="auto"/>
            <w:left w:val="none" w:sz="0" w:space="0" w:color="auto"/>
            <w:bottom w:val="none" w:sz="0" w:space="0" w:color="auto"/>
            <w:right w:val="none" w:sz="0" w:space="0" w:color="auto"/>
          </w:divBdr>
        </w:div>
      </w:divsChild>
    </w:div>
    <w:div w:id="1487629227">
      <w:bodyDiv w:val="1"/>
      <w:marLeft w:val="0"/>
      <w:marRight w:val="0"/>
      <w:marTop w:val="0"/>
      <w:marBottom w:val="0"/>
      <w:divBdr>
        <w:top w:val="none" w:sz="0" w:space="0" w:color="auto"/>
        <w:left w:val="none" w:sz="0" w:space="0" w:color="auto"/>
        <w:bottom w:val="none" w:sz="0" w:space="0" w:color="auto"/>
        <w:right w:val="none" w:sz="0" w:space="0" w:color="auto"/>
      </w:divBdr>
    </w:div>
    <w:div w:id="1503816422">
      <w:bodyDiv w:val="1"/>
      <w:marLeft w:val="0"/>
      <w:marRight w:val="0"/>
      <w:marTop w:val="0"/>
      <w:marBottom w:val="0"/>
      <w:divBdr>
        <w:top w:val="none" w:sz="0" w:space="0" w:color="auto"/>
        <w:left w:val="none" w:sz="0" w:space="0" w:color="auto"/>
        <w:bottom w:val="none" w:sz="0" w:space="0" w:color="auto"/>
        <w:right w:val="none" w:sz="0" w:space="0" w:color="auto"/>
      </w:divBdr>
      <w:divsChild>
        <w:div w:id="1111128891">
          <w:marLeft w:val="255"/>
          <w:marRight w:val="0"/>
          <w:marTop w:val="75"/>
          <w:marBottom w:val="0"/>
          <w:divBdr>
            <w:top w:val="none" w:sz="0" w:space="0" w:color="auto"/>
            <w:left w:val="none" w:sz="0" w:space="0" w:color="auto"/>
            <w:bottom w:val="none" w:sz="0" w:space="0" w:color="auto"/>
            <w:right w:val="none" w:sz="0" w:space="0" w:color="auto"/>
          </w:divBdr>
        </w:div>
        <w:div w:id="1157649076">
          <w:marLeft w:val="255"/>
          <w:marRight w:val="0"/>
          <w:marTop w:val="75"/>
          <w:marBottom w:val="0"/>
          <w:divBdr>
            <w:top w:val="none" w:sz="0" w:space="0" w:color="auto"/>
            <w:left w:val="none" w:sz="0" w:space="0" w:color="auto"/>
            <w:bottom w:val="none" w:sz="0" w:space="0" w:color="auto"/>
            <w:right w:val="none" w:sz="0" w:space="0" w:color="auto"/>
          </w:divBdr>
        </w:div>
      </w:divsChild>
    </w:div>
    <w:div w:id="1538273898">
      <w:bodyDiv w:val="1"/>
      <w:marLeft w:val="0"/>
      <w:marRight w:val="0"/>
      <w:marTop w:val="0"/>
      <w:marBottom w:val="0"/>
      <w:divBdr>
        <w:top w:val="none" w:sz="0" w:space="0" w:color="auto"/>
        <w:left w:val="none" w:sz="0" w:space="0" w:color="auto"/>
        <w:bottom w:val="none" w:sz="0" w:space="0" w:color="auto"/>
        <w:right w:val="none" w:sz="0" w:space="0" w:color="auto"/>
      </w:divBdr>
      <w:divsChild>
        <w:div w:id="1561556570">
          <w:marLeft w:val="255"/>
          <w:marRight w:val="0"/>
          <w:marTop w:val="0"/>
          <w:marBottom w:val="0"/>
          <w:divBdr>
            <w:top w:val="none" w:sz="0" w:space="0" w:color="auto"/>
            <w:left w:val="none" w:sz="0" w:space="0" w:color="auto"/>
            <w:bottom w:val="none" w:sz="0" w:space="0" w:color="auto"/>
            <w:right w:val="none" w:sz="0" w:space="0" w:color="auto"/>
          </w:divBdr>
        </w:div>
        <w:div w:id="206259582">
          <w:marLeft w:val="255"/>
          <w:marRight w:val="0"/>
          <w:marTop w:val="0"/>
          <w:marBottom w:val="0"/>
          <w:divBdr>
            <w:top w:val="none" w:sz="0" w:space="0" w:color="auto"/>
            <w:left w:val="none" w:sz="0" w:space="0" w:color="auto"/>
            <w:bottom w:val="none" w:sz="0" w:space="0" w:color="auto"/>
            <w:right w:val="none" w:sz="0" w:space="0" w:color="auto"/>
          </w:divBdr>
        </w:div>
        <w:div w:id="324941363">
          <w:marLeft w:val="255"/>
          <w:marRight w:val="0"/>
          <w:marTop w:val="0"/>
          <w:marBottom w:val="0"/>
          <w:divBdr>
            <w:top w:val="none" w:sz="0" w:space="0" w:color="auto"/>
            <w:left w:val="none" w:sz="0" w:space="0" w:color="auto"/>
            <w:bottom w:val="none" w:sz="0" w:space="0" w:color="auto"/>
            <w:right w:val="none" w:sz="0" w:space="0" w:color="auto"/>
          </w:divBdr>
        </w:div>
      </w:divsChild>
    </w:div>
    <w:div w:id="1545824239">
      <w:bodyDiv w:val="1"/>
      <w:marLeft w:val="0"/>
      <w:marRight w:val="0"/>
      <w:marTop w:val="0"/>
      <w:marBottom w:val="0"/>
      <w:divBdr>
        <w:top w:val="none" w:sz="0" w:space="0" w:color="auto"/>
        <w:left w:val="none" w:sz="0" w:space="0" w:color="auto"/>
        <w:bottom w:val="none" w:sz="0" w:space="0" w:color="auto"/>
        <w:right w:val="none" w:sz="0" w:space="0" w:color="auto"/>
      </w:divBdr>
    </w:div>
    <w:div w:id="1562980794">
      <w:bodyDiv w:val="1"/>
      <w:marLeft w:val="0"/>
      <w:marRight w:val="0"/>
      <w:marTop w:val="0"/>
      <w:marBottom w:val="0"/>
      <w:divBdr>
        <w:top w:val="none" w:sz="0" w:space="0" w:color="auto"/>
        <w:left w:val="none" w:sz="0" w:space="0" w:color="auto"/>
        <w:bottom w:val="none" w:sz="0" w:space="0" w:color="auto"/>
        <w:right w:val="none" w:sz="0" w:space="0" w:color="auto"/>
      </w:divBdr>
    </w:div>
    <w:div w:id="1607149434">
      <w:bodyDiv w:val="1"/>
      <w:marLeft w:val="0"/>
      <w:marRight w:val="0"/>
      <w:marTop w:val="0"/>
      <w:marBottom w:val="0"/>
      <w:divBdr>
        <w:top w:val="none" w:sz="0" w:space="0" w:color="auto"/>
        <w:left w:val="none" w:sz="0" w:space="0" w:color="auto"/>
        <w:bottom w:val="none" w:sz="0" w:space="0" w:color="auto"/>
        <w:right w:val="none" w:sz="0" w:space="0" w:color="auto"/>
      </w:divBdr>
      <w:divsChild>
        <w:div w:id="1399208726">
          <w:marLeft w:val="255"/>
          <w:marRight w:val="0"/>
          <w:marTop w:val="0"/>
          <w:marBottom w:val="0"/>
          <w:divBdr>
            <w:top w:val="none" w:sz="0" w:space="0" w:color="auto"/>
            <w:left w:val="none" w:sz="0" w:space="0" w:color="auto"/>
            <w:bottom w:val="none" w:sz="0" w:space="0" w:color="auto"/>
            <w:right w:val="none" w:sz="0" w:space="0" w:color="auto"/>
          </w:divBdr>
          <w:divsChild>
            <w:div w:id="1570192648">
              <w:marLeft w:val="255"/>
              <w:marRight w:val="0"/>
              <w:marTop w:val="75"/>
              <w:marBottom w:val="0"/>
              <w:divBdr>
                <w:top w:val="none" w:sz="0" w:space="0" w:color="auto"/>
                <w:left w:val="none" w:sz="0" w:space="0" w:color="auto"/>
                <w:bottom w:val="none" w:sz="0" w:space="0" w:color="auto"/>
                <w:right w:val="none" w:sz="0" w:space="0" w:color="auto"/>
              </w:divBdr>
              <w:divsChild>
                <w:div w:id="1896962430">
                  <w:marLeft w:val="0"/>
                  <w:marRight w:val="225"/>
                  <w:marTop w:val="0"/>
                  <w:marBottom w:val="0"/>
                  <w:divBdr>
                    <w:top w:val="none" w:sz="0" w:space="0" w:color="auto"/>
                    <w:left w:val="none" w:sz="0" w:space="0" w:color="auto"/>
                    <w:bottom w:val="none" w:sz="0" w:space="0" w:color="auto"/>
                    <w:right w:val="none" w:sz="0" w:space="0" w:color="auto"/>
                  </w:divBdr>
                </w:div>
              </w:divsChild>
            </w:div>
            <w:div w:id="1852796801">
              <w:marLeft w:val="255"/>
              <w:marRight w:val="0"/>
              <w:marTop w:val="75"/>
              <w:marBottom w:val="0"/>
              <w:divBdr>
                <w:top w:val="none" w:sz="0" w:space="0" w:color="auto"/>
                <w:left w:val="none" w:sz="0" w:space="0" w:color="auto"/>
                <w:bottom w:val="none" w:sz="0" w:space="0" w:color="auto"/>
                <w:right w:val="none" w:sz="0" w:space="0" w:color="auto"/>
              </w:divBdr>
              <w:divsChild>
                <w:div w:id="19248032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80964589">
      <w:bodyDiv w:val="1"/>
      <w:marLeft w:val="0"/>
      <w:marRight w:val="0"/>
      <w:marTop w:val="0"/>
      <w:marBottom w:val="0"/>
      <w:divBdr>
        <w:top w:val="none" w:sz="0" w:space="0" w:color="auto"/>
        <w:left w:val="none" w:sz="0" w:space="0" w:color="auto"/>
        <w:bottom w:val="none" w:sz="0" w:space="0" w:color="auto"/>
        <w:right w:val="none" w:sz="0" w:space="0" w:color="auto"/>
      </w:divBdr>
    </w:div>
    <w:div w:id="1694381363">
      <w:bodyDiv w:val="1"/>
      <w:marLeft w:val="0"/>
      <w:marRight w:val="0"/>
      <w:marTop w:val="0"/>
      <w:marBottom w:val="0"/>
      <w:divBdr>
        <w:top w:val="none" w:sz="0" w:space="0" w:color="auto"/>
        <w:left w:val="none" w:sz="0" w:space="0" w:color="auto"/>
        <w:bottom w:val="none" w:sz="0" w:space="0" w:color="auto"/>
        <w:right w:val="none" w:sz="0" w:space="0" w:color="auto"/>
      </w:divBdr>
    </w:div>
    <w:div w:id="1731151202">
      <w:bodyDiv w:val="1"/>
      <w:marLeft w:val="0"/>
      <w:marRight w:val="0"/>
      <w:marTop w:val="0"/>
      <w:marBottom w:val="0"/>
      <w:divBdr>
        <w:top w:val="none" w:sz="0" w:space="0" w:color="auto"/>
        <w:left w:val="none" w:sz="0" w:space="0" w:color="auto"/>
        <w:bottom w:val="none" w:sz="0" w:space="0" w:color="auto"/>
        <w:right w:val="none" w:sz="0" w:space="0" w:color="auto"/>
      </w:divBdr>
      <w:divsChild>
        <w:div w:id="1758287230">
          <w:marLeft w:val="0"/>
          <w:marRight w:val="75"/>
          <w:marTop w:val="0"/>
          <w:marBottom w:val="0"/>
          <w:divBdr>
            <w:top w:val="none" w:sz="0" w:space="0" w:color="auto"/>
            <w:left w:val="none" w:sz="0" w:space="0" w:color="auto"/>
            <w:bottom w:val="none" w:sz="0" w:space="0" w:color="auto"/>
            <w:right w:val="none" w:sz="0" w:space="0" w:color="auto"/>
          </w:divBdr>
        </w:div>
        <w:div w:id="1757821226">
          <w:marLeft w:val="0"/>
          <w:marRight w:val="0"/>
          <w:marTop w:val="0"/>
          <w:marBottom w:val="300"/>
          <w:divBdr>
            <w:top w:val="none" w:sz="0" w:space="0" w:color="auto"/>
            <w:left w:val="none" w:sz="0" w:space="0" w:color="auto"/>
            <w:bottom w:val="none" w:sz="0" w:space="0" w:color="auto"/>
            <w:right w:val="none" w:sz="0" w:space="0" w:color="auto"/>
          </w:divBdr>
        </w:div>
        <w:div w:id="893807599">
          <w:marLeft w:val="255"/>
          <w:marRight w:val="0"/>
          <w:marTop w:val="75"/>
          <w:marBottom w:val="0"/>
          <w:divBdr>
            <w:top w:val="none" w:sz="0" w:space="0" w:color="auto"/>
            <w:left w:val="none" w:sz="0" w:space="0" w:color="auto"/>
            <w:bottom w:val="none" w:sz="0" w:space="0" w:color="auto"/>
            <w:right w:val="none" w:sz="0" w:space="0" w:color="auto"/>
          </w:divBdr>
          <w:divsChild>
            <w:div w:id="538667102">
              <w:marLeft w:val="255"/>
              <w:marRight w:val="0"/>
              <w:marTop w:val="0"/>
              <w:marBottom w:val="0"/>
              <w:divBdr>
                <w:top w:val="none" w:sz="0" w:space="0" w:color="auto"/>
                <w:left w:val="none" w:sz="0" w:space="0" w:color="auto"/>
                <w:bottom w:val="none" w:sz="0" w:space="0" w:color="auto"/>
                <w:right w:val="none" w:sz="0" w:space="0" w:color="auto"/>
              </w:divBdr>
            </w:div>
            <w:div w:id="341518979">
              <w:marLeft w:val="255"/>
              <w:marRight w:val="0"/>
              <w:marTop w:val="0"/>
              <w:marBottom w:val="0"/>
              <w:divBdr>
                <w:top w:val="none" w:sz="0" w:space="0" w:color="auto"/>
                <w:left w:val="none" w:sz="0" w:space="0" w:color="auto"/>
                <w:bottom w:val="none" w:sz="0" w:space="0" w:color="auto"/>
                <w:right w:val="none" w:sz="0" w:space="0" w:color="auto"/>
              </w:divBdr>
            </w:div>
            <w:div w:id="1835489764">
              <w:marLeft w:val="255"/>
              <w:marRight w:val="0"/>
              <w:marTop w:val="0"/>
              <w:marBottom w:val="0"/>
              <w:divBdr>
                <w:top w:val="none" w:sz="0" w:space="0" w:color="auto"/>
                <w:left w:val="none" w:sz="0" w:space="0" w:color="auto"/>
                <w:bottom w:val="none" w:sz="0" w:space="0" w:color="auto"/>
                <w:right w:val="none" w:sz="0" w:space="0" w:color="auto"/>
              </w:divBdr>
            </w:div>
            <w:div w:id="8413561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51459224">
      <w:bodyDiv w:val="1"/>
      <w:marLeft w:val="0"/>
      <w:marRight w:val="0"/>
      <w:marTop w:val="0"/>
      <w:marBottom w:val="0"/>
      <w:divBdr>
        <w:top w:val="none" w:sz="0" w:space="0" w:color="auto"/>
        <w:left w:val="none" w:sz="0" w:space="0" w:color="auto"/>
        <w:bottom w:val="none" w:sz="0" w:space="0" w:color="auto"/>
        <w:right w:val="none" w:sz="0" w:space="0" w:color="auto"/>
      </w:divBdr>
      <w:divsChild>
        <w:div w:id="1033582288">
          <w:marLeft w:val="255"/>
          <w:marRight w:val="0"/>
          <w:marTop w:val="75"/>
          <w:marBottom w:val="0"/>
          <w:divBdr>
            <w:top w:val="none" w:sz="0" w:space="0" w:color="auto"/>
            <w:left w:val="none" w:sz="0" w:space="0" w:color="auto"/>
            <w:bottom w:val="none" w:sz="0" w:space="0" w:color="auto"/>
            <w:right w:val="none" w:sz="0" w:space="0" w:color="auto"/>
          </w:divBdr>
          <w:divsChild>
            <w:div w:id="2022511266">
              <w:marLeft w:val="255"/>
              <w:marRight w:val="0"/>
              <w:marTop w:val="0"/>
              <w:marBottom w:val="0"/>
              <w:divBdr>
                <w:top w:val="none" w:sz="0" w:space="0" w:color="auto"/>
                <w:left w:val="none" w:sz="0" w:space="0" w:color="auto"/>
                <w:bottom w:val="none" w:sz="0" w:space="0" w:color="auto"/>
                <w:right w:val="none" w:sz="0" w:space="0" w:color="auto"/>
              </w:divBdr>
            </w:div>
            <w:div w:id="1745565927">
              <w:marLeft w:val="255"/>
              <w:marRight w:val="0"/>
              <w:marTop w:val="0"/>
              <w:marBottom w:val="0"/>
              <w:divBdr>
                <w:top w:val="none" w:sz="0" w:space="0" w:color="auto"/>
                <w:left w:val="none" w:sz="0" w:space="0" w:color="auto"/>
                <w:bottom w:val="none" w:sz="0" w:space="0" w:color="auto"/>
                <w:right w:val="none" w:sz="0" w:space="0" w:color="auto"/>
              </w:divBdr>
            </w:div>
            <w:div w:id="2105956790">
              <w:marLeft w:val="255"/>
              <w:marRight w:val="0"/>
              <w:marTop w:val="0"/>
              <w:marBottom w:val="0"/>
              <w:divBdr>
                <w:top w:val="none" w:sz="0" w:space="0" w:color="auto"/>
                <w:left w:val="none" w:sz="0" w:space="0" w:color="auto"/>
                <w:bottom w:val="none" w:sz="0" w:space="0" w:color="auto"/>
                <w:right w:val="none" w:sz="0" w:space="0" w:color="auto"/>
              </w:divBdr>
            </w:div>
          </w:divsChild>
        </w:div>
        <w:div w:id="1545024605">
          <w:marLeft w:val="255"/>
          <w:marRight w:val="0"/>
          <w:marTop w:val="75"/>
          <w:marBottom w:val="0"/>
          <w:divBdr>
            <w:top w:val="none" w:sz="0" w:space="0" w:color="auto"/>
            <w:left w:val="none" w:sz="0" w:space="0" w:color="auto"/>
            <w:bottom w:val="none" w:sz="0" w:space="0" w:color="auto"/>
            <w:right w:val="none" w:sz="0" w:space="0" w:color="auto"/>
          </w:divBdr>
        </w:div>
      </w:divsChild>
    </w:div>
    <w:div w:id="1817182475">
      <w:bodyDiv w:val="1"/>
      <w:marLeft w:val="0"/>
      <w:marRight w:val="0"/>
      <w:marTop w:val="0"/>
      <w:marBottom w:val="0"/>
      <w:divBdr>
        <w:top w:val="none" w:sz="0" w:space="0" w:color="auto"/>
        <w:left w:val="none" w:sz="0" w:space="0" w:color="auto"/>
        <w:bottom w:val="none" w:sz="0" w:space="0" w:color="auto"/>
        <w:right w:val="none" w:sz="0" w:space="0" w:color="auto"/>
      </w:divBdr>
      <w:divsChild>
        <w:div w:id="386997557">
          <w:marLeft w:val="4005"/>
          <w:marRight w:val="810"/>
          <w:marTop w:val="0"/>
          <w:marBottom w:val="0"/>
          <w:divBdr>
            <w:top w:val="none" w:sz="0" w:space="0" w:color="auto"/>
            <w:left w:val="none" w:sz="0" w:space="0" w:color="auto"/>
            <w:bottom w:val="none" w:sz="0" w:space="0" w:color="auto"/>
            <w:right w:val="none" w:sz="0" w:space="0" w:color="auto"/>
          </w:divBdr>
        </w:div>
        <w:div w:id="343286789">
          <w:marLeft w:val="4005"/>
          <w:marRight w:val="810"/>
          <w:marTop w:val="0"/>
          <w:marBottom w:val="0"/>
          <w:divBdr>
            <w:top w:val="none" w:sz="0" w:space="0" w:color="auto"/>
            <w:left w:val="none" w:sz="0" w:space="0" w:color="auto"/>
            <w:bottom w:val="none" w:sz="0" w:space="0" w:color="auto"/>
            <w:right w:val="none" w:sz="0" w:space="0" w:color="auto"/>
          </w:divBdr>
        </w:div>
      </w:divsChild>
    </w:div>
    <w:div w:id="1828475525">
      <w:bodyDiv w:val="1"/>
      <w:marLeft w:val="0"/>
      <w:marRight w:val="0"/>
      <w:marTop w:val="0"/>
      <w:marBottom w:val="0"/>
      <w:divBdr>
        <w:top w:val="none" w:sz="0" w:space="0" w:color="auto"/>
        <w:left w:val="none" w:sz="0" w:space="0" w:color="auto"/>
        <w:bottom w:val="none" w:sz="0" w:space="0" w:color="auto"/>
        <w:right w:val="none" w:sz="0" w:space="0" w:color="auto"/>
      </w:divBdr>
    </w:div>
    <w:div w:id="1881433039">
      <w:bodyDiv w:val="1"/>
      <w:marLeft w:val="0"/>
      <w:marRight w:val="0"/>
      <w:marTop w:val="0"/>
      <w:marBottom w:val="0"/>
      <w:divBdr>
        <w:top w:val="none" w:sz="0" w:space="0" w:color="auto"/>
        <w:left w:val="none" w:sz="0" w:space="0" w:color="auto"/>
        <w:bottom w:val="none" w:sz="0" w:space="0" w:color="auto"/>
        <w:right w:val="none" w:sz="0" w:space="0" w:color="auto"/>
      </w:divBdr>
    </w:div>
    <w:div w:id="1918325806">
      <w:bodyDiv w:val="1"/>
      <w:marLeft w:val="0"/>
      <w:marRight w:val="0"/>
      <w:marTop w:val="0"/>
      <w:marBottom w:val="0"/>
      <w:divBdr>
        <w:top w:val="none" w:sz="0" w:space="0" w:color="auto"/>
        <w:left w:val="none" w:sz="0" w:space="0" w:color="auto"/>
        <w:bottom w:val="none" w:sz="0" w:space="0" w:color="auto"/>
        <w:right w:val="none" w:sz="0" w:space="0" w:color="auto"/>
      </w:divBdr>
    </w:div>
    <w:div w:id="1921016216">
      <w:bodyDiv w:val="1"/>
      <w:marLeft w:val="0"/>
      <w:marRight w:val="0"/>
      <w:marTop w:val="0"/>
      <w:marBottom w:val="0"/>
      <w:divBdr>
        <w:top w:val="none" w:sz="0" w:space="0" w:color="auto"/>
        <w:left w:val="none" w:sz="0" w:space="0" w:color="auto"/>
        <w:bottom w:val="none" w:sz="0" w:space="0" w:color="auto"/>
        <w:right w:val="none" w:sz="0" w:space="0" w:color="auto"/>
      </w:divBdr>
    </w:div>
    <w:div w:id="1936202510">
      <w:bodyDiv w:val="1"/>
      <w:marLeft w:val="0"/>
      <w:marRight w:val="0"/>
      <w:marTop w:val="0"/>
      <w:marBottom w:val="0"/>
      <w:divBdr>
        <w:top w:val="none" w:sz="0" w:space="0" w:color="auto"/>
        <w:left w:val="none" w:sz="0" w:space="0" w:color="auto"/>
        <w:bottom w:val="none" w:sz="0" w:space="0" w:color="auto"/>
        <w:right w:val="none" w:sz="0" w:space="0" w:color="auto"/>
      </w:divBdr>
    </w:div>
    <w:div w:id="1944411913">
      <w:bodyDiv w:val="1"/>
      <w:marLeft w:val="0"/>
      <w:marRight w:val="0"/>
      <w:marTop w:val="0"/>
      <w:marBottom w:val="0"/>
      <w:divBdr>
        <w:top w:val="none" w:sz="0" w:space="0" w:color="auto"/>
        <w:left w:val="none" w:sz="0" w:space="0" w:color="auto"/>
        <w:bottom w:val="none" w:sz="0" w:space="0" w:color="auto"/>
        <w:right w:val="none" w:sz="0" w:space="0" w:color="auto"/>
      </w:divBdr>
    </w:div>
    <w:div w:id="1963615431">
      <w:bodyDiv w:val="1"/>
      <w:marLeft w:val="0"/>
      <w:marRight w:val="0"/>
      <w:marTop w:val="0"/>
      <w:marBottom w:val="0"/>
      <w:divBdr>
        <w:top w:val="none" w:sz="0" w:space="0" w:color="auto"/>
        <w:left w:val="none" w:sz="0" w:space="0" w:color="auto"/>
        <w:bottom w:val="none" w:sz="0" w:space="0" w:color="auto"/>
        <w:right w:val="none" w:sz="0" w:space="0" w:color="auto"/>
      </w:divBdr>
      <w:divsChild>
        <w:div w:id="897202835">
          <w:marLeft w:val="4005"/>
          <w:marRight w:val="810"/>
          <w:marTop w:val="0"/>
          <w:marBottom w:val="0"/>
          <w:divBdr>
            <w:top w:val="none" w:sz="0" w:space="0" w:color="auto"/>
            <w:left w:val="none" w:sz="0" w:space="0" w:color="auto"/>
            <w:bottom w:val="none" w:sz="0" w:space="0" w:color="auto"/>
            <w:right w:val="none" w:sz="0" w:space="0" w:color="auto"/>
          </w:divBdr>
        </w:div>
        <w:div w:id="813719365">
          <w:marLeft w:val="4005"/>
          <w:marRight w:val="810"/>
          <w:marTop w:val="0"/>
          <w:marBottom w:val="0"/>
          <w:divBdr>
            <w:top w:val="none" w:sz="0" w:space="0" w:color="auto"/>
            <w:left w:val="none" w:sz="0" w:space="0" w:color="auto"/>
            <w:bottom w:val="none" w:sz="0" w:space="0" w:color="auto"/>
            <w:right w:val="none" w:sz="0" w:space="0" w:color="auto"/>
          </w:divBdr>
        </w:div>
      </w:divsChild>
    </w:div>
    <w:div w:id="1982884610">
      <w:bodyDiv w:val="1"/>
      <w:marLeft w:val="0"/>
      <w:marRight w:val="0"/>
      <w:marTop w:val="0"/>
      <w:marBottom w:val="0"/>
      <w:divBdr>
        <w:top w:val="none" w:sz="0" w:space="0" w:color="auto"/>
        <w:left w:val="none" w:sz="0" w:space="0" w:color="auto"/>
        <w:bottom w:val="none" w:sz="0" w:space="0" w:color="auto"/>
        <w:right w:val="none" w:sz="0" w:space="0" w:color="auto"/>
      </w:divBdr>
    </w:div>
    <w:div w:id="1987515936">
      <w:bodyDiv w:val="1"/>
      <w:marLeft w:val="0"/>
      <w:marRight w:val="0"/>
      <w:marTop w:val="0"/>
      <w:marBottom w:val="0"/>
      <w:divBdr>
        <w:top w:val="none" w:sz="0" w:space="0" w:color="auto"/>
        <w:left w:val="none" w:sz="0" w:space="0" w:color="auto"/>
        <w:bottom w:val="none" w:sz="0" w:space="0" w:color="auto"/>
        <w:right w:val="none" w:sz="0" w:space="0" w:color="auto"/>
      </w:divBdr>
    </w:div>
    <w:div w:id="2010448721">
      <w:bodyDiv w:val="1"/>
      <w:marLeft w:val="0"/>
      <w:marRight w:val="0"/>
      <w:marTop w:val="0"/>
      <w:marBottom w:val="0"/>
      <w:divBdr>
        <w:top w:val="none" w:sz="0" w:space="0" w:color="auto"/>
        <w:left w:val="none" w:sz="0" w:space="0" w:color="auto"/>
        <w:bottom w:val="none" w:sz="0" w:space="0" w:color="auto"/>
        <w:right w:val="none" w:sz="0" w:space="0" w:color="auto"/>
      </w:divBdr>
    </w:div>
    <w:div w:id="2032762596">
      <w:bodyDiv w:val="1"/>
      <w:marLeft w:val="0"/>
      <w:marRight w:val="0"/>
      <w:marTop w:val="0"/>
      <w:marBottom w:val="0"/>
      <w:divBdr>
        <w:top w:val="none" w:sz="0" w:space="0" w:color="auto"/>
        <w:left w:val="none" w:sz="0" w:space="0" w:color="auto"/>
        <w:bottom w:val="none" w:sz="0" w:space="0" w:color="auto"/>
        <w:right w:val="none" w:sz="0" w:space="0" w:color="auto"/>
      </w:divBdr>
    </w:div>
    <w:div w:id="2060278952">
      <w:bodyDiv w:val="1"/>
      <w:marLeft w:val="0"/>
      <w:marRight w:val="0"/>
      <w:marTop w:val="0"/>
      <w:marBottom w:val="0"/>
      <w:divBdr>
        <w:top w:val="none" w:sz="0" w:space="0" w:color="auto"/>
        <w:left w:val="none" w:sz="0" w:space="0" w:color="auto"/>
        <w:bottom w:val="none" w:sz="0" w:space="0" w:color="auto"/>
        <w:right w:val="none" w:sz="0" w:space="0" w:color="auto"/>
      </w:divBdr>
    </w:div>
    <w:div w:id="2067802522">
      <w:bodyDiv w:val="1"/>
      <w:marLeft w:val="0"/>
      <w:marRight w:val="0"/>
      <w:marTop w:val="0"/>
      <w:marBottom w:val="0"/>
      <w:divBdr>
        <w:top w:val="none" w:sz="0" w:space="0" w:color="auto"/>
        <w:left w:val="none" w:sz="0" w:space="0" w:color="auto"/>
        <w:bottom w:val="none" w:sz="0" w:space="0" w:color="auto"/>
        <w:right w:val="none" w:sz="0" w:space="0" w:color="auto"/>
      </w:divBdr>
      <w:divsChild>
        <w:div w:id="1609652384">
          <w:marLeft w:val="255"/>
          <w:marRight w:val="0"/>
          <w:marTop w:val="0"/>
          <w:marBottom w:val="0"/>
          <w:divBdr>
            <w:top w:val="none" w:sz="0" w:space="0" w:color="auto"/>
            <w:left w:val="none" w:sz="0" w:space="0" w:color="auto"/>
            <w:bottom w:val="none" w:sz="0" w:space="0" w:color="auto"/>
            <w:right w:val="none" w:sz="0" w:space="0" w:color="auto"/>
          </w:divBdr>
        </w:div>
        <w:div w:id="121003698">
          <w:marLeft w:val="255"/>
          <w:marRight w:val="0"/>
          <w:marTop w:val="0"/>
          <w:marBottom w:val="0"/>
          <w:divBdr>
            <w:top w:val="none" w:sz="0" w:space="0" w:color="auto"/>
            <w:left w:val="none" w:sz="0" w:space="0" w:color="auto"/>
            <w:bottom w:val="none" w:sz="0" w:space="0" w:color="auto"/>
            <w:right w:val="none" w:sz="0" w:space="0" w:color="auto"/>
          </w:divBdr>
        </w:div>
        <w:div w:id="1822500696">
          <w:marLeft w:val="255"/>
          <w:marRight w:val="0"/>
          <w:marTop w:val="0"/>
          <w:marBottom w:val="0"/>
          <w:divBdr>
            <w:top w:val="none" w:sz="0" w:space="0" w:color="auto"/>
            <w:left w:val="none" w:sz="0" w:space="0" w:color="auto"/>
            <w:bottom w:val="none" w:sz="0" w:space="0" w:color="auto"/>
            <w:right w:val="none" w:sz="0" w:space="0" w:color="auto"/>
          </w:divBdr>
        </w:div>
        <w:div w:id="18429822">
          <w:marLeft w:val="255"/>
          <w:marRight w:val="0"/>
          <w:marTop w:val="0"/>
          <w:marBottom w:val="0"/>
          <w:divBdr>
            <w:top w:val="none" w:sz="0" w:space="0" w:color="auto"/>
            <w:left w:val="none" w:sz="0" w:space="0" w:color="auto"/>
            <w:bottom w:val="none" w:sz="0" w:space="0" w:color="auto"/>
            <w:right w:val="none" w:sz="0" w:space="0" w:color="auto"/>
          </w:divBdr>
        </w:div>
        <w:div w:id="2122187257">
          <w:marLeft w:val="255"/>
          <w:marRight w:val="0"/>
          <w:marTop w:val="0"/>
          <w:marBottom w:val="0"/>
          <w:divBdr>
            <w:top w:val="none" w:sz="0" w:space="0" w:color="auto"/>
            <w:left w:val="none" w:sz="0" w:space="0" w:color="auto"/>
            <w:bottom w:val="none" w:sz="0" w:space="0" w:color="auto"/>
            <w:right w:val="none" w:sz="0" w:space="0" w:color="auto"/>
          </w:divBdr>
        </w:div>
        <w:div w:id="1082918669">
          <w:marLeft w:val="255"/>
          <w:marRight w:val="0"/>
          <w:marTop w:val="0"/>
          <w:marBottom w:val="0"/>
          <w:divBdr>
            <w:top w:val="none" w:sz="0" w:space="0" w:color="auto"/>
            <w:left w:val="none" w:sz="0" w:space="0" w:color="auto"/>
            <w:bottom w:val="none" w:sz="0" w:space="0" w:color="auto"/>
            <w:right w:val="none" w:sz="0" w:space="0" w:color="auto"/>
          </w:divBdr>
        </w:div>
      </w:divsChild>
    </w:div>
    <w:div w:id="2074501680">
      <w:bodyDiv w:val="1"/>
      <w:marLeft w:val="0"/>
      <w:marRight w:val="0"/>
      <w:marTop w:val="0"/>
      <w:marBottom w:val="0"/>
      <w:divBdr>
        <w:top w:val="none" w:sz="0" w:space="0" w:color="auto"/>
        <w:left w:val="none" w:sz="0" w:space="0" w:color="auto"/>
        <w:bottom w:val="none" w:sz="0" w:space="0" w:color="auto"/>
        <w:right w:val="none" w:sz="0" w:space="0" w:color="auto"/>
      </w:divBdr>
    </w:div>
    <w:div w:id="2100709559">
      <w:bodyDiv w:val="1"/>
      <w:marLeft w:val="0"/>
      <w:marRight w:val="0"/>
      <w:marTop w:val="0"/>
      <w:marBottom w:val="0"/>
      <w:divBdr>
        <w:top w:val="none" w:sz="0" w:space="0" w:color="auto"/>
        <w:left w:val="none" w:sz="0" w:space="0" w:color="auto"/>
        <w:bottom w:val="none" w:sz="0" w:space="0" w:color="auto"/>
        <w:right w:val="none" w:sz="0" w:space="0" w:color="auto"/>
      </w:divBdr>
    </w:div>
    <w:div w:id="2108842299">
      <w:bodyDiv w:val="1"/>
      <w:marLeft w:val="0"/>
      <w:marRight w:val="0"/>
      <w:marTop w:val="0"/>
      <w:marBottom w:val="0"/>
      <w:divBdr>
        <w:top w:val="none" w:sz="0" w:space="0" w:color="auto"/>
        <w:left w:val="none" w:sz="0" w:space="0" w:color="auto"/>
        <w:bottom w:val="none" w:sz="0" w:space="0" w:color="auto"/>
        <w:right w:val="none" w:sz="0" w:space="0" w:color="auto"/>
      </w:divBdr>
      <w:divsChild>
        <w:div w:id="811672460">
          <w:marLeft w:val="0"/>
          <w:marRight w:val="0"/>
          <w:marTop w:val="0"/>
          <w:marBottom w:val="0"/>
          <w:divBdr>
            <w:top w:val="none" w:sz="0" w:space="0" w:color="auto"/>
            <w:left w:val="none" w:sz="0" w:space="0" w:color="auto"/>
            <w:bottom w:val="none" w:sz="0" w:space="0" w:color="auto"/>
            <w:right w:val="none" w:sz="0" w:space="0" w:color="auto"/>
          </w:divBdr>
        </w:div>
        <w:div w:id="1224293343">
          <w:marLeft w:val="0"/>
          <w:marRight w:val="0"/>
          <w:marTop w:val="0"/>
          <w:marBottom w:val="0"/>
          <w:divBdr>
            <w:top w:val="none" w:sz="0" w:space="0" w:color="auto"/>
            <w:left w:val="none" w:sz="0" w:space="0" w:color="auto"/>
            <w:bottom w:val="none" w:sz="0" w:space="0" w:color="auto"/>
            <w:right w:val="none" w:sz="0" w:space="0" w:color="auto"/>
          </w:divBdr>
        </w:div>
      </w:divsChild>
    </w:div>
    <w:div w:id="2109618909">
      <w:bodyDiv w:val="1"/>
      <w:marLeft w:val="0"/>
      <w:marRight w:val="0"/>
      <w:marTop w:val="0"/>
      <w:marBottom w:val="0"/>
      <w:divBdr>
        <w:top w:val="none" w:sz="0" w:space="0" w:color="auto"/>
        <w:left w:val="none" w:sz="0" w:space="0" w:color="auto"/>
        <w:bottom w:val="none" w:sz="0" w:space="0" w:color="auto"/>
        <w:right w:val="none" w:sz="0" w:space="0" w:color="auto"/>
      </w:divBdr>
      <w:divsChild>
        <w:div w:id="922298884">
          <w:marLeft w:val="0"/>
          <w:marRight w:val="0"/>
          <w:marTop w:val="0"/>
          <w:marBottom w:val="0"/>
          <w:divBdr>
            <w:top w:val="none" w:sz="0" w:space="0" w:color="auto"/>
            <w:left w:val="none" w:sz="0" w:space="0" w:color="auto"/>
            <w:bottom w:val="none" w:sz="0" w:space="0" w:color="auto"/>
            <w:right w:val="none" w:sz="0" w:space="0" w:color="auto"/>
          </w:divBdr>
        </w:div>
        <w:div w:id="1658460615">
          <w:marLeft w:val="0"/>
          <w:marRight w:val="0"/>
          <w:marTop w:val="0"/>
          <w:marBottom w:val="0"/>
          <w:divBdr>
            <w:top w:val="none" w:sz="0" w:space="0" w:color="auto"/>
            <w:left w:val="none" w:sz="0" w:space="0" w:color="auto"/>
            <w:bottom w:val="none" w:sz="0" w:space="0" w:color="auto"/>
            <w:right w:val="none" w:sz="0" w:space="0" w:color="auto"/>
          </w:divBdr>
          <w:divsChild>
            <w:div w:id="1997831222">
              <w:marLeft w:val="0"/>
              <w:marRight w:val="0"/>
              <w:marTop w:val="0"/>
              <w:marBottom w:val="0"/>
              <w:divBdr>
                <w:top w:val="none" w:sz="0" w:space="0" w:color="auto"/>
                <w:left w:val="none" w:sz="0" w:space="0" w:color="auto"/>
                <w:bottom w:val="none" w:sz="0" w:space="0" w:color="auto"/>
                <w:right w:val="none" w:sz="0" w:space="0" w:color="auto"/>
              </w:divBdr>
              <w:divsChild>
                <w:div w:id="1009942121">
                  <w:marLeft w:val="0"/>
                  <w:marRight w:val="0"/>
                  <w:marTop w:val="0"/>
                  <w:marBottom w:val="0"/>
                  <w:divBdr>
                    <w:top w:val="none" w:sz="0" w:space="0" w:color="auto"/>
                    <w:left w:val="none" w:sz="0" w:space="0" w:color="auto"/>
                    <w:bottom w:val="none" w:sz="0" w:space="0" w:color="auto"/>
                    <w:right w:val="none" w:sz="0" w:space="0" w:color="auto"/>
                  </w:divBdr>
                  <w:divsChild>
                    <w:div w:id="1890258279">
                      <w:marLeft w:val="0"/>
                      <w:marRight w:val="0"/>
                      <w:marTop w:val="0"/>
                      <w:marBottom w:val="0"/>
                      <w:divBdr>
                        <w:top w:val="none" w:sz="0" w:space="0" w:color="auto"/>
                        <w:left w:val="none" w:sz="0" w:space="0" w:color="auto"/>
                        <w:bottom w:val="none" w:sz="0" w:space="0" w:color="auto"/>
                        <w:right w:val="none" w:sz="0" w:space="0" w:color="auto"/>
                      </w:divBdr>
                    </w:div>
                    <w:div w:id="1186481392">
                      <w:marLeft w:val="0"/>
                      <w:marRight w:val="0"/>
                      <w:marTop w:val="0"/>
                      <w:marBottom w:val="0"/>
                      <w:divBdr>
                        <w:top w:val="none" w:sz="0" w:space="0" w:color="auto"/>
                        <w:left w:val="none" w:sz="0" w:space="0" w:color="auto"/>
                        <w:bottom w:val="none" w:sz="0" w:space="0" w:color="auto"/>
                        <w:right w:val="none" w:sz="0" w:space="0" w:color="auto"/>
                      </w:divBdr>
                    </w:div>
                  </w:divsChild>
                </w:div>
                <w:div w:id="156851760">
                  <w:marLeft w:val="0"/>
                  <w:marRight w:val="0"/>
                  <w:marTop w:val="0"/>
                  <w:marBottom w:val="0"/>
                  <w:divBdr>
                    <w:top w:val="none" w:sz="0" w:space="0" w:color="auto"/>
                    <w:left w:val="none" w:sz="0" w:space="0" w:color="auto"/>
                    <w:bottom w:val="none" w:sz="0" w:space="0" w:color="auto"/>
                    <w:right w:val="none" w:sz="0" w:space="0" w:color="auto"/>
                  </w:divBdr>
                  <w:divsChild>
                    <w:div w:id="1449936407">
                      <w:marLeft w:val="0"/>
                      <w:marRight w:val="0"/>
                      <w:marTop w:val="0"/>
                      <w:marBottom w:val="0"/>
                      <w:divBdr>
                        <w:top w:val="none" w:sz="0" w:space="0" w:color="auto"/>
                        <w:left w:val="none" w:sz="0" w:space="0" w:color="auto"/>
                        <w:bottom w:val="none" w:sz="0" w:space="0" w:color="auto"/>
                        <w:right w:val="none" w:sz="0" w:space="0" w:color="auto"/>
                      </w:divBdr>
                      <w:divsChild>
                        <w:div w:id="980963083">
                          <w:marLeft w:val="0"/>
                          <w:marRight w:val="0"/>
                          <w:marTop w:val="0"/>
                          <w:marBottom w:val="0"/>
                          <w:divBdr>
                            <w:top w:val="none" w:sz="0" w:space="0" w:color="auto"/>
                            <w:left w:val="none" w:sz="0" w:space="0" w:color="auto"/>
                            <w:bottom w:val="none" w:sz="0" w:space="0" w:color="auto"/>
                            <w:right w:val="none" w:sz="0" w:space="0" w:color="auto"/>
                          </w:divBdr>
                        </w:div>
                        <w:div w:id="18031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02211">
      <w:bodyDiv w:val="1"/>
      <w:marLeft w:val="0"/>
      <w:marRight w:val="0"/>
      <w:marTop w:val="0"/>
      <w:marBottom w:val="0"/>
      <w:divBdr>
        <w:top w:val="none" w:sz="0" w:space="0" w:color="auto"/>
        <w:left w:val="none" w:sz="0" w:space="0" w:color="auto"/>
        <w:bottom w:val="none" w:sz="0" w:space="0" w:color="auto"/>
        <w:right w:val="none" w:sz="0" w:space="0" w:color="auto"/>
      </w:divBdr>
    </w:div>
    <w:div w:id="21451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konypreludi.sk/zz/2002-42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zakonypreludi.sk/zz/2002-4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SK/AUTO/?uri=OJ:L:2021:372: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i.sk/eurlex-rule/32014R0600.htm" TargetMode="External"/><Relationship Id="rId5" Type="http://schemas.openxmlformats.org/officeDocument/2006/relationships/settings" Target="settings.xml"/><Relationship Id="rId15" Type="http://schemas.openxmlformats.org/officeDocument/2006/relationships/hyperlink" Target="https://eur-lex.europa.eu/legal-content/SK/TXT/HTML/?uri=OJ:L_202400790" TargetMode="External"/><Relationship Id="rId10" Type="http://schemas.openxmlformats.org/officeDocument/2006/relationships/hyperlink" Target="http://www.epi.sk/eurlex-rule/32014R0600.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zakonypreludi.sk/zz/2001-566" TargetMode="External"/><Relationship Id="rId14" Type="http://schemas.openxmlformats.org/officeDocument/2006/relationships/hyperlink" Target="https://eur-lex.europa.eu/legal-content/SK/TXT/HTML/?uri=OJ:L_20240079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9_4_TZ_2021_2101"/>
    <f:field ref="objsubject" par="" edit="true" text=""/>
    <f:field ref="objcreatedby" par="" text="Matulová, Silvia, Ing."/>
    <f:field ref="objcreatedat" par="" text="13.5.2022 11:45:39"/>
    <f:field ref="objchangedby" par="" text="Administrator, System"/>
    <f:field ref="objmodifiedat" par="" text="13.5.2022 11:45:4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2BEA9C-F7BF-4BCD-B061-1A81A3AC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18</Pages>
  <Words>5199</Words>
  <Characters>29640</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Vlkolinsky Robert</cp:lastModifiedBy>
  <cp:revision>37</cp:revision>
  <cp:lastPrinted>2023-10-16T09:28:00Z</cp:lastPrinted>
  <dcterms:created xsi:type="dcterms:W3CDTF">2025-02-18T10:53:00Z</dcterms:created>
  <dcterms:modified xsi:type="dcterms:W3CDTF">2025-06-10T09:53:00Z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&lt;ol&gt;				&lt;li&gt;&lt;strong&gt;Správa o účasti verejnosti na tvorbe právneho predpisu&lt;/strong&gt;&lt;/li</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2022</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MF/005491/2022-74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LP/2022/266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4 ods. 2  Zmluvy o fungovaní Európskej únie (Ú. v. EÚ C 202, 7.6.2016) v platnom znení.</vt:lpwstr>
  </property>
  <property fmtid="{D5CDD505-2E9C-101B-9397-08002B2CF9AE}" pid="47" name="FSC#SKEDITIONSLOVLEX@103.510:AttrStrListDocPropSekundarneLegPravoPO">
    <vt:lpwstr>• smernica Európskeho parlamentu a Rady (EÚ) 2021/2101 z 24. novembra 2021, ktorou sa mení smernica 2013/34/EÚ, pokiaľ ide o zverejňovanie informácií o dani z príjmov určitými podnikmi a pobočkami (Ú. v. EÚ L 429, 1.12.2021), gestor: zatiaľ nebol určený,_x000d_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- 306/1999, Banque internationale pour l'Afrique occidentale SA (BIAO) v. Finanzamt für Großunternehmen in Hamburg, [2003], Výrok rozhodnutia: 1. Otázky uvedené v druhej a tretej časti návrhu na začatie prejudiciálneh</vt:lpwstr>
  </property>
  <property fmtid="{D5CDD505-2E9C-101B-9397-08002B2CF9AE}" pid="52" name="FSC#SKEDITIONSLOVLEX@103.510:AttrStrListDocPropLehotaPrebratieSmernice">
    <vt:lpwstr>Lehota na prebratie smernice (EÚ) 2021/2101 bola určená do 22. júna 2023._x000d_
Lehota na prebratie smernice 2014/95/EÚ bola určená do 6. decembra 2016._x000d_
Lehota na prebratie smernice 2013/34/EÚ bola určená do 20. júla 2015._x000d_
Lehota na prebratie smernice 2004/2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EK ako aj  nebolo začaté konanie Súdneho dvora EÚ proti SR podľa čl. 258 až 260 Zmluvy o fungovaní Európskej únie.</vt:lpwstr>
  </property>
  <property fmtid="{D5CDD505-2E9C-101B-9397-08002B2CF9AE}" pid="55" name="FSC#SKEDITIONSLOVLEX@103.510:AttrStrListDocPropInfoUzPreberanePP">
    <vt:lpwstr>Smernica 2014/95/EÚ bola prebratá do:_x000d_
- zákona č. 431/2002 Z. z. o účtovníctve v znení neskorších predpisov, _x000d_
- zákona č. 530/2003 Z. z. o obchodnom registri a o zmene a doplnení niektorých zákonov v znení neskorších predpisov,_x000d_
- zákona č. 513/1991 Zb.</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13. 4. 2022</vt:lpwstr>
  </property>
  <property fmtid="{D5CDD505-2E9C-101B-9397-08002B2CF9AE}" pid="59" name="FSC#SKEDITIONSLOVLEX@103.510:AttrDateDocPropUkonceniePKK">
    <vt:lpwstr>26. 4. 2022</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&lt;p&gt;Identifikované vplyvy v&amp;nbsp;rámci ich analýz indikujú negatívny vplyv návrhu zákona na rozpočet a&amp;nbsp;negatívny a&amp;nbsp;pozitívny vplyv na podnikateľské prostredie. Návrh zákona bude mať negatívny vplyv na podnikateľské prostredie v&amp;nbsp;dôsledku vzni</vt:lpwstr>
  </property>
  <property fmtid="{D5CDD505-2E9C-101B-9397-08002B2CF9AE}" pid="66" name="FSC#SKEDITIONSLOVLEX@103.510:AttrStrListDocPropAltRiesenia">
    <vt:lpwstr>V prípade nulového variantu by Slovenská republika nesplnila povinnosť transpozície smernice EÚ, ktorá musí byť transponovaná do 22. júna 2023.</vt:lpwstr>
  </property>
  <property fmtid="{D5CDD505-2E9C-101B-9397-08002B2CF9AE}" pid="67" name="FSC#SKEDITIONSLOVLEX@103.510:AttrStrListDocPropStanoviskoGest">
    <vt:lpwstr>Nesúhlasné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40px; text-align: justify;"&gt;Návrh zákona, ktorým sa mení a dopĺňa zákon č. 431/2002 Z. z. o&amp;nbsp;účtovníctve v&amp;nbsp;znení neskorších predpisov a&amp;nbsp;ktorým sa menia a&amp;nbsp;dopĺňajú niektoré zákony, sa predkladá na základe Plánu leg</vt:lpwstr>
  </property>
  <property fmtid="{D5CDD505-2E9C-101B-9397-08002B2CF9AE}" pid="150" name="FSC#SKEDITIONSLOVLEX@103.510:vytvorenedna">
    <vt:lpwstr>13. 5. 2022</vt:lpwstr>
  </property>
  <property fmtid="{D5CDD505-2E9C-101B-9397-08002B2CF9AE}" pid="151" name="FSC#COOSYSTEM@1.1:Container">
    <vt:lpwstr>COO.2145.1000.3.4954119</vt:lpwstr>
  </property>
  <property fmtid="{D5CDD505-2E9C-101B-9397-08002B2CF9AE}" pid="152" name="FSC#FSCFOLIO@1.1001:docpropproject">
    <vt:lpwstr/>
  </property>
</Properties>
</file>