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711AB" w14:textId="77777777" w:rsidR="00674D02" w:rsidRPr="00790946" w:rsidRDefault="00674D02" w:rsidP="00674D02">
      <w:pPr>
        <w:spacing w:after="120"/>
        <w:jc w:val="center"/>
        <w:rPr>
          <w:b/>
          <w:caps/>
          <w:lang w:eastAsia="sk-SK"/>
        </w:rPr>
      </w:pPr>
      <w:r w:rsidRPr="00790946">
        <w:rPr>
          <w:b/>
          <w:caps/>
        </w:rPr>
        <w:t>Dôvodová správa</w:t>
      </w:r>
    </w:p>
    <w:p w14:paraId="7ECBF9F7" w14:textId="77777777" w:rsidR="00533B53" w:rsidRPr="00790946" w:rsidRDefault="00533B53" w:rsidP="00A46F6A">
      <w:pPr>
        <w:jc w:val="both"/>
      </w:pPr>
    </w:p>
    <w:p w14:paraId="71737F7E" w14:textId="0F14345F" w:rsidR="009C6A7A" w:rsidRPr="00706680" w:rsidRDefault="004268B0" w:rsidP="009C6A7A">
      <w:pPr>
        <w:jc w:val="both"/>
        <w:rPr>
          <w:sz w:val="22"/>
          <w:szCs w:val="22"/>
        </w:rPr>
      </w:pPr>
      <w:r>
        <w:t>N</w:t>
      </w:r>
      <w:r w:rsidR="00057719" w:rsidRPr="00790946">
        <w:t xml:space="preserve">ávrh zákona, </w:t>
      </w:r>
      <w:bookmarkStart w:id="0" w:name="_Hlk190869702"/>
      <w:r w:rsidR="00E76D65" w:rsidRPr="00790946">
        <w:rPr>
          <w:noProof/>
          <w:lang w:eastAsia="sk-SK"/>
        </w:rPr>
        <w:t xml:space="preserve">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w:t>
      </w:r>
      <w:r w:rsidR="00E76D65" w:rsidRPr="00AF72B5">
        <w:rPr>
          <w:noProof/>
          <w:lang w:eastAsia="sk-SK"/>
        </w:rPr>
        <w:t>neskorších predpisov</w:t>
      </w:r>
      <w:r w:rsidRPr="00AF72B5">
        <w:rPr>
          <w:noProof/>
          <w:lang w:eastAsia="sk-SK"/>
        </w:rPr>
        <w:t xml:space="preserve"> </w:t>
      </w:r>
      <w:bookmarkEnd w:id="0"/>
      <w:r w:rsidR="00057719" w:rsidRPr="00AF72B5">
        <w:t>(ďalej len „návrh zákona“)</w:t>
      </w:r>
      <w:r w:rsidRPr="00AF72B5">
        <w:t xml:space="preserve"> sa predkladá </w:t>
      </w:r>
      <w:r w:rsidR="009C6A7A">
        <w:t>na základe ú</w:t>
      </w:r>
      <w:r w:rsidR="009C6A7A" w:rsidRPr="00FA73A6">
        <w:rPr>
          <w:rStyle w:val="Zstupntext"/>
          <w:color w:val="000000"/>
          <w:sz w:val="22"/>
          <w:szCs w:val="22"/>
        </w:rPr>
        <w:t>loh</w:t>
      </w:r>
      <w:r w:rsidR="009C6A7A">
        <w:rPr>
          <w:rStyle w:val="Zstupntext"/>
          <w:color w:val="000000"/>
          <w:sz w:val="22"/>
          <w:szCs w:val="22"/>
        </w:rPr>
        <w:t>y</w:t>
      </w:r>
      <w:r w:rsidR="009C6A7A" w:rsidRPr="00FA73A6">
        <w:rPr>
          <w:rStyle w:val="Zstupntext"/>
          <w:color w:val="000000"/>
          <w:sz w:val="22"/>
          <w:szCs w:val="22"/>
        </w:rPr>
        <w:t xml:space="preserve"> B.15</w:t>
      </w:r>
      <w:r w:rsidR="009C6A7A">
        <w:rPr>
          <w:rStyle w:val="Zstupntext"/>
          <w:color w:val="000000"/>
          <w:sz w:val="22"/>
          <w:szCs w:val="22"/>
        </w:rPr>
        <w:t xml:space="preserve"> u</w:t>
      </w:r>
      <w:r w:rsidR="009C6A7A" w:rsidRPr="00512E67">
        <w:rPr>
          <w:rStyle w:val="Zstupntext"/>
          <w:color w:val="000000"/>
          <w:sz w:val="22"/>
          <w:szCs w:val="22"/>
        </w:rPr>
        <w:t>zneseni</w:t>
      </w:r>
      <w:r w:rsidR="009C6A7A">
        <w:rPr>
          <w:rStyle w:val="Zstupntext"/>
          <w:color w:val="000000"/>
          <w:sz w:val="22"/>
          <w:szCs w:val="22"/>
        </w:rPr>
        <w:t>a</w:t>
      </w:r>
      <w:r w:rsidR="009C6A7A" w:rsidRPr="00512E67">
        <w:rPr>
          <w:rStyle w:val="Zstupntext"/>
          <w:color w:val="000000"/>
          <w:sz w:val="22"/>
          <w:szCs w:val="22"/>
        </w:rPr>
        <w:t xml:space="preserve"> vlády </w:t>
      </w:r>
      <w:r w:rsidR="009C6A7A" w:rsidRPr="00FA73A6">
        <w:rPr>
          <w:rStyle w:val="Zstupntext"/>
          <w:color w:val="000000"/>
          <w:sz w:val="22"/>
          <w:szCs w:val="22"/>
        </w:rPr>
        <w:t>SR č. 589/2024.</w:t>
      </w:r>
    </w:p>
    <w:p w14:paraId="37F7EE89" w14:textId="77777777" w:rsidR="00057719" w:rsidRPr="00790946" w:rsidRDefault="00057719" w:rsidP="00533B53">
      <w:pPr>
        <w:jc w:val="both"/>
      </w:pPr>
    </w:p>
    <w:p w14:paraId="2CFB856A" w14:textId="77777777" w:rsidR="00533B53" w:rsidRPr="00790946" w:rsidRDefault="00533B53" w:rsidP="00533B53">
      <w:pPr>
        <w:jc w:val="both"/>
      </w:pPr>
      <w:r w:rsidRPr="00790946">
        <w:t>Cieľom návrhu zákona je:</w:t>
      </w:r>
    </w:p>
    <w:p w14:paraId="20A383E4" w14:textId="4A2C9614" w:rsidR="00A01CFD" w:rsidRPr="00C806F1" w:rsidRDefault="00A01CFD" w:rsidP="00A01CFD">
      <w:pPr>
        <w:pStyle w:val="Odsekzoznamu"/>
        <w:numPr>
          <w:ilvl w:val="0"/>
          <w:numId w:val="1"/>
        </w:numPr>
        <w:spacing w:after="0" w:line="240" w:lineRule="auto"/>
        <w:jc w:val="both"/>
        <w:rPr>
          <w:rFonts w:ascii="Times New Roman" w:hAnsi="Times New Roman" w:cs="Times New Roman"/>
          <w:sz w:val="24"/>
          <w:szCs w:val="24"/>
        </w:rPr>
      </w:pPr>
      <w:bookmarkStart w:id="1" w:name="_Hlk189458273"/>
      <w:r w:rsidRPr="00790946">
        <w:rPr>
          <w:rFonts w:ascii="Times New Roman" w:hAnsi="Times New Roman" w:cs="Times New Roman"/>
          <w:sz w:val="24"/>
          <w:szCs w:val="24"/>
        </w:rPr>
        <w:t xml:space="preserve">transpozícia </w:t>
      </w:r>
      <w:r w:rsidRPr="00C806F1">
        <w:rPr>
          <w:rFonts w:ascii="Times New Roman" w:hAnsi="Times New Roman" w:cs="Times New Roman"/>
          <w:sz w:val="24"/>
          <w:szCs w:val="24"/>
        </w:rPr>
        <w:t>smernice</w:t>
      </w:r>
      <w:r w:rsidR="000C3BE2" w:rsidRPr="00C806F1">
        <w:rPr>
          <w:rFonts w:ascii="Times New Roman" w:hAnsi="Times New Roman" w:cs="Times New Roman"/>
          <w:sz w:val="24"/>
          <w:szCs w:val="24"/>
        </w:rPr>
        <w:t xml:space="preserve"> </w:t>
      </w:r>
      <w:r w:rsidR="000C3BE2" w:rsidRPr="00C806F1">
        <w:rPr>
          <w:rFonts w:ascii="Times New Roman" w:hAnsi="Times New Roman" w:cs="Times New Roman"/>
          <w:bCs/>
          <w:sz w:val="24"/>
          <w:szCs w:val="24"/>
          <w:shd w:val="clear" w:color="auto" w:fill="FFFFFF"/>
        </w:rPr>
        <w:t>Európskeho parlamentu a Rady</w:t>
      </w:r>
      <w:r w:rsidRPr="00C806F1">
        <w:rPr>
          <w:rFonts w:ascii="Times New Roman" w:hAnsi="Times New Roman" w:cs="Times New Roman"/>
          <w:sz w:val="24"/>
          <w:szCs w:val="24"/>
        </w:rPr>
        <w:t xml:space="preserve"> (EÚ) 2024/790</w:t>
      </w:r>
      <w:r w:rsidR="000C3BE2" w:rsidRPr="00C806F1">
        <w:rPr>
          <w:rFonts w:ascii="Times New Roman" w:hAnsi="Times New Roman" w:cs="Times New Roman"/>
          <w:sz w:val="24"/>
          <w:szCs w:val="24"/>
        </w:rPr>
        <w:t xml:space="preserve"> z 28. februára 2024</w:t>
      </w:r>
      <w:r w:rsidRPr="00C806F1">
        <w:rPr>
          <w:rFonts w:ascii="Times New Roman" w:hAnsi="Times New Roman" w:cs="Times New Roman"/>
          <w:sz w:val="24"/>
          <w:szCs w:val="24"/>
        </w:rPr>
        <w:t>, ktorou sa mení smernica 2014/65/EÚ o trhoch s finančnými nástrojmi</w:t>
      </w:r>
      <w:r w:rsidR="000C3BE2" w:rsidRPr="00C806F1">
        <w:rPr>
          <w:rFonts w:ascii="Times New Roman" w:hAnsi="Times New Roman" w:cs="Times New Roman"/>
          <w:sz w:val="24"/>
          <w:szCs w:val="24"/>
        </w:rPr>
        <w:t xml:space="preserve"> (Ú. v. L, 2024/790, 8.3.2024)</w:t>
      </w:r>
      <w:r w:rsidRPr="00C806F1">
        <w:rPr>
          <w:rFonts w:ascii="Times New Roman" w:hAnsi="Times New Roman" w:cs="Times New Roman"/>
          <w:sz w:val="24"/>
          <w:szCs w:val="24"/>
        </w:rPr>
        <w:t xml:space="preserve">. Touto smernicou (EÚ) sa odstraňujú identifikované prekážky, ktoré bránili rozvoju regulovaných trhov v EÚ, zavádza sa </w:t>
      </w:r>
      <w:proofErr w:type="spellStart"/>
      <w:r w:rsidRPr="00C806F1">
        <w:rPr>
          <w:rFonts w:ascii="Times New Roman" w:hAnsi="Times New Roman" w:cs="Times New Roman"/>
          <w:sz w:val="24"/>
          <w:szCs w:val="24"/>
        </w:rPr>
        <w:t>opt</w:t>
      </w:r>
      <w:proofErr w:type="spellEnd"/>
      <w:r w:rsidRPr="00C806F1">
        <w:rPr>
          <w:rFonts w:ascii="Times New Roman" w:hAnsi="Times New Roman" w:cs="Times New Roman"/>
          <w:sz w:val="24"/>
          <w:szCs w:val="24"/>
        </w:rPr>
        <w:t xml:space="preserve">-in režim systematického </w:t>
      </w:r>
      <w:proofErr w:type="spellStart"/>
      <w:r w:rsidRPr="00C806F1">
        <w:rPr>
          <w:rFonts w:ascii="Times New Roman" w:hAnsi="Times New Roman" w:cs="Times New Roman"/>
          <w:sz w:val="24"/>
          <w:szCs w:val="24"/>
        </w:rPr>
        <w:t>internalizátora</w:t>
      </w:r>
      <w:proofErr w:type="spellEnd"/>
      <w:r w:rsidRPr="00C806F1">
        <w:rPr>
          <w:rFonts w:ascii="Times New Roman" w:hAnsi="Times New Roman" w:cs="Times New Roman"/>
          <w:sz w:val="24"/>
          <w:szCs w:val="24"/>
        </w:rPr>
        <w:t xml:space="preserve">, upravujú sa informačné povinnosti obchodníkov s cennými papiermi voči ich klientom o mieste vykonania pokynu, zavádza sa požiadavka na zabezpečenie plnenia noriem kvality údajov zasielaných poskytovateľovi konsolidovaného systému, spresňuje sa možnosť dočasne pozastaviť alebo obmedziť obchodovanie na regulovanom trhu, spresňuje sa mechanizmus kontroly nad riadením pozícií v komoditných derivátoch a derivátoch na emisné kvóty, a dopĺňa sa sankčný režim. </w:t>
      </w:r>
    </w:p>
    <w:p w14:paraId="62626338" w14:textId="77777777" w:rsidR="00A01CFD" w:rsidRPr="00C806F1" w:rsidRDefault="00A01CFD" w:rsidP="00A01CFD">
      <w:pPr>
        <w:pStyle w:val="Odsekzoznamu"/>
        <w:spacing w:after="0" w:line="240" w:lineRule="auto"/>
        <w:ind w:left="360"/>
        <w:jc w:val="both"/>
        <w:rPr>
          <w:rFonts w:ascii="Times New Roman" w:hAnsi="Times New Roman" w:cs="Times New Roman"/>
          <w:sz w:val="24"/>
          <w:szCs w:val="24"/>
        </w:rPr>
      </w:pPr>
      <w:r w:rsidRPr="00C806F1">
        <w:rPr>
          <w:rFonts w:ascii="Times New Roman" w:hAnsi="Times New Roman" w:cs="Times New Roman"/>
          <w:sz w:val="24"/>
          <w:szCs w:val="24"/>
        </w:rPr>
        <w:t xml:space="preserve">Súbežne s touto smernicou bolo prijaté  nariadenie (EÚ) 2024/791, ktorým s odstraňujú prekážky brániace vzniku konsolidovaného informačného systému, do ktorého budú povinne prispievať svojimi údajmi dotknuté trhové subjekty.   </w:t>
      </w:r>
    </w:p>
    <w:p w14:paraId="076AE925" w14:textId="609E3518" w:rsidR="00A01CFD" w:rsidRPr="00C806F1" w:rsidRDefault="00A01CFD" w:rsidP="00A01CFD">
      <w:pPr>
        <w:pStyle w:val="Odsekzoznamu"/>
        <w:numPr>
          <w:ilvl w:val="0"/>
          <w:numId w:val="1"/>
        </w:numPr>
        <w:spacing w:after="0" w:line="240" w:lineRule="auto"/>
        <w:jc w:val="both"/>
        <w:rPr>
          <w:rFonts w:ascii="Times New Roman" w:hAnsi="Times New Roman" w:cs="Times New Roman"/>
          <w:sz w:val="24"/>
          <w:szCs w:val="24"/>
        </w:rPr>
      </w:pPr>
      <w:r w:rsidRPr="00C806F1">
        <w:rPr>
          <w:rFonts w:ascii="Times New Roman" w:hAnsi="Times New Roman" w:cs="Times New Roman"/>
          <w:bCs/>
          <w:sz w:val="24"/>
          <w:szCs w:val="24"/>
          <w:shd w:val="clear" w:color="auto" w:fill="FFFFFF"/>
        </w:rPr>
        <w:t>transpozícia smernice</w:t>
      </w:r>
      <w:r w:rsidR="000C3BE2" w:rsidRPr="00C806F1">
        <w:rPr>
          <w:rFonts w:ascii="Times New Roman" w:hAnsi="Times New Roman" w:cs="Times New Roman"/>
          <w:bCs/>
          <w:sz w:val="24"/>
          <w:szCs w:val="24"/>
          <w:shd w:val="clear" w:color="auto" w:fill="FFFFFF"/>
        </w:rPr>
        <w:t xml:space="preserve"> Európskeho parlamentu a Rady</w:t>
      </w:r>
      <w:r w:rsidRPr="00C806F1">
        <w:rPr>
          <w:rFonts w:ascii="Times New Roman" w:hAnsi="Times New Roman" w:cs="Times New Roman"/>
          <w:bCs/>
          <w:sz w:val="24"/>
          <w:szCs w:val="24"/>
          <w:shd w:val="clear" w:color="auto" w:fill="FFFFFF"/>
        </w:rPr>
        <w:t xml:space="preserve"> (EÚ) 2024/2811 z 23. októbra 2024, ktorou sa mení smernica 2014/65/EÚ s cieľom zatraktívniť verejné kapitálové trhy v Únii pre spoločnosti a uľahčiť malým a stredným podnikom prístup ku kapitálu a ktorou sa zrušuje smernica 2001/34/ES</w:t>
      </w:r>
      <w:r w:rsidR="000C3BE2" w:rsidRPr="00C806F1">
        <w:rPr>
          <w:rFonts w:ascii="Times New Roman" w:hAnsi="Times New Roman" w:cs="Times New Roman"/>
          <w:bCs/>
          <w:sz w:val="24"/>
          <w:szCs w:val="24"/>
          <w:shd w:val="clear" w:color="auto" w:fill="FFFFFF"/>
        </w:rPr>
        <w:t xml:space="preserve"> (Ú. v. L, 2024/2811, 14.11.2024)</w:t>
      </w:r>
      <w:r w:rsidRPr="00C806F1">
        <w:rPr>
          <w:rFonts w:ascii="Times New Roman" w:hAnsi="Times New Roman" w:cs="Times New Roman"/>
          <w:bCs/>
          <w:sz w:val="24"/>
          <w:szCs w:val="24"/>
          <w:shd w:val="clear" w:color="auto" w:fill="FFFFFF"/>
        </w:rPr>
        <w:t xml:space="preserve">. Cieľom je </w:t>
      </w:r>
      <w:r w:rsidRPr="00C806F1">
        <w:rPr>
          <w:rFonts w:ascii="Times New Roman" w:hAnsi="Times New Roman" w:cs="Times New Roman"/>
          <w:sz w:val="24"/>
          <w:szCs w:val="24"/>
          <w:shd w:val="clear" w:color="auto" w:fill="FFFFFF"/>
        </w:rPr>
        <w:t>stanoviť podmienky pre poskytovanie investičného prieskumu tretími stranami investičným spoločnostiam poskytujúcim správu portfólia a tým zatraktívniť malé a stredné spoločnosti z hľadiska investorov.   </w:t>
      </w:r>
      <w:r w:rsidRPr="00C806F1">
        <w:rPr>
          <w:rFonts w:ascii="Times New Roman" w:hAnsi="Times New Roman" w:cs="Times New Roman"/>
          <w:bCs/>
          <w:sz w:val="24"/>
          <w:szCs w:val="24"/>
          <w:shd w:val="clear" w:color="auto" w:fill="FFFFFF"/>
        </w:rPr>
        <w:t xml:space="preserve">   </w:t>
      </w:r>
    </w:p>
    <w:p w14:paraId="40E01EAD" w14:textId="3C162D42" w:rsidR="00A01CFD" w:rsidRPr="00C806F1" w:rsidRDefault="00A01CFD" w:rsidP="00A01CFD">
      <w:pPr>
        <w:pStyle w:val="Odsekzoznamu"/>
        <w:numPr>
          <w:ilvl w:val="0"/>
          <w:numId w:val="1"/>
        </w:numPr>
        <w:spacing w:after="0" w:line="240" w:lineRule="auto"/>
        <w:jc w:val="both"/>
        <w:rPr>
          <w:rFonts w:ascii="Times New Roman" w:hAnsi="Times New Roman" w:cs="Times New Roman"/>
          <w:sz w:val="24"/>
          <w:szCs w:val="24"/>
        </w:rPr>
      </w:pPr>
      <w:r w:rsidRPr="00C806F1">
        <w:rPr>
          <w:rFonts w:ascii="Times New Roman" w:hAnsi="Times New Roman" w:cs="Times New Roman"/>
          <w:bCs/>
          <w:sz w:val="24"/>
          <w:szCs w:val="24"/>
          <w:shd w:val="clear" w:color="auto" w:fill="FFFFFF"/>
        </w:rPr>
        <w:t>Transpozícia smernice</w:t>
      </w:r>
      <w:r w:rsidR="000C3BE2" w:rsidRPr="00C806F1">
        <w:rPr>
          <w:rFonts w:ascii="Times New Roman" w:hAnsi="Times New Roman" w:cs="Times New Roman"/>
          <w:bCs/>
          <w:sz w:val="24"/>
          <w:szCs w:val="24"/>
          <w:shd w:val="clear" w:color="auto" w:fill="FFFFFF"/>
        </w:rPr>
        <w:t xml:space="preserve"> Európskeho parlamentu a Rady</w:t>
      </w:r>
      <w:r w:rsidRPr="00C806F1">
        <w:rPr>
          <w:rFonts w:ascii="Times New Roman" w:hAnsi="Times New Roman" w:cs="Times New Roman"/>
          <w:bCs/>
          <w:sz w:val="24"/>
          <w:szCs w:val="24"/>
          <w:shd w:val="clear" w:color="auto" w:fill="FFFFFF"/>
        </w:rPr>
        <w:t xml:space="preserve"> (EÚ) 2024/2994 z 27. novembra 2024, ktorou sa menia smernice 2009/65/ES, 2013/36/EÚ a (EÚ) 2019/2034, pokiaľ ide o zaobchádzanie s rizikom koncentrácie vyplývajúcim z expozícií voči centrálnym protistranám a s rizikom protistrany pri centrálne zúčtovávaných transakciách s</w:t>
      </w:r>
      <w:r w:rsidR="000C3BE2" w:rsidRPr="00C806F1">
        <w:rPr>
          <w:rFonts w:ascii="Times New Roman" w:hAnsi="Times New Roman" w:cs="Times New Roman"/>
          <w:bCs/>
          <w:sz w:val="24"/>
          <w:szCs w:val="24"/>
          <w:shd w:val="clear" w:color="auto" w:fill="FFFFFF"/>
        </w:rPr>
        <w:t> </w:t>
      </w:r>
      <w:r w:rsidRPr="00C806F1">
        <w:rPr>
          <w:rFonts w:ascii="Times New Roman" w:hAnsi="Times New Roman" w:cs="Times New Roman"/>
          <w:bCs/>
          <w:sz w:val="24"/>
          <w:szCs w:val="24"/>
          <w:shd w:val="clear" w:color="auto" w:fill="FFFFFF"/>
        </w:rPr>
        <w:t>derivátmi</w:t>
      </w:r>
      <w:r w:rsidR="000C3BE2" w:rsidRPr="00C806F1">
        <w:rPr>
          <w:rFonts w:ascii="Times New Roman" w:hAnsi="Times New Roman" w:cs="Times New Roman"/>
          <w:bCs/>
          <w:sz w:val="24"/>
          <w:szCs w:val="24"/>
          <w:shd w:val="clear" w:color="auto" w:fill="FFFFFF"/>
        </w:rPr>
        <w:t xml:space="preserve"> (Ú. v. EÚ L, 2024/2994, 4.12.2024)</w:t>
      </w:r>
      <w:r w:rsidRPr="00C806F1">
        <w:rPr>
          <w:rFonts w:ascii="Times New Roman" w:hAnsi="Times New Roman" w:cs="Times New Roman"/>
          <w:bCs/>
          <w:sz w:val="24"/>
          <w:szCs w:val="24"/>
          <w:shd w:val="clear" w:color="auto" w:fill="FFFFFF"/>
        </w:rPr>
        <w:t>. K</w:t>
      </w:r>
      <w:r w:rsidRPr="00C806F1">
        <w:rPr>
          <w:rFonts w:ascii="Times New Roman" w:hAnsi="Times New Roman" w:cs="Times New Roman"/>
          <w:sz w:val="24"/>
          <w:szCs w:val="24"/>
          <w:shd w:val="clear" w:color="auto" w:fill="FFFFFF"/>
        </w:rPr>
        <w:t>eďže mechanizmy centrálneho zúčtovania zmierňujú riziko protistrany, ktoré je obsiahnuté v zmluvách o derivátoch, pri určovaní uplatniteľných limitov pre riziko protistrany treba zohľadniť, či derivát centrálne zúčtovala centrálna protistrana, ktorej bolo udelené povolenie alebo ktorá bola uznaná v súlade s nariadením (EÚ) č. 648/2012</w:t>
      </w:r>
      <w:r w:rsidR="006E0197" w:rsidRPr="00C806F1">
        <w:rPr>
          <w:rFonts w:ascii="Times New Roman" w:hAnsi="Times New Roman" w:cs="Times New Roman"/>
          <w:sz w:val="24"/>
          <w:szCs w:val="24"/>
          <w:shd w:val="clear" w:color="auto" w:fill="FFFFFF"/>
        </w:rPr>
        <w:t xml:space="preserve"> v platnom znení</w:t>
      </w:r>
      <w:r w:rsidRPr="00C806F1">
        <w:rPr>
          <w:rFonts w:ascii="Times New Roman" w:hAnsi="Times New Roman" w:cs="Times New Roman"/>
          <w:sz w:val="24"/>
          <w:szCs w:val="24"/>
          <w:shd w:val="clear" w:color="auto" w:fill="FFFFFF"/>
        </w:rPr>
        <w:t>, a vytvoriť rovnaké podmienky pre deriváty obchodované na burze a mimoburzové deriváty.</w:t>
      </w:r>
    </w:p>
    <w:p w14:paraId="2E1316E6" w14:textId="21C41050" w:rsidR="00A01CFD" w:rsidRPr="00790946" w:rsidRDefault="00A01CFD" w:rsidP="00A01CFD">
      <w:pPr>
        <w:pStyle w:val="Odsekzoznamu"/>
        <w:numPr>
          <w:ilvl w:val="0"/>
          <w:numId w:val="1"/>
        </w:numPr>
        <w:spacing w:after="0" w:line="240" w:lineRule="auto"/>
        <w:jc w:val="both"/>
        <w:rPr>
          <w:rFonts w:ascii="Times New Roman" w:hAnsi="Times New Roman" w:cs="Times New Roman"/>
          <w:sz w:val="24"/>
          <w:szCs w:val="24"/>
        </w:rPr>
      </w:pPr>
      <w:r w:rsidRPr="00C806F1">
        <w:rPr>
          <w:rFonts w:ascii="Times New Roman" w:hAnsi="Times New Roman" w:cs="Times New Roman"/>
          <w:sz w:val="24"/>
          <w:szCs w:val="24"/>
        </w:rPr>
        <w:t xml:space="preserve">Do zákona sa tiež zavádzajú niektoré </w:t>
      </w:r>
      <w:r w:rsidRPr="00790946">
        <w:rPr>
          <w:rFonts w:ascii="Times New Roman" w:hAnsi="Times New Roman" w:cs="Times New Roman"/>
          <w:sz w:val="24"/>
          <w:szCs w:val="24"/>
        </w:rPr>
        <w:t xml:space="preserve">ustanovenia, </w:t>
      </w:r>
      <w:r w:rsidR="00A35BB8" w:rsidRPr="00790946">
        <w:rPr>
          <w:rFonts w:ascii="Times New Roman" w:hAnsi="Times New Roman" w:cs="Times New Roman"/>
          <w:sz w:val="24"/>
          <w:szCs w:val="24"/>
        </w:rPr>
        <w:t xml:space="preserve">ktoré zohľadňujú </w:t>
      </w:r>
      <w:r w:rsidRPr="00790946">
        <w:rPr>
          <w:rFonts w:ascii="Times New Roman" w:hAnsi="Times New Roman" w:cs="Times New Roman"/>
          <w:sz w:val="24"/>
          <w:szCs w:val="24"/>
        </w:rPr>
        <w:t xml:space="preserve">poznatky z praxe.          </w:t>
      </w:r>
    </w:p>
    <w:bookmarkEnd w:id="1"/>
    <w:p w14:paraId="33ED3DD8" w14:textId="77777777" w:rsidR="00057719" w:rsidRPr="00790946" w:rsidRDefault="00057719" w:rsidP="00057719">
      <w:pPr>
        <w:jc w:val="both"/>
      </w:pPr>
    </w:p>
    <w:p w14:paraId="06FC08B7" w14:textId="1E5D7C32" w:rsidR="00533B53" w:rsidRPr="00790946" w:rsidRDefault="00533B53" w:rsidP="00533B53">
      <w:pPr>
        <w:jc w:val="both"/>
      </w:pPr>
      <w:r w:rsidRPr="00790946">
        <w:t>Prijatie navrhovaného zákona nebude mať vplyv na rozpočet verejnej správy</w:t>
      </w:r>
      <w:r w:rsidR="00F17C33" w:rsidRPr="00790946">
        <w:t xml:space="preserve">, ale bude mať </w:t>
      </w:r>
      <w:r w:rsidR="005A12E7" w:rsidRPr="00790946">
        <w:t xml:space="preserve">pozitívny a </w:t>
      </w:r>
      <w:r w:rsidR="004B1B4F" w:rsidRPr="00790946">
        <w:t xml:space="preserve">negatívny </w:t>
      </w:r>
      <w:r w:rsidR="00F17C33" w:rsidRPr="00790946">
        <w:t xml:space="preserve">vplyv </w:t>
      </w:r>
      <w:r w:rsidRPr="00790946">
        <w:t>na podnikateľské prostredie. Návrh zákona má</w:t>
      </w:r>
      <w:r w:rsidR="005A12E7" w:rsidRPr="00790946">
        <w:t xml:space="preserve"> pozitívne</w:t>
      </w:r>
      <w:r w:rsidRPr="00790946">
        <w:t xml:space="preserve"> sociálne vplyvy, </w:t>
      </w:r>
      <w:r w:rsidR="005A12E7" w:rsidRPr="00790946">
        <w:t xml:space="preserve">nemá </w:t>
      </w:r>
      <w:r w:rsidRPr="00790946">
        <w:t>vplyvy na životné prostredie, na služby verejnej správy pre občana, na informatizáciu spoločnosti a</w:t>
      </w:r>
      <w:r w:rsidR="00E75534">
        <w:t>ni</w:t>
      </w:r>
      <w:r w:rsidRPr="00790946">
        <w:t xml:space="preserve"> vplyvy na manželstvo, rodičovstvo a rodinu.</w:t>
      </w:r>
    </w:p>
    <w:p w14:paraId="0DE70603" w14:textId="77777777" w:rsidR="00533B53" w:rsidRPr="00790946" w:rsidRDefault="00533B53" w:rsidP="00533B53">
      <w:pPr>
        <w:jc w:val="both"/>
      </w:pPr>
    </w:p>
    <w:p w14:paraId="69F80BAC" w14:textId="77777777" w:rsidR="00393201" w:rsidRPr="00D032BC" w:rsidRDefault="00393201" w:rsidP="00393201">
      <w:pPr>
        <w:pStyle w:val="Normlnywebov"/>
        <w:spacing w:before="0" w:beforeAutospacing="0" w:after="0" w:afterAutospacing="0"/>
        <w:jc w:val="both"/>
      </w:pPr>
      <w:r w:rsidRPr="00D032BC">
        <w:t xml:space="preserve">Návrh zákona nebude predložený na </w:t>
      </w:r>
      <w:proofErr w:type="spellStart"/>
      <w:r w:rsidRPr="00D032BC">
        <w:t>vnútrokomunitárne</w:t>
      </w:r>
      <w:proofErr w:type="spellEnd"/>
      <w:r w:rsidRPr="00D032BC">
        <w:t xml:space="preserve"> pripomienkové konanie.</w:t>
      </w:r>
    </w:p>
    <w:p w14:paraId="420DC7C8" w14:textId="77777777" w:rsidR="00393201" w:rsidRDefault="00393201" w:rsidP="00533B53">
      <w:pPr>
        <w:jc w:val="both"/>
      </w:pPr>
    </w:p>
    <w:p w14:paraId="782632E6" w14:textId="25B62896" w:rsidR="00533B53" w:rsidRDefault="00533B53" w:rsidP="00A46F6A">
      <w:pPr>
        <w:jc w:val="both"/>
      </w:pPr>
      <w:r w:rsidRPr="00790946">
        <w:t xml:space="preserve">Predložený návrh zákona je v súlade s Ústavou Slovenskej republiky, s ústavnými zákonmi, nálezmi ústavného súdu, inými zákonmi a ostatnými všeobecne záväznými právnymi predpismi </w:t>
      </w:r>
      <w:r w:rsidRPr="00790946">
        <w:lastRenderedPageBreak/>
        <w:t>Slovenskej republiky, s právom Európskej únie a s medzinárodnými zmluvami, ktorými je Slovenská republika viazaná.</w:t>
      </w:r>
    </w:p>
    <w:p w14:paraId="3855D8AF" w14:textId="77777777" w:rsidR="00A417FF" w:rsidRDefault="00A417FF" w:rsidP="00A46F6A">
      <w:pPr>
        <w:jc w:val="both"/>
      </w:pPr>
    </w:p>
    <w:p w14:paraId="0A6F22A1" w14:textId="77777777" w:rsidR="00A417FF" w:rsidRDefault="00A417FF" w:rsidP="00A46F6A">
      <w:pPr>
        <w:jc w:val="both"/>
      </w:pPr>
    </w:p>
    <w:p w14:paraId="0B9EDEA1" w14:textId="36ED6C33" w:rsidR="0074339B" w:rsidRDefault="0074339B">
      <w:pPr>
        <w:spacing w:after="160" w:line="259" w:lineRule="auto"/>
      </w:pPr>
      <w:r>
        <w:br w:type="page"/>
      </w:r>
    </w:p>
    <w:p w14:paraId="27F29D6F" w14:textId="77777777" w:rsidR="00A417FF" w:rsidRPr="00612E08" w:rsidRDefault="00A417FF" w:rsidP="00A417FF">
      <w:pPr>
        <w:jc w:val="center"/>
        <w:rPr>
          <w:b/>
          <w:sz w:val="28"/>
          <w:szCs w:val="28"/>
          <w:lang w:eastAsia="sk-SK"/>
        </w:rPr>
      </w:pPr>
      <w:r w:rsidRPr="00612E08">
        <w:rPr>
          <w:b/>
          <w:sz w:val="28"/>
          <w:szCs w:val="28"/>
          <w:lang w:eastAsia="sk-SK"/>
        </w:rPr>
        <w:lastRenderedPageBreak/>
        <w:t>Doložka vybraných vplyvov</w:t>
      </w:r>
    </w:p>
    <w:p w14:paraId="218E7F3F" w14:textId="77777777" w:rsidR="00A417FF" w:rsidRPr="0074339B" w:rsidRDefault="00A417FF" w:rsidP="00A417FF">
      <w:pPr>
        <w:jc w:val="center"/>
        <w:rPr>
          <w:b/>
          <w:sz w:val="20"/>
          <w:szCs w:val="20"/>
          <w:lang w:eastAsia="sk-SK"/>
        </w:rPr>
      </w:pPr>
    </w:p>
    <w:p w14:paraId="72B463A5" w14:textId="77777777" w:rsidR="00A417FF" w:rsidRPr="0074339B" w:rsidRDefault="00A417FF" w:rsidP="00A417FF">
      <w:pPr>
        <w:spacing w:after="200" w:line="276" w:lineRule="auto"/>
        <w:ind w:left="426"/>
        <w:contextualSpacing/>
        <w:rPr>
          <w:rFonts w:ascii="Calibri" w:eastAsia="Calibri" w:hAnsi="Calibri"/>
          <w:b/>
          <w:sz w:val="22"/>
          <w:szCs w:val="22"/>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A417FF" w:rsidRPr="00612E08" w14:paraId="2A4863A8" w14:textId="77777777" w:rsidTr="00EA7F60">
        <w:tc>
          <w:tcPr>
            <w:tcW w:w="9180" w:type="dxa"/>
            <w:gridSpan w:val="11"/>
            <w:tcBorders>
              <w:bottom w:val="single" w:sz="4" w:space="0" w:color="FFFFFF"/>
            </w:tcBorders>
            <w:shd w:val="clear" w:color="auto" w:fill="E2E2E2"/>
          </w:tcPr>
          <w:p w14:paraId="0D5FABA4" w14:textId="77777777" w:rsidR="00A417FF" w:rsidRPr="0074339B" w:rsidRDefault="00A417FF" w:rsidP="00A417FF">
            <w:pPr>
              <w:numPr>
                <w:ilvl w:val="0"/>
                <w:numId w:val="2"/>
              </w:numPr>
              <w:ind w:left="426"/>
              <w:contextualSpacing/>
              <w:rPr>
                <w:rFonts w:eastAsia="Calibri"/>
                <w:b/>
                <w:sz w:val="22"/>
                <w:szCs w:val="22"/>
              </w:rPr>
            </w:pPr>
            <w:r w:rsidRPr="0074339B">
              <w:rPr>
                <w:rFonts w:eastAsia="Calibri"/>
                <w:b/>
                <w:sz w:val="22"/>
                <w:szCs w:val="22"/>
              </w:rPr>
              <w:t>Základné údaje</w:t>
            </w:r>
          </w:p>
        </w:tc>
      </w:tr>
      <w:tr w:rsidR="00A417FF" w:rsidRPr="00612E08" w14:paraId="1DA9C75E" w14:textId="77777777" w:rsidTr="00EA7F60">
        <w:tc>
          <w:tcPr>
            <w:tcW w:w="9180" w:type="dxa"/>
            <w:gridSpan w:val="11"/>
            <w:tcBorders>
              <w:bottom w:val="single" w:sz="4" w:space="0" w:color="FFFFFF"/>
            </w:tcBorders>
            <w:shd w:val="clear" w:color="auto" w:fill="E2E2E2"/>
          </w:tcPr>
          <w:p w14:paraId="3623FCE6" w14:textId="77777777" w:rsidR="00A417FF" w:rsidRPr="0074339B" w:rsidRDefault="00A417FF" w:rsidP="00EA7F60">
            <w:pPr>
              <w:spacing w:after="200" w:line="276" w:lineRule="auto"/>
              <w:ind w:left="142"/>
              <w:contextualSpacing/>
              <w:rPr>
                <w:rFonts w:eastAsia="Calibri"/>
                <w:b/>
                <w:sz w:val="22"/>
                <w:szCs w:val="22"/>
              </w:rPr>
            </w:pPr>
            <w:r w:rsidRPr="0074339B">
              <w:rPr>
                <w:rFonts w:eastAsia="Calibri"/>
                <w:b/>
                <w:sz w:val="22"/>
                <w:szCs w:val="22"/>
              </w:rPr>
              <w:t>Názov materiálu</w:t>
            </w:r>
          </w:p>
        </w:tc>
      </w:tr>
      <w:tr w:rsidR="00A417FF" w:rsidRPr="00612E08" w14:paraId="0C105AF7" w14:textId="77777777" w:rsidTr="00EA7F60">
        <w:tc>
          <w:tcPr>
            <w:tcW w:w="9180" w:type="dxa"/>
            <w:gridSpan w:val="11"/>
            <w:tcBorders>
              <w:top w:val="single" w:sz="4" w:space="0" w:color="FFFFFF"/>
              <w:bottom w:val="single" w:sz="4" w:space="0" w:color="auto"/>
            </w:tcBorders>
          </w:tcPr>
          <w:p w14:paraId="15522363" w14:textId="77777777" w:rsidR="00A417FF" w:rsidRPr="0074339B" w:rsidRDefault="00A417FF" w:rsidP="00EA7F60">
            <w:pPr>
              <w:jc w:val="center"/>
              <w:rPr>
                <w:sz w:val="22"/>
                <w:szCs w:val="22"/>
                <w:lang w:eastAsia="sk-SK"/>
              </w:rPr>
            </w:pPr>
            <w:r w:rsidRPr="0074339B">
              <w:rPr>
                <w:sz w:val="22"/>
                <w:szCs w:val="22"/>
                <w:lang w:eastAsia="sk-SK"/>
              </w:rPr>
              <w:t xml:space="preserve">Návrh zákona, </w:t>
            </w:r>
            <w:r w:rsidRPr="0074339B">
              <w:rPr>
                <w:noProof/>
                <w:sz w:val="22"/>
                <w:szCs w:val="22"/>
                <w:lang w:eastAsia="sk-SK"/>
              </w:rPr>
              <w:t>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neskorších predpisov</w:t>
            </w:r>
          </w:p>
          <w:p w14:paraId="0B245653" w14:textId="77777777" w:rsidR="00A417FF" w:rsidRPr="0074339B" w:rsidRDefault="00A417FF" w:rsidP="00EA7F60">
            <w:pPr>
              <w:rPr>
                <w:sz w:val="20"/>
                <w:szCs w:val="20"/>
                <w:lang w:eastAsia="sk-SK"/>
              </w:rPr>
            </w:pPr>
          </w:p>
        </w:tc>
      </w:tr>
      <w:tr w:rsidR="00A417FF" w:rsidRPr="00612E08" w14:paraId="0C694105" w14:textId="77777777" w:rsidTr="00EA7F60">
        <w:tc>
          <w:tcPr>
            <w:tcW w:w="9180" w:type="dxa"/>
            <w:gridSpan w:val="11"/>
            <w:tcBorders>
              <w:top w:val="single" w:sz="4" w:space="0" w:color="auto"/>
              <w:left w:val="single" w:sz="4" w:space="0" w:color="auto"/>
              <w:bottom w:val="single" w:sz="4" w:space="0" w:color="FFFFFF"/>
            </w:tcBorders>
            <w:shd w:val="clear" w:color="auto" w:fill="E2E2E2"/>
          </w:tcPr>
          <w:p w14:paraId="6A7E5AAB" w14:textId="77777777" w:rsidR="00A417FF" w:rsidRPr="0074339B" w:rsidRDefault="00A417FF" w:rsidP="00EA7F60">
            <w:pPr>
              <w:spacing w:after="200" w:line="276" w:lineRule="auto"/>
              <w:ind w:left="142"/>
              <w:contextualSpacing/>
              <w:rPr>
                <w:rFonts w:eastAsia="Calibri"/>
                <w:b/>
                <w:sz w:val="22"/>
                <w:szCs w:val="22"/>
              </w:rPr>
            </w:pPr>
            <w:r w:rsidRPr="0074339B">
              <w:rPr>
                <w:rFonts w:eastAsia="Calibri"/>
                <w:b/>
                <w:sz w:val="22"/>
                <w:szCs w:val="22"/>
              </w:rPr>
              <w:t>Predkladateľ (a spolupredkladateľ)</w:t>
            </w:r>
          </w:p>
        </w:tc>
      </w:tr>
      <w:tr w:rsidR="00A417FF" w:rsidRPr="00612E08" w14:paraId="21195062" w14:textId="77777777" w:rsidTr="00EA7F60">
        <w:tc>
          <w:tcPr>
            <w:tcW w:w="9180" w:type="dxa"/>
            <w:gridSpan w:val="11"/>
            <w:tcBorders>
              <w:top w:val="single" w:sz="4" w:space="0" w:color="FFFFFF"/>
              <w:left w:val="single" w:sz="4" w:space="0" w:color="auto"/>
              <w:bottom w:val="single" w:sz="4" w:space="0" w:color="auto"/>
            </w:tcBorders>
            <w:shd w:val="clear" w:color="auto" w:fill="FFFFFF"/>
          </w:tcPr>
          <w:p w14:paraId="3CF009B3" w14:textId="77777777" w:rsidR="00A417FF" w:rsidRPr="0074339B" w:rsidRDefault="00A417FF" w:rsidP="00EA7F60">
            <w:pPr>
              <w:rPr>
                <w:sz w:val="22"/>
                <w:szCs w:val="22"/>
                <w:lang w:eastAsia="sk-SK"/>
              </w:rPr>
            </w:pPr>
            <w:r w:rsidRPr="0074339B">
              <w:rPr>
                <w:sz w:val="22"/>
                <w:szCs w:val="22"/>
                <w:lang w:eastAsia="sk-SK"/>
              </w:rPr>
              <w:t>vláda Slovenskej republiky</w:t>
            </w:r>
          </w:p>
          <w:p w14:paraId="5FB0EA4C" w14:textId="77777777" w:rsidR="00A417FF" w:rsidRPr="0074339B" w:rsidRDefault="00A417FF" w:rsidP="00EA7F60">
            <w:pPr>
              <w:rPr>
                <w:sz w:val="20"/>
                <w:szCs w:val="20"/>
                <w:lang w:eastAsia="sk-SK"/>
              </w:rPr>
            </w:pPr>
          </w:p>
        </w:tc>
      </w:tr>
      <w:tr w:rsidR="00A417FF" w:rsidRPr="00612E08" w14:paraId="185681FB" w14:textId="77777777" w:rsidTr="00EA7F60">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632D9338" w14:textId="77777777" w:rsidR="00A417FF" w:rsidRPr="0074339B" w:rsidRDefault="00A417FF" w:rsidP="00EA7F60">
            <w:pPr>
              <w:spacing w:after="200" w:line="276" w:lineRule="auto"/>
              <w:ind w:left="142"/>
              <w:contextualSpacing/>
              <w:rPr>
                <w:rFonts w:eastAsia="Calibri"/>
                <w:b/>
                <w:sz w:val="22"/>
                <w:szCs w:val="22"/>
              </w:rPr>
            </w:pPr>
            <w:r w:rsidRPr="0074339B">
              <w:rPr>
                <w:rFonts w:eastAsia="Calibri"/>
                <w:b/>
                <w:sz w:val="22"/>
                <w:szCs w:val="22"/>
              </w:rPr>
              <w:t>Charakter predkladaného materiálu</w:t>
            </w:r>
          </w:p>
        </w:tc>
        <w:sdt>
          <w:sdtPr>
            <w:rPr>
              <w:sz w:val="22"/>
              <w:szCs w:val="22"/>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6675C074" w14:textId="77777777" w:rsidR="00A417FF" w:rsidRPr="0074339B" w:rsidRDefault="00A417FF" w:rsidP="00EA7F60">
                <w:pPr>
                  <w:jc w:val="center"/>
                  <w:rPr>
                    <w:sz w:val="22"/>
                    <w:szCs w:val="22"/>
                    <w:lang w:eastAsia="sk-SK"/>
                  </w:rPr>
                </w:pPr>
                <w:r w:rsidRPr="0074339B">
                  <w:rPr>
                    <w:rFonts w:ascii="Segoe UI Symbol" w:eastAsia="MS Gothic" w:hAnsi="Segoe UI Symbol" w:cs="Segoe UI Symbol"/>
                    <w:sz w:val="22"/>
                    <w:szCs w:val="22"/>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E651EAC" w14:textId="77777777" w:rsidR="00A417FF" w:rsidRPr="0074339B" w:rsidRDefault="00A417FF" w:rsidP="00EA7F60">
            <w:pPr>
              <w:rPr>
                <w:sz w:val="22"/>
                <w:szCs w:val="22"/>
                <w:lang w:eastAsia="sk-SK"/>
              </w:rPr>
            </w:pPr>
            <w:r w:rsidRPr="0074339B">
              <w:rPr>
                <w:sz w:val="22"/>
                <w:szCs w:val="22"/>
                <w:lang w:eastAsia="sk-SK"/>
              </w:rPr>
              <w:t>Materiál nelegislatívnej povahy</w:t>
            </w:r>
          </w:p>
        </w:tc>
      </w:tr>
      <w:tr w:rsidR="00A417FF" w:rsidRPr="00612E08" w14:paraId="0A729210" w14:textId="77777777" w:rsidTr="00EA7F60">
        <w:tc>
          <w:tcPr>
            <w:tcW w:w="4212" w:type="dxa"/>
            <w:gridSpan w:val="2"/>
            <w:vMerge/>
            <w:tcBorders>
              <w:top w:val="nil"/>
              <w:left w:val="single" w:sz="4" w:space="0" w:color="auto"/>
              <w:bottom w:val="single" w:sz="4" w:space="0" w:color="FFFFFF"/>
            </w:tcBorders>
            <w:shd w:val="clear" w:color="auto" w:fill="E2E2E2"/>
          </w:tcPr>
          <w:p w14:paraId="49C53753" w14:textId="77777777" w:rsidR="00A417FF" w:rsidRPr="0074339B" w:rsidRDefault="00A417FF" w:rsidP="00EA7F60">
            <w:pPr>
              <w:rPr>
                <w:sz w:val="22"/>
                <w:szCs w:val="22"/>
                <w:lang w:eastAsia="sk-SK"/>
              </w:rPr>
            </w:pPr>
          </w:p>
        </w:tc>
        <w:sdt>
          <w:sdtPr>
            <w:rPr>
              <w:sz w:val="22"/>
              <w:szCs w:val="22"/>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2DE84D62" w14:textId="77777777" w:rsidR="00A417FF" w:rsidRPr="0074339B" w:rsidRDefault="00A417FF" w:rsidP="00EA7F60">
                <w:pPr>
                  <w:jc w:val="center"/>
                  <w:rPr>
                    <w:sz w:val="22"/>
                    <w:szCs w:val="22"/>
                    <w:lang w:eastAsia="sk-SK"/>
                  </w:rPr>
                </w:pPr>
                <w:r w:rsidRPr="0074339B">
                  <w:rPr>
                    <w:rFonts w:ascii="Segoe UI Symbol" w:eastAsia="MS Gothic" w:hAnsi="Segoe UI Symbol" w:cs="Segoe UI Symbol"/>
                    <w:sz w:val="22"/>
                    <w:szCs w:val="22"/>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3ED8776" w14:textId="77777777" w:rsidR="00A417FF" w:rsidRPr="0074339B" w:rsidRDefault="00A417FF" w:rsidP="00EA7F60">
            <w:pPr>
              <w:ind w:left="175" w:hanging="175"/>
              <w:rPr>
                <w:sz w:val="22"/>
                <w:szCs w:val="22"/>
                <w:lang w:eastAsia="sk-SK"/>
              </w:rPr>
            </w:pPr>
            <w:r w:rsidRPr="0074339B">
              <w:rPr>
                <w:sz w:val="22"/>
                <w:szCs w:val="22"/>
                <w:lang w:eastAsia="sk-SK"/>
              </w:rPr>
              <w:t>Materiál legislatívnej povahy</w:t>
            </w:r>
          </w:p>
        </w:tc>
      </w:tr>
      <w:tr w:rsidR="00A417FF" w:rsidRPr="00612E08" w14:paraId="789A3659" w14:textId="77777777" w:rsidTr="00EA7F60">
        <w:tc>
          <w:tcPr>
            <w:tcW w:w="4212" w:type="dxa"/>
            <w:gridSpan w:val="2"/>
            <w:vMerge/>
            <w:tcBorders>
              <w:top w:val="nil"/>
              <w:left w:val="single" w:sz="4" w:space="0" w:color="auto"/>
              <w:bottom w:val="single" w:sz="4" w:space="0" w:color="auto"/>
            </w:tcBorders>
            <w:shd w:val="clear" w:color="auto" w:fill="E2E2E2"/>
          </w:tcPr>
          <w:p w14:paraId="685A1B45" w14:textId="77777777" w:rsidR="00A417FF" w:rsidRPr="0074339B" w:rsidRDefault="00A417FF" w:rsidP="00EA7F60">
            <w:pPr>
              <w:rPr>
                <w:sz w:val="22"/>
                <w:szCs w:val="22"/>
                <w:lang w:eastAsia="sk-SK"/>
              </w:rPr>
            </w:pPr>
          </w:p>
        </w:tc>
        <w:sdt>
          <w:sdtPr>
            <w:rPr>
              <w:sz w:val="22"/>
              <w:szCs w:val="22"/>
              <w:lang w:eastAsia="sk-SK"/>
            </w:rPr>
            <w:id w:val="-1821804044"/>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63D50D64" w14:textId="77777777" w:rsidR="00A417FF" w:rsidRPr="0074339B" w:rsidRDefault="00A417FF" w:rsidP="00EA7F60">
                <w:pPr>
                  <w:jc w:val="center"/>
                  <w:rPr>
                    <w:sz w:val="22"/>
                    <w:szCs w:val="22"/>
                    <w:lang w:eastAsia="sk-SK"/>
                  </w:rPr>
                </w:pPr>
                <w:r w:rsidRPr="0074339B">
                  <w:rPr>
                    <w:rFonts w:ascii="Segoe UI Symbol" w:eastAsia="MS Gothic" w:hAnsi="Segoe UI Symbol" w:cs="Segoe UI Symbol"/>
                    <w:sz w:val="22"/>
                    <w:szCs w:val="22"/>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F6FA1AC" w14:textId="77777777" w:rsidR="00A417FF" w:rsidRPr="0074339B" w:rsidRDefault="00A417FF" w:rsidP="00EA7F60">
            <w:pPr>
              <w:rPr>
                <w:sz w:val="22"/>
                <w:szCs w:val="22"/>
                <w:lang w:eastAsia="sk-SK"/>
              </w:rPr>
            </w:pPr>
            <w:r w:rsidRPr="0074339B">
              <w:rPr>
                <w:sz w:val="22"/>
                <w:szCs w:val="22"/>
                <w:lang w:eastAsia="sk-SK"/>
              </w:rPr>
              <w:t>Transpozícia/ implementácia práva EÚ</w:t>
            </w:r>
          </w:p>
        </w:tc>
      </w:tr>
      <w:tr w:rsidR="00A417FF" w:rsidRPr="00612E08" w14:paraId="740FD197" w14:textId="77777777" w:rsidTr="00EA7F60">
        <w:tc>
          <w:tcPr>
            <w:tcW w:w="9180" w:type="dxa"/>
            <w:gridSpan w:val="11"/>
            <w:tcBorders>
              <w:top w:val="single" w:sz="4" w:space="0" w:color="auto"/>
              <w:left w:val="single" w:sz="4" w:space="0" w:color="auto"/>
              <w:bottom w:val="single" w:sz="4" w:space="0" w:color="FFFFFF"/>
            </w:tcBorders>
            <w:shd w:val="clear" w:color="auto" w:fill="FFFFFF"/>
          </w:tcPr>
          <w:p w14:paraId="4F23DFB4" w14:textId="77777777" w:rsidR="00A417FF" w:rsidRPr="0074339B" w:rsidRDefault="00A417FF" w:rsidP="00EA7F60">
            <w:pPr>
              <w:rPr>
                <w:i/>
                <w:sz w:val="20"/>
                <w:szCs w:val="20"/>
                <w:lang w:eastAsia="sk-SK"/>
              </w:rPr>
            </w:pPr>
            <w:r w:rsidRPr="0074339B">
              <w:rPr>
                <w:i/>
                <w:sz w:val="20"/>
                <w:szCs w:val="20"/>
                <w:lang w:eastAsia="sk-SK"/>
              </w:rPr>
              <w:t>V prípade transpozície/implementácie uveďte zoznam transponovaných/implementovaných predpisov:</w:t>
            </w:r>
          </w:p>
          <w:p w14:paraId="2E49E178" w14:textId="77777777" w:rsidR="00A417FF" w:rsidRPr="0074339B" w:rsidRDefault="00A417FF" w:rsidP="00EA7F60">
            <w:pPr>
              <w:rPr>
                <w:sz w:val="20"/>
                <w:szCs w:val="20"/>
                <w:lang w:eastAsia="sk-SK"/>
              </w:rPr>
            </w:pPr>
          </w:p>
          <w:p w14:paraId="635B93B4" w14:textId="77777777" w:rsidR="00A417FF" w:rsidRPr="0074339B" w:rsidRDefault="00A417FF" w:rsidP="00EA7F60">
            <w:pPr>
              <w:rPr>
                <w:sz w:val="22"/>
                <w:szCs w:val="22"/>
                <w:lang w:eastAsia="sk-SK"/>
              </w:rPr>
            </w:pPr>
            <w:r w:rsidRPr="0074339B">
              <w:rPr>
                <w:sz w:val="22"/>
                <w:szCs w:val="22"/>
                <w:lang w:eastAsia="sk-SK"/>
              </w:rPr>
              <w:t>Smernica (EÚ) 2024/790, z 28. februára 2024, ktorou sa mení smernica 2014/65/EÚ o trhoch s finančnými nástrojmi.</w:t>
            </w:r>
          </w:p>
          <w:p w14:paraId="4B3E5BCC" w14:textId="77777777" w:rsidR="00A417FF" w:rsidRPr="0074339B" w:rsidRDefault="00A417FF" w:rsidP="00EA7F60">
            <w:pPr>
              <w:rPr>
                <w:sz w:val="22"/>
                <w:szCs w:val="22"/>
                <w:lang w:eastAsia="sk-SK"/>
              </w:rPr>
            </w:pPr>
            <w:r w:rsidRPr="0074339B">
              <w:rPr>
                <w:sz w:val="22"/>
                <w:szCs w:val="22"/>
                <w:lang w:eastAsia="sk-SK"/>
              </w:rPr>
              <w:t>Smernica (EÚ) 2024/2811 z 23. októbra 2024, ktorou sa mení smernica 2014/65/EÚ s cieľom zatraktívniť verejné kapitálové trhy v Únii pre spoločnosti a uľahčiť malým a stredným podnikom prístup ku kapitálu a ktorou sa zrušuje smernica 2001/34/ES.</w:t>
            </w:r>
          </w:p>
          <w:p w14:paraId="3254812B" w14:textId="77777777" w:rsidR="00A417FF" w:rsidRPr="0074339B" w:rsidRDefault="00A417FF" w:rsidP="00EA7F60">
            <w:pPr>
              <w:rPr>
                <w:sz w:val="22"/>
                <w:szCs w:val="22"/>
                <w:lang w:eastAsia="sk-SK"/>
              </w:rPr>
            </w:pPr>
            <w:r w:rsidRPr="0074339B">
              <w:rPr>
                <w:sz w:val="22"/>
                <w:szCs w:val="22"/>
                <w:lang w:eastAsia="sk-SK"/>
              </w:rPr>
              <w:t xml:space="preserve">Smernica (EÚ) 2024/2994 z 27. novembra 2024, ktorou sa menia smernice 2009/65/ES, 2013/36/EÚ a (EÚ) 2019/3034, pokiaľ ide o zaobchádzanie s rizikom koncentrácie vyplývajúcim z expozícií voči centrálnym protistranám a s rizikom protistrany pri centrálne zúčtovávaných transakciách s derivátmi.     </w:t>
            </w:r>
          </w:p>
          <w:p w14:paraId="6EEC2336" w14:textId="77777777" w:rsidR="00A417FF" w:rsidRPr="0074339B" w:rsidRDefault="00A417FF" w:rsidP="00EA7F60">
            <w:pPr>
              <w:rPr>
                <w:sz w:val="20"/>
                <w:szCs w:val="20"/>
                <w:lang w:eastAsia="sk-SK"/>
              </w:rPr>
            </w:pPr>
          </w:p>
        </w:tc>
      </w:tr>
      <w:tr w:rsidR="00A417FF" w:rsidRPr="00612E08" w14:paraId="3D30CD13" w14:textId="77777777" w:rsidTr="00EA7F60">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1DE87B2E" w14:textId="77777777" w:rsidR="00A417FF" w:rsidRPr="0074339B" w:rsidRDefault="00A417FF" w:rsidP="00EA7F60">
            <w:pPr>
              <w:spacing w:after="200" w:line="276" w:lineRule="auto"/>
              <w:ind w:left="142"/>
              <w:contextualSpacing/>
              <w:rPr>
                <w:rFonts w:eastAsia="Calibri"/>
                <w:b/>
                <w:sz w:val="22"/>
                <w:szCs w:val="22"/>
              </w:rPr>
            </w:pPr>
            <w:r w:rsidRPr="0074339B">
              <w:rPr>
                <w:rFonts w:eastAsia="Calibri"/>
                <w:b/>
                <w:sz w:val="22"/>
                <w:szCs w:val="22"/>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ACA47C8" w14:textId="77777777" w:rsidR="00A417FF" w:rsidRPr="0074339B" w:rsidRDefault="00A417FF" w:rsidP="00EA7F60">
            <w:pPr>
              <w:rPr>
                <w:i/>
                <w:sz w:val="22"/>
                <w:szCs w:val="22"/>
                <w:lang w:eastAsia="sk-SK"/>
              </w:rPr>
            </w:pPr>
          </w:p>
        </w:tc>
      </w:tr>
      <w:tr w:rsidR="00A417FF" w:rsidRPr="00612E08" w14:paraId="51B04B9E" w14:textId="77777777" w:rsidTr="00EA7F6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43830D7" w14:textId="77777777" w:rsidR="00A417FF" w:rsidRPr="0074339B" w:rsidRDefault="00A417FF" w:rsidP="00EA7F60">
            <w:pPr>
              <w:spacing w:after="200" w:line="276" w:lineRule="auto"/>
              <w:ind w:left="142"/>
              <w:contextualSpacing/>
              <w:rPr>
                <w:rFonts w:eastAsia="Calibri"/>
                <w:b/>
                <w:sz w:val="22"/>
                <w:szCs w:val="22"/>
              </w:rPr>
            </w:pPr>
            <w:r w:rsidRPr="0074339B">
              <w:rPr>
                <w:rFonts w:eastAsia="Calibri"/>
                <w:b/>
                <w:sz w:val="22"/>
                <w:szCs w:val="22"/>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4AB660E7" w14:textId="77777777" w:rsidR="00A417FF" w:rsidRPr="0074339B" w:rsidRDefault="00A417FF" w:rsidP="00EA7F60">
            <w:pPr>
              <w:rPr>
                <w:i/>
                <w:sz w:val="22"/>
                <w:szCs w:val="22"/>
                <w:lang w:eastAsia="sk-SK"/>
              </w:rPr>
            </w:pPr>
            <w:r w:rsidRPr="0074339B">
              <w:rPr>
                <w:i/>
                <w:sz w:val="22"/>
                <w:szCs w:val="22"/>
                <w:lang w:eastAsia="sk-SK"/>
              </w:rPr>
              <w:t>Február 2025</w:t>
            </w:r>
          </w:p>
        </w:tc>
      </w:tr>
      <w:tr w:rsidR="00A417FF" w:rsidRPr="00612E08" w14:paraId="09C9C19F" w14:textId="77777777" w:rsidTr="00EA7F60">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351D419" w14:textId="77777777" w:rsidR="00A417FF" w:rsidRPr="0074339B" w:rsidRDefault="00A417FF" w:rsidP="00EA7F60">
            <w:pPr>
              <w:spacing w:line="276" w:lineRule="auto"/>
              <w:ind w:left="142"/>
              <w:contextualSpacing/>
              <w:rPr>
                <w:rFonts w:eastAsia="Calibri"/>
                <w:b/>
                <w:sz w:val="22"/>
                <w:szCs w:val="22"/>
              </w:rPr>
            </w:pPr>
            <w:r w:rsidRPr="0074339B">
              <w:rPr>
                <w:rFonts w:eastAsia="Calibri"/>
                <w:b/>
                <w:sz w:val="22"/>
                <w:szCs w:val="22"/>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2542ABE9" w14:textId="77777777" w:rsidR="00A417FF" w:rsidRPr="0074339B" w:rsidRDefault="00A417FF" w:rsidP="00EA7F60">
            <w:pPr>
              <w:rPr>
                <w:i/>
                <w:sz w:val="22"/>
                <w:szCs w:val="22"/>
                <w:lang w:eastAsia="sk-SK"/>
              </w:rPr>
            </w:pPr>
          </w:p>
        </w:tc>
      </w:tr>
      <w:tr w:rsidR="00A417FF" w:rsidRPr="00612E08" w14:paraId="3D4DF15F" w14:textId="77777777" w:rsidTr="00EA7F6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C15982D" w14:textId="77777777" w:rsidR="00A417FF" w:rsidRPr="0074339B" w:rsidRDefault="00A417FF" w:rsidP="00EA7F60">
            <w:pPr>
              <w:spacing w:after="200" w:line="276" w:lineRule="auto"/>
              <w:ind w:left="142"/>
              <w:contextualSpacing/>
              <w:jc w:val="both"/>
              <w:rPr>
                <w:rFonts w:eastAsia="Calibri"/>
                <w:b/>
                <w:sz w:val="22"/>
                <w:szCs w:val="22"/>
              </w:rPr>
            </w:pPr>
            <w:r w:rsidRPr="0074339B">
              <w:rPr>
                <w:rFonts w:eastAsia="Calibri"/>
                <w:b/>
                <w:sz w:val="22"/>
                <w:szCs w:val="22"/>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037BBEA8" w14:textId="77777777" w:rsidR="00A417FF" w:rsidRPr="0074339B" w:rsidRDefault="00A417FF" w:rsidP="00EA7F60">
            <w:pPr>
              <w:rPr>
                <w:i/>
                <w:sz w:val="22"/>
                <w:szCs w:val="22"/>
                <w:lang w:eastAsia="sk-SK"/>
              </w:rPr>
            </w:pPr>
            <w:r w:rsidRPr="0074339B">
              <w:rPr>
                <w:i/>
                <w:sz w:val="22"/>
                <w:szCs w:val="22"/>
                <w:lang w:eastAsia="sk-SK"/>
              </w:rPr>
              <w:t>Apríl 2025</w:t>
            </w:r>
          </w:p>
        </w:tc>
      </w:tr>
      <w:tr w:rsidR="00A417FF" w:rsidRPr="00612E08" w14:paraId="760C7D16" w14:textId="77777777" w:rsidTr="00EA7F60">
        <w:tc>
          <w:tcPr>
            <w:tcW w:w="9180" w:type="dxa"/>
            <w:gridSpan w:val="11"/>
            <w:tcBorders>
              <w:top w:val="single" w:sz="4" w:space="0" w:color="auto"/>
              <w:left w:val="nil"/>
              <w:bottom w:val="single" w:sz="4" w:space="0" w:color="auto"/>
              <w:right w:val="nil"/>
            </w:tcBorders>
            <w:shd w:val="clear" w:color="auto" w:fill="FFFFFF"/>
          </w:tcPr>
          <w:p w14:paraId="7231A825" w14:textId="77777777" w:rsidR="00A417FF" w:rsidRPr="0074339B" w:rsidRDefault="00A417FF" w:rsidP="00EA7F60">
            <w:pPr>
              <w:rPr>
                <w:sz w:val="20"/>
                <w:szCs w:val="20"/>
                <w:lang w:eastAsia="sk-SK"/>
              </w:rPr>
            </w:pPr>
          </w:p>
        </w:tc>
      </w:tr>
      <w:tr w:rsidR="00A417FF" w:rsidRPr="00612E08" w14:paraId="070B8928" w14:textId="77777777" w:rsidTr="00EA7F6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827B9B0" w14:textId="77777777" w:rsidR="00A417FF" w:rsidRPr="0074339B" w:rsidRDefault="00A417FF" w:rsidP="00A417FF">
            <w:pPr>
              <w:numPr>
                <w:ilvl w:val="0"/>
                <w:numId w:val="2"/>
              </w:numPr>
              <w:ind w:left="426"/>
              <w:contextualSpacing/>
              <w:rPr>
                <w:rFonts w:eastAsia="Calibri"/>
                <w:b/>
                <w:sz w:val="22"/>
                <w:szCs w:val="22"/>
              </w:rPr>
            </w:pPr>
            <w:r w:rsidRPr="0074339B">
              <w:rPr>
                <w:rFonts w:eastAsia="Calibri"/>
                <w:b/>
                <w:sz w:val="22"/>
                <w:szCs w:val="22"/>
              </w:rPr>
              <w:t>Definovanie problému</w:t>
            </w:r>
          </w:p>
        </w:tc>
      </w:tr>
      <w:tr w:rsidR="00A417FF" w:rsidRPr="00612E08" w14:paraId="64185BAB" w14:textId="77777777" w:rsidTr="00EA7F60">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0996C71" w14:textId="77777777" w:rsidR="00A417FF" w:rsidRPr="0074339B" w:rsidRDefault="00A417FF" w:rsidP="00EA7F60">
            <w:pPr>
              <w:jc w:val="both"/>
              <w:rPr>
                <w:i/>
                <w:sz w:val="22"/>
                <w:szCs w:val="22"/>
                <w:lang w:eastAsia="sk-SK"/>
              </w:rPr>
            </w:pPr>
            <w:r w:rsidRPr="0074339B">
              <w:rPr>
                <w:i/>
                <w:sz w:val="22"/>
                <w:szCs w:val="22"/>
                <w:lang w:eastAsia="sk-SK"/>
              </w:rPr>
              <w:t>Uveďte základné problémy, ktoré sú dôvodom vypracovania predkladaného  materiálu (dôvody majú presne poukázať na problém, ktorý existuje a je nutné ho predloženým materiálom riešiť).</w:t>
            </w:r>
          </w:p>
          <w:p w14:paraId="78E20BA1" w14:textId="77777777" w:rsidR="00A417FF" w:rsidRPr="0074339B" w:rsidRDefault="00A417FF" w:rsidP="00EA7F60">
            <w:pPr>
              <w:jc w:val="both"/>
              <w:rPr>
                <w:i/>
                <w:sz w:val="22"/>
                <w:szCs w:val="22"/>
                <w:lang w:eastAsia="sk-SK"/>
              </w:rPr>
            </w:pPr>
          </w:p>
          <w:p w14:paraId="12E524DD" w14:textId="77777777" w:rsidR="00A417FF" w:rsidRPr="0074339B" w:rsidRDefault="00A417FF" w:rsidP="00EA7F60">
            <w:pPr>
              <w:jc w:val="both"/>
              <w:rPr>
                <w:sz w:val="22"/>
                <w:szCs w:val="22"/>
                <w:lang w:eastAsia="sk-SK"/>
              </w:rPr>
            </w:pPr>
            <w:r w:rsidRPr="0074339B">
              <w:rPr>
                <w:sz w:val="22"/>
                <w:szCs w:val="22"/>
                <w:lang w:eastAsia="sk-SK"/>
              </w:rPr>
              <w:t>Cieľom návrhu zákona je:</w:t>
            </w:r>
          </w:p>
          <w:p w14:paraId="7BC3F20C" w14:textId="77777777" w:rsidR="00A417FF" w:rsidRPr="0074339B" w:rsidRDefault="00A417FF" w:rsidP="00A417FF">
            <w:pPr>
              <w:pStyle w:val="Odsekzoznamu"/>
              <w:numPr>
                <w:ilvl w:val="0"/>
                <w:numId w:val="3"/>
              </w:numPr>
              <w:spacing w:after="0" w:line="240" w:lineRule="auto"/>
              <w:jc w:val="both"/>
              <w:rPr>
                <w:rFonts w:ascii="Times New Roman" w:hAnsi="Times New Roman" w:cs="Times New Roman"/>
              </w:rPr>
            </w:pPr>
            <w:r w:rsidRPr="0074339B">
              <w:rPr>
                <w:rFonts w:ascii="Times New Roman" w:hAnsi="Times New Roman" w:cs="Times New Roman"/>
              </w:rPr>
              <w:t xml:space="preserve">transpozícia smernice (EÚ) 2024/790, ktorou sa mení smernica 2014/65/EÚ o trhoch s finančnými nástrojmi. Touto smernicou (EÚ) sa odstraňujú identifikované prekážky, ktoré bránili rozvoju regulovaných trhov v EÚ, zavádza sa </w:t>
            </w:r>
            <w:proofErr w:type="spellStart"/>
            <w:r w:rsidRPr="0074339B">
              <w:rPr>
                <w:rFonts w:ascii="Times New Roman" w:hAnsi="Times New Roman" w:cs="Times New Roman"/>
              </w:rPr>
              <w:t>opt</w:t>
            </w:r>
            <w:proofErr w:type="spellEnd"/>
            <w:r w:rsidRPr="0074339B">
              <w:rPr>
                <w:rFonts w:ascii="Times New Roman" w:hAnsi="Times New Roman" w:cs="Times New Roman"/>
              </w:rPr>
              <w:t xml:space="preserve">-in režim systematického </w:t>
            </w:r>
            <w:proofErr w:type="spellStart"/>
            <w:r w:rsidRPr="0074339B">
              <w:rPr>
                <w:rFonts w:ascii="Times New Roman" w:hAnsi="Times New Roman" w:cs="Times New Roman"/>
              </w:rPr>
              <w:t>internalizátora</w:t>
            </w:r>
            <w:proofErr w:type="spellEnd"/>
            <w:r w:rsidRPr="0074339B">
              <w:rPr>
                <w:rFonts w:ascii="Times New Roman" w:hAnsi="Times New Roman" w:cs="Times New Roman"/>
              </w:rPr>
              <w:t xml:space="preserve">, upravujú sa informačné povinnosti obchodníkov s cennými papiermi voči ich klientom o mieste vykonania pokynu, zavádza sa požiadavka na zabezpečenie plnenia noriem kvality údajov zasielaných poskytovateľovi konsolidovaného systému, spresňuje sa možnosť dočasne pozastaviť alebo obmedziť obchodovanie na regulovanom trhu, spresňuje sa mechanizmus kontroly nad riadením pozícií v komoditných derivátoch a derivátoch na emisné kvóty, a dopĺňa sa sankčný režim. Súbežne s touto smernicou bolo prijaté nariadenie (EÚ) 2024/791, ktorým s odstraňujú prekážky brániace vzniku konsolidovaného informačného systému, do ktorého budú povinne prispievať svojimi údajmi dotknuté trhové subjekty.   </w:t>
            </w:r>
          </w:p>
          <w:p w14:paraId="2729A64E" w14:textId="77777777" w:rsidR="00A417FF" w:rsidRPr="0074339B" w:rsidRDefault="00A417FF" w:rsidP="00A417FF">
            <w:pPr>
              <w:pStyle w:val="Odsekzoznamu"/>
              <w:numPr>
                <w:ilvl w:val="0"/>
                <w:numId w:val="3"/>
              </w:numPr>
              <w:spacing w:after="0" w:line="240" w:lineRule="auto"/>
              <w:jc w:val="both"/>
              <w:rPr>
                <w:rFonts w:ascii="Times New Roman" w:hAnsi="Times New Roman" w:cs="Times New Roman"/>
              </w:rPr>
            </w:pPr>
            <w:r w:rsidRPr="0074339B">
              <w:rPr>
                <w:rFonts w:ascii="Times New Roman" w:hAnsi="Times New Roman" w:cs="Times New Roman"/>
                <w:bCs/>
                <w:shd w:val="clear" w:color="auto" w:fill="FFFFFF"/>
              </w:rPr>
              <w:t xml:space="preserve">transpozícia smernice (EÚ) 2024/2811 z 23. októbra 2024, ktorou sa mení smernica 2014/65/EÚ s cieľom zatraktívniť verejné kapitálové trhy v Únii pre spoločnosti a uľahčiť malým a stredným podnikom prístup ku kapitálu a ktorou sa zrušuje smernica 2001/34/ES. Cieľom smernice je </w:t>
            </w:r>
            <w:r w:rsidRPr="0074339B">
              <w:rPr>
                <w:rFonts w:ascii="Times New Roman" w:hAnsi="Times New Roman" w:cs="Times New Roman"/>
                <w:shd w:val="clear" w:color="auto" w:fill="FFFFFF"/>
              </w:rPr>
              <w:lastRenderedPageBreak/>
              <w:t>stanoviť podmienky pre poskytovanie investičného prieskumu tretími stranami investičným spoločnostiam poskytujúcim správu portfólia a tým zatraktívniť malé a stredné spoločnosti z hľadiska investorov</w:t>
            </w:r>
            <w:r w:rsidRPr="0074339B">
              <w:rPr>
                <w:rFonts w:ascii="Times New Roman" w:hAnsi="Times New Roman" w:cs="Times New Roman"/>
                <w:color w:val="333333"/>
                <w:shd w:val="clear" w:color="auto" w:fill="FFFFFF"/>
              </w:rPr>
              <w:t>.   </w:t>
            </w:r>
            <w:r w:rsidRPr="0074339B">
              <w:rPr>
                <w:rFonts w:ascii="Times New Roman" w:hAnsi="Times New Roman" w:cs="Times New Roman"/>
                <w:bCs/>
                <w:color w:val="333333"/>
                <w:shd w:val="clear" w:color="auto" w:fill="FFFFFF"/>
              </w:rPr>
              <w:t xml:space="preserve">   </w:t>
            </w:r>
          </w:p>
          <w:p w14:paraId="03DDC034" w14:textId="77777777" w:rsidR="00A417FF" w:rsidRPr="0074339B" w:rsidRDefault="00A417FF" w:rsidP="00A417FF">
            <w:pPr>
              <w:pStyle w:val="Odsekzoznamu"/>
              <w:numPr>
                <w:ilvl w:val="0"/>
                <w:numId w:val="3"/>
              </w:numPr>
              <w:spacing w:after="0" w:line="240" w:lineRule="auto"/>
              <w:jc w:val="both"/>
              <w:rPr>
                <w:rFonts w:ascii="Times New Roman" w:hAnsi="Times New Roman" w:cs="Times New Roman"/>
              </w:rPr>
            </w:pPr>
            <w:r w:rsidRPr="0074339B">
              <w:rPr>
                <w:rFonts w:ascii="Times New Roman" w:hAnsi="Times New Roman" w:cs="Times New Roman"/>
                <w:bCs/>
                <w:shd w:val="clear" w:color="auto" w:fill="FFFFFF"/>
              </w:rPr>
              <w:t>Transpozícia smernice (EÚ) 2024/2994 z 27. novembra 2024, ktorou sa menia smernice 2009/65/ES, 2013/36/EÚ a (EÚ) 2019/2034, pokiaľ ide o zaobchádzanie s rizikom koncentrácie vyplývajúcim z expozícií voči centrálnym protistranám a s rizikom protistrany pri centrálne zúčtovávaných transakciách s derivátmi. K</w:t>
            </w:r>
            <w:r w:rsidRPr="0074339B">
              <w:rPr>
                <w:rFonts w:ascii="Times New Roman" w:hAnsi="Times New Roman" w:cs="Times New Roman"/>
                <w:shd w:val="clear" w:color="auto" w:fill="FFFFFF"/>
              </w:rPr>
              <w:t>eďže mechanizmy centrálneho zúčtovania zmierňujú riziko protistrany, ktoré je obsiahnuté v zmluvách o derivátoch, pri určovaní uplatniteľných limitov pre riziko protistrany treba zohľadniť, či derivát centrálne zúčtovala centrálna protistrana, ktorej bolo udelené povolenie alebo ktorá bola uznaná v súlade s nariadením (EÚ) č. 648/2012, a vytvoriť rovnaké podmienky pre deriváty obchodované na burze a mimoburzové deriváty.</w:t>
            </w:r>
          </w:p>
          <w:p w14:paraId="6D233167" w14:textId="77777777" w:rsidR="00A417FF" w:rsidRPr="0074339B" w:rsidRDefault="00A417FF" w:rsidP="00A417FF">
            <w:pPr>
              <w:pStyle w:val="Odsekzoznamu"/>
              <w:numPr>
                <w:ilvl w:val="0"/>
                <w:numId w:val="3"/>
              </w:numPr>
              <w:spacing w:after="0" w:line="240" w:lineRule="auto"/>
              <w:jc w:val="both"/>
              <w:rPr>
                <w:rFonts w:ascii="Times New Roman" w:hAnsi="Times New Roman" w:cs="Times New Roman"/>
              </w:rPr>
            </w:pPr>
            <w:r w:rsidRPr="0074339B">
              <w:rPr>
                <w:rFonts w:ascii="Times New Roman" w:hAnsi="Times New Roman" w:cs="Times New Roman"/>
              </w:rPr>
              <w:t xml:space="preserve">Do zákona sa tiež zavádzajú niektoré ustanovenia, ktorých účelom je odstránenie nedostatkov s ohľadom na poznatky z praxe.       </w:t>
            </w:r>
          </w:p>
          <w:p w14:paraId="7A2B2431" w14:textId="77777777" w:rsidR="00A417FF" w:rsidRPr="0074339B" w:rsidRDefault="00A417FF" w:rsidP="00EA7F60">
            <w:pPr>
              <w:rPr>
                <w:b/>
                <w:sz w:val="22"/>
                <w:szCs w:val="22"/>
                <w:lang w:eastAsia="sk-SK"/>
              </w:rPr>
            </w:pPr>
          </w:p>
        </w:tc>
      </w:tr>
      <w:tr w:rsidR="00A417FF" w:rsidRPr="00612E08" w14:paraId="2689CA5E" w14:textId="77777777" w:rsidTr="00EA7F60">
        <w:tc>
          <w:tcPr>
            <w:tcW w:w="9180" w:type="dxa"/>
            <w:gridSpan w:val="11"/>
            <w:tcBorders>
              <w:top w:val="single" w:sz="4" w:space="0" w:color="auto"/>
              <w:left w:val="single" w:sz="4" w:space="0" w:color="auto"/>
              <w:bottom w:val="nil"/>
              <w:right w:val="single" w:sz="4" w:space="0" w:color="auto"/>
            </w:tcBorders>
            <w:shd w:val="clear" w:color="auto" w:fill="E2E2E2"/>
          </w:tcPr>
          <w:p w14:paraId="1581904E" w14:textId="77777777" w:rsidR="00A417FF" w:rsidRPr="0074339B" w:rsidRDefault="00A417FF" w:rsidP="00A417FF">
            <w:pPr>
              <w:numPr>
                <w:ilvl w:val="0"/>
                <w:numId w:val="2"/>
              </w:numPr>
              <w:ind w:left="426"/>
              <w:contextualSpacing/>
              <w:rPr>
                <w:rFonts w:eastAsia="Calibri"/>
                <w:b/>
                <w:sz w:val="22"/>
                <w:szCs w:val="22"/>
              </w:rPr>
            </w:pPr>
            <w:r w:rsidRPr="0074339B">
              <w:rPr>
                <w:rFonts w:eastAsia="Calibri"/>
                <w:b/>
                <w:sz w:val="22"/>
                <w:szCs w:val="22"/>
              </w:rPr>
              <w:lastRenderedPageBreak/>
              <w:t>Ciele a výsledný stav</w:t>
            </w:r>
          </w:p>
        </w:tc>
      </w:tr>
      <w:tr w:rsidR="00A417FF" w:rsidRPr="00612E08" w14:paraId="33D4918D" w14:textId="77777777" w:rsidTr="00EA7F60">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0F253D50" w14:textId="77777777" w:rsidR="00A417FF" w:rsidRPr="0074339B" w:rsidRDefault="00A417FF" w:rsidP="00EA7F60">
            <w:pPr>
              <w:rPr>
                <w:i/>
                <w:sz w:val="20"/>
                <w:szCs w:val="20"/>
                <w:lang w:eastAsia="sk-SK"/>
              </w:rPr>
            </w:pPr>
            <w:r w:rsidRPr="0074339B">
              <w:rPr>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22ADCC47" w14:textId="77777777" w:rsidR="00A417FF" w:rsidRPr="0074339B" w:rsidRDefault="00A417FF" w:rsidP="00EA7F60">
            <w:pPr>
              <w:rPr>
                <w:i/>
                <w:sz w:val="22"/>
                <w:szCs w:val="22"/>
                <w:lang w:eastAsia="sk-SK"/>
              </w:rPr>
            </w:pPr>
          </w:p>
          <w:p w14:paraId="00828BB3" w14:textId="77777777" w:rsidR="00A417FF" w:rsidRPr="0074339B" w:rsidRDefault="00A417FF" w:rsidP="00EA7F60">
            <w:pPr>
              <w:rPr>
                <w:sz w:val="22"/>
                <w:szCs w:val="22"/>
                <w:lang w:eastAsia="sk-SK"/>
              </w:rPr>
            </w:pPr>
            <w:r w:rsidRPr="0074339B">
              <w:rPr>
                <w:sz w:val="22"/>
                <w:szCs w:val="22"/>
                <w:lang w:eastAsia="sk-SK"/>
              </w:rPr>
              <w:t xml:space="preserve">Hlavným cieľom je úplná transpozícia smerníc (EÚ). </w:t>
            </w:r>
          </w:p>
          <w:p w14:paraId="2B360594" w14:textId="77777777" w:rsidR="00A417FF" w:rsidRPr="0074339B" w:rsidRDefault="00A417FF" w:rsidP="00EA7F60">
            <w:pPr>
              <w:rPr>
                <w:i/>
                <w:sz w:val="22"/>
                <w:szCs w:val="22"/>
                <w:lang w:eastAsia="sk-SK"/>
              </w:rPr>
            </w:pPr>
            <w:r w:rsidRPr="0074339B">
              <w:rPr>
                <w:sz w:val="22"/>
                <w:szCs w:val="22"/>
              </w:rPr>
              <w:t xml:space="preserve">Smernica (EÚ) 2024/790 z 28. februára 2024 zavádza podmienky pre vytvorenie konsolidovaného systému zberu trhových údajov, dôsledkom čoho budú mať investori prehľad o obchodovaní s finančnými nástrojmi na všetkých európskych kapitálových trhoch. </w:t>
            </w:r>
            <w:r w:rsidRPr="0074339B">
              <w:rPr>
                <w:sz w:val="22"/>
                <w:szCs w:val="22"/>
              </w:rPr>
              <w:br/>
            </w:r>
            <w:r w:rsidRPr="0074339B">
              <w:rPr>
                <w:sz w:val="22"/>
                <w:szCs w:val="22"/>
              </w:rPr>
              <w:br/>
              <w:t xml:space="preserve">Smernica (EÚ) 2024/2811 z 23. októbra 2024 (Listing </w:t>
            </w:r>
            <w:proofErr w:type="spellStart"/>
            <w:r w:rsidRPr="0074339B">
              <w:rPr>
                <w:sz w:val="22"/>
                <w:szCs w:val="22"/>
              </w:rPr>
              <w:t>package</w:t>
            </w:r>
            <w:proofErr w:type="spellEnd"/>
            <w:r w:rsidRPr="0074339B">
              <w:rPr>
                <w:sz w:val="22"/>
                <w:szCs w:val="22"/>
              </w:rPr>
              <w:t xml:space="preserve">), má za cieľ zatraktívniť verejné kapitálové trhy v Únii pre spoločnosti a uľahčiť malým a stredným podnikom prístup ku kapitálu. Upravuje podmienky pre zabezpečenie vyššej atraktivity malých a stredných podnikov z hľadiska investorov prostredníctvom požiadaviek na podmienky vypracúvania a šírenia investičného prieskumu. </w:t>
            </w:r>
            <w:r w:rsidRPr="0074339B">
              <w:rPr>
                <w:sz w:val="22"/>
                <w:szCs w:val="22"/>
              </w:rPr>
              <w:br/>
            </w:r>
            <w:r w:rsidRPr="0074339B">
              <w:rPr>
                <w:sz w:val="22"/>
                <w:szCs w:val="22"/>
              </w:rPr>
              <w:br/>
              <w:t>Smernica (EÚ) 2024/2994 z 27. novembra 2024, pokiaľ ide o zaobchádzanie s rizikom koncentrácie vyplývajúcim z expozícií voči centrálnym protistranám a s rizikom protistrany pri centrálne zúčtovávaných transakciách s derivátmi, vytvára rovnaké podmienky pre deriváty obchodované na burze a mimoburzové deriváty. Obchodník s cennými papiermi je povinný riadiť expozície voči centrálnej protistrane, a v prípade potreby sa vytvára možnosť vyžadovať zníženie nadmernej expozície voči centrálnej protistrane.</w:t>
            </w:r>
          </w:p>
          <w:p w14:paraId="5280D768" w14:textId="77777777" w:rsidR="00A417FF" w:rsidRPr="0074339B" w:rsidRDefault="00A417FF" w:rsidP="00EA7F60">
            <w:pPr>
              <w:rPr>
                <w:sz w:val="22"/>
                <w:szCs w:val="22"/>
                <w:lang w:eastAsia="sk-SK"/>
              </w:rPr>
            </w:pPr>
          </w:p>
        </w:tc>
      </w:tr>
      <w:tr w:rsidR="00A417FF" w:rsidRPr="0074339B" w14:paraId="521D99AA" w14:textId="77777777" w:rsidTr="00EA7F60">
        <w:tc>
          <w:tcPr>
            <w:tcW w:w="9180" w:type="dxa"/>
            <w:gridSpan w:val="11"/>
            <w:tcBorders>
              <w:top w:val="single" w:sz="4" w:space="0" w:color="auto"/>
              <w:left w:val="single" w:sz="4" w:space="0" w:color="auto"/>
              <w:bottom w:val="nil"/>
              <w:right w:val="single" w:sz="4" w:space="0" w:color="auto"/>
            </w:tcBorders>
            <w:shd w:val="clear" w:color="auto" w:fill="E2E2E2"/>
          </w:tcPr>
          <w:p w14:paraId="7CE0AB6E" w14:textId="77777777" w:rsidR="00A417FF" w:rsidRPr="0074339B" w:rsidRDefault="00A417FF" w:rsidP="00A417FF">
            <w:pPr>
              <w:numPr>
                <w:ilvl w:val="0"/>
                <w:numId w:val="2"/>
              </w:numPr>
              <w:ind w:left="426"/>
              <w:contextualSpacing/>
              <w:rPr>
                <w:rFonts w:eastAsia="Calibri"/>
                <w:b/>
                <w:sz w:val="22"/>
                <w:szCs w:val="22"/>
              </w:rPr>
            </w:pPr>
            <w:r w:rsidRPr="0074339B">
              <w:rPr>
                <w:rFonts w:eastAsia="Calibri"/>
                <w:b/>
                <w:sz w:val="22"/>
                <w:szCs w:val="22"/>
              </w:rPr>
              <w:t>Dotknuté subjekty</w:t>
            </w:r>
          </w:p>
        </w:tc>
      </w:tr>
      <w:tr w:rsidR="00A417FF" w:rsidRPr="0074339B" w14:paraId="0D85046C" w14:textId="77777777" w:rsidTr="00EA7F60">
        <w:tc>
          <w:tcPr>
            <w:tcW w:w="9180" w:type="dxa"/>
            <w:gridSpan w:val="11"/>
            <w:tcBorders>
              <w:top w:val="nil"/>
              <w:left w:val="single" w:sz="4" w:space="0" w:color="auto"/>
              <w:bottom w:val="single" w:sz="4" w:space="0" w:color="auto"/>
              <w:right w:val="single" w:sz="4" w:space="0" w:color="auto"/>
            </w:tcBorders>
            <w:shd w:val="clear" w:color="auto" w:fill="FFFFFF"/>
          </w:tcPr>
          <w:p w14:paraId="549CEE97" w14:textId="77777777" w:rsidR="00A417FF" w:rsidRPr="0074339B" w:rsidRDefault="00A417FF" w:rsidP="00EA7F60">
            <w:pPr>
              <w:rPr>
                <w:i/>
                <w:sz w:val="20"/>
                <w:szCs w:val="20"/>
                <w:lang w:eastAsia="sk-SK"/>
              </w:rPr>
            </w:pPr>
            <w:r w:rsidRPr="0074339B">
              <w:rPr>
                <w:i/>
                <w:sz w:val="20"/>
                <w:szCs w:val="20"/>
                <w:lang w:eastAsia="sk-SK"/>
              </w:rPr>
              <w:t xml:space="preserve">Uveďte subjekty, ktorých sa zmeny predkladaného materiálu dotknú priamo aj nepriamo: </w:t>
            </w:r>
          </w:p>
          <w:p w14:paraId="2379FCE9" w14:textId="77777777" w:rsidR="00A417FF" w:rsidRPr="0074339B" w:rsidRDefault="00A417FF" w:rsidP="00EA7F60">
            <w:pPr>
              <w:rPr>
                <w:i/>
                <w:sz w:val="20"/>
                <w:szCs w:val="20"/>
                <w:lang w:eastAsia="sk-SK"/>
              </w:rPr>
            </w:pPr>
          </w:p>
          <w:p w14:paraId="19E83942" w14:textId="77777777" w:rsidR="00A417FF" w:rsidRPr="0074339B" w:rsidRDefault="00A417FF" w:rsidP="00EA7F60">
            <w:pPr>
              <w:rPr>
                <w:sz w:val="22"/>
                <w:szCs w:val="22"/>
                <w:lang w:eastAsia="sk-SK"/>
              </w:rPr>
            </w:pPr>
            <w:r w:rsidRPr="0074339B">
              <w:rPr>
                <w:sz w:val="22"/>
                <w:szCs w:val="22"/>
                <w:lang w:eastAsia="sk-SK"/>
              </w:rPr>
              <w:t>banky (22),</w:t>
            </w:r>
          </w:p>
          <w:p w14:paraId="7CE95ECE" w14:textId="77777777" w:rsidR="00A417FF" w:rsidRPr="0074339B" w:rsidRDefault="00A417FF" w:rsidP="00EA7F60">
            <w:pPr>
              <w:rPr>
                <w:sz w:val="22"/>
                <w:szCs w:val="22"/>
                <w:lang w:eastAsia="sk-SK"/>
              </w:rPr>
            </w:pPr>
            <w:r w:rsidRPr="0074339B">
              <w:rPr>
                <w:sz w:val="22"/>
                <w:szCs w:val="22"/>
                <w:lang w:eastAsia="sk-SK"/>
              </w:rPr>
              <w:t>obchodníci s cennými papiermi (26)</w:t>
            </w:r>
          </w:p>
          <w:p w14:paraId="1FE71021" w14:textId="77777777" w:rsidR="00A417FF" w:rsidRPr="0074339B" w:rsidRDefault="00A417FF" w:rsidP="00EA7F60">
            <w:pPr>
              <w:rPr>
                <w:sz w:val="22"/>
                <w:szCs w:val="22"/>
                <w:lang w:eastAsia="sk-SK"/>
              </w:rPr>
            </w:pPr>
            <w:r w:rsidRPr="0074339B">
              <w:rPr>
                <w:sz w:val="22"/>
                <w:szCs w:val="22"/>
                <w:lang w:eastAsia="sk-SK"/>
              </w:rPr>
              <w:t>podnikateľské subjekty so záujmom emitovať dlhopisy (počet týchto podnikateľských subjektov nie je možné v súčasnosti určiť)</w:t>
            </w:r>
          </w:p>
          <w:p w14:paraId="7E628F3C" w14:textId="77777777" w:rsidR="00A417FF" w:rsidRPr="0074339B" w:rsidRDefault="00A417FF" w:rsidP="00EA7F60">
            <w:pPr>
              <w:rPr>
                <w:sz w:val="22"/>
                <w:szCs w:val="22"/>
                <w:lang w:eastAsia="sk-SK"/>
              </w:rPr>
            </w:pPr>
            <w:r w:rsidRPr="0074339B">
              <w:rPr>
                <w:sz w:val="22"/>
                <w:szCs w:val="22"/>
                <w:lang w:eastAsia="sk-SK"/>
              </w:rPr>
              <w:t>burza cenných papierov (1)</w:t>
            </w:r>
          </w:p>
          <w:p w14:paraId="261DFB6B" w14:textId="77777777" w:rsidR="00A417FF" w:rsidRPr="0074339B" w:rsidRDefault="00A417FF" w:rsidP="00EA7F60">
            <w:pPr>
              <w:rPr>
                <w:b/>
                <w:sz w:val="20"/>
                <w:szCs w:val="20"/>
                <w:lang w:eastAsia="sk-SK"/>
              </w:rPr>
            </w:pPr>
          </w:p>
          <w:p w14:paraId="6742ECD8" w14:textId="77777777" w:rsidR="00A417FF" w:rsidRPr="0074339B" w:rsidRDefault="00A417FF" w:rsidP="00EA7F60">
            <w:pPr>
              <w:rPr>
                <w:i/>
                <w:sz w:val="22"/>
                <w:szCs w:val="22"/>
                <w:lang w:eastAsia="sk-SK"/>
              </w:rPr>
            </w:pPr>
          </w:p>
        </w:tc>
      </w:tr>
      <w:tr w:rsidR="00A417FF" w:rsidRPr="0074339B" w14:paraId="0AAAA066" w14:textId="77777777" w:rsidTr="00EA7F60">
        <w:tc>
          <w:tcPr>
            <w:tcW w:w="9180" w:type="dxa"/>
            <w:gridSpan w:val="11"/>
            <w:tcBorders>
              <w:top w:val="single" w:sz="4" w:space="0" w:color="auto"/>
              <w:left w:val="single" w:sz="4" w:space="0" w:color="auto"/>
              <w:bottom w:val="nil"/>
              <w:right w:val="single" w:sz="4" w:space="0" w:color="auto"/>
            </w:tcBorders>
            <w:shd w:val="clear" w:color="auto" w:fill="E2E2E2"/>
          </w:tcPr>
          <w:p w14:paraId="43075091" w14:textId="77777777" w:rsidR="00A417FF" w:rsidRPr="0074339B" w:rsidRDefault="00A417FF" w:rsidP="00A417FF">
            <w:pPr>
              <w:numPr>
                <w:ilvl w:val="0"/>
                <w:numId w:val="2"/>
              </w:numPr>
              <w:ind w:left="426"/>
              <w:contextualSpacing/>
              <w:rPr>
                <w:rFonts w:eastAsia="Calibri"/>
                <w:b/>
                <w:sz w:val="22"/>
                <w:szCs w:val="22"/>
              </w:rPr>
            </w:pPr>
            <w:r w:rsidRPr="0074339B">
              <w:rPr>
                <w:rFonts w:eastAsia="Calibri"/>
                <w:b/>
                <w:sz w:val="22"/>
                <w:szCs w:val="22"/>
              </w:rPr>
              <w:t>Alternatívne riešenia</w:t>
            </w:r>
          </w:p>
        </w:tc>
      </w:tr>
      <w:tr w:rsidR="00A417FF" w:rsidRPr="0074339B" w14:paraId="134710A5" w14:textId="77777777" w:rsidTr="00EA7F60">
        <w:trPr>
          <w:trHeight w:val="709"/>
        </w:trPr>
        <w:tc>
          <w:tcPr>
            <w:tcW w:w="9180" w:type="dxa"/>
            <w:gridSpan w:val="11"/>
            <w:tcBorders>
              <w:top w:val="nil"/>
              <w:left w:val="single" w:sz="4" w:space="0" w:color="auto"/>
              <w:bottom w:val="single" w:sz="4" w:space="0" w:color="auto"/>
              <w:right w:val="single" w:sz="4" w:space="0" w:color="auto"/>
            </w:tcBorders>
            <w:shd w:val="clear" w:color="auto" w:fill="FFFFFF"/>
          </w:tcPr>
          <w:p w14:paraId="4ED814BD" w14:textId="77777777" w:rsidR="00A417FF" w:rsidRPr="0074339B" w:rsidRDefault="00A417FF" w:rsidP="00EA7F60">
            <w:pPr>
              <w:jc w:val="both"/>
              <w:rPr>
                <w:i/>
                <w:sz w:val="20"/>
                <w:szCs w:val="20"/>
                <w:lang w:eastAsia="sk-SK"/>
              </w:rPr>
            </w:pPr>
            <w:r w:rsidRPr="0074339B">
              <w:rPr>
                <w:i/>
                <w:sz w:val="20"/>
                <w:szCs w:val="20"/>
                <w:lang w:eastAsia="sk-SK"/>
              </w:rPr>
              <w:t>Aké alternatívne riešenia vedúce k stanovenému cieľu boli identifikované a posudzované pre riešenie definovaného problému?</w:t>
            </w:r>
          </w:p>
          <w:p w14:paraId="52A06C87" w14:textId="77777777" w:rsidR="00A417FF" w:rsidRPr="0074339B" w:rsidRDefault="00A417FF" w:rsidP="00EA7F60">
            <w:pPr>
              <w:rPr>
                <w:i/>
                <w:sz w:val="20"/>
                <w:szCs w:val="20"/>
                <w:lang w:eastAsia="sk-SK"/>
              </w:rPr>
            </w:pPr>
          </w:p>
          <w:p w14:paraId="6F705706" w14:textId="77777777" w:rsidR="00A417FF" w:rsidRPr="0074339B" w:rsidRDefault="00A417FF" w:rsidP="00EA7F60">
            <w:pPr>
              <w:jc w:val="both"/>
              <w:rPr>
                <w:i/>
                <w:sz w:val="20"/>
                <w:szCs w:val="20"/>
                <w:lang w:eastAsia="sk-SK"/>
              </w:rPr>
            </w:pPr>
            <w:r w:rsidRPr="0074339B">
              <w:rPr>
                <w:i/>
                <w:sz w:val="20"/>
                <w:szCs w:val="20"/>
                <w:lang w:eastAsia="sk-SK"/>
              </w:rPr>
              <w:t>Nulový variant - uveďte dôsledky, ku ktorým by došlo v prípade nevykonania úprav v predkladanom materiáli a alternatívne riešenia/spôsoby dosiahnutia cieľov uvedených v bode 3.</w:t>
            </w:r>
          </w:p>
          <w:p w14:paraId="43C7752B" w14:textId="77777777" w:rsidR="00A417FF" w:rsidRPr="0074339B" w:rsidRDefault="00A417FF" w:rsidP="00EA7F60">
            <w:pPr>
              <w:jc w:val="both"/>
              <w:rPr>
                <w:i/>
                <w:sz w:val="20"/>
                <w:szCs w:val="20"/>
                <w:lang w:eastAsia="sk-SK"/>
              </w:rPr>
            </w:pPr>
          </w:p>
          <w:p w14:paraId="55E6D35A" w14:textId="77777777" w:rsidR="00A417FF" w:rsidRPr="0074339B" w:rsidRDefault="00A417FF" w:rsidP="00EA7F60">
            <w:pPr>
              <w:jc w:val="both"/>
              <w:rPr>
                <w:i/>
                <w:sz w:val="22"/>
                <w:szCs w:val="22"/>
                <w:lang w:eastAsia="sk-SK"/>
              </w:rPr>
            </w:pPr>
            <w:r w:rsidRPr="0074339B">
              <w:rPr>
                <w:sz w:val="22"/>
                <w:szCs w:val="22"/>
                <w:lang w:eastAsia="sk-SK"/>
              </w:rPr>
              <w:t xml:space="preserve">V prípade transpozície všetkých vyššie zmienených smerníc (EÚ) je primárnym cieľom dosiahnutie úplnej transpozície a zároveň nevytváranie </w:t>
            </w:r>
            <w:proofErr w:type="spellStart"/>
            <w:r w:rsidRPr="0074339B">
              <w:rPr>
                <w:sz w:val="22"/>
                <w:szCs w:val="22"/>
                <w:lang w:eastAsia="sk-SK"/>
              </w:rPr>
              <w:t>goldplatingu</w:t>
            </w:r>
            <w:proofErr w:type="spellEnd"/>
            <w:r w:rsidRPr="0074339B">
              <w:rPr>
                <w:sz w:val="22"/>
                <w:szCs w:val="22"/>
                <w:lang w:eastAsia="sk-SK"/>
              </w:rPr>
              <w:t xml:space="preserve"> formou zavádzania národných požiadaviek nad rámec uvedených smerníc (EÚ). Všetky tri uvedené smernice (EÚ) sú transponované bez </w:t>
            </w:r>
            <w:proofErr w:type="spellStart"/>
            <w:r w:rsidRPr="0074339B">
              <w:rPr>
                <w:sz w:val="22"/>
                <w:szCs w:val="22"/>
                <w:lang w:eastAsia="sk-SK"/>
              </w:rPr>
              <w:lastRenderedPageBreak/>
              <w:t>goldplatingu</w:t>
            </w:r>
            <w:proofErr w:type="spellEnd"/>
            <w:r w:rsidRPr="0074339B">
              <w:rPr>
                <w:sz w:val="22"/>
                <w:szCs w:val="22"/>
                <w:lang w:eastAsia="sk-SK"/>
              </w:rPr>
              <w:t xml:space="preserve">, pritom žiadne ďalšie alternatívy neboli zvažované, pretože takýto prístup by znamenal odklon od znenia uvedených smerníc (EÚ).      </w:t>
            </w:r>
          </w:p>
        </w:tc>
      </w:tr>
      <w:tr w:rsidR="00A417FF" w:rsidRPr="0074339B" w14:paraId="101A3C90" w14:textId="77777777" w:rsidTr="00EA7F6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8564177" w14:textId="77777777" w:rsidR="00A417FF" w:rsidRPr="0074339B" w:rsidRDefault="00A417FF" w:rsidP="00A417FF">
            <w:pPr>
              <w:numPr>
                <w:ilvl w:val="0"/>
                <w:numId w:val="2"/>
              </w:numPr>
              <w:ind w:left="426"/>
              <w:contextualSpacing/>
              <w:rPr>
                <w:rFonts w:eastAsia="Calibri"/>
                <w:b/>
                <w:sz w:val="22"/>
                <w:szCs w:val="22"/>
              </w:rPr>
            </w:pPr>
            <w:r w:rsidRPr="0074339B">
              <w:rPr>
                <w:rFonts w:eastAsia="Calibri"/>
                <w:b/>
                <w:sz w:val="22"/>
                <w:szCs w:val="22"/>
              </w:rPr>
              <w:lastRenderedPageBreak/>
              <w:t>Vykonávacie predpisy</w:t>
            </w:r>
          </w:p>
        </w:tc>
      </w:tr>
      <w:tr w:rsidR="00A417FF" w:rsidRPr="0074339B" w14:paraId="39998203" w14:textId="77777777" w:rsidTr="00EA7F60">
        <w:tc>
          <w:tcPr>
            <w:tcW w:w="6203" w:type="dxa"/>
            <w:gridSpan w:val="7"/>
            <w:tcBorders>
              <w:top w:val="single" w:sz="4" w:space="0" w:color="FFFFFF"/>
              <w:left w:val="single" w:sz="4" w:space="0" w:color="auto"/>
              <w:bottom w:val="nil"/>
              <w:right w:val="nil"/>
            </w:tcBorders>
            <w:shd w:val="clear" w:color="auto" w:fill="FFFFFF"/>
          </w:tcPr>
          <w:p w14:paraId="59921AFB" w14:textId="77777777" w:rsidR="00A417FF" w:rsidRPr="0074339B" w:rsidRDefault="00A417FF" w:rsidP="00EA7F60">
            <w:pPr>
              <w:rPr>
                <w:i/>
                <w:sz w:val="20"/>
                <w:szCs w:val="20"/>
                <w:lang w:eastAsia="sk-SK"/>
              </w:rPr>
            </w:pPr>
            <w:r w:rsidRPr="0074339B">
              <w:rPr>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521F1A3" w14:textId="77777777" w:rsidR="00A417FF" w:rsidRPr="0074339B" w:rsidRDefault="00A417FF" w:rsidP="00EA7F60">
            <w:pPr>
              <w:jc w:val="center"/>
              <w:rPr>
                <w:b/>
                <w:sz w:val="20"/>
                <w:szCs w:val="20"/>
                <w:lang w:eastAsia="sk-SK"/>
              </w:rPr>
            </w:pPr>
            <w:sdt>
              <w:sdtPr>
                <w:rPr>
                  <w:b/>
                  <w:sz w:val="20"/>
                  <w:szCs w:val="20"/>
                  <w:lang w:eastAsia="sk-SK"/>
                </w:rPr>
                <w:id w:val="1929613764"/>
                <w14:checkbox>
                  <w14:checked w14:val="0"/>
                  <w14:checkedState w14:val="2612" w14:font="MS Gothic"/>
                  <w14:uncheckedState w14:val="2610" w14:font="MS Gothic"/>
                </w14:checkbox>
              </w:sdtPr>
              <w:sdtContent>
                <w:r w:rsidRPr="0074339B">
                  <w:rPr>
                    <w:rFonts w:ascii="Segoe UI Symbol" w:eastAsia="MS Gothic" w:hAnsi="Segoe UI Symbol" w:cs="Segoe UI Symbol"/>
                    <w:b/>
                    <w:sz w:val="20"/>
                    <w:szCs w:val="20"/>
                    <w:lang w:eastAsia="sk-SK"/>
                  </w:rPr>
                  <w:t>☐</w:t>
                </w:r>
              </w:sdtContent>
            </w:sdt>
            <w:r w:rsidRPr="0074339B">
              <w:rPr>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23FEDFB" w14:textId="77777777" w:rsidR="00A417FF" w:rsidRPr="0074339B" w:rsidRDefault="00A417FF" w:rsidP="00EA7F60">
            <w:pPr>
              <w:jc w:val="center"/>
              <w:rPr>
                <w:b/>
                <w:sz w:val="20"/>
                <w:szCs w:val="20"/>
                <w:lang w:eastAsia="sk-SK"/>
              </w:rPr>
            </w:pPr>
            <w:sdt>
              <w:sdtPr>
                <w:rPr>
                  <w:b/>
                  <w:sz w:val="20"/>
                  <w:szCs w:val="20"/>
                  <w:lang w:eastAsia="sk-SK"/>
                </w:rPr>
                <w:id w:val="-1594626508"/>
                <w14:checkbox>
                  <w14:checked w14:val="1"/>
                  <w14:checkedState w14:val="2612" w14:font="MS Gothic"/>
                  <w14:uncheckedState w14:val="2610" w14:font="MS Gothic"/>
                </w14:checkbox>
              </w:sdtPr>
              <w:sdtContent>
                <w:r w:rsidRPr="0074339B">
                  <w:rPr>
                    <w:rFonts w:ascii="Segoe UI Symbol" w:eastAsia="MS Gothic" w:hAnsi="Segoe UI Symbol" w:cs="Segoe UI Symbol"/>
                    <w:b/>
                    <w:sz w:val="20"/>
                    <w:szCs w:val="20"/>
                    <w:lang w:eastAsia="sk-SK"/>
                  </w:rPr>
                  <w:t>☒</w:t>
                </w:r>
              </w:sdtContent>
            </w:sdt>
            <w:r w:rsidRPr="0074339B">
              <w:rPr>
                <w:b/>
                <w:sz w:val="20"/>
                <w:szCs w:val="20"/>
                <w:lang w:eastAsia="sk-SK"/>
              </w:rPr>
              <w:t xml:space="preserve">  Nie</w:t>
            </w:r>
          </w:p>
        </w:tc>
      </w:tr>
      <w:tr w:rsidR="00A417FF" w:rsidRPr="0074339B" w14:paraId="02E525CE" w14:textId="77777777" w:rsidTr="00EA7F60">
        <w:tc>
          <w:tcPr>
            <w:tcW w:w="9180" w:type="dxa"/>
            <w:gridSpan w:val="11"/>
            <w:tcBorders>
              <w:top w:val="nil"/>
              <w:left w:val="single" w:sz="4" w:space="0" w:color="auto"/>
              <w:bottom w:val="single" w:sz="4" w:space="0" w:color="auto"/>
              <w:right w:val="single" w:sz="4" w:space="0" w:color="auto"/>
            </w:tcBorders>
            <w:shd w:val="clear" w:color="auto" w:fill="FFFFFF"/>
          </w:tcPr>
          <w:p w14:paraId="511D8009" w14:textId="77777777" w:rsidR="00A417FF" w:rsidRPr="0074339B" w:rsidRDefault="00A417FF" w:rsidP="00EA7F60">
            <w:pPr>
              <w:rPr>
                <w:i/>
                <w:sz w:val="20"/>
                <w:szCs w:val="20"/>
                <w:lang w:eastAsia="sk-SK"/>
              </w:rPr>
            </w:pPr>
            <w:r w:rsidRPr="0074339B">
              <w:rPr>
                <w:i/>
                <w:sz w:val="20"/>
                <w:szCs w:val="20"/>
                <w:lang w:eastAsia="sk-SK"/>
              </w:rPr>
              <w:t>Ak áno, uveďte ktoré oblasti budú nimi upravené, resp. ktorých vykonávacích predpisov sa zmena dotkne:</w:t>
            </w:r>
          </w:p>
          <w:p w14:paraId="73C5B607" w14:textId="77777777" w:rsidR="00A417FF" w:rsidRPr="0074339B" w:rsidRDefault="00A417FF" w:rsidP="00EA7F60">
            <w:pPr>
              <w:rPr>
                <w:sz w:val="20"/>
                <w:szCs w:val="20"/>
                <w:lang w:eastAsia="sk-SK"/>
              </w:rPr>
            </w:pPr>
          </w:p>
        </w:tc>
      </w:tr>
      <w:tr w:rsidR="00A417FF" w:rsidRPr="0074339B" w14:paraId="7DAEB2ED" w14:textId="77777777" w:rsidTr="00EA7F6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BE7FBAC" w14:textId="77777777" w:rsidR="00A417FF" w:rsidRPr="0074339B" w:rsidRDefault="00A417FF" w:rsidP="00A417FF">
            <w:pPr>
              <w:numPr>
                <w:ilvl w:val="0"/>
                <w:numId w:val="2"/>
              </w:numPr>
              <w:ind w:left="426"/>
              <w:contextualSpacing/>
              <w:rPr>
                <w:rFonts w:eastAsia="Calibri"/>
                <w:b/>
                <w:sz w:val="22"/>
                <w:szCs w:val="22"/>
              </w:rPr>
            </w:pPr>
            <w:r w:rsidRPr="0074339B">
              <w:rPr>
                <w:rFonts w:eastAsia="Calibri"/>
                <w:b/>
                <w:sz w:val="22"/>
                <w:szCs w:val="22"/>
              </w:rPr>
              <w:t xml:space="preserve">Transpozícia/implementácia práva EÚ </w:t>
            </w:r>
          </w:p>
        </w:tc>
      </w:tr>
      <w:tr w:rsidR="00A417FF" w:rsidRPr="0074339B" w14:paraId="3DBC7386" w14:textId="77777777" w:rsidTr="00EA7F60">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417FF" w:rsidRPr="00867B8E" w14:paraId="22464FEE" w14:textId="77777777" w:rsidTr="00EA7F60">
              <w:trPr>
                <w:trHeight w:val="90"/>
              </w:trPr>
              <w:tc>
                <w:tcPr>
                  <w:tcW w:w="8643" w:type="dxa"/>
                </w:tcPr>
                <w:p w14:paraId="32131CD8" w14:textId="77777777" w:rsidR="00A417FF" w:rsidRPr="00867B8E" w:rsidRDefault="00A417FF" w:rsidP="00EA7F60">
                  <w:pPr>
                    <w:pStyle w:val="Default"/>
                    <w:rPr>
                      <w:color w:val="auto"/>
                      <w:sz w:val="20"/>
                      <w:szCs w:val="20"/>
                    </w:rPr>
                  </w:pPr>
                  <w:r w:rsidRPr="00867B8E">
                    <w:rPr>
                      <w:i/>
                      <w:iCs/>
                      <w:color w:val="auto"/>
                      <w:sz w:val="20"/>
                      <w:szCs w:val="20"/>
                    </w:rPr>
                    <w:t xml:space="preserve">Uveďte, či v predkladanom návrhu právneho predpisu dochádza ku </w:t>
                  </w:r>
                  <w:proofErr w:type="spellStart"/>
                  <w:r w:rsidRPr="00867B8E">
                    <w:rPr>
                      <w:i/>
                      <w:iCs/>
                      <w:color w:val="auto"/>
                      <w:sz w:val="20"/>
                      <w:szCs w:val="20"/>
                    </w:rPr>
                    <w:t>goldplatingu</w:t>
                  </w:r>
                  <w:proofErr w:type="spellEnd"/>
                  <w:r w:rsidRPr="00867B8E">
                    <w:rPr>
                      <w:i/>
                      <w:iCs/>
                      <w:color w:val="auto"/>
                      <w:sz w:val="20"/>
                      <w:szCs w:val="20"/>
                    </w:rPr>
                    <w:t xml:space="preserve"> podľa tabuľky zhody, resp. či ku </w:t>
                  </w:r>
                  <w:proofErr w:type="spellStart"/>
                  <w:r w:rsidRPr="00867B8E">
                    <w:rPr>
                      <w:i/>
                      <w:iCs/>
                      <w:color w:val="auto"/>
                      <w:sz w:val="20"/>
                      <w:szCs w:val="20"/>
                    </w:rPr>
                    <w:t>goldplatingu</w:t>
                  </w:r>
                  <w:proofErr w:type="spellEnd"/>
                  <w:r w:rsidRPr="00867B8E">
                    <w:rPr>
                      <w:i/>
                      <w:iCs/>
                      <w:color w:val="auto"/>
                      <w:sz w:val="20"/>
                      <w:szCs w:val="20"/>
                    </w:rPr>
                    <w:t xml:space="preserve"> dochádza pri implementácii práva EÚ. </w:t>
                  </w:r>
                </w:p>
              </w:tc>
            </w:tr>
            <w:tr w:rsidR="00A417FF" w:rsidRPr="00867B8E" w14:paraId="7CA607C5" w14:textId="77777777" w:rsidTr="00EA7F60">
              <w:trPr>
                <w:trHeight w:val="296"/>
              </w:trPr>
              <w:tc>
                <w:tcPr>
                  <w:tcW w:w="8643" w:type="dxa"/>
                </w:tcPr>
                <w:p w14:paraId="7E751F8B" w14:textId="15553C10" w:rsidR="00A417FF" w:rsidRPr="00867B8E" w:rsidRDefault="00A417FF" w:rsidP="00EA7F60">
                  <w:pPr>
                    <w:pStyle w:val="Default"/>
                    <w:rPr>
                      <w:b/>
                      <w:iCs/>
                      <w:color w:val="auto"/>
                      <w:sz w:val="20"/>
                      <w:szCs w:val="20"/>
                    </w:rPr>
                  </w:pPr>
                  <w:r w:rsidRPr="00867B8E">
                    <w:rPr>
                      <w:b/>
                      <w:iCs/>
                      <w:color w:val="auto"/>
                      <w:sz w:val="20"/>
                      <w:szCs w:val="20"/>
                    </w:rPr>
                    <w:t xml:space="preserve">                                                                                                   </w:t>
                  </w:r>
                  <w:r w:rsidR="0074339B" w:rsidRPr="00867B8E">
                    <w:rPr>
                      <w:b/>
                      <w:iCs/>
                      <w:color w:val="auto"/>
                      <w:sz w:val="20"/>
                      <w:szCs w:val="20"/>
                    </w:rPr>
                    <w:t xml:space="preserve">                 </w:t>
                  </w:r>
                  <w:r w:rsidRPr="00867B8E">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Content>
                      <w:r w:rsidRPr="00867B8E">
                        <w:rPr>
                          <w:rFonts w:ascii="Segoe UI Symbol" w:eastAsia="MS Gothic" w:hAnsi="Segoe UI Symbol" w:cs="Segoe UI Symbol"/>
                          <w:b/>
                          <w:iCs/>
                          <w:color w:val="auto"/>
                          <w:sz w:val="20"/>
                          <w:szCs w:val="20"/>
                        </w:rPr>
                        <w:t>☐</w:t>
                      </w:r>
                    </w:sdtContent>
                  </w:sdt>
                  <w:r w:rsidRPr="00867B8E">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Content>
                      <w:r w:rsidRPr="00867B8E">
                        <w:rPr>
                          <w:rFonts w:ascii="Segoe UI Symbol" w:eastAsia="MS Gothic" w:hAnsi="Segoe UI Symbol" w:cs="Segoe UI Symbol"/>
                          <w:b/>
                          <w:iCs/>
                          <w:color w:val="auto"/>
                          <w:sz w:val="20"/>
                          <w:szCs w:val="20"/>
                        </w:rPr>
                        <w:t>☒</w:t>
                      </w:r>
                    </w:sdtContent>
                  </w:sdt>
                  <w:r w:rsidRPr="00867B8E">
                    <w:rPr>
                      <w:b/>
                      <w:iCs/>
                      <w:color w:val="auto"/>
                      <w:sz w:val="20"/>
                      <w:szCs w:val="20"/>
                    </w:rPr>
                    <w:t xml:space="preserve"> Nie</w:t>
                  </w:r>
                </w:p>
                <w:p w14:paraId="6E481FA3" w14:textId="77777777" w:rsidR="00A417FF" w:rsidRPr="00867B8E" w:rsidRDefault="00A417FF" w:rsidP="00EA7F60">
                  <w:pPr>
                    <w:pStyle w:val="Default"/>
                    <w:rPr>
                      <w:i/>
                      <w:iCs/>
                      <w:color w:val="auto"/>
                      <w:sz w:val="20"/>
                      <w:szCs w:val="20"/>
                    </w:rPr>
                  </w:pPr>
                </w:p>
                <w:p w14:paraId="5FF2B210" w14:textId="77777777" w:rsidR="00A417FF" w:rsidRPr="00867B8E" w:rsidRDefault="00A417FF" w:rsidP="00EA7F60">
                  <w:pPr>
                    <w:pStyle w:val="Default"/>
                    <w:rPr>
                      <w:color w:val="auto"/>
                      <w:sz w:val="20"/>
                      <w:szCs w:val="20"/>
                    </w:rPr>
                  </w:pPr>
                  <w:r w:rsidRPr="00867B8E">
                    <w:rPr>
                      <w:i/>
                      <w:iCs/>
                      <w:color w:val="auto"/>
                      <w:sz w:val="20"/>
                      <w:szCs w:val="20"/>
                    </w:rPr>
                    <w:t xml:space="preserve">Ak áno, uveďte, ktorých vplyvov podľa bodu 9 sa goldplating týka: </w:t>
                  </w:r>
                </w:p>
              </w:tc>
            </w:tr>
            <w:tr w:rsidR="00A417FF" w:rsidRPr="00867B8E" w14:paraId="72C4940A" w14:textId="77777777" w:rsidTr="00EA7F60">
              <w:trPr>
                <w:trHeight w:val="296"/>
              </w:trPr>
              <w:tc>
                <w:tcPr>
                  <w:tcW w:w="8643" w:type="dxa"/>
                </w:tcPr>
                <w:p w14:paraId="0885095B" w14:textId="77777777" w:rsidR="00A417FF" w:rsidRPr="008E2E6B" w:rsidRDefault="00A417FF" w:rsidP="00EA7F60">
                  <w:pPr>
                    <w:pStyle w:val="Default"/>
                    <w:rPr>
                      <w:color w:val="auto"/>
                      <w:sz w:val="16"/>
                      <w:szCs w:val="16"/>
                    </w:rPr>
                  </w:pPr>
                </w:p>
              </w:tc>
            </w:tr>
          </w:tbl>
          <w:p w14:paraId="7A70355F" w14:textId="77777777" w:rsidR="00A417FF" w:rsidRPr="00867B8E" w:rsidRDefault="00A417FF" w:rsidP="00EA7F60">
            <w:pPr>
              <w:jc w:val="both"/>
              <w:rPr>
                <w:i/>
                <w:sz w:val="22"/>
                <w:szCs w:val="22"/>
                <w:lang w:eastAsia="sk-SK"/>
              </w:rPr>
            </w:pPr>
          </w:p>
        </w:tc>
      </w:tr>
      <w:tr w:rsidR="00A417FF" w:rsidRPr="0074339B" w14:paraId="40C6FB4C" w14:textId="77777777" w:rsidTr="00EA7F60">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01A8B8D2" w14:textId="77777777" w:rsidR="00A417FF" w:rsidRPr="00867B8E" w:rsidRDefault="00A417FF" w:rsidP="00EA7F60">
            <w:pPr>
              <w:jc w:val="center"/>
              <w:rPr>
                <w:sz w:val="22"/>
                <w:szCs w:val="22"/>
                <w:lang w:eastAsia="sk-SK"/>
              </w:rPr>
            </w:pPr>
          </w:p>
        </w:tc>
      </w:tr>
      <w:tr w:rsidR="00A417FF" w:rsidRPr="0074339B" w14:paraId="16058396" w14:textId="77777777" w:rsidTr="00EA7F6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CA3767E" w14:textId="77777777" w:rsidR="00A417FF" w:rsidRPr="0074339B" w:rsidRDefault="00A417FF" w:rsidP="00A417FF">
            <w:pPr>
              <w:numPr>
                <w:ilvl w:val="0"/>
                <w:numId w:val="2"/>
              </w:numPr>
              <w:ind w:left="426"/>
              <w:contextualSpacing/>
              <w:rPr>
                <w:rFonts w:eastAsia="Calibri"/>
                <w:b/>
                <w:sz w:val="22"/>
                <w:szCs w:val="22"/>
              </w:rPr>
            </w:pPr>
            <w:r w:rsidRPr="0074339B">
              <w:rPr>
                <w:rFonts w:eastAsia="Calibri"/>
                <w:b/>
                <w:sz w:val="22"/>
                <w:szCs w:val="22"/>
              </w:rPr>
              <w:t>Preskúmanie účelnosti</w:t>
            </w:r>
          </w:p>
        </w:tc>
      </w:tr>
      <w:tr w:rsidR="00A417FF" w:rsidRPr="0074339B" w14:paraId="27C17C58" w14:textId="77777777" w:rsidTr="00EA7F60">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C95D3BA" w14:textId="77777777" w:rsidR="00A417FF" w:rsidRPr="0074339B" w:rsidRDefault="00A417FF" w:rsidP="00EA7F60">
            <w:pPr>
              <w:rPr>
                <w:i/>
                <w:sz w:val="20"/>
                <w:szCs w:val="20"/>
                <w:lang w:eastAsia="sk-SK"/>
              </w:rPr>
            </w:pPr>
            <w:r w:rsidRPr="0074339B">
              <w:rPr>
                <w:i/>
                <w:sz w:val="20"/>
                <w:szCs w:val="20"/>
                <w:lang w:eastAsia="sk-SK"/>
              </w:rPr>
              <w:t>Uveďte termín, kedy by malo dôjsť k preskúmaniu účinnosti a účelnosti predkladaného materiálu.</w:t>
            </w:r>
          </w:p>
          <w:p w14:paraId="4AE8764A" w14:textId="77777777" w:rsidR="00A417FF" w:rsidRPr="0074339B" w:rsidRDefault="00A417FF" w:rsidP="00EA7F60">
            <w:pPr>
              <w:rPr>
                <w:i/>
                <w:sz w:val="20"/>
                <w:szCs w:val="20"/>
                <w:lang w:eastAsia="sk-SK"/>
              </w:rPr>
            </w:pPr>
            <w:r w:rsidRPr="0074339B">
              <w:rPr>
                <w:i/>
                <w:sz w:val="20"/>
                <w:szCs w:val="20"/>
                <w:lang w:eastAsia="sk-SK"/>
              </w:rPr>
              <w:t>Uveďte kritériá, na základe ktorých bude preskúmanie vykonané.</w:t>
            </w:r>
          </w:p>
          <w:p w14:paraId="530EC821" w14:textId="77777777" w:rsidR="00A417FF" w:rsidRPr="008E2E6B" w:rsidRDefault="00A417FF" w:rsidP="00EA7F60">
            <w:pPr>
              <w:rPr>
                <w:i/>
                <w:sz w:val="16"/>
                <w:szCs w:val="16"/>
                <w:lang w:eastAsia="sk-SK"/>
              </w:rPr>
            </w:pPr>
          </w:p>
          <w:p w14:paraId="79206C42" w14:textId="77777777" w:rsidR="00A417FF" w:rsidRPr="0074339B" w:rsidRDefault="00A417FF" w:rsidP="00EA7F60">
            <w:pPr>
              <w:jc w:val="both"/>
              <w:rPr>
                <w:sz w:val="22"/>
                <w:szCs w:val="22"/>
              </w:rPr>
            </w:pPr>
            <w:r w:rsidRPr="0074339B">
              <w:rPr>
                <w:sz w:val="22"/>
                <w:szCs w:val="22"/>
                <w:lang w:eastAsia="sk-SK"/>
              </w:rPr>
              <w:t xml:space="preserve">Podľa článku 1 bod 13 smernice (EÚ) 2024/790 </w:t>
            </w:r>
            <w:r w:rsidRPr="0074339B">
              <w:rPr>
                <w:sz w:val="22"/>
                <w:szCs w:val="22"/>
              </w:rPr>
              <w:t xml:space="preserve">Komisia predloží Európskemu parlamentu a Rade správy obsahujúce komplexné posúdenie trhov s komoditnými derivátmi, emisnými kvótami a derivátmi na emisné kvóty. Príslušné správy predloží do 31. júla 2024 a do 31. júla 2025. K uvedeným správam sa v náležitých prípadoch pripojí legislatívny návrh týkajúci sa cielených zmien trhových pravidiel pre rámec pre komoditné deriváty, emisné kvóty alebo deriváty na emisné kvóty. </w:t>
            </w:r>
          </w:p>
          <w:p w14:paraId="6BE60ABF" w14:textId="77777777" w:rsidR="00A417FF" w:rsidRPr="0074339B" w:rsidRDefault="00A417FF" w:rsidP="00EA7F60">
            <w:pPr>
              <w:jc w:val="both"/>
              <w:rPr>
                <w:vanish/>
                <w:sz w:val="22"/>
                <w:szCs w:val="22"/>
              </w:rPr>
            </w:pPr>
          </w:p>
          <w:p w14:paraId="73373B71" w14:textId="77777777" w:rsidR="00A417FF" w:rsidRPr="0074339B" w:rsidRDefault="00A417FF" w:rsidP="00EA7F60">
            <w:pPr>
              <w:jc w:val="both"/>
              <w:rPr>
                <w:sz w:val="22"/>
                <w:szCs w:val="22"/>
                <w:lang w:eastAsia="sk-SK"/>
              </w:rPr>
            </w:pPr>
            <w:r w:rsidRPr="0074339B">
              <w:rPr>
                <w:sz w:val="22"/>
                <w:szCs w:val="22"/>
                <w:lang w:eastAsia="sk-SK"/>
              </w:rPr>
              <w:t xml:space="preserve">Podľa článku 1 bod 7 smernice (EÚ) 2024/2811 Komisia do 5. decembra 2028 preskúma a posúdi vplyv ustanovenia o nevznesení námietok v článku 33 ods. 7 na hospodársku súťaž medzi obchodnými miestami, najmä rastovými trhmi pre malé a stredné podniky, a jeho vplyv na prístup </w:t>
            </w:r>
            <w:proofErr w:type="spellStart"/>
            <w:r w:rsidRPr="0074339B">
              <w:rPr>
                <w:sz w:val="22"/>
                <w:szCs w:val="22"/>
                <w:lang w:eastAsia="sk-SK"/>
              </w:rPr>
              <w:t>SMEs</w:t>
            </w:r>
            <w:proofErr w:type="spellEnd"/>
            <w:r w:rsidRPr="0074339B">
              <w:rPr>
                <w:sz w:val="22"/>
                <w:szCs w:val="22"/>
                <w:lang w:eastAsia="sk-SK"/>
              </w:rPr>
              <w:t xml:space="preserve"> ku kapitálu. </w:t>
            </w:r>
          </w:p>
          <w:p w14:paraId="28F05A35" w14:textId="77777777" w:rsidR="00A417FF" w:rsidRPr="0074339B" w:rsidRDefault="00A417FF" w:rsidP="00EA7F60">
            <w:pPr>
              <w:rPr>
                <w:i/>
                <w:sz w:val="20"/>
                <w:szCs w:val="20"/>
                <w:lang w:eastAsia="sk-SK"/>
              </w:rPr>
            </w:pPr>
          </w:p>
        </w:tc>
      </w:tr>
      <w:tr w:rsidR="00A417FF" w:rsidRPr="0074339B" w14:paraId="21FDB68B" w14:textId="77777777" w:rsidTr="00EA7F60">
        <w:tc>
          <w:tcPr>
            <w:tcW w:w="9180" w:type="dxa"/>
            <w:gridSpan w:val="11"/>
            <w:tcBorders>
              <w:top w:val="nil"/>
              <w:left w:val="nil"/>
              <w:bottom w:val="single" w:sz="4" w:space="0" w:color="auto"/>
              <w:right w:val="nil"/>
            </w:tcBorders>
            <w:shd w:val="clear" w:color="auto" w:fill="FFFFFF"/>
          </w:tcPr>
          <w:p w14:paraId="44CC14AF" w14:textId="77777777" w:rsidR="00A417FF" w:rsidRPr="0074339B" w:rsidRDefault="00A417FF" w:rsidP="00EA7F60">
            <w:pPr>
              <w:jc w:val="both"/>
              <w:rPr>
                <w:b/>
                <w:sz w:val="20"/>
                <w:szCs w:val="20"/>
                <w:lang w:eastAsia="sk-SK"/>
              </w:rPr>
            </w:pPr>
          </w:p>
          <w:p w14:paraId="644259CF" w14:textId="77777777" w:rsidR="00A417FF" w:rsidRPr="008E2E6B" w:rsidRDefault="00A417FF" w:rsidP="00EA7F60">
            <w:pPr>
              <w:jc w:val="both"/>
              <w:rPr>
                <w:b/>
                <w:sz w:val="16"/>
                <w:szCs w:val="16"/>
                <w:lang w:eastAsia="sk-SK"/>
              </w:rPr>
            </w:pPr>
          </w:p>
          <w:p w14:paraId="607C4B0A" w14:textId="77777777" w:rsidR="00A417FF" w:rsidRPr="0074339B" w:rsidRDefault="00A417FF" w:rsidP="00EA7F60">
            <w:pPr>
              <w:ind w:left="142" w:hanging="142"/>
              <w:jc w:val="both"/>
              <w:rPr>
                <w:sz w:val="22"/>
                <w:szCs w:val="22"/>
                <w:lang w:eastAsia="sk-SK"/>
              </w:rPr>
            </w:pPr>
            <w:r w:rsidRPr="0074339B">
              <w:rPr>
                <w:sz w:val="22"/>
                <w:szCs w:val="22"/>
                <w:lang w:eastAsia="sk-SK"/>
              </w:rPr>
              <w:t xml:space="preserve">* vyplniť iba v prípade, ak materiál nie je zahrnutý do Plánu práce vlády Slovenskej republiky alebo Plánu        legislatívnych úloh vlády Slovenskej republiky. </w:t>
            </w:r>
          </w:p>
          <w:p w14:paraId="1B57AD9B" w14:textId="77777777" w:rsidR="00A417FF" w:rsidRPr="0074339B" w:rsidRDefault="00A417FF" w:rsidP="00EA7F60">
            <w:pPr>
              <w:jc w:val="both"/>
              <w:rPr>
                <w:sz w:val="22"/>
                <w:szCs w:val="22"/>
                <w:lang w:eastAsia="sk-SK"/>
              </w:rPr>
            </w:pPr>
            <w:r w:rsidRPr="0074339B">
              <w:rPr>
                <w:sz w:val="22"/>
                <w:szCs w:val="22"/>
                <w:lang w:eastAsia="sk-SK"/>
              </w:rPr>
              <w:t>** vyplniť iba v prípade, ak sa záverečné posúdenie vybraných vplyvov uskutočnilo v zmysle bodu 9.1. jednotnej metodiky.</w:t>
            </w:r>
          </w:p>
          <w:p w14:paraId="0DABC72A" w14:textId="77777777" w:rsidR="00A417FF" w:rsidRPr="0074339B" w:rsidRDefault="00A417FF" w:rsidP="00EA7F60">
            <w:pPr>
              <w:jc w:val="both"/>
              <w:rPr>
                <w:sz w:val="22"/>
                <w:szCs w:val="22"/>
                <w:lang w:eastAsia="sk-SK"/>
              </w:rPr>
            </w:pPr>
            <w:r w:rsidRPr="0074339B">
              <w:rPr>
                <w:sz w:val="22"/>
                <w:szCs w:val="22"/>
                <w:lang w:eastAsia="sk-SK"/>
              </w:rPr>
              <w:t>*** posudzovanie sa týka len zmien v I. a II. pilieri univerzálneho systému dôchodkového zabezpečenia s identifikovaným dopadom od 0,1 % HDP (vrátane) na dlhodobom horizonte.</w:t>
            </w:r>
          </w:p>
          <w:p w14:paraId="12043E0C" w14:textId="77777777" w:rsidR="00A417FF" w:rsidRPr="008E2E6B" w:rsidRDefault="00A417FF" w:rsidP="00EA7F60">
            <w:pPr>
              <w:jc w:val="both"/>
              <w:rPr>
                <w:sz w:val="16"/>
                <w:szCs w:val="16"/>
                <w:lang w:eastAsia="sk-SK"/>
              </w:rPr>
            </w:pPr>
          </w:p>
          <w:p w14:paraId="47CD1725" w14:textId="77777777" w:rsidR="00A417FF" w:rsidRPr="00867B8E" w:rsidRDefault="00A417FF" w:rsidP="00EA7F60">
            <w:pPr>
              <w:jc w:val="both"/>
              <w:rPr>
                <w:b/>
                <w:sz w:val="20"/>
                <w:szCs w:val="20"/>
                <w:lang w:eastAsia="sk-SK"/>
              </w:rPr>
            </w:pPr>
          </w:p>
        </w:tc>
      </w:tr>
      <w:tr w:rsidR="00A417FF" w:rsidRPr="0074339B" w14:paraId="3AFBE79F" w14:textId="77777777" w:rsidTr="00EA7F60">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D50ACA5" w14:textId="77777777" w:rsidR="00A417FF" w:rsidRPr="0074339B" w:rsidRDefault="00A417FF" w:rsidP="00A417FF">
            <w:pPr>
              <w:numPr>
                <w:ilvl w:val="0"/>
                <w:numId w:val="2"/>
              </w:numPr>
              <w:ind w:left="426"/>
              <w:contextualSpacing/>
              <w:rPr>
                <w:rFonts w:eastAsia="Calibri"/>
                <w:b/>
                <w:sz w:val="22"/>
                <w:szCs w:val="22"/>
              </w:rPr>
            </w:pPr>
            <w:r w:rsidRPr="0074339B">
              <w:rPr>
                <w:rFonts w:eastAsia="Calibri"/>
                <w:b/>
                <w:sz w:val="22"/>
                <w:szCs w:val="22"/>
              </w:rPr>
              <w:t>Vybrané vplyvy  materiálu</w:t>
            </w:r>
          </w:p>
        </w:tc>
      </w:tr>
      <w:tr w:rsidR="00A417FF" w:rsidRPr="0074339B" w14:paraId="1C97DA3D" w14:textId="77777777" w:rsidTr="00EA7F60">
        <w:tc>
          <w:tcPr>
            <w:tcW w:w="3812" w:type="dxa"/>
            <w:tcBorders>
              <w:top w:val="single" w:sz="4" w:space="0" w:color="auto"/>
              <w:left w:val="single" w:sz="4" w:space="0" w:color="auto"/>
              <w:bottom w:val="nil"/>
              <w:right w:val="single" w:sz="4" w:space="0" w:color="auto"/>
            </w:tcBorders>
            <w:shd w:val="clear" w:color="auto" w:fill="E2E2E2"/>
          </w:tcPr>
          <w:p w14:paraId="6CF182A5" w14:textId="77777777" w:rsidR="00A417FF" w:rsidRPr="0074339B" w:rsidRDefault="00A417FF" w:rsidP="00EA7F60">
            <w:pPr>
              <w:rPr>
                <w:b/>
                <w:sz w:val="20"/>
                <w:szCs w:val="20"/>
                <w:lang w:eastAsia="sk-SK"/>
              </w:rPr>
            </w:pPr>
            <w:r w:rsidRPr="0074339B">
              <w:rPr>
                <w:b/>
                <w:sz w:val="20"/>
                <w:szCs w:val="20"/>
                <w:lang w:eastAsia="sk-SK"/>
              </w:rPr>
              <w:t>Vplyvy na rozpočet verejnej správy</w:t>
            </w:r>
          </w:p>
        </w:tc>
        <w:sdt>
          <w:sdtPr>
            <w:rPr>
              <w:b/>
              <w:sz w:val="20"/>
              <w:szCs w:val="20"/>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082DE383"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637DDDE6" w14:textId="77777777" w:rsidR="00A417FF" w:rsidRPr="0074339B" w:rsidRDefault="00A417FF" w:rsidP="00EA7F60">
            <w:pPr>
              <w:rPr>
                <w:b/>
                <w:sz w:val="20"/>
                <w:szCs w:val="20"/>
                <w:lang w:eastAsia="sk-SK"/>
              </w:rPr>
            </w:pPr>
            <w:r w:rsidRPr="0074339B">
              <w:rPr>
                <w:b/>
                <w:sz w:val="20"/>
                <w:szCs w:val="20"/>
                <w:lang w:eastAsia="sk-SK"/>
              </w:rPr>
              <w:t>Pozitívne</w:t>
            </w:r>
          </w:p>
        </w:tc>
        <w:sdt>
          <w:sdtPr>
            <w:rPr>
              <w:b/>
              <w:sz w:val="20"/>
              <w:szCs w:val="20"/>
              <w:lang w:eastAsia="sk-SK"/>
            </w:rPr>
            <w:id w:val="-1481296198"/>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6EB69B11"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6E67C532" w14:textId="77777777" w:rsidR="00A417FF" w:rsidRPr="0074339B" w:rsidRDefault="00A417FF" w:rsidP="00EA7F60">
            <w:pPr>
              <w:rPr>
                <w:b/>
                <w:sz w:val="20"/>
                <w:szCs w:val="20"/>
                <w:lang w:eastAsia="sk-SK"/>
              </w:rPr>
            </w:pPr>
            <w:r w:rsidRPr="0074339B">
              <w:rPr>
                <w:b/>
                <w:sz w:val="20"/>
                <w:szCs w:val="20"/>
                <w:lang w:eastAsia="sk-SK"/>
              </w:rPr>
              <w:t>Žiadne</w:t>
            </w:r>
          </w:p>
        </w:tc>
        <w:sdt>
          <w:sdtPr>
            <w:rPr>
              <w:b/>
              <w:sz w:val="20"/>
              <w:szCs w:val="20"/>
              <w:lang w:eastAsia="sk-SK"/>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1E051045" w14:textId="77777777" w:rsidR="00A417FF" w:rsidRPr="0074339B" w:rsidRDefault="00A417FF" w:rsidP="00EA7F60">
                <w:pPr>
                  <w:ind w:left="-107" w:right="-108"/>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34DD958" w14:textId="77777777" w:rsidR="00A417FF" w:rsidRPr="0074339B" w:rsidRDefault="00A417FF" w:rsidP="00EA7F60">
            <w:pPr>
              <w:ind w:left="34"/>
              <w:rPr>
                <w:b/>
                <w:sz w:val="20"/>
                <w:szCs w:val="20"/>
                <w:lang w:eastAsia="sk-SK"/>
              </w:rPr>
            </w:pPr>
            <w:r w:rsidRPr="0074339B">
              <w:rPr>
                <w:b/>
                <w:sz w:val="20"/>
                <w:szCs w:val="20"/>
                <w:lang w:eastAsia="sk-SK"/>
              </w:rPr>
              <w:t>Negatívne</w:t>
            </w:r>
          </w:p>
        </w:tc>
      </w:tr>
      <w:tr w:rsidR="00A417FF" w:rsidRPr="0074339B" w14:paraId="2C17F55E" w14:textId="77777777" w:rsidTr="00EA7F60">
        <w:tc>
          <w:tcPr>
            <w:tcW w:w="3812" w:type="dxa"/>
            <w:tcBorders>
              <w:top w:val="nil"/>
              <w:left w:val="single" w:sz="4" w:space="0" w:color="auto"/>
              <w:bottom w:val="nil"/>
              <w:right w:val="single" w:sz="4" w:space="0" w:color="auto"/>
            </w:tcBorders>
            <w:shd w:val="clear" w:color="auto" w:fill="E2E2E2"/>
          </w:tcPr>
          <w:p w14:paraId="089C24C3" w14:textId="77777777" w:rsidR="00A417FF" w:rsidRPr="0074339B" w:rsidRDefault="00A417FF" w:rsidP="00EA7F60">
            <w:pPr>
              <w:rPr>
                <w:sz w:val="20"/>
                <w:szCs w:val="20"/>
                <w:lang w:eastAsia="sk-SK"/>
              </w:rPr>
            </w:pPr>
            <w:r w:rsidRPr="0074339B">
              <w:rPr>
                <w:sz w:val="20"/>
                <w:szCs w:val="20"/>
                <w:lang w:eastAsia="sk-SK"/>
              </w:rPr>
              <w:t xml:space="preserve">    z toho rozpočtovo zabezpečené vplyvy,         </w:t>
            </w:r>
          </w:p>
          <w:p w14:paraId="693B1512" w14:textId="77777777" w:rsidR="00A417FF" w:rsidRPr="0074339B" w:rsidRDefault="00A417FF" w:rsidP="00EA7F60">
            <w:pPr>
              <w:rPr>
                <w:sz w:val="20"/>
                <w:szCs w:val="20"/>
                <w:lang w:eastAsia="sk-SK"/>
              </w:rPr>
            </w:pPr>
            <w:r w:rsidRPr="0074339B">
              <w:rPr>
                <w:sz w:val="20"/>
                <w:szCs w:val="20"/>
                <w:lang w:eastAsia="sk-SK"/>
              </w:rPr>
              <w:t xml:space="preserve">    v prípade identifikovaného negatívneho </w:t>
            </w:r>
          </w:p>
          <w:p w14:paraId="1AA43147" w14:textId="77777777" w:rsidR="00A417FF" w:rsidRPr="0074339B" w:rsidRDefault="00A417FF" w:rsidP="00EA7F60">
            <w:pPr>
              <w:rPr>
                <w:sz w:val="20"/>
                <w:szCs w:val="20"/>
                <w:lang w:eastAsia="sk-SK"/>
              </w:rPr>
            </w:pPr>
            <w:r w:rsidRPr="0074339B">
              <w:rPr>
                <w:sz w:val="20"/>
                <w:szCs w:val="20"/>
                <w:lang w:eastAsia="sk-SK"/>
              </w:rPr>
              <w:t xml:space="preserve">    vplyvu</w:t>
            </w:r>
          </w:p>
        </w:tc>
        <w:sdt>
          <w:sdtPr>
            <w:rPr>
              <w:sz w:val="20"/>
              <w:szCs w:val="20"/>
              <w:lang w:eastAsia="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28032D30" w14:textId="77777777" w:rsidR="00A417FF" w:rsidRPr="0074339B" w:rsidRDefault="00A417FF" w:rsidP="00EA7F60">
                <w:pPr>
                  <w:jc w:val="center"/>
                  <w:rPr>
                    <w:sz w:val="20"/>
                    <w:szCs w:val="20"/>
                    <w:lang w:eastAsia="sk-SK"/>
                  </w:rPr>
                </w:pPr>
                <w:r w:rsidRPr="0074339B">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CE94D5A" w14:textId="77777777" w:rsidR="00A417FF" w:rsidRPr="0074339B" w:rsidRDefault="00A417FF" w:rsidP="00EA7F60">
            <w:pPr>
              <w:rPr>
                <w:sz w:val="20"/>
                <w:szCs w:val="20"/>
                <w:lang w:eastAsia="sk-SK"/>
              </w:rPr>
            </w:pPr>
            <w:r w:rsidRPr="0074339B">
              <w:rPr>
                <w:sz w:val="20"/>
                <w:szCs w:val="20"/>
                <w:lang w:eastAsia="sk-SK"/>
              </w:rPr>
              <w:t>Áno</w:t>
            </w:r>
          </w:p>
        </w:tc>
        <w:sdt>
          <w:sdtPr>
            <w:rPr>
              <w:sz w:val="20"/>
              <w:szCs w:val="20"/>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3D49310A" w14:textId="77777777" w:rsidR="00A417FF" w:rsidRPr="0074339B" w:rsidRDefault="00A417FF" w:rsidP="00EA7F60">
                <w:pPr>
                  <w:jc w:val="center"/>
                  <w:rPr>
                    <w:sz w:val="20"/>
                    <w:szCs w:val="20"/>
                    <w:lang w:eastAsia="sk-SK"/>
                  </w:rPr>
                </w:pPr>
                <w:r w:rsidRPr="0074339B">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BEB2114" w14:textId="77777777" w:rsidR="00A417FF" w:rsidRPr="0074339B" w:rsidRDefault="00A417FF" w:rsidP="00EA7F60">
            <w:pPr>
              <w:rPr>
                <w:sz w:val="20"/>
                <w:szCs w:val="20"/>
                <w:lang w:eastAsia="sk-SK"/>
              </w:rPr>
            </w:pPr>
            <w:r w:rsidRPr="0074339B">
              <w:rPr>
                <w:sz w:val="20"/>
                <w:szCs w:val="20"/>
                <w:lang w:eastAsia="sk-SK"/>
              </w:rPr>
              <w:t>Nie</w:t>
            </w:r>
          </w:p>
        </w:tc>
        <w:sdt>
          <w:sdtPr>
            <w:rPr>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4660CAF1" w14:textId="77777777" w:rsidR="00A417FF" w:rsidRPr="0074339B" w:rsidRDefault="00A417FF" w:rsidP="00EA7F60">
                <w:pPr>
                  <w:ind w:left="-107" w:right="-108"/>
                  <w:jc w:val="center"/>
                  <w:rPr>
                    <w:sz w:val="20"/>
                    <w:szCs w:val="20"/>
                    <w:lang w:eastAsia="sk-SK"/>
                  </w:rPr>
                </w:pPr>
                <w:r w:rsidRPr="0074339B">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A564EC1" w14:textId="77777777" w:rsidR="00A417FF" w:rsidRPr="0074339B" w:rsidRDefault="00A417FF" w:rsidP="00EA7F60">
            <w:pPr>
              <w:ind w:left="34"/>
              <w:rPr>
                <w:sz w:val="20"/>
                <w:szCs w:val="20"/>
                <w:lang w:eastAsia="sk-SK"/>
              </w:rPr>
            </w:pPr>
            <w:r w:rsidRPr="0074339B">
              <w:rPr>
                <w:sz w:val="20"/>
                <w:szCs w:val="20"/>
                <w:lang w:eastAsia="sk-SK"/>
              </w:rPr>
              <w:t>Čiastočne</w:t>
            </w:r>
          </w:p>
        </w:tc>
      </w:tr>
      <w:tr w:rsidR="00A417FF" w:rsidRPr="0074339B" w14:paraId="41BBEF12" w14:textId="77777777" w:rsidTr="00EA7F60">
        <w:tc>
          <w:tcPr>
            <w:tcW w:w="3812" w:type="dxa"/>
            <w:tcBorders>
              <w:top w:val="nil"/>
              <w:left w:val="single" w:sz="4" w:space="0" w:color="auto"/>
              <w:bottom w:val="nil"/>
              <w:right w:val="single" w:sz="4" w:space="0" w:color="auto"/>
            </w:tcBorders>
            <w:shd w:val="clear" w:color="auto" w:fill="E2E2E2"/>
          </w:tcPr>
          <w:p w14:paraId="2E2CD3EB" w14:textId="77777777" w:rsidR="00A417FF" w:rsidRPr="0074339B" w:rsidRDefault="00A417FF" w:rsidP="00EA7F60">
            <w:pPr>
              <w:rPr>
                <w:b/>
                <w:sz w:val="20"/>
                <w:szCs w:val="20"/>
                <w:lang w:eastAsia="sk-SK"/>
              </w:rPr>
            </w:pPr>
            <w:r w:rsidRPr="0074339B">
              <w:rPr>
                <w:b/>
                <w:sz w:val="20"/>
                <w:szCs w:val="20"/>
                <w:lang w:eastAsia="sk-SK"/>
              </w:rPr>
              <w:t>v tom vplyvy na rozpočty obcí a vyšších územných celkov</w:t>
            </w:r>
          </w:p>
        </w:tc>
        <w:sdt>
          <w:sdtPr>
            <w:rPr>
              <w:b/>
              <w:sz w:val="20"/>
              <w:szCs w:val="20"/>
              <w:lang w:eastAsia="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08CA9DC4"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60130EF0" w14:textId="77777777" w:rsidR="00A417FF" w:rsidRPr="0074339B" w:rsidRDefault="00A417FF" w:rsidP="00EA7F60">
            <w:pPr>
              <w:rPr>
                <w:b/>
                <w:sz w:val="20"/>
                <w:szCs w:val="20"/>
                <w:lang w:eastAsia="sk-SK"/>
              </w:rPr>
            </w:pPr>
            <w:r w:rsidRPr="0074339B">
              <w:rPr>
                <w:b/>
                <w:sz w:val="20"/>
                <w:szCs w:val="20"/>
                <w:lang w:eastAsia="sk-SK"/>
              </w:rPr>
              <w:t>Pozitívne</w:t>
            </w:r>
          </w:p>
        </w:tc>
        <w:sdt>
          <w:sdtPr>
            <w:rPr>
              <w:b/>
              <w:sz w:val="20"/>
              <w:szCs w:val="20"/>
              <w:lang w:eastAsia="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563109DE"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32546D14" w14:textId="77777777" w:rsidR="00A417FF" w:rsidRPr="0074339B" w:rsidRDefault="00A417FF" w:rsidP="00EA7F60">
            <w:pPr>
              <w:rPr>
                <w:b/>
                <w:sz w:val="20"/>
                <w:szCs w:val="20"/>
                <w:lang w:eastAsia="sk-SK"/>
              </w:rPr>
            </w:pPr>
            <w:r w:rsidRPr="0074339B">
              <w:rPr>
                <w:b/>
                <w:sz w:val="20"/>
                <w:szCs w:val="20"/>
                <w:lang w:eastAsia="sk-SK"/>
              </w:rPr>
              <w:t>Žiadne</w:t>
            </w:r>
          </w:p>
        </w:tc>
        <w:sdt>
          <w:sdtPr>
            <w:rPr>
              <w:b/>
              <w:sz w:val="20"/>
              <w:szCs w:val="20"/>
              <w:lang w:eastAsia="sk-SK"/>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6BE97387" w14:textId="77777777" w:rsidR="00A417FF" w:rsidRPr="0074339B" w:rsidRDefault="00A417FF" w:rsidP="00EA7F60">
                <w:pPr>
                  <w:ind w:left="-107" w:right="-108"/>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7601E505" w14:textId="77777777" w:rsidR="00A417FF" w:rsidRPr="0074339B" w:rsidRDefault="00A417FF" w:rsidP="00EA7F60">
            <w:pPr>
              <w:ind w:left="34"/>
              <w:rPr>
                <w:b/>
                <w:sz w:val="20"/>
                <w:szCs w:val="20"/>
                <w:lang w:eastAsia="sk-SK"/>
              </w:rPr>
            </w:pPr>
            <w:r w:rsidRPr="0074339B">
              <w:rPr>
                <w:b/>
                <w:sz w:val="20"/>
                <w:szCs w:val="20"/>
                <w:lang w:eastAsia="sk-SK"/>
              </w:rPr>
              <w:t>Negatívne</w:t>
            </w:r>
          </w:p>
        </w:tc>
      </w:tr>
      <w:tr w:rsidR="00A417FF" w:rsidRPr="0074339B" w14:paraId="5F172008" w14:textId="77777777" w:rsidTr="00EA7F60">
        <w:tc>
          <w:tcPr>
            <w:tcW w:w="3812" w:type="dxa"/>
            <w:tcBorders>
              <w:top w:val="nil"/>
              <w:left w:val="single" w:sz="4" w:space="0" w:color="auto"/>
              <w:bottom w:val="single" w:sz="4" w:space="0" w:color="auto"/>
              <w:right w:val="single" w:sz="4" w:space="0" w:color="auto"/>
            </w:tcBorders>
            <w:shd w:val="clear" w:color="auto" w:fill="E2E2E2"/>
          </w:tcPr>
          <w:p w14:paraId="61CF61ED" w14:textId="77777777" w:rsidR="00A417FF" w:rsidRPr="0074339B" w:rsidRDefault="00A417FF" w:rsidP="00EA7F60">
            <w:pPr>
              <w:ind w:left="171"/>
              <w:rPr>
                <w:sz w:val="20"/>
                <w:szCs w:val="20"/>
                <w:lang w:eastAsia="sk-SK"/>
              </w:rPr>
            </w:pPr>
            <w:r w:rsidRPr="0074339B">
              <w:rPr>
                <w:sz w:val="20"/>
                <w:szCs w:val="20"/>
                <w:lang w:eastAsia="sk-SK"/>
              </w:rPr>
              <w:t>z toho rozpočtovo zabezpečené vplyvy,</w:t>
            </w:r>
          </w:p>
          <w:p w14:paraId="6BEC9983" w14:textId="77777777" w:rsidR="00A417FF" w:rsidRPr="0074339B" w:rsidRDefault="00A417FF" w:rsidP="00EA7F60">
            <w:pPr>
              <w:ind w:left="171"/>
              <w:rPr>
                <w:sz w:val="20"/>
                <w:szCs w:val="20"/>
                <w:lang w:eastAsia="sk-SK"/>
              </w:rPr>
            </w:pPr>
            <w:r w:rsidRPr="0074339B">
              <w:rPr>
                <w:sz w:val="20"/>
                <w:szCs w:val="20"/>
                <w:lang w:eastAsia="sk-SK"/>
              </w:rPr>
              <w:t>v prípade identifikovaného negatívneho vplyvu</w:t>
            </w:r>
          </w:p>
        </w:tc>
        <w:sdt>
          <w:sdtPr>
            <w:rPr>
              <w:sz w:val="20"/>
              <w:szCs w:val="20"/>
              <w:lang w:eastAsia="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6ECA1D50" w14:textId="77777777" w:rsidR="00A417FF" w:rsidRPr="0074339B" w:rsidRDefault="00A417FF" w:rsidP="00EA7F60">
                <w:pPr>
                  <w:jc w:val="center"/>
                  <w:rPr>
                    <w:sz w:val="20"/>
                    <w:szCs w:val="20"/>
                    <w:lang w:eastAsia="sk-SK"/>
                  </w:rPr>
                </w:pPr>
                <w:r w:rsidRPr="0074339B">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5AD38776" w14:textId="77777777" w:rsidR="00A417FF" w:rsidRPr="0074339B" w:rsidRDefault="00A417FF" w:rsidP="00EA7F60">
            <w:pPr>
              <w:rPr>
                <w:sz w:val="20"/>
                <w:szCs w:val="20"/>
                <w:lang w:eastAsia="sk-SK"/>
              </w:rPr>
            </w:pPr>
            <w:r w:rsidRPr="0074339B">
              <w:rPr>
                <w:sz w:val="20"/>
                <w:szCs w:val="20"/>
                <w:lang w:eastAsia="sk-SK"/>
              </w:rPr>
              <w:t>Áno</w:t>
            </w:r>
          </w:p>
        </w:tc>
        <w:sdt>
          <w:sdtPr>
            <w:rPr>
              <w:sz w:val="20"/>
              <w:szCs w:val="20"/>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0000AE63" w14:textId="77777777" w:rsidR="00A417FF" w:rsidRPr="0074339B" w:rsidRDefault="00A417FF" w:rsidP="00EA7F60">
                <w:pPr>
                  <w:jc w:val="center"/>
                  <w:rPr>
                    <w:sz w:val="20"/>
                    <w:szCs w:val="20"/>
                    <w:lang w:eastAsia="sk-SK"/>
                  </w:rPr>
                </w:pPr>
                <w:r w:rsidRPr="0074339B">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352EAA63" w14:textId="77777777" w:rsidR="00A417FF" w:rsidRPr="0074339B" w:rsidRDefault="00A417FF" w:rsidP="00EA7F60">
            <w:pPr>
              <w:rPr>
                <w:sz w:val="20"/>
                <w:szCs w:val="20"/>
                <w:lang w:eastAsia="sk-SK"/>
              </w:rPr>
            </w:pPr>
            <w:r w:rsidRPr="0074339B">
              <w:rPr>
                <w:sz w:val="20"/>
                <w:szCs w:val="20"/>
                <w:lang w:eastAsia="sk-SK"/>
              </w:rPr>
              <w:t>Nie</w:t>
            </w:r>
          </w:p>
        </w:tc>
        <w:sdt>
          <w:sdtPr>
            <w:rPr>
              <w:sz w:val="20"/>
              <w:szCs w:val="20"/>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5A4B6810" w14:textId="77777777" w:rsidR="00A417FF" w:rsidRPr="0074339B" w:rsidRDefault="00A417FF" w:rsidP="00EA7F60">
                <w:pPr>
                  <w:ind w:left="-107" w:right="-108"/>
                  <w:jc w:val="center"/>
                  <w:rPr>
                    <w:sz w:val="20"/>
                    <w:szCs w:val="20"/>
                    <w:lang w:eastAsia="sk-SK"/>
                  </w:rPr>
                </w:pPr>
                <w:r w:rsidRPr="0074339B">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9E41C1C" w14:textId="77777777" w:rsidR="00A417FF" w:rsidRPr="0074339B" w:rsidRDefault="00A417FF" w:rsidP="00EA7F60">
            <w:pPr>
              <w:ind w:left="34"/>
              <w:rPr>
                <w:sz w:val="20"/>
                <w:szCs w:val="20"/>
                <w:lang w:eastAsia="sk-SK"/>
              </w:rPr>
            </w:pPr>
            <w:r w:rsidRPr="0074339B">
              <w:rPr>
                <w:sz w:val="20"/>
                <w:szCs w:val="20"/>
                <w:lang w:eastAsia="sk-SK"/>
              </w:rPr>
              <w:t>Čiastočne</w:t>
            </w:r>
          </w:p>
        </w:tc>
      </w:tr>
      <w:tr w:rsidR="00A417FF" w:rsidRPr="0074339B" w14:paraId="34D34702" w14:textId="77777777" w:rsidTr="00EA7F60">
        <w:tc>
          <w:tcPr>
            <w:tcW w:w="3812" w:type="dxa"/>
            <w:tcBorders>
              <w:top w:val="single" w:sz="4" w:space="0" w:color="auto"/>
              <w:left w:val="single" w:sz="4" w:space="0" w:color="auto"/>
              <w:bottom w:val="single" w:sz="4" w:space="0" w:color="auto"/>
              <w:right w:val="single" w:sz="4" w:space="0" w:color="auto"/>
            </w:tcBorders>
            <w:shd w:val="clear" w:color="auto" w:fill="E2E2E2"/>
          </w:tcPr>
          <w:p w14:paraId="1534C626" w14:textId="77777777" w:rsidR="00A417FF" w:rsidRPr="0074339B" w:rsidRDefault="00A417FF" w:rsidP="00EA7F60">
            <w:pPr>
              <w:ind w:left="171"/>
              <w:rPr>
                <w:sz w:val="20"/>
                <w:szCs w:val="20"/>
                <w:lang w:eastAsia="sk-SK"/>
              </w:rPr>
            </w:pPr>
            <w:r w:rsidRPr="0074339B">
              <w:rPr>
                <w:sz w:val="20"/>
                <w:szCs w:val="20"/>
                <w:lang w:eastAsia="sk-SK"/>
              </w:rPr>
              <w:t>Vplyv na dlhodobú udržateľnosť verejných financií v prípade vybraných opatrení ***</w:t>
            </w:r>
          </w:p>
        </w:tc>
        <w:sdt>
          <w:sdtPr>
            <w:rPr>
              <w:sz w:val="20"/>
              <w:szCs w:val="20"/>
              <w:lang w:eastAsia="sk-SK"/>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24A26138" w14:textId="77777777" w:rsidR="00A417FF" w:rsidRPr="0074339B" w:rsidRDefault="00A417FF" w:rsidP="00EA7F60">
                <w:pPr>
                  <w:jc w:val="center"/>
                  <w:rPr>
                    <w:sz w:val="20"/>
                    <w:szCs w:val="20"/>
                    <w:lang w:eastAsia="sk-SK"/>
                  </w:rPr>
                </w:pPr>
                <w:r w:rsidRPr="0074339B">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4786AC7" w14:textId="77777777" w:rsidR="00A417FF" w:rsidRPr="0074339B" w:rsidRDefault="00A417FF" w:rsidP="00EA7F60">
            <w:pPr>
              <w:rPr>
                <w:sz w:val="20"/>
                <w:szCs w:val="20"/>
                <w:lang w:eastAsia="sk-SK"/>
              </w:rPr>
            </w:pPr>
            <w:r w:rsidRPr="0074339B">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AA50812" w14:textId="77777777" w:rsidR="00A417FF" w:rsidRPr="0074339B" w:rsidRDefault="00A417FF" w:rsidP="00EA7F60">
            <w:pPr>
              <w:jc w:val="center"/>
              <w:rPr>
                <w:sz w:val="20"/>
                <w:szCs w:val="20"/>
                <w:lang w:eastAsia="sk-SK"/>
              </w:rPr>
            </w:pPr>
          </w:p>
        </w:tc>
        <w:tc>
          <w:tcPr>
            <w:tcW w:w="1133" w:type="dxa"/>
            <w:tcBorders>
              <w:top w:val="single" w:sz="4" w:space="0" w:color="auto"/>
              <w:left w:val="nil"/>
              <w:bottom w:val="single" w:sz="4" w:space="0" w:color="auto"/>
              <w:right w:val="nil"/>
            </w:tcBorders>
            <w:vAlign w:val="center"/>
          </w:tcPr>
          <w:p w14:paraId="483361B9" w14:textId="77777777" w:rsidR="00A417FF" w:rsidRPr="0074339B" w:rsidRDefault="00A417FF" w:rsidP="00EA7F60">
            <w:pPr>
              <w:rPr>
                <w:sz w:val="20"/>
                <w:szCs w:val="20"/>
                <w:lang w:eastAsia="sk-SK"/>
              </w:rPr>
            </w:pPr>
          </w:p>
        </w:tc>
        <w:sdt>
          <w:sdtPr>
            <w:rPr>
              <w:sz w:val="20"/>
              <w:szCs w:val="20"/>
              <w:lang w:eastAsia="sk-SK"/>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7638BF1C" w14:textId="77777777" w:rsidR="00A417FF" w:rsidRPr="0074339B" w:rsidRDefault="00A417FF" w:rsidP="00EA7F60">
                <w:pPr>
                  <w:ind w:left="-107" w:right="-108"/>
                  <w:jc w:val="center"/>
                  <w:rPr>
                    <w:sz w:val="20"/>
                    <w:szCs w:val="20"/>
                    <w:lang w:eastAsia="sk-SK"/>
                  </w:rPr>
                </w:pPr>
                <w:r w:rsidRPr="0074339B">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A088B41" w14:textId="77777777" w:rsidR="00A417FF" w:rsidRPr="0074339B" w:rsidRDefault="00A417FF" w:rsidP="00EA7F60">
            <w:pPr>
              <w:ind w:left="34"/>
              <w:rPr>
                <w:sz w:val="20"/>
                <w:szCs w:val="20"/>
                <w:lang w:eastAsia="sk-SK"/>
              </w:rPr>
            </w:pPr>
            <w:r w:rsidRPr="0074339B">
              <w:rPr>
                <w:sz w:val="20"/>
                <w:szCs w:val="20"/>
                <w:lang w:eastAsia="sk-SK"/>
              </w:rPr>
              <w:t>Nie</w:t>
            </w:r>
          </w:p>
        </w:tc>
      </w:tr>
      <w:tr w:rsidR="00A417FF" w:rsidRPr="0074339B" w14:paraId="7A5C6690" w14:textId="77777777" w:rsidTr="00EA7F60">
        <w:tc>
          <w:tcPr>
            <w:tcW w:w="3812" w:type="dxa"/>
            <w:tcBorders>
              <w:top w:val="single" w:sz="4" w:space="0" w:color="auto"/>
              <w:left w:val="single" w:sz="4" w:space="0" w:color="auto"/>
              <w:bottom w:val="single" w:sz="4" w:space="0" w:color="auto"/>
              <w:right w:val="single" w:sz="4" w:space="0" w:color="auto"/>
            </w:tcBorders>
            <w:shd w:val="clear" w:color="auto" w:fill="E2E2E2"/>
          </w:tcPr>
          <w:p w14:paraId="2857DE16" w14:textId="77777777" w:rsidR="00A417FF" w:rsidRPr="0074339B" w:rsidRDefault="00A417FF" w:rsidP="00EA7F60">
            <w:pPr>
              <w:rPr>
                <w:b/>
                <w:sz w:val="22"/>
                <w:szCs w:val="22"/>
                <w:lang w:eastAsia="sk-SK"/>
              </w:rPr>
            </w:pPr>
            <w:r w:rsidRPr="0074339B">
              <w:rPr>
                <w:b/>
                <w:sz w:val="22"/>
                <w:szCs w:val="22"/>
                <w:lang w:eastAsia="sk-SK"/>
              </w:rPr>
              <w:t>Vplyvy na limit verejných výdavkov</w:t>
            </w:r>
          </w:p>
        </w:tc>
        <w:sdt>
          <w:sdtPr>
            <w:rPr>
              <w:b/>
              <w:sz w:val="22"/>
              <w:szCs w:val="22"/>
              <w:lang w:eastAsia="sk-SK"/>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4DEFBAF9" w14:textId="77777777" w:rsidR="00A417FF" w:rsidRPr="0074339B" w:rsidRDefault="00A417FF" w:rsidP="00EA7F60">
                <w:pPr>
                  <w:jc w:val="center"/>
                  <w:rPr>
                    <w:sz w:val="22"/>
                    <w:szCs w:val="22"/>
                    <w:lang w:eastAsia="sk-SK"/>
                  </w:rPr>
                </w:pPr>
                <w:r w:rsidRPr="0074339B">
                  <w:rPr>
                    <w:rFonts w:ascii="Segoe UI Symbol" w:eastAsia="MS Gothic" w:hAnsi="Segoe UI Symbol" w:cs="Segoe UI Symbol"/>
                    <w:b/>
                    <w:sz w:val="22"/>
                    <w:szCs w:val="22"/>
                    <w:lang w:eastAsia="sk-SK"/>
                  </w:rPr>
                  <w:t>☐</w:t>
                </w:r>
              </w:p>
            </w:tc>
          </w:sdtContent>
        </w:sdt>
        <w:tc>
          <w:tcPr>
            <w:tcW w:w="1312" w:type="dxa"/>
            <w:gridSpan w:val="2"/>
            <w:tcBorders>
              <w:top w:val="single" w:sz="4" w:space="0" w:color="auto"/>
              <w:left w:val="nil"/>
              <w:bottom w:val="single" w:sz="4" w:space="0" w:color="auto"/>
              <w:right w:val="nil"/>
            </w:tcBorders>
            <w:vAlign w:val="center"/>
          </w:tcPr>
          <w:p w14:paraId="00E4B927" w14:textId="77777777" w:rsidR="00A417FF" w:rsidRPr="0074339B" w:rsidRDefault="00A417FF" w:rsidP="00EA7F60">
            <w:pPr>
              <w:rPr>
                <w:sz w:val="22"/>
                <w:szCs w:val="22"/>
                <w:lang w:eastAsia="sk-SK"/>
              </w:rPr>
            </w:pPr>
            <w:r w:rsidRPr="0074339B">
              <w:rPr>
                <w:b/>
                <w:sz w:val="22"/>
                <w:szCs w:val="22"/>
                <w:lang w:eastAsia="sk-SK"/>
              </w:rPr>
              <w:t>Pozitívne</w:t>
            </w:r>
          </w:p>
        </w:tc>
        <w:sdt>
          <w:sdtPr>
            <w:rPr>
              <w:b/>
              <w:sz w:val="22"/>
              <w:szCs w:val="22"/>
              <w:lang w:eastAsia="sk-SK"/>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619FC6B6" w14:textId="77777777" w:rsidR="00A417FF" w:rsidRPr="0074339B" w:rsidRDefault="00A417FF" w:rsidP="00EA7F60">
                <w:pPr>
                  <w:jc w:val="center"/>
                  <w:rPr>
                    <w:sz w:val="22"/>
                    <w:szCs w:val="22"/>
                    <w:lang w:eastAsia="sk-SK"/>
                  </w:rPr>
                </w:pPr>
                <w:r w:rsidRPr="0074339B">
                  <w:rPr>
                    <w:rFonts w:ascii="Segoe UI Symbol" w:eastAsia="MS Gothic" w:hAnsi="Segoe UI Symbol" w:cs="Segoe UI Symbol"/>
                    <w:b/>
                    <w:sz w:val="22"/>
                    <w:szCs w:val="22"/>
                    <w:lang w:eastAsia="sk-SK"/>
                  </w:rPr>
                  <w:t>☒</w:t>
                </w:r>
              </w:p>
            </w:tc>
          </w:sdtContent>
        </w:sdt>
        <w:tc>
          <w:tcPr>
            <w:tcW w:w="1133" w:type="dxa"/>
            <w:tcBorders>
              <w:top w:val="single" w:sz="4" w:space="0" w:color="auto"/>
              <w:left w:val="nil"/>
              <w:bottom w:val="single" w:sz="4" w:space="0" w:color="auto"/>
              <w:right w:val="nil"/>
            </w:tcBorders>
            <w:vAlign w:val="center"/>
          </w:tcPr>
          <w:p w14:paraId="49972124" w14:textId="77777777" w:rsidR="00A417FF" w:rsidRPr="0074339B" w:rsidRDefault="00A417FF" w:rsidP="00EA7F60">
            <w:pPr>
              <w:rPr>
                <w:sz w:val="22"/>
                <w:szCs w:val="22"/>
                <w:lang w:eastAsia="sk-SK"/>
              </w:rPr>
            </w:pPr>
            <w:r w:rsidRPr="0074339B">
              <w:rPr>
                <w:b/>
                <w:sz w:val="22"/>
                <w:szCs w:val="22"/>
                <w:lang w:eastAsia="sk-SK"/>
              </w:rPr>
              <w:t>Žiadne</w:t>
            </w:r>
          </w:p>
        </w:tc>
        <w:sdt>
          <w:sdtPr>
            <w:rPr>
              <w:b/>
              <w:sz w:val="22"/>
              <w:szCs w:val="22"/>
              <w:lang w:eastAsia="sk-SK"/>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45DF2C08" w14:textId="77777777" w:rsidR="00A417FF" w:rsidRPr="0074339B" w:rsidRDefault="00A417FF" w:rsidP="00EA7F60">
                <w:pPr>
                  <w:ind w:left="-107" w:right="-108"/>
                  <w:jc w:val="center"/>
                  <w:rPr>
                    <w:sz w:val="22"/>
                    <w:szCs w:val="22"/>
                    <w:lang w:eastAsia="sk-SK"/>
                  </w:rPr>
                </w:pPr>
                <w:r w:rsidRPr="0074339B">
                  <w:rPr>
                    <w:rFonts w:ascii="Segoe UI Symbol" w:eastAsia="MS Gothic" w:hAnsi="Segoe UI Symbol" w:cs="Segoe UI Symbol"/>
                    <w:b/>
                    <w:sz w:val="22"/>
                    <w:szCs w:val="22"/>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DA91376" w14:textId="77777777" w:rsidR="00A417FF" w:rsidRPr="0074339B" w:rsidRDefault="00A417FF" w:rsidP="00EA7F60">
            <w:pPr>
              <w:ind w:left="34"/>
              <w:rPr>
                <w:sz w:val="22"/>
                <w:szCs w:val="22"/>
                <w:lang w:eastAsia="sk-SK"/>
              </w:rPr>
            </w:pPr>
            <w:r w:rsidRPr="0074339B">
              <w:rPr>
                <w:b/>
                <w:sz w:val="22"/>
                <w:szCs w:val="22"/>
                <w:lang w:eastAsia="sk-SK"/>
              </w:rPr>
              <w:t>Negatívne</w:t>
            </w:r>
          </w:p>
        </w:tc>
      </w:tr>
      <w:tr w:rsidR="00A417FF" w:rsidRPr="0074339B" w14:paraId="15A338DD" w14:textId="77777777" w:rsidTr="00EA7F60">
        <w:tc>
          <w:tcPr>
            <w:tcW w:w="3812" w:type="dxa"/>
            <w:tcBorders>
              <w:top w:val="single" w:sz="4" w:space="0" w:color="auto"/>
              <w:left w:val="single" w:sz="4" w:space="0" w:color="auto"/>
              <w:bottom w:val="nil"/>
              <w:right w:val="single" w:sz="4" w:space="0" w:color="auto"/>
            </w:tcBorders>
            <w:shd w:val="clear" w:color="auto" w:fill="E2E2E2"/>
          </w:tcPr>
          <w:p w14:paraId="45D79434" w14:textId="77777777" w:rsidR="00A417FF" w:rsidRPr="0074339B" w:rsidRDefault="00A417FF" w:rsidP="00EA7F60">
            <w:pPr>
              <w:rPr>
                <w:b/>
                <w:sz w:val="20"/>
                <w:szCs w:val="20"/>
                <w:lang w:eastAsia="sk-SK"/>
              </w:rPr>
            </w:pPr>
            <w:r w:rsidRPr="0074339B">
              <w:rPr>
                <w:b/>
                <w:sz w:val="20"/>
                <w:szCs w:val="20"/>
                <w:lang w:eastAsia="sk-SK"/>
              </w:rPr>
              <w:t>Vplyvy na podnikateľské prostredie</w:t>
            </w:r>
          </w:p>
        </w:tc>
        <w:sdt>
          <w:sdtPr>
            <w:rPr>
              <w:b/>
              <w:sz w:val="20"/>
              <w:szCs w:val="20"/>
              <w:lang w:eastAsia="sk-SK"/>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7A5D6C53"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6D119965" w14:textId="77777777" w:rsidR="00A417FF" w:rsidRPr="0074339B" w:rsidRDefault="00A417FF" w:rsidP="00EA7F60">
            <w:pPr>
              <w:ind w:right="-108"/>
              <w:rPr>
                <w:b/>
                <w:sz w:val="20"/>
                <w:szCs w:val="20"/>
                <w:lang w:eastAsia="sk-SK"/>
              </w:rPr>
            </w:pPr>
            <w:r w:rsidRPr="0074339B">
              <w:rPr>
                <w:b/>
                <w:sz w:val="20"/>
                <w:szCs w:val="20"/>
                <w:lang w:eastAsia="sk-SK"/>
              </w:rPr>
              <w:t>Pozitívne</w:t>
            </w:r>
          </w:p>
        </w:tc>
        <w:sdt>
          <w:sdtPr>
            <w:rPr>
              <w:b/>
              <w:sz w:val="20"/>
              <w:szCs w:val="20"/>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5736B199"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684828CD" w14:textId="77777777" w:rsidR="00A417FF" w:rsidRPr="0074339B" w:rsidRDefault="00A417FF" w:rsidP="00EA7F60">
            <w:pPr>
              <w:rPr>
                <w:b/>
                <w:sz w:val="20"/>
                <w:szCs w:val="20"/>
                <w:lang w:eastAsia="sk-SK"/>
              </w:rPr>
            </w:pPr>
            <w:r w:rsidRPr="0074339B">
              <w:rPr>
                <w:b/>
                <w:sz w:val="20"/>
                <w:szCs w:val="20"/>
                <w:lang w:eastAsia="sk-SK"/>
              </w:rPr>
              <w:t>Žiadne</w:t>
            </w:r>
          </w:p>
        </w:tc>
        <w:sdt>
          <w:sdtPr>
            <w:rPr>
              <w:b/>
              <w:sz w:val="20"/>
              <w:szCs w:val="20"/>
              <w:lang w:eastAsia="sk-SK"/>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335221BB"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0E4D3EE" w14:textId="77777777" w:rsidR="00A417FF" w:rsidRPr="0074339B" w:rsidRDefault="00A417FF" w:rsidP="00EA7F60">
            <w:pPr>
              <w:ind w:left="54"/>
              <w:rPr>
                <w:b/>
                <w:sz w:val="20"/>
                <w:szCs w:val="20"/>
                <w:lang w:eastAsia="sk-SK"/>
              </w:rPr>
            </w:pPr>
            <w:r w:rsidRPr="0074339B">
              <w:rPr>
                <w:b/>
                <w:sz w:val="20"/>
                <w:szCs w:val="20"/>
                <w:lang w:eastAsia="sk-SK"/>
              </w:rPr>
              <w:t>Negatívne</w:t>
            </w:r>
          </w:p>
        </w:tc>
      </w:tr>
      <w:tr w:rsidR="00A417FF" w:rsidRPr="0074339B" w14:paraId="75F6C352" w14:textId="77777777" w:rsidTr="00EA7F60">
        <w:tc>
          <w:tcPr>
            <w:tcW w:w="3812" w:type="dxa"/>
            <w:tcBorders>
              <w:top w:val="nil"/>
              <w:left w:val="single" w:sz="4" w:space="0" w:color="000000"/>
              <w:bottom w:val="nil"/>
              <w:right w:val="single" w:sz="4" w:space="0" w:color="000000"/>
            </w:tcBorders>
            <w:shd w:val="clear" w:color="auto" w:fill="E2E2E2"/>
          </w:tcPr>
          <w:p w14:paraId="31C9433D" w14:textId="77777777" w:rsidR="00A417FF" w:rsidRPr="0074339B" w:rsidRDefault="00A417FF" w:rsidP="00EA7F60">
            <w:pPr>
              <w:rPr>
                <w:sz w:val="20"/>
                <w:szCs w:val="20"/>
                <w:lang w:eastAsia="sk-SK"/>
              </w:rPr>
            </w:pPr>
            <w:r w:rsidRPr="0074339B">
              <w:rPr>
                <w:sz w:val="20"/>
                <w:szCs w:val="20"/>
                <w:lang w:eastAsia="sk-SK"/>
              </w:rPr>
              <w:t xml:space="preserve">    z toho vplyvy na MSP</w:t>
            </w:r>
          </w:p>
          <w:p w14:paraId="1125438B" w14:textId="77777777" w:rsidR="00A417FF" w:rsidRPr="0074339B" w:rsidRDefault="00A417FF" w:rsidP="00EA7F60">
            <w:pPr>
              <w:rPr>
                <w:sz w:val="20"/>
                <w:szCs w:val="20"/>
                <w:lang w:eastAsia="sk-SK"/>
              </w:rPr>
            </w:pPr>
          </w:p>
        </w:tc>
        <w:sdt>
          <w:sdtPr>
            <w:rPr>
              <w:sz w:val="20"/>
              <w:szCs w:val="20"/>
              <w:lang w:eastAsia="sk-SK"/>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5D9CF0CE" w14:textId="77777777" w:rsidR="00A417FF" w:rsidRPr="0074339B" w:rsidRDefault="00A417FF" w:rsidP="00EA7F60">
                <w:pPr>
                  <w:jc w:val="center"/>
                  <w:rPr>
                    <w:sz w:val="20"/>
                    <w:szCs w:val="20"/>
                    <w:lang w:eastAsia="sk-SK"/>
                  </w:rPr>
                </w:pPr>
                <w:r w:rsidRPr="0074339B">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68CEE959" w14:textId="77777777" w:rsidR="00A417FF" w:rsidRPr="0074339B" w:rsidRDefault="00A417FF" w:rsidP="00EA7F60">
            <w:pPr>
              <w:ind w:right="-108"/>
              <w:rPr>
                <w:sz w:val="20"/>
                <w:szCs w:val="20"/>
                <w:lang w:eastAsia="sk-SK"/>
              </w:rPr>
            </w:pPr>
            <w:r w:rsidRPr="0074339B">
              <w:rPr>
                <w:sz w:val="20"/>
                <w:szCs w:val="20"/>
                <w:lang w:eastAsia="sk-SK"/>
              </w:rPr>
              <w:t>Pozitívne</w:t>
            </w:r>
          </w:p>
        </w:tc>
        <w:sdt>
          <w:sdtPr>
            <w:rPr>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64DAE55B" w14:textId="77777777" w:rsidR="00A417FF" w:rsidRPr="0074339B" w:rsidRDefault="00A417FF" w:rsidP="00EA7F60">
                <w:pPr>
                  <w:jc w:val="center"/>
                  <w:rPr>
                    <w:sz w:val="20"/>
                    <w:szCs w:val="20"/>
                    <w:lang w:eastAsia="sk-SK"/>
                  </w:rPr>
                </w:pPr>
                <w:r w:rsidRPr="0074339B">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C9DAEB9" w14:textId="77777777" w:rsidR="00A417FF" w:rsidRPr="0074339B" w:rsidRDefault="00A417FF" w:rsidP="00EA7F60">
            <w:pPr>
              <w:rPr>
                <w:sz w:val="20"/>
                <w:szCs w:val="20"/>
                <w:lang w:eastAsia="sk-SK"/>
              </w:rPr>
            </w:pPr>
            <w:r w:rsidRPr="0074339B">
              <w:rPr>
                <w:sz w:val="20"/>
                <w:szCs w:val="20"/>
                <w:lang w:eastAsia="sk-SK"/>
              </w:rPr>
              <w:t>Žiadne</w:t>
            </w:r>
          </w:p>
        </w:tc>
        <w:sdt>
          <w:sdtPr>
            <w:rPr>
              <w:sz w:val="20"/>
              <w:szCs w:val="20"/>
              <w:lang w:eastAsia="sk-SK"/>
            </w:rPr>
            <w:id w:val="-386717170"/>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0844C0CF" w14:textId="77777777" w:rsidR="00A417FF" w:rsidRPr="0074339B" w:rsidRDefault="00A417FF" w:rsidP="00EA7F60">
                <w:pPr>
                  <w:jc w:val="center"/>
                  <w:rPr>
                    <w:sz w:val="20"/>
                    <w:szCs w:val="20"/>
                    <w:lang w:eastAsia="sk-SK"/>
                  </w:rPr>
                </w:pPr>
                <w:r w:rsidRPr="0074339B">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0A57142" w14:textId="77777777" w:rsidR="00A417FF" w:rsidRPr="0074339B" w:rsidRDefault="00A417FF" w:rsidP="00EA7F60">
            <w:pPr>
              <w:ind w:left="54"/>
              <w:rPr>
                <w:sz w:val="20"/>
                <w:szCs w:val="20"/>
                <w:lang w:eastAsia="sk-SK"/>
              </w:rPr>
            </w:pPr>
            <w:r w:rsidRPr="0074339B">
              <w:rPr>
                <w:sz w:val="20"/>
                <w:szCs w:val="20"/>
                <w:lang w:eastAsia="sk-SK"/>
              </w:rPr>
              <w:t>Negatívne</w:t>
            </w:r>
          </w:p>
        </w:tc>
      </w:tr>
      <w:tr w:rsidR="00A417FF" w:rsidRPr="0074339B" w14:paraId="401FBE9B" w14:textId="77777777" w:rsidTr="00EA7F60">
        <w:tc>
          <w:tcPr>
            <w:tcW w:w="3812" w:type="dxa"/>
            <w:tcBorders>
              <w:top w:val="nil"/>
              <w:left w:val="single" w:sz="4" w:space="0" w:color="auto"/>
              <w:bottom w:val="single" w:sz="4" w:space="0" w:color="auto"/>
              <w:right w:val="single" w:sz="4" w:space="0" w:color="auto"/>
            </w:tcBorders>
            <w:shd w:val="clear" w:color="auto" w:fill="E2E2E2"/>
          </w:tcPr>
          <w:p w14:paraId="16B01288" w14:textId="77777777" w:rsidR="00A417FF" w:rsidRPr="0074339B" w:rsidRDefault="00A417FF" w:rsidP="00EA7F60">
            <w:pPr>
              <w:rPr>
                <w:sz w:val="20"/>
                <w:szCs w:val="20"/>
                <w:lang w:eastAsia="sk-SK"/>
              </w:rPr>
            </w:pPr>
            <w:r w:rsidRPr="0074339B">
              <w:rPr>
                <w:sz w:val="20"/>
                <w:szCs w:val="20"/>
                <w:lang w:eastAsia="sk-SK"/>
              </w:rPr>
              <w:t xml:space="preserve">    Mechanizmus znižovania byrokracie    </w:t>
            </w:r>
          </w:p>
          <w:p w14:paraId="7BC3BB0D" w14:textId="77777777" w:rsidR="00A417FF" w:rsidRPr="0074339B" w:rsidRDefault="00A417FF" w:rsidP="00EA7F60">
            <w:pPr>
              <w:rPr>
                <w:b/>
                <w:sz w:val="20"/>
                <w:szCs w:val="20"/>
                <w:lang w:eastAsia="sk-SK"/>
              </w:rPr>
            </w:pPr>
            <w:r w:rsidRPr="0074339B">
              <w:rPr>
                <w:sz w:val="20"/>
                <w:szCs w:val="20"/>
                <w:lang w:eastAsia="sk-SK"/>
              </w:rPr>
              <w:lastRenderedPageBreak/>
              <w:t xml:space="preserve">    a nákladov sa uplatňuje:</w:t>
            </w:r>
          </w:p>
        </w:tc>
        <w:sdt>
          <w:sdtPr>
            <w:rPr>
              <w:b/>
              <w:sz w:val="20"/>
              <w:szCs w:val="20"/>
              <w:lang w:eastAsia="sk-SK"/>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1EEBE526"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AC2AD5B" w14:textId="77777777" w:rsidR="00A417FF" w:rsidRPr="0074339B" w:rsidRDefault="00A417FF" w:rsidP="00EA7F60">
            <w:pPr>
              <w:ind w:right="-108"/>
              <w:rPr>
                <w:b/>
                <w:sz w:val="20"/>
                <w:szCs w:val="20"/>
                <w:lang w:eastAsia="sk-SK"/>
              </w:rPr>
            </w:pPr>
            <w:r w:rsidRPr="0074339B">
              <w:rPr>
                <w:sz w:val="20"/>
                <w:szCs w:val="20"/>
                <w:lang w:eastAsia="sk-SK"/>
              </w:rPr>
              <w:t>Áno</w:t>
            </w:r>
          </w:p>
        </w:tc>
        <w:tc>
          <w:tcPr>
            <w:tcW w:w="254" w:type="dxa"/>
            <w:tcBorders>
              <w:top w:val="dotted" w:sz="4" w:space="0" w:color="auto"/>
              <w:left w:val="nil"/>
              <w:bottom w:val="single" w:sz="4" w:space="0" w:color="auto"/>
              <w:right w:val="nil"/>
            </w:tcBorders>
            <w:vAlign w:val="center"/>
          </w:tcPr>
          <w:p w14:paraId="798171FE" w14:textId="77777777" w:rsidR="00A417FF" w:rsidRPr="0074339B" w:rsidRDefault="00A417FF" w:rsidP="00EA7F60">
            <w:pPr>
              <w:jc w:val="center"/>
              <w:rPr>
                <w:b/>
                <w:sz w:val="20"/>
                <w:szCs w:val="20"/>
                <w:lang w:eastAsia="sk-SK"/>
              </w:rPr>
            </w:pPr>
          </w:p>
        </w:tc>
        <w:tc>
          <w:tcPr>
            <w:tcW w:w="1133" w:type="dxa"/>
            <w:tcBorders>
              <w:top w:val="dotted" w:sz="4" w:space="0" w:color="auto"/>
              <w:left w:val="nil"/>
              <w:bottom w:val="single" w:sz="4" w:space="0" w:color="auto"/>
              <w:right w:val="nil"/>
            </w:tcBorders>
            <w:vAlign w:val="center"/>
          </w:tcPr>
          <w:p w14:paraId="75FF19BA" w14:textId="77777777" w:rsidR="00A417FF" w:rsidRPr="0074339B" w:rsidRDefault="00A417FF" w:rsidP="00EA7F60">
            <w:pPr>
              <w:jc w:val="center"/>
              <w:rPr>
                <w:b/>
                <w:sz w:val="20"/>
                <w:szCs w:val="20"/>
                <w:lang w:eastAsia="sk-SK"/>
              </w:rPr>
            </w:pPr>
          </w:p>
        </w:tc>
        <w:sdt>
          <w:sdtPr>
            <w:rPr>
              <w:b/>
              <w:sz w:val="20"/>
              <w:szCs w:val="20"/>
              <w:lang w:eastAsia="sk-SK"/>
            </w:rPr>
            <w:id w:val="-365677636"/>
            <w14:checkbox>
              <w14:checked w14:val="1"/>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568AE988"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A2DF514" w14:textId="77777777" w:rsidR="00A417FF" w:rsidRPr="0074339B" w:rsidRDefault="00A417FF" w:rsidP="00EA7F60">
            <w:pPr>
              <w:ind w:left="54"/>
              <w:rPr>
                <w:b/>
                <w:sz w:val="20"/>
                <w:szCs w:val="20"/>
                <w:lang w:eastAsia="sk-SK"/>
              </w:rPr>
            </w:pPr>
            <w:r w:rsidRPr="0074339B">
              <w:rPr>
                <w:sz w:val="20"/>
                <w:szCs w:val="20"/>
                <w:lang w:eastAsia="sk-SK"/>
              </w:rPr>
              <w:t>Nie</w:t>
            </w:r>
          </w:p>
        </w:tc>
      </w:tr>
      <w:tr w:rsidR="00A417FF" w:rsidRPr="0074339B" w14:paraId="4D550758" w14:textId="77777777" w:rsidTr="00EA7F60">
        <w:tc>
          <w:tcPr>
            <w:tcW w:w="3812" w:type="dxa"/>
            <w:tcBorders>
              <w:top w:val="single" w:sz="4" w:space="0" w:color="000000"/>
              <w:left w:val="single" w:sz="4" w:space="0" w:color="auto"/>
              <w:bottom w:val="single" w:sz="4" w:space="0" w:color="auto"/>
              <w:right w:val="single" w:sz="4" w:space="0" w:color="auto"/>
            </w:tcBorders>
            <w:shd w:val="clear" w:color="auto" w:fill="E2E2E2"/>
          </w:tcPr>
          <w:p w14:paraId="1CE01EF2" w14:textId="77777777" w:rsidR="00A417FF" w:rsidRPr="0074339B" w:rsidRDefault="00A417FF" w:rsidP="00EA7F60">
            <w:pPr>
              <w:rPr>
                <w:b/>
                <w:sz w:val="20"/>
                <w:szCs w:val="20"/>
                <w:lang w:eastAsia="sk-SK"/>
              </w:rPr>
            </w:pPr>
            <w:r w:rsidRPr="0074339B">
              <w:rPr>
                <w:b/>
                <w:sz w:val="20"/>
                <w:szCs w:val="20"/>
                <w:lang w:eastAsia="sk-SK"/>
              </w:rPr>
              <w:t>Sociálne vplyvy</w:t>
            </w:r>
          </w:p>
        </w:tc>
        <w:sdt>
          <w:sdtPr>
            <w:rPr>
              <w:b/>
              <w:sz w:val="20"/>
              <w:szCs w:val="20"/>
              <w:lang w:eastAsia="sk-SK"/>
            </w:rPr>
            <w:id w:val="-1958945844"/>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5D0FED33"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70B9BB6" w14:textId="77777777" w:rsidR="00A417FF" w:rsidRPr="0074339B" w:rsidRDefault="00A417FF" w:rsidP="00EA7F60">
            <w:pPr>
              <w:ind w:right="-108"/>
              <w:rPr>
                <w:b/>
                <w:sz w:val="20"/>
                <w:szCs w:val="20"/>
                <w:lang w:eastAsia="sk-SK"/>
              </w:rPr>
            </w:pPr>
            <w:r w:rsidRPr="0074339B">
              <w:rPr>
                <w:b/>
                <w:sz w:val="20"/>
                <w:szCs w:val="20"/>
                <w:lang w:eastAsia="sk-SK"/>
              </w:rPr>
              <w:t>Pozitívne</w:t>
            </w:r>
          </w:p>
        </w:tc>
        <w:sdt>
          <w:sdtPr>
            <w:rPr>
              <w:b/>
              <w:sz w:val="20"/>
              <w:szCs w:val="20"/>
              <w:lang w:eastAsia="sk-SK"/>
            </w:rPr>
            <w:id w:val="-1872293991"/>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23617B52"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6DC4C956" w14:textId="77777777" w:rsidR="00A417FF" w:rsidRPr="0074339B" w:rsidRDefault="00A417FF" w:rsidP="00EA7F60">
            <w:pPr>
              <w:rPr>
                <w:b/>
                <w:sz w:val="20"/>
                <w:szCs w:val="20"/>
                <w:lang w:eastAsia="sk-SK"/>
              </w:rPr>
            </w:pPr>
            <w:r w:rsidRPr="0074339B">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316CCC33"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5E27FFE" w14:textId="77777777" w:rsidR="00A417FF" w:rsidRPr="0074339B" w:rsidRDefault="00A417FF" w:rsidP="00EA7F60">
            <w:pPr>
              <w:ind w:left="54"/>
              <w:rPr>
                <w:b/>
                <w:sz w:val="20"/>
                <w:szCs w:val="20"/>
                <w:lang w:eastAsia="sk-SK"/>
              </w:rPr>
            </w:pPr>
            <w:r w:rsidRPr="0074339B">
              <w:rPr>
                <w:b/>
                <w:sz w:val="20"/>
                <w:szCs w:val="20"/>
                <w:lang w:eastAsia="sk-SK"/>
              </w:rPr>
              <w:t>Negatívne</w:t>
            </w:r>
          </w:p>
        </w:tc>
      </w:tr>
      <w:tr w:rsidR="00A417FF" w:rsidRPr="0074339B" w14:paraId="1854FDA3" w14:textId="77777777" w:rsidTr="00EA7F60">
        <w:tc>
          <w:tcPr>
            <w:tcW w:w="3812" w:type="dxa"/>
            <w:tcBorders>
              <w:top w:val="single" w:sz="4" w:space="0" w:color="auto"/>
              <w:left w:val="single" w:sz="4" w:space="0" w:color="auto"/>
              <w:bottom w:val="nil"/>
              <w:right w:val="single" w:sz="4" w:space="0" w:color="auto"/>
            </w:tcBorders>
            <w:shd w:val="clear" w:color="auto" w:fill="E2E2E2"/>
          </w:tcPr>
          <w:p w14:paraId="52078D2A" w14:textId="77777777" w:rsidR="00A417FF" w:rsidRPr="0074339B" w:rsidRDefault="00A417FF" w:rsidP="00EA7F60">
            <w:pPr>
              <w:rPr>
                <w:b/>
                <w:sz w:val="20"/>
                <w:szCs w:val="20"/>
                <w:lang w:eastAsia="sk-SK"/>
              </w:rPr>
            </w:pPr>
            <w:r w:rsidRPr="0074339B">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06BF6811"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808058D" w14:textId="77777777" w:rsidR="00A417FF" w:rsidRPr="0074339B" w:rsidRDefault="00A417FF" w:rsidP="00EA7F60">
            <w:pPr>
              <w:ind w:right="-108"/>
              <w:rPr>
                <w:b/>
                <w:sz w:val="20"/>
                <w:szCs w:val="20"/>
                <w:lang w:eastAsia="sk-SK"/>
              </w:rPr>
            </w:pPr>
            <w:r w:rsidRPr="0074339B">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66C9E6F5"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6AAE4534" w14:textId="77777777" w:rsidR="00A417FF" w:rsidRPr="0074339B" w:rsidRDefault="00A417FF" w:rsidP="00EA7F60">
            <w:pPr>
              <w:rPr>
                <w:b/>
                <w:sz w:val="20"/>
                <w:szCs w:val="20"/>
                <w:lang w:eastAsia="sk-SK"/>
              </w:rPr>
            </w:pPr>
            <w:r w:rsidRPr="0074339B">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3AA1D3ED"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D4C047C" w14:textId="77777777" w:rsidR="00A417FF" w:rsidRPr="0074339B" w:rsidRDefault="00A417FF" w:rsidP="00EA7F60">
            <w:pPr>
              <w:ind w:left="54"/>
              <w:rPr>
                <w:b/>
                <w:sz w:val="20"/>
                <w:szCs w:val="20"/>
                <w:lang w:eastAsia="sk-SK"/>
              </w:rPr>
            </w:pPr>
            <w:r w:rsidRPr="0074339B">
              <w:rPr>
                <w:b/>
                <w:sz w:val="20"/>
                <w:szCs w:val="20"/>
                <w:lang w:eastAsia="sk-SK"/>
              </w:rPr>
              <w:t>Negatívne</w:t>
            </w:r>
          </w:p>
        </w:tc>
      </w:tr>
      <w:tr w:rsidR="00A417FF" w:rsidRPr="0074339B" w14:paraId="701F1B2E" w14:textId="77777777" w:rsidTr="00EA7F60">
        <w:tc>
          <w:tcPr>
            <w:tcW w:w="3812" w:type="dxa"/>
            <w:tcBorders>
              <w:top w:val="nil"/>
              <w:left w:val="single" w:sz="4" w:space="0" w:color="auto"/>
              <w:bottom w:val="single" w:sz="4" w:space="0" w:color="auto"/>
              <w:right w:val="single" w:sz="4" w:space="0" w:color="auto"/>
            </w:tcBorders>
            <w:shd w:val="clear" w:color="auto" w:fill="E2E2E2"/>
          </w:tcPr>
          <w:p w14:paraId="0F9321F8" w14:textId="77777777" w:rsidR="00A417FF" w:rsidRPr="0074339B" w:rsidRDefault="00A417FF" w:rsidP="00EA7F60">
            <w:pPr>
              <w:rPr>
                <w:sz w:val="20"/>
                <w:szCs w:val="20"/>
                <w:lang w:eastAsia="sk-SK"/>
              </w:rPr>
            </w:pPr>
          </w:p>
          <w:p w14:paraId="1A8AF313" w14:textId="77777777" w:rsidR="00A417FF" w:rsidRPr="0074339B" w:rsidRDefault="00A417FF" w:rsidP="00EA7F60">
            <w:pPr>
              <w:ind w:left="164"/>
              <w:rPr>
                <w:b/>
                <w:sz w:val="20"/>
                <w:szCs w:val="20"/>
                <w:lang w:eastAsia="sk-SK"/>
              </w:rPr>
            </w:pPr>
            <w:r w:rsidRPr="0074339B">
              <w:rPr>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lang w:eastAsia="sk-SK"/>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5F9BDA6B"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91735C0" w14:textId="77777777" w:rsidR="00A417FF" w:rsidRPr="0074339B" w:rsidRDefault="00A417FF" w:rsidP="00EA7F60">
            <w:pPr>
              <w:ind w:right="-108"/>
              <w:rPr>
                <w:b/>
                <w:sz w:val="20"/>
                <w:szCs w:val="20"/>
                <w:lang w:eastAsia="sk-SK"/>
              </w:rPr>
            </w:pPr>
            <w:r w:rsidRPr="0074339B">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A7602C3" w14:textId="77777777" w:rsidR="00A417FF" w:rsidRPr="0074339B" w:rsidRDefault="00A417FF" w:rsidP="00EA7F60">
            <w:pPr>
              <w:jc w:val="center"/>
              <w:rPr>
                <w:b/>
                <w:sz w:val="20"/>
                <w:szCs w:val="20"/>
                <w:lang w:eastAsia="sk-SK"/>
              </w:rPr>
            </w:pPr>
          </w:p>
        </w:tc>
        <w:tc>
          <w:tcPr>
            <w:tcW w:w="1133" w:type="dxa"/>
            <w:tcBorders>
              <w:top w:val="single" w:sz="4" w:space="0" w:color="auto"/>
              <w:left w:val="nil"/>
              <w:bottom w:val="single" w:sz="4" w:space="0" w:color="auto"/>
              <w:right w:val="nil"/>
            </w:tcBorders>
            <w:vAlign w:val="center"/>
          </w:tcPr>
          <w:p w14:paraId="6C5497A1" w14:textId="77777777" w:rsidR="00A417FF" w:rsidRPr="0074339B" w:rsidRDefault="00A417FF" w:rsidP="00EA7F60">
            <w:pPr>
              <w:jc w:val="center"/>
              <w:rPr>
                <w:b/>
                <w:sz w:val="20"/>
                <w:szCs w:val="20"/>
                <w:lang w:eastAsia="sk-SK"/>
              </w:rPr>
            </w:pPr>
          </w:p>
        </w:tc>
        <w:sdt>
          <w:sdtPr>
            <w:rPr>
              <w:b/>
              <w:sz w:val="20"/>
              <w:szCs w:val="20"/>
              <w:lang w:eastAsia="sk-SK"/>
            </w:rPr>
            <w:id w:val="1786776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0449DC73"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09ADD0E" w14:textId="77777777" w:rsidR="00A417FF" w:rsidRPr="0074339B" w:rsidRDefault="00A417FF" w:rsidP="00EA7F60">
            <w:pPr>
              <w:ind w:left="54"/>
              <w:rPr>
                <w:b/>
                <w:sz w:val="20"/>
                <w:szCs w:val="20"/>
                <w:lang w:eastAsia="sk-SK"/>
              </w:rPr>
            </w:pPr>
            <w:r w:rsidRPr="0074339B">
              <w:rPr>
                <w:sz w:val="20"/>
                <w:szCs w:val="20"/>
                <w:lang w:eastAsia="sk-SK"/>
              </w:rPr>
              <w:t>Nie</w:t>
            </w:r>
          </w:p>
        </w:tc>
      </w:tr>
      <w:tr w:rsidR="00A417FF" w:rsidRPr="0074339B" w14:paraId="018B29F7" w14:textId="77777777" w:rsidTr="00EA7F60">
        <w:tc>
          <w:tcPr>
            <w:tcW w:w="3812" w:type="dxa"/>
            <w:tcBorders>
              <w:top w:val="single" w:sz="4" w:space="0" w:color="auto"/>
              <w:left w:val="single" w:sz="4" w:space="0" w:color="auto"/>
              <w:bottom w:val="single" w:sz="4" w:space="0" w:color="auto"/>
              <w:right w:val="single" w:sz="4" w:space="0" w:color="auto"/>
            </w:tcBorders>
            <w:shd w:val="clear" w:color="auto" w:fill="E2E2E2"/>
          </w:tcPr>
          <w:p w14:paraId="74629D48" w14:textId="77777777" w:rsidR="00A417FF" w:rsidRPr="0074339B" w:rsidRDefault="00A417FF" w:rsidP="00EA7F60">
            <w:pPr>
              <w:rPr>
                <w:b/>
                <w:sz w:val="20"/>
                <w:szCs w:val="20"/>
                <w:lang w:eastAsia="sk-SK"/>
              </w:rPr>
            </w:pPr>
            <w:r w:rsidRPr="0074339B">
              <w:rPr>
                <w:b/>
                <w:sz w:val="20"/>
                <w:szCs w:val="20"/>
                <w:lang w:eastAsia="sk-SK"/>
              </w:rPr>
              <w:t>Vplyvy na informatizáciu spoločnosti</w:t>
            </w:r>
          </w:p>
        </w:tc>
        <w:sdt>
          <w:sdtPr>
            <w:rPr>
              <w:b/>
              <w:sz w:val="20"/>
              <w:szCs w:val="20"/>
              <w:lang w:eastAsia="sk-SK"/>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0638D0D1"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CAF8691" w14:textId="77777777" w:rsidR="00A417FF" w:rsidRPr="0074339B" w:rsidRDefault="00A417FF" w:rsidP="00EA7F60">
            <w:pPr>
              <w:ind w:right="-108"/>
              <w:rPr>
                <w:b/>
                <w:sz w:val="20"/>
                <w:szCs w:val="20"/>
                <w:lang w:eastAsia="sk-SK"/>
              </w:rPr>
            </w:pPr>
            <w:r w:rsidRPr="0074339B">
              <w:rPr>
                <w:b/>
                <w:sz w:val="20"/>
                <w:szCs w:val="20"/>
                <w:lang w:eastAsia="sk-SK"/>
              </w:rPr>
              <w:t>Pozitívne</w:t>
            </w:r>
          </w:p>
        </w:tc>
        <w:sdt>
          <w:sdtPr>
            <w:rPr>
              <w:b/>
              <w:sz w:val="20"/>
              <w:szCs w:val="20"/>
              <w:lang w:eastAsia="sk-SK"/>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4CA3BB3"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5D60FF64" w14:textId="77777777" w:rsidR="00A417FF" w:rsidRPr="0074339B" w:rsidRDefault="00A417FF" w:rsidP="00EA7F60">
            <w:pPr>
              <w:rPr>
                <w:b/>
                <w:sz w:val="20"/>
                <w:szCs w:val="20"/>
                <w:lang w:eastAsia="sk-SK"/>
              </w:rPr>
            </w:pPr>
            <w:r w:rsidRPr="0074339B">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6D329676"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8C325BA" w14:textId="77777777" w:rsidR="00A417FF" w:rsidRPr="0074339B" w:rsidRDefault="00A417FF" w:rsidP="00EA7F60">
            <w:pPr>
              <w:ind w:left="54"/>
              <w:rPr>
                <w:b/>
                <w:sz w:val="20"/>
                <w:szCs w:val="20"/>
                <w:lang w:eastAsia="sk-SK"/>
              </w:rPr>
            </w:pPr>
            <w:r w:rsidRPr="0074339B">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417FF" w:rsidRPr="0074339B" w14:paraId="7ACAA25B" w14:textId="77777777" w:rsidTr="00EA7F60">
        <w:tc>
          <w:tcPr>
            <w:tcW w:w="3812" w:type="dxa"/>
            <w:tcBorders>
              <w:top w:val="single" w:sz="4" w:space="0" w:color="auto"/>
              <w:left w:val="single" w:sz="4" w:space="0" w:color="auto"/>
              <w:bottom w:val="nil"/>
              <w:right w:val="single" w:sz="4" w:space="0" w:color="auto"/>
            </w:tcBorders>
            <w:shd w:val="clear" w:color="auto" w:fill="E2E2E2"/>
          </w:tcPr>
          <w:p w14:paraId="52D59097" w14:textId="77777777" w:rsidR="00A417FF" w:rsidRPr="0074339B" w:rsidRDefault="00A417FF" w:rsidP="00EA7F60">
            <w:pPr>
              <w:rPr>
                <w:b/>
                <w:sz w:val="20"/>
                <w:szCs w:val="20"/>
                <w:lang w:eastAsia="sk-SK"/>
              </w:rPr>
            </w:pPr>
            <w:r w:rsidRPr="0074339B">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6618E2F8" w14:textId="77777777" w:rsidR="00A417FF" w:rsidRPr="0074339B" w:rsidRDefault="00A417FF" w:rsidP="00EA7F60">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14:paraId="63C841E6" w14:textId="77777777" w:rsidR="00A417FF" w:rsidRPr="0074339B" w:rsidRDefault="00A417FF" w:rsidP="00EA7F60">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14:paraId="1494ED6C" w14:textId="77777777" w:rsidR="00A417FF" w:rsidRPr="0074339B" w:rsidRDefault="00A417FF" w:rsidP="00EA7F60">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14:paraId="30650C0C" w14:textId="77777777" w:rsidR="00A417FF" w:rsidRPr="0074339B" w:rsidRDefault="00A417FF" w:rsidP="00EA7F60">
            <w:pPr>
              <w:rPr>
                <w:b/>
                <w:sz w:val="20"/>
                <w:szCs w:val="20"/>
                <w:lang w:eastAsia="sk-SK"/>
              </w:rPr>
            </w:pPr>
          </w:p>
        </w:tc>
        <w:tc>
          <w:tcPr>
            <w:tcW w:w="547" w:type="dxa"/>
            <w:tcBorders>
              <w:top w:val="single" w:sz="4" w:space="0" w:color="auto"/>
              <w:left w:val="nil"/>
              <w:bottom w:val="nil"/>
              <w:right w:val="nil"/>
            </w:tcBorders>
            <w:shd w:val="clear" w:color="auto" w:fill="auto"/>
          </w:tcPr>
          <w:p w14:paraId="2F8BEA99" w14:textId="77777777" w:rsidR="00A417FF" w:rsidRPr="0074339B" w:rsidRDefault="00A417FF" w:rsidP="00EA7F60">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5B3B8F0" w14:textId="77777777" w:rsidR="00A417FF" w:rsidRPr="0074339B" w:rsidRDefault="00A417FF" w:rsidP="00EA7F60">
            <w:pPr>
              <w:ind w:left="54"/>
              <w:rPr>
                <w:b/>
                <w:sz w:val="20"/>
                <w:szCs w:val="20"/>
                <w:lang w:eastAsia="sk-SK"/>
              </w:rPr>
            </w:pPr>
          </w:p>
        </w:tc>
      </w:tr>
      <w:tr w:rsidR="00A417FF" w:rsidRPr="0074339B" w14:paraId="4554D5F9" w14:textId="77777777" w:rsidTr="00EA7F60">
        <w:tc>
          <w:tcPr>
            <w:tcW w:w="3812" w:type="dxa"/>
            <w:tcBorders>
              <w:top w:val="nil"/>
              <w:left w:val="single" w:sz="4" w:space="0" w:color="auto"/>
              <w:bottom w:val="nil"/>
              <w:right w:val="single" w:sz="4" w:space="0" w:color="auto"/>
            </w:tcBorders>
            <w:shd w:val="clear" w:color="auto" w:fill="E2E2E2"/>
          </w:tcPr>
          <w:p w14:paraId="4AC36EB9" w14:textId="77777777" w:rsidR="00A417FF" w:rsidRPr="0074339B" w:rsidRDefault="00A417FF" w:rsidP="00EA7F60">
            <w:pPr>
              <w:ind w:left="196" w:hanging="196"/>
              <w:rPr>
                <w:rFonts w:eastAsia="Calibri"/>
                <w:b/>
                <w:sz w:val="20"/>
                <w:szCs w:val="20"/>
              </w:rPr>
            </w:pPr>
            <w:r w:rsidRPr="0074339B">
              <w:rPr>
                <w:rFonts w:eastAsia="Calibri"/>
                <w:b/>
                <w:sz w:val="20"/>
                <w:szCs w:val="20"/>
              </w:rPr>
              <w:t xml:space="preserve">    vplyvy služieb verejnej správy na občana</w:t>
            </w:r>
          </w:p>
        </w:tc>
        <w:sdt>
          <w:sdtPr>
            <w:rPr>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467B9E2D"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0F6FFE91" w14:textId="77777777" w:rsidR="00A417FF" w:rsidRPr="0074339B" w:rsidRDefault="00A417FF" w:rsidP="00EA7F60">
            <w:pPr>
              <w:ind w:right="-108"/>
              <w:rPr>
                <w:b/>
                <w:sz w:val="20"/>
                <w:szCs w:val="20"/>
                <w:lang w:eastAsia="sk-SK"/>
              </w:rPr>
            </w:pPr>
            <w:r w:rsidRPr="0074339B">
              <w:rPr>
                <w:b/>
                <w:sz w:val="20"/>
                <w:szCs w:val="20"/>
                <w:lang w:eastAsia="sk-SK"/>
              </w:rPr>
              <w:t>Pozitívne</w:t>
            </w:r>
          </w:p>
        </w:tc>
        <w:sdt>
          <w:sdtPr>
            <w:rPr>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5685A876"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609CA203" w14:textId="77777777" w:rsidR="00A417FF" w:rsidRPr="0074339B" w:rsidRDefault="00A417FF" w:rsidP="00EA7F60">
            <w:pPr>
              <w:rPr>
                <w:b/>
                <w:sz w:val="20"/>
                <w:szCs w:val="20"/>
                <w:lang w:eastAsia="sk-SK"/>
              </w:rPr>
            </w:pPr>
            <w:r w:rsidRPr="0074339B">
              <w:rPr>
                <w:b/>
                <w:sz w:val="20"/>
                <w:szCs w:val="20"/>
                <w:lang w:eastAsia="sk-SK"/>
              </w:rPr>
              <w:t>Žiadne</w:t>
            </w:r>
          </w:p>
        </w:tc>
        <w:sdt>
          <w:sdtPr>
            <w:rPr>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7400438C"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492C58BB" w14:textId="77777777" w:rsidR="00A417FF" w:rsidRPr="0074339B" w:rsidRDefault="00A417FF" w:rsidP="00EA7F60">
            <w:pPr>
              <w:ind w:left="54"/>
              <w:rPr>
                <w:b/>
                <w:sz w:val="20"/>
                <w:szCs w:val="20"/>
                <w:lang w:eastAsia="sk-SK"/>
              </w:rPr>
            </w:pPr>
            <w:r w:rsidRPr="0074339B">
              <w:rPr>
                <w:b/>
                <w:sz w:val="20"/>
                <w:szCs w:val="20"/>
                <w:lang w:eastAsia="sk-SK"/>
              </w:rPr>
              <w:t>Negatívne</w:t>
            </w:r>
          </w:p>
        </w:tc>
      </w:tr>
      <w:tr w:rsidR="00A417FF" w:rsidRPr="0074339B" w14:paraId="53960B2F" w14:textId="77777777" w:rsidTr="00EA7F60">
        <w:tc>
          <w:tcPr>
            <w:tcW w:w="3812" w:type="dxa"/>
            <w:tcBorders>
              <w:top w:val="nil"/>
              <w:left w:val="single" w:sz="4" w:space="0" w:color="auto"/>
              <w:bottom w:val="nil"/>
              <w:right w:val="single" w:sz="4" w:space="0" w:color="auto"/>
            </w:tcBorders>
            <w:shd w:val="clear" w:color="auto" w:fill="E2E2E2"/>
          </w:tcPr>
          <w:p w14:paraId="62A19BB4" w14:textId="77777777" w:rsidR="00A417FF" w:rsidRPr="0074339B" w:rsidRDefault="00A417FF" w:rsidP="00EA7F60">
            <w:pPr>
              <w:ind w:left="168" w:hanging="168"/>
              <w:rPr>
                <w:rFonts w:eastAsia="Calibri"/>
                <w:b/>
                <w:sz w:val="20"/>
                <w:szCs w:val="20"/>
              </w:rPr>
            </w:pPr>
            <w:r w:rsidRPr="0074339B">
              <w:rPr>
                <w:rFonts w:eastAsia="Calibri"/>
                <w:b/>
                <w:sz w:val="20"/>
                <w:szCs w:val="20"/>
              </w:rPr>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6CDF37F5"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A729D9A" w14:textId="77777777" w:rsidR="00A417FF" w:rsidRPr="0074339B" w:rsidRDefault="00A417FF" w:rsidP="00EA7F60">
            <w:pPr>
              <w:ind w:right="-108"/>
              <w:rPr>
                <w:b/>
                <w:sz w:val="20"/>
                <w:szCs w:val="20"/>
                <w:lang w:eastAsia="sk-SK"/>
              </w:rPr>
            </w:pPr>
            <w:r w:rsidRPr="0074339B">
              <w:rPr>
                <w:b/>
                <w:sz w:val="20"/>
                <w:szCs w:val="20"/>
                <w:lang w:eastAsia="sk-SK"/>
              </w:rPr>
              <w:t>Pozitívne</w:t>
            </w:r>
          </w:p>
        </w:tc>
        <w:sdt>
          <w:sdtPr>
            <w:rPr>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2A14F07E"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005AD98F" w14:textId="77777777" w:rsidR="00A417FF" w:rsidRPr="0074339B" w:rsidRDefault="00A417FF" w:rsidP="00EA7F60">
            <w:pPr>
              <w:rPr>
                <w:b/>
                <w:sz w:val="20"/>
                <w:szCs w:val="20"/>
                <w:lang w:eastAsia="sk-SK"/>
              </w:rPr>
            </w:pPr>
            <w:r w:rsidRPr="0074339B">
              <w:rPr>
                <w:b/>
                <w:sz w:val="20"/>
                <w:szCs w:val="20"/>
                <w:lang w:eastAsia="sk-SK"/>
              </w:rPr>
              <w:t>Žiadne</w:t>
            </w:r>
          </w:p>
        </w:tc>
        <w:sdt>
          <w:sdtPr>
            <w:rPr>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3858F6E0"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4803C47F" w14:textId="77777777" w:rsidR="00A417FF" w:rsidRPr="0074339B" w:rsidRDefault="00A417FF" w:rsidP="00EA7F60">
            <w:pPr>
              <w:ind w:left="54"/>
              <w:rPr>
                <w:b/>
                <w:sz w:val="20"/>
                <w:szCs w:val="20"/>
                <w:lang w:eastAsia="sk-SK"/>
              </w:rPr>
            </w:pPr>
            <w:r w:rsidRPr="0074339B">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417FF" w:rsidRPr="0074339B" w14:paraId="57A243C3" w14:textId="77777777" w:rsidTr="00EA7F60">
        <w:tc>
          <w:tcPr>
            <w:tcW w:w="3812" w:type="dxa"/>
            <w:tcBorders>
              <w:top w:val="single" w:sz="4" w:space="0" w:color="000000"/>
              <w:left w:val="single" w:sz="4" w:space="0" w:color="auto"/>
              <w:bottom w:val="single" w:sz="4" w:space="0" w:color="auto"/>
              <w:right w:val="single" w:sz="4" w:space="0" w:color="auto"/>
            </w:tcBorders>
            <w:shd w:val="clear" w:color="auto" w:fill="E2E2E2"/>
          </w:tcPr>
          <w:p w14:paraId="3E37FC1E" w14:textId="77777777" w:rsidR="00A417FF" w:rsidRPr="0074339B" w:rsidRDefault="00A417FF" w:rsidP="00EA7F60">
            <w:pPr>
              <w:rPr>
                <w:b/>
                <w:sz w:val="20"/>
                <w:szCs w:val="20"/>
                <w:lang w:eastAsia="sk-SK"/>
              </w:rPr>
            </w:pPr>
            <w:r w:rsidRPr="0074339B">
              <w:rPr>
                <w:b/>
                <w:sz w:val="20"/>
                <w:szCs w:val="20"/>
              </w:rPr>
              <w:t>Vplyvy na manželstvo, rodičovstvo a rodinu</w:t>
            </w:r>
          </w:p>
        </w:tc>
        <w:sdt>
          <w:sdtPr>
            <w:rPr>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04CFCFE9"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3367DC49" w14:textId="77777777" w:rsidR="00A417FF" w:rsidRPr="0074339B" w:rsidRDefault="00A417FF" w:rsidP="00EA7F60">
            <w:pPr>
              <w:ind w:right="-108"/>
              <w:rPr>
                <w:b/>
                <w:sz w:val="20"/>
                <w:szCs w:val="20"/>
                <w:lang w:eastAsia="sk-SK"/>
              </w:rPr>
            </w:pPr>
            <w:r w:rsidRPr="0074339B">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327AB0AA"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7D842ED" w14:textId="77777777" w:rsidR="00A417FF" w:rsidRPr="0074339B" w:rsidRDefault="00A417FF" w:rsidP="00EA7F60">
            <w:pPr>
              <w:rPr>
                <w:b/>
                <w:sz w:val="20"/>
                <w:szCs w:val="20"/>
                <w:lang w:eastAsia="sk-SK"/>
              </w:rPr>
            </w:pPr>
            <w:r w:rsidRPr="0074339B">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2E8C376B" w14:textId="77777777" w:rsidR="00A417FF" w:rsidRPr="0074339B" w:rsidRDefault="00A417FF" w:rsidP="00EA7F60">
                <w:pPr>
                  <w:jc w:val="center"/>
                  <w:rPr>
                    <w:b/>
                    <w:sz w:val="20"/>
                    <w:szCs w:val="20"/>
                    <w:lang w:eastAsia="sk-SK"/>
                  </w:rPr>
                </w:pPr>
                <w:r w:rsidRPr="0074339B">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436DBFC" w14:textId="77777777" w:rsidR="00A417FF" w:rsidRPr="0074339B" w:rsidRDefault="00A417FF" w:rsidP="00EA7F60">
            <w:pPr>
              <w:ind w:left="54"/>
              <w:rPr>
                <w:b/>
                <w:sz w:val="20"/>
                <w:szCs w:val="20"/>
                <w:lang w:eastAsia="sk-SK"/>
              </w:rPr>
            </w:pPr>
            <w:r w:rsidRPr="0074339B">
              <w:rPr>
                <w:b/>
                <w:sz w:val="20"/>
                <w:szCs w:val="20"/>
                <w:lang w:eastAsia="sk-SK"/>
              </w:rPr>
              <w:t>Negatívne</w:t>
            </w:r>
          </w:p>
        </w:tc>
      </w:tr>
    </w:tbl>
    <w:p w14:paraId="070E7B4A" w14:textId="77777777" w:rsidR="00A417FF" w:rsidRPr="0074339B" w:rsidRDefault="00A417FF" w:rsidP="00A417FF">
      <w:pPr>
        <w:ind w:right="141"/>
        <w:rPr>
          <w:b/>
          <w:sz w:val="22"/>
          <w:szCs w:val="22"/>
          <w:lang w:eastAsia="sk-SK"/>
        </w:rPr>
      </w:pPr>
    </w:p>
    <w:tbl>
      <w:tblPr>
        <w:tblStyle w:val="Mriekatabuky1"/>
        <w:tblW w:w="9176" w:type="dxa"/>
        <w:tblLayout w:type="fixed"/>
        <w:tblLook w:val="04A0" w:firstRow="1" w:lastRow="0" w:firstColumn="1" w:lastColumn="0" w:noHBand="0" w:noVBand="1"/>
      </w:tblPr>
      <w:tblGrid>
        <w:gridCol w:w="9176"/>
      </w:tblGrid>
      <w:tr w:rsidR="00A417FF" w:rsidRPr="0074339B" w14:paraId="7DA030CB" w14:textId="77777777" w:rsidTr="00EA7F60">
        <w:tc>
          <w:tcPr>
            <w:tcW w:w="9176" w:type="dxa"/>
            <w:tcBorders>
              <w:top w:val="single" w:sz="4" w:space="0" w:color="auto"/>
              <w:left w:val="single" w:sz="4" w:space="0" w:color="auto"/>
              <w:bottom w:val="nil"/>
              <w:right w:val="single" w:sz="4" w:space="0" w:color="auto"/>
            </w:tcBorders>
            <w:shd w:val="clear" w:color="auto" w:fill="E2E2E2"/>
          </w:tcPr>
          <w:p w14:paraId="519C8B7E" w14:textId="77777777" w:rsidR="00A417FF" w:rsidRPr="0074339B" w:rsidRDefault="00A417FF" w:rsidP="00A417FF">
            <w:pPr>
              <w:numPr>
                <w:ilvl w:val="0"/>
                <w:numId w:val="2"/>
              </w:numPr>
              <w:ind w:left="426"/>
              <w:contextualSpacing/>
              <w:rPr>
                <w:rFonts w:eastAsia="Calibri"/>
                <w:b/>
                <w:sz w:val="22"/>
                <w:szCs w:val="22"/>
              </w:rPr>
            </w:pPr>
            <w:r w:rsidRPr="0074339B">
              <w:rPr>
                <w:rFonts w:eastAsia="Calibri"/>
                <w:b/>
                <w:sz w:val="22"/>
                <w:szCs w:val="22"/>
              </w:rPr>
              <w:t>Poznámky</w:t>
            </w:r>
          </w:p>
        </w:tc>
      </w:tr>
      <w:tr w:rsidR="00A417FF" w:rsidRPr="0074339B" w14:paraId="3CC84267" w14:textId="77777777" w:rsidTr="00EA7F60">
        <w:trPr>
          <w:trHeight w:val="713"/>
        </w:trPr>
        <w:tc>
          <w:tcPr>
            <w:tcW w:w="9176" w:type="dxa"/>
            <w:tcBorders>
              <w:top w:val="nil"/>
              <w:left w:val="single" w:sz="4" w:space="0" w:color="auto"/>
              <w:bottom w:val="single" w:sz="4" w:space="0" w:color="FFFFFF"/>
              <w:right w:val="single" w:sz="4" w:space="0" w:color="auto"/>
            </w:tcBorders>
            <w:shd w:val="clear" w:color="auto" w:fill="auto"/>
          </w:tcPr>
          <w:p w14:paraId="057CDBA7" w14:textId="77777777" w:rsidR="00A417FF" w:rsidRPr="00867B8E" w:rsidRDefault="00A417FF" w:rsidP="00EA7F60">
            <w:pPr>
              <w:jc w:val="both"/>
              <w:rPr>
                <w:i/>
                <w:sz w:val="20"/>
                <w:szCs w:val="20"/>
                <w:lang w:eastAsia="sk-SK"/>
              </w:rPr>
            </w:pPr>
            <w:r w:rsidRPr="00867B8E">
              <w:rPr>
                <w:i/>
                <w:sz w:val="20"/>
                <w:szCs w:val="20"/>
                <w:lang w:eastAsia="sk-SK"/>
              </w:rPr>
              <w:t xml:space="preserve">V prípade potreby uveďte doplňujúce informácie k identifikovaným vplyvom a ich analýzam. </w:t>
            </w:r>
          </w:p>
          <w:p w14:paraId="22034B8B" w14:textId="77777777" w:rsidR="00A417FF" w:rsidRPr="00867B8E" w:rsidRDefault="00A417FF" w:rsidP="00EA7F60">
            <w:pPr>
              <w:jc w:val="both"/>
              <w:rPr>
                <w:i/>
                <w:sz w:val="20"/>
                <w:szCs w:val="20"/>
                <w:lang w:eastAsia="sk-SK"/>
              </w:rPr>
            </w:pPr>
          </w:p>
          <w:p w14:paraId="7375DDF9" w14:textId="77777777" w:rsidR="00A417FF" w:rsidRPr="00867B8E" w:rsidRDefault="00A417FF" w:rsidP="00EA7F60">
            <w:pPr>
              <w:jc w:val="both"/>
              <w:rPr>
                <w:i/>
                <w:sz w:val="20"/>
                <w:szCs w:val="20"/>
                <w:lang w:eastAsia="sk-SK"/>
              </w:rPr>
            </w:pPr>
            <w:r w:rsidRPr="00867B8E">
              <w:rPr>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0BD1886E" w14:textId="77777777" w:rsidR="00A417FF" w:rsidRPr="00867B8E" w:rsidRDefault="00A417FF" w:rsidP="00EA7F60">
            <w:pPr>
              <w:jc w:val="both"/>
              <w:rPr>
                <w:i/>
                <w:sz w:val="20"/>
                <w:szCs w:val="20"/>
                <w:lang w:eastAsia="sk-SK"/>
              </w:rPr>
            </w:pPr>
          </w:p>
          <w:p w14:paraId="006B97E4" w14:textId="77777777" w:rsidR="00A417FF" w:rsidRPr="00867B8E" w:rsidRDefault="00A417FF" w:rsidP="00EA7F60">
            <w:pPr>
              <w:jc w:val="both"/>
              <w:rPr>
                <w:i/>
                <w:sz w:val="20"/>
                <w:szCs w:val="20"/>
                <w:lang w:eastAsia="sk-SK"/>
              </w:rPr>
            </w:pPr>
            <w:r w:rsidRPr="00867B8E">
              <w:rPr>
                <w:i/>
                <w:sz w:val="20"/>
                <w:szCs w:val="20"/>
                <w:lang w:eastAsia="sk-SK"/>
              </w:rPr>
              <w:t>Informácie v tejto časti slúžia na zhrnutie vplyvov alebo aj na vyjadrenie sa k marginálnym vplyvom a nie ako náhrada za vypracovanie príslušných analýz vybraných vplyvov.</w:t>
            </w:r>
          </w:p>
          <w:p w14:paraId="3AAEB496" w14:textId="77777777" w:rsidR="00A417FF" w:rsidRPr="00867B8E" w:rsidRDefault="00A417FF" w:rsidP="00EA7F60">
            <w:pPr>
              <w:jc w:val="both"/>
              <w:rPr>
                <w:i/>
                <w:sz w:val="20"/>
                <w:szCs w:val="20"/>
                <w:lang w:eastAsia="sk-SK"/>
              </w:rPr>
            </w:pPr>
          </w:p>
          <w:p w14:paraId="5B529F28" w14:textId="77777777" w:rsidR="00A417FF" w:rsidRPr="00867B8E" w:rsidRDefault="00A417FF" w:rsidP="00EA7F60">
            <w:pPr>
              <w:jc w:val="both"/>
              <w:rPr>
                <w:i/>
                <w:sz w:val="20"/>
                <w:szCs w:val="20"/>
                <w:lang w:eastAsia="sk-SK"/>
              </w:rPr>
            </w:pPr>
            <w:r w:rsidRPr="00867B8E">
              <w:rPr>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0BB09D79" w14:textId="77777777" w:rsidR="00A417FF" w:rsidRPr="00867B8E" w:rsidRDefault="00A417FF" w:rsidP="00EA7F60">
            <w:pPr>
              <w:jc w:val="both"/>
              <w:rPr>
                <w:i/>
                <w:sz w:val="20"/>
                <w:szCs w:val="20"/>
                <w:lang w:eastAsia="sk-SK"/>
              </w:rPr>
            </w:pPr>
          </w:p>
          <w:p w14:paraId="1195D991" w14:textId="77777777" w:rsidR="00A417FF" w:rsidRPr="00867B8E" w:rsidRDefault="00A417FF" w:rsidP="00EA7F60">
            <w:pPr>
              <w:ind w:left="426"/>
              <w:contextualSpacing/>
              <w:rPr>
                <w:rFonts w:eastAsia="Calibri"/>
                <w:b/>
                <w:sz w:val="20"/>
                <w:szCs w:val="20"/>
              </w:rPr>
            </w:pPr>
          </w:p>
        </w:tc>
      </w:tr>
      <w:tr w:rsidR="00A417FF" w:rsidRPr="0074339B" w14:paraId="76FDEE96" w14:textId="77777777" w:rsidTr="00EA7F60">
        <w:tc>
          <w:tcPr>
            <w:tcW w:w="9176" w:type="dxa"/>
            <w:tcBorders>
              <w:top w:val="single" w:sz="4" w:space="0" w:color="auto"/>
              <w:left w:val="single" w:sz="4" w:space="0" w:color="auto"/>
              <w:bottom w:val="single" w:sz="4" w:space="0" w:color="FFFFFF"/>
              <w:right w:val="single" w:sz="4" w:space="0" w:color="auto"/>
            </w:tcBorders>
            <w:shd w:val="clear" w:color="auto" w:fill="E2E2E2"/>
          </w:tcPr>
          <w:p w14:paraId="69A84221" w14:textId="77777777" w:rsidR="00A417FF" w:rsidRPr="0074339B" w:rsidRDefault="00A417FF" w:rsidP="00A417FF">
            <w:pPr>
              <w:numPr>
                <w:ilvl w:val="0"/>
                <w:numId w:val="2"/>
              </w:numPr>
              <w:ind w:left="426"/>
              <w:contextualSpacing/>
              <w:rPr>
                <w:rFonts w:eastAsia="Calibri"/>
                <w:b/>
                <w:sz w:val="22"/>
                <w:szCs w:val="22"/>
              </w:rPr>
            </w:pPr>
            <w:r w:rsidRPr="0074339B">
              <w:rPr>
                <w:rFonts w:eastAsia="Calibri"/>
                <w:b/>
                <w:sz w:val="22"/>
                <w:szCs w:val="22"/>
              </w:rPr>
              <w:t>Kontakt na spracovateľa</w:t>
            </w:r>
          </w:p>
        </w:tc>
      </w:tr>
      <w:tr w:rsidR="00A417FF" w:rsidRPr="0074339B" w14:paraId="4B3039AB" w14:textId="77777777" w:rsidTr="00EA7F60">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6B6E157" w14:textId="77777777" w:rsidR="00A417FF" w:rsidRPr="00867B8E" w:rsidRDefault="00A417FF" w:rsidP="00EA7F60">
            <w:pPr>
              <w:rPr>
                <w:i/>
                <w:sz w:val="20"/>
                <w:szCs w:val="20"/>
                <w:lang w:eastAsia="sk-SK"/>
              </w:rPr>
            </w:pPr>
            <w:r w:rsidRPr="00867B8E">
              <w:rPr>
                <w:i/>
                <w:sz w:val="20"/>
                <w:szCs w:val="20"/>
                <w:lang w:eastAsia="sk-SK"/>
              </w:rPr>
              <w:t>Uveďte údaje na kontaktnú osobu, ktorú je možné kontaktovať v súvislosti s posúdením vybraných vplyvov.</w:t>
            </w:r>
          </w:p>
          <w:p w14:paraId="30EF6900" w14:textId="77777777" w:rsidR="00A417FF" w:rsidRPr="00867B8E" w:rsidRDefault="00A417FF" w:rsidP="00EA7F60">
            <w:pPr>
              <w:rPr>
                <w:i/>
                <w:sz w:val="20"/>
                <w:szCs w:val="20"/>
                <w:lang w:eastAsia="sk-SK"/>
              </w:rPr>
            </w:pPr>
          </w:p>
          <w:p w14:paraId="6B9BE6C9" w14:textId="77777777" w:rsidR="00A417FF" w:rsidRPr="00867B8E" w:rsidRDefault="00A417FF" w:rsidP="00EA7F60">
            <w:pPr>
              <w:rPr>
                <w:sz w:val="20"/>
                <w:szCs w:val="20"/>
                <w:lang w:eastAsia="sk-SK"/>
              </w:rPr>
            </w:pPr>
            <w:r w:rsidRPr="00867B8E">
              <w:rPr>
                <w:sz w:val="20"/>
                <w:szCs w:val="20"/>
                <w:lang w:eastAsia="sk-SK"/>
              </w:rPr>
              <w:t xml:space="preserve">Ing. Róbert </w:t>
            </w:r>
            <w:proofErr w:type="spellStart"/>
            <w:r w:rsidRPr="00867B8E">
              <w:rPr>
                <w:sz w:val="20"/>
                <w:szCs w:val="20"/>
                <w:lang w:eastAsia="sk-SK"/>
              </w:rPr>
              <w:t>Vlkolinský</w:t>
            </w:r>
            <w:proofErr w:type="spellEnd"/>
          </w:p>
          <w:p w14:paraId="56F1994A" w14:textId="77777777" w:rsidR="00A417FF" w:rsidRPr="00867B8E" w:rsidRDefault="00A417FF" w:rsidP="00EA7F60">
            <w:pPr>
              <w:rPr>
                <w:sz w:val="20"/>
                <w:szCs w:val="20"/>
                <w:lang w:eastAsia="sk-SK"/>
              </w:rPr>
            </w:pPr>
            <w:r w:rsidRPr="00867B8E">
              <w:rPr>
                <w:sz w:val="20"/>
                <w:szCs w:val="20"/>
                <w:lang w:eastAsia="sk-SK"/>
              </w:rPr>
              <w:t xml:space="preserve">02/5958 2523, robert.vlkolinsky@mfsr.sk </w:t>
            </w:r>
          </w:p>
          <w:p w14:paraId="0D9297DC" w14:textId="77777777" w:rsidR="00A417FF" w:rsidRPr="00867B8E" w:rsidRDefault="00A417FF" w:rsidP="00EA7F60">
            <w:pPr>
              <w:rPr>
                <w:sz w:val="20"/>
                <w:szCs w:val="20"/>
                <w:lang w:eastAsia="sk-SK"/>
              </w:rPr>
            </w:pPr>
            <w:r w:rsidRPr="00867B8E">
              <w:rPr>
                <w:sz w:val="20"/>
                <w:szCs w:val="20"/>
                <w:lang w:eastAsia="sk-SK"/>
              </w:rPr>
              <w:t>Ministerstvo financií Slovenskej republiky</w:t>
            </w:r>
          </w:p>
          <w:p w14:paraId="4BD87C95" w14:textId="77777777" w:rsidR="00A417FF" w:rsidRPr="00867B8E" w:rsidRDefault="00A417FF" w:rsidP="00EA7F60">
            <w:pPr>
              <w:rPr>
                <w:i/>
                <w:sz w:val="20"/>
                <w:szCs w:val="20"/>
                <w:lang w:eastAsia="sk-SK"/>
              </w:rPr>
            </w:pPr>
          </w:p>
        </w:tc>
      </w:tr>
      <w:tr w:rsidR="00A417FF" w:rsidRPr="0074339B" w14:paraId="586C8107" w14:textId="77777777" w:rsidTr="00EA7F60">
        <w:tc>
          <w:tcPr>
            <w:tcW w:w="9176" w:type="dxa"/>
            <w:tcBorders>
              <w:top w:val="single" w:sz="4" w:space="0" w:color="auto"/>
              <w:left w:val="single" w:sz="4" w:space="0" w:color="auto"/>
              <w:bottom w:val="single" w:sz="4" w:space="0" w:color="FFFFFF"/>
              <w:right w:val="single" w:sz="4" w:space="0" w:color="auto"/>
            </w:tcBorders>
            <w:shd w:val="clear" w:color="auto" w:fill="E2E2E2"/>
          </w:tcPr>
          <w:p w14:paraId="14213149" w14:textId="77777777" w:rsidR="00A417FF" w:rsidRPr="0074339B" w:rsidRDefault="00A417FF" w:rsidP="00A417FF">
            <w:pPr>
              <w:numPr>
                <w:ilvl w:val="0"/>
                <w:numId w:val="2"/>
              </w:numPr>
              <w:ind w:left="426"/>
              <w:contextualSpacing/>
              <w:rPr>
                <w:rFonts w:eastAsia="Calibri"/>
                <w:b/>
                <w:sz w:val="22"/>
                <w:szCs w:val="22"/>
              </w:rPr>
            </w:pPr>
            <w:r w:rsidRPr="0074339B">
              <w:rPr>
                <w:rFonts w:eastAsia="Calibri"/>
                <w:b/>
                <w:sz w:val="22"/>
                <w:szCs w:val="22"/>
              </w:rPr>
              <w:t>Zdroje</w:t>
            </w:r>
          </w:p>
        </w:tc>
      </w:tr>
      <w:tr w:rsidR="00A417FF" w:rsidRPr="0074339B" w14:paraId="360CE234" w14:textId="77777777" w:rsidTr="00EA7F60">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59EDCA2" w14:textId="77777777" w:rsidR="00A417FF" w:rsidRPr="00867B8E" w:rsidRDefault="00A417FF" w:rsidP="00EA7F60">
            <w:pPr>
              <w:jc w:val="both"/>
              <w:rPr>
                <w:i/>
                <w:sz w:val="20"/>
                <w:szCs w:val="20"/>
                <w:lang w:eastAsia="sk-SK"/>
              </w:rPr>
            </w:pPr>
            <w:r w:rsidRPr="00867B8E">
              <w:rPr>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867B8E">
              <w:rPr>
                <w:rFonts w:eastAsia="Calibri"/>
                <w:sz w:val="20"/>
                <w:szCs w:val="20"/>
              </w:rPr>
              <w:t xml:space="preserve"> </w:t>
            </w:r>
          </w:p>
          <w:p w14:paraId="4A830CB1" w14:textId="77777777" w:rsidR="00A417FF" w:rsidRPr="00867B8E" w:rsidRDefault="00A417FF" w:rsidP="00EA7F60">
            <w:pPr>
              <w:rPr>
                <w:sz w:val="20"/>
                <w:szCs w:val="20"/>
              </w:rPr>
            </w:pPr>
          </w:p>
          <w:p w14:paraId="208AB3FA" w14:textId="77777777" w:rsidR="00A417FF" w:rsidRPr="00867B8E" w:rsidRDefault="00A417FF" w:rsidP="00EA7F60">
            <w:pPr>
              <w:rPr>
                <w:sz w:val="20"/>
                <w:szCs w:val="20"/>
                <w:lang w:eastAsia="sk-SK"/>
              </w:rPr>
            </w:pPr>
            <w:hyperlink r:id="rId6" w:history="1">
              <w:r w:rsidRPr="00867B8E">
                <w:rPr>
                  <w:rStyle w:val="Hypertextovprepojenie"/>
                  <w:sz w:val="20"/>
                  <w:szCs w:val="20"/>
                  <w:lang w:eastAsia="sk-SK"/>
                </w:rPr>
                <w:t>www.nbs.sk</w:t>
              </w:r>
            </w:hyperlink>
            <w:r w:rsidRPr="00867B8E">
              <w:rPr>
                <w:sz w:val="20"/>
                <w:szCs w:val="20"/>
                <w:lang w:eastAsia="sk-SK"/>
              </w:rPr>
              <w:t xml:space="preserve"> </w:t>
            </w:r>
          </w:p>
          <w:p w14:paraId="042730DA" w14:textId="77777777" w:rsidR="00A417FF" w:rsidRPr="00867B8E" w:rsidRDefault="00A417FF" w:rsidP="00EA7F60">
            <w:pPr>
              <w:rPr>
                <w:i/>
                <w:sz w:val="20"/>
                <w:szCs w:val="20"/>
                <w:lang w:eastAsia="sk-SK"/>
              </w:rPr>
            </w:pPr>
          </w:p>
          <w:p w14:paraId="6E89C30E" w14:textId="77777777" w:rsidR="00A417FF" w:rsidRPr="00867B8E" w:rsidRDefault="00A417FF" w:rsidP="00EA7F60">
            <w:pPr>
              <w:rPr>
                <w:b/>
                <w:sz w:val="20"/>
                <w:szCs w:val="20"/>
                <w:lang w:eastAsia="sk-SK"/>
              </w:rPr>
            </w:pPr>
          </w:p>
        </w:tc>
      </w:tr>
      <w:tr w:rsidR="00A417FF" w:rsidRPr="0074339B" w14:paraId="076140D2" w14:textId="77777777" w:rsidTr="00EA7F60">
        <w:tc>
          <w:tcPr>
            <w:tcW w:w="9176" w:type="dxa"/>
            <w:tcBorders>
              <w:top w:val="single" w:sz="4" w:space="0" w:color="auto"/>
              <w:left w:val="single" w:sz="4" w:space="0" w:color="auto"/>
              <w:bottom w:val="single" w:sz="4" w:space="0" w:color="FFFFFF"/>
              <w:right w:val="single" w:sz="4" w:space="0" w:color="auto"/>
            </w:tcBorders>
            <w:shd w:val="clear" w:color="auto" w:fill="E2E2E2"/>
          </w:tcPr>
          <w:p w14:paraId="274EB0F2" w14:textId="77777777" w:rsidR="00A417FF" w:rsidRPr="0074339B" w:rsidRDefault="00A417FF" w:rsidP="00A417FF">
            <w:pPr>
              <w:numPr>
                <w:ilvl w:val="0"/>
                <w:numId w:val="2"/>
              </w:numPr>
              <w:ind w:left="447" w:hanging="425"/>
              <w:contextualSpacing/>
              <w:rPr>
                <w:rFonts w:eastAsia="Calibri"/>
                <w:b/>
                <w:sz w:val="22"/>
                <w:szCs w:val="22"/>
              </w:rPr>
            </w:pPr>
            <w:r w:rsidRPr="0074339B">
              <w:rPr>
                <w:rFonts w:eastAsia="Calibri"/>
                <w:b/>
                <w:sz w:val="22"/>
                <w:szCs w:val="22"/>
              </w:rPr>
              <w:t>Stanovisko Komisie na posudzovanie vybraných vplyvov z PPK č. 032/2025</w:t>
            </w:r>
            <w:r w:rsidRPr="0074339B">
              <w:rPr>
                <w:rFonts w:eastAsia="Calibri"/>
                <w:sz w:val="22"/>
                <w:szCs w:val="22"/>
              </w:rPr>
              <w:t xml:space="preserve"> </w:t>
            </w:r>
          </w:p>
          <w:p w14:paraId="10E6F568" w14:textId="77777777" w:rsidR="00A417FF" w:rsidRPr="0074339B" w:rsidRDefault="00A417FF" w:rsidP="00EA7F60">
            <w:pPr>
              <w:ind w:left="502"/>
              <w:rPr>
                <w:b/>
                <w:sz w:val="22"/>
                <w:szCs w:val="22"/>
                <w:lang w:eastAsia="sk-SK"/>
              </w:rPr>
            </w:pPr>
            <w:r w:rsidRPr="0074339B">
              <w:rPr>
                <w:rFonts w:eastAsia="Calibri"/>
                <w:sz w:val="22"/>
                <w:szCs w:val="22"/>
              </w:rPr>
              <w:t>(v prípade, ak sa uskutočnilo v zmysle bodu 8.1 Jednotnej metodiky)</w:t>
            </w:r>
          </w:p>
        </w:tc>
      </w:tr>
      <w:tr w:rsidR="00A417FF" w:rsidRPr="0074339B" w14:paraId="5E812D04" w14:textId="77777777" w:rsidTr="00EA7F60">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90067F2" w14:textId="77777777" w:rsidR="00A417FF" w:rsidRPr="00867B8E" w:rsidRDefault="00A417FF" w:rsidP="00EA7F60">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417FF" w:rsidRPr="00867B8E" w14:paraId="3D7D3DE5" w14:textId="77777777" w:rsidTr="00EA7F60">
              <w:trPr>
                <w:trHeight w:val="396"/>
              </w:trPr>
              <w:tc>
                <w:tcPr>
                  <w:tcW w:w="2552" w:type="dxa"/>
                </w:tcPr>
                <w:p w14:paraId="5FA07678" w14:textId="77777777" w:rsidR="00A417FF" w:rsidRPr="00867B8E" w:rsidRDefault="00A417FF" w:rsidP="00EA7F60">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Content>
                      <w:r w:rsidRPr="00867B8E">
                        <w:rPr>
                          <w:rFonts w:ascii="Segoe UI Symbol" w:eastAsia="MS Gothic" w:hAnsi="Segoe UI Symbol" w:cs="Segoe UI Symbol"/>
                          <w:b/>
                          <w:sz w:val="20"/>
                          <w:szCs w:val="20"/>
                          <w:lang w:eastAsia="sk-SK"/>
                        </w:rPr>
                        <w:t>☐</w:t>
                      </w:r>
                    </w:sdtContent>
                  </w:sdt>
                  <w:r w:rsidRPr="00867B8E">
                    <w:rPr>
                      <w:b/>
                      <w:sz w:val="20"/>
                      <w:szCs w:val="20"/>
                      <w:lang w:eastAsia="sk-SK"/>
                    </w:rPr>
                    <w:t xml:space="preserve">  Súhlasné </w:t>
                  </w:r>
                </w:p>
              </w:tc>
              <w:tc>
                <w:tcPr>
                  <w:tcW w:w="3827" w:type="dxa"/>
                </w:tcPr>
                <w:p w14:paraId="29EDC558" w14:textId="77777777" w:rsidR="00A417FF" w:rsidRPr="00867B8E" w:rsidRDefault="00A417FF" w:rsidP="00EA7F60">
                  <w:pPr>
                    <w:rPr>
                      <w:b/>
                      <w:sz w:val="20"/>
                      <w:szCs w:val="20"/>
                      <w:lang w:eastAsia="sk-SK"/>
                    </w:rPr>
                  </w:pPr>
                  <w:sdt>
                    <w:sdtPr>
                      <w:rPr>
                        <w:b/>
                        <w:sz w:val="20"/>
                        <w:szCs w:val="20"/>
                        <w:lang w:eastAsia="sk-SK"/>
                      </w:rPr>
                      <w:id w:val="1697888127"/>
                      <w14:checkbox>
                        <w14:checked w14:val="0"/>
                        <w14:checkedState w14:val="2612" w14:font="MS Gothic"/>
                        <w14:uncheckedState w14:val="2610" w14:font="MS Gothic"/>
                      </w14:checkbox>
                    </w:sdtPr>
                    <w:sdtContent>
                      <w:r w:rsidRPr="00867B8E">
                        <w:rPr>
                          <w:rFonts w:ascii="Segoe UI Symbol" w:eastAsia="MS Gothic" w:hAnsi="Segoe UI Symbol" w:cs="Segoe UI Symbol"/>
                          <w:b/>
                          <w:sz w:val="20"/>
                          <w:szCs w:val="20"/>
                          <w:lang w:eastAsia="sk-SK"/>
                        </w:rPr>
                        <w:t>☐</w:t>
                      </w:r>
                    </w:sdtContent>
                  </w:sdt>
                  <w:r w:rsidRPr="00867B8E">
                    <w:rPr>
                      <w:b/>
                      <w:sz w:val="20"/>
                      <w:szCs w:val="20"/>
                      <w:lang w:eastAsia="sk-SK"/>
                    </w:rPr>
                    <w:t xml:space="preserve">  Súhlasné s návrhom na dopracovanie</w:t>
                  </w:r>
                </w:p>
              </w:tc>
              <w:tc>
                <w:tcPr>
                  <w:tcW w:w="2534" w:type="dxa"/>
                </w:tcPr>
                <w:p w14:paraId="21B87C17" w14:textId="77777777" w:rsidR="00A417FF" w:rsidRPr="00867B8E" w:rsidRDefault="00A417FF" w:rsidP="00EA7F60">
                  <w:pPr>
                    <w:ind w:right="459"/>
                    <w:rPr>
                      <w:b/>
                      <w:sz w:val="20"/>
                      <w:szCs w:val="20"/>
                      <w:lang w:eastAsia="sk-SK"/>
                    </w:rPr>
                  </w:pPr>
                  <w:sdt>
                    <w:sdtPr>
                      <w:rPr>
                        <w:b/>
                        <w:sz w:val="20"/>
                        <w:szCs w:val="20"/>
                        <w:lang w:eastAsia="sk-SK"/>
                      </w:rPr>
                      <w:id w:val="-647822913"/>
                      <w14:checkbox>
                        <w14:checked w14:val="1"/>
                        <w14:checkedState w14:val="2612" w14:font="MS Gothic"/>
                        <w14:uncheckedState w14:val="2610" w14:font="MS Gothic"/>
                      </w14:checkbox>
                    </w:sdtPr>
                    <w:sdtContent>
                      <w:r w:rsidRPr="00867B8E">
                        <w:rPr>
                          <w:rFonts w:ascii="Segoe UI Symbol" w:eastAsia="MS Gothic" w:hAnsi="Segoe UI Symbol" w:cs="Segoe UI Symbol"/>
                          <w:b/>
                          <w:sz w:val="20"/>
                          <w:szCs w:val="20"/>
                          <w:lang w:eastAsia="sk-SK"/>
                        </w:rPr>
                        <w:t>☒</w:t>
                      </w:r>
                    </w:sdtContent>
                  </w:sdt>
                  <w:r w:rsidRPr="00867B8E">
                    <w:rPr>
                      <w:b/>
                      <w:sz w:val="20"/>
                      <w:szCs w:val="20"/>
                      <w:lang w:eastAsia="sk-SK"/>
                    </w:rPr>
                    <w:t xml:space="preserve">  Nesúhlasné</w:t>
                  </w:r>
                </w:p>
              </w:tc>
            </w:tr>
          </w:tbl>
          <w:p w14:paraId="08BC553C" w14:textId="77777777" w:rsidR="00A417FF" w:rsidRPr="00867B8E" w:rsidRDefault="00A417FF" w:rsidP="00EA7F60">
            <w:pPr>
              <w:jc w:val="both"/>
              <w:rPr>
                <w:b/>
                <w:sz w:val="20"/>
                <w:szCs w:val="20"/>
                <w:lang w:eastAsia="sk-SK"/>
              </w:rPr>
            </w:pPr>
            <w:r w:rsidRPr="00867B8E">
              <w:rPr>
                <w:b/>
                <w:sz w:val="20"/>
                <w:szCs w:val="20"/>
                <w:lang w:eastAsia="sk-SK"/>
              </w:rPr>
              <w:t>Uveďte pripomienky zo stanoviska Komisie z časti II. spolu s Vaším vyhodnotením:</w:t>
            </w:r>
          </w:p>
          <w:p w14:paraId="3C1E8682" w14:textId="77777777" w:rsidR="00A417FF" w:rsidRPr="00867B8E" w:rsidRDefault="00A417FF" w:rsidP="00EA7F60">
            <w:pPr>
              <w:jc w:val="both"/>
              <w:rPr>
                <w:b/>
                <w:sz w:val="20"/>
                <w:szCs w:val="20"/>
                <w:lang w:eastAsia="sk-SK"/>
              </w:rPr>
            </w:pPr>
          </w:p>
          <w:p w14:paraId="7A1B0D67" w14:textId="77777777" w:rsidR="00A417FF" w:rsidRPr="00867B8E" w:rsidRDefault="00A417FF" w:rsidP="00EA7F60">
            <w:pPr>
              <w:jc w:val="both"/>
              <w:rPr>
                <w:sz w:val="20"/>
                <w:szCs w:val="20"/>
                <w:lang w:eastAsia="sk-SK"/>
              </w:rPr>
            </w:pPr>
            <w:r w:rsidRPr="00867B8E">
              <w:rPr>
                <w:sz w:val="20"/>
                <w:szCs w:val="20"/>
                <w:lang w:eastAsia="sk-SK"/>
              </w:rPr>
              <w:t>K vplyvom na podnikateľské prostredie</w:t>
            </w:r>
          </w:p>
          <w:p w14:paraId="7ADE22FF" w14:textId="77777777" w:rsidR="00A417FF" w:rsidRPr="00867B8E" w:rsidRDefault="00A417FF" w:rsidP="00EA7F60">
            <w:pPr>
              <w:jc w:val="both"/>
              <w:rPr>
                <w:sz w:val="20"/>
                <w:szCs w:val="20"/>
                <w:lang w:eastAsia="sk-SK"/>
              </w:rPr>
            </w:pPr>
            <w:r w:rsidRPr="00867B8E">
              <w:rPr>
                <w:sz w:val="20"/>
                <w:szCs w:val="20"/>
                <w:lang w:eastAsia="sk-SK"/>
              </w:rPr>
              <w:t xml:space="preserve">Komisia žiada predkladateľa o vyznačenie vplyvov predkladaného materiálu na MSP v bode 9 Doložky vybraných vplyvov, t. j., že predkladaný materiál má negatívny vplyv na MSP. </w:t>
            </w:r>
          </w:p>
          <w:p w14:paraId="36F19722" w14:textId="77777777" w:rsidR="00A417FF" w:rsidRPr="00867B8E" w:rsidRDefault="00A417FF" w:rsidP="00EA7F60">
            <w:pPr>
              <w:jc w:val="both"/>
              <w:rPr>
                <w:sz w:val="20"/>
                <w:szCs w:val="20"/>
                <w:lang w:eastAsia="sk-SK"/>
              </w:rPr>
            </w:pPr>
            <w:r w:rsidRPr="00867B8E">
              <w:rPr>
                <w:sz w:val="20"/>
                <w:szCs w:val="20"/>
                <w:lang w:eastAsia="sk-SK"/>
              </w:rPr>
              <w:lastRenderedPageBreak/>
              <w:t xml:space="preserve">Vyhodnotenie: Predkladateľ vyznačil negatívny vplyv predloženého materiálu na MSP v bode 9 Doložky vybraných vplyvov. </w:t>
            </w:r>
          </w:p>
          <w:p w14:paraId="6D3FCEFD" w14:textId="77777777" w:rsidR="00A417FF" w:rsidRPr="00867B8E" w:rsidRDefault="00A417FF" w:rsidP="00EA7F60">
            <w:pPr>
              <w:jc w:val="both"/>
              <w:rPr>
                <w:b/>
                <w:bCs/>
                <w:sz w:val="20"/>
                <w:szCs w:val="20"/>
                <w:lang w:eastAsia="sk-SK"/>
              </w:rPr>
            </w:pPr>
          </w:p>
          <w:p w14:paraId="43F49F5E" w14:textId="77777777" w:rsidR="00A417FF" w:rsidRPr="00867B8E" w:rsidRDefault="00A417FF" w:rsidP="00EA7F60">
            <w:pPr>
              <w:jc w:val="both"/>
              <w:rPr>
                <w:sz w:val="20"/>
                <w:szCs w:val="20"/>
                <w:lang w:eastAsia="sk-SK"/>
              </w:rPr>
            </w:pPr>
            <w:r w:rsidRPr="00867B8E">
              <w:rPr>
                <w:sz w:val="20"/>
                <w:szCs w:val="20"/>
                <w:lang w:eastAsia="sk-SK"/>
              </w:rPr>
              <w:t>Komisia žiada predkladateľa o dopracovanie Analýzy vplyvov na podnikateľské prostredie a Kalkulačky nákladov.</w:t>
            </w:r>
          </w:p>
          <w:p w14:paraId="1A92C2E0" w14:textId="77777777" w:rsidR="00A417FF" w:rsidRPr="00867B8E" w:rsidRDefault="00A417FF" w:rsidP="00EA7F60">
            <w:pPr>
              <w:jc w:val="both"/>
              <w:rPr>
                <w:sz w:val="20"/>
                <w:szCs w:val="20"/>
                <w:lang w:eastAsia="sk-SK"/>
              </w:rPr>
            </w:pPr>
            <w:r w:rsidRPr="00867B8E">
              <w:rPr>
                <w:sz w:val="20"/>
                <w:szCs w:val="20"/>
                <w:u w:val="single"/>
                <w:lang w:eastAsia="sk-SK"/>
              </w:rPr>
              <w:t>Odôvodnenie:</w:t>
            </w:r>
            <w:r w:rsidRPr="00867B8E">
              <w:rPr>
                <w:sz w:val="20"/>
                <w:szCs w:val="20"/>
                <w:lang w:eastAsia="sk-SK"/>
              </w:rPr>
              <w:t xml:space="preserve"> V analýze na prvej strane absentuje názov materiálu a predkladateľ. Ďalej je potrebné premiestniť popis regulácií z bodu 3.3. do bodu 3.1.3 a zároveň  očíslovať popis regulácií podľa poradových čísel v tabuľke č. 2. Do tabuľky č. 1 v analýze je potrebné uviesť v poslednom riadku hodnoty IN a OUT – zvýšenie a zníženie nákladov v € na PP podľa kalkulačky nákladov – doplniť riadok „H. Náklady okrem výnimiek = B+D+E-F“. K reguláciám č. 1, 2, 3, 4, 9, 10, 11, 12 a 14  je potrebné doplniť odôvodenie spôsobu určenia nepriameho fin. nákladu resp. čo predstavuje tento náklad. V kalkulačke nákladov nie je zvolená frekvencia plnenia povinnosti regulácie č. 1. Ďalej v analýze absentuje popis regulácie č. 10. K regulácii č. 11 je potrebné upraviť textáciu popisu regulácie vzhľadom na uvedené výšku nákladu 25 000 € pri týždennej frekvencii, ktorý Komisia nepovažuje za zanedbateľný.</w:t>
            </w:r>
          </w:p>
          <w:p w14:paraId="0B4ACA2B" w14:textId="77777777" w:rsidR="00A417FF" w:rsidRPr="00867B8E" w:rsidRDefault="00A417FF" w:rsidP="00EA7F60">
            <w:pPr>
              <w:jc w:val="both"/>
              <w:rPr>
                <w:sz w:val="20"/>
                <w:szCs w:val="20"/>
                <w:lang w:eastAsia="sk-SK"/>
              </w:rPr>
            </w:pPr>
            <w:r w:rsidRPr="00867B8E">
              <w:rPr>
                <w:sz w:val="20"/>
                <w:szCs w:val="20"/>
                <w:u w:val="single"/>
                <w:lang w:eastAsia="sk-SK"/>
              </w:rPr>
              <w:t>Vyhodnotenie:</w:t>
            </w:r>
            <w:r w:rsidRPr="00867B8E">
              <w:rPr>
                <w:sz w:val="20"/>
                <w:szCs w:val="20"/>
                <w:lang w:eastAsia="sk-SK"/>
              </w:rPr>
              <w:t xml:space="preserve"> Predkladateľ dopracoval analýzu vplyvov na podnikateľské prostredie a Kalkulačku nákladov. V analýze vplyvov bol doplnený názov materiálu a predkladateľ. Popis regulácií bol premiestnený z bodu 3.3. do bodu 3.1.3 a popis regulácií bol očíslovaný podľa poradových čísiel uvedených  v tabuľke č. 2.  V poslednom riadku boli doplnené hodnoty IN a OUT podľa kalkulačky nákladov, a bol vyplnený riadok H. K príslušným reguláciám bol doplnený spôsob určenia nepriameho finančného nákladu. V kalkulačke nákladov bola doplnená frekvencia plnenia povinnosti regulácie č. 1. Bol doplnený popis regulácie č. 10. K regulácii č. 11 bola upravená textácia, pričom uvedená tabuľka neumožňuje vykazovanie povinností na dennej báze, preto sa daná povinnosť vykazuje na týždennej báze, čo však nemá zásadný vplyv na odhad súvisiacich nákladov.    </w:t>
            </w:r>
          </w:p>
          <w:p w14:paraId="4F3A8F57" w14:textId="77777777" w:rsidR="00A417FF" w:rsidRPr="00867B8E" w:rsidRDefault="00A417FF" w:rsidP="00EA7F60">
            <w:pPr>
              <w:jc w:val="both"/>
              <w:rPr>
                <w:b/>
                <w:bCs/>
                <w:sz w:val="20"/>
                <w:szCs w:val="20"/>
                <w:highlight w:val="yellow"/>
                <w:lang w:eastAsia="sk-SK"/>
              </w:rPr>
            </w:pPr>
          </w:p>
          <w:p w14:paraId="1499CD88" w14:textId="77777777" w:rsidR="00A417FF" w:rsidRPr="00867B8E" w:rsidRDefault="00A417FF" w:rsidP="00EA7F60">
            <w:pPr>
              <w:jc w:val="both"/>
              <w:rPr>
                <w:sz w:val="20"/>
                <w:szCs w:val="20"/>
                <w:lang w:eastAsia="sk-SK"/>
              </w:rPr>
            </w:pPr>
            <w:r w:rsidRPr="00867B8E">
              <w:rPr>
                <w:sz w:val="20"/>
                <w:szCs w:val="20"/>
                <w:lang w:eastAsia="sk-SK"/>
              </w:rPr>
              <w:t>Komisia žiada predkladateľa dopracovať bod 3.4 Iné vplyvy na podnikateľské prostredie v Analýze vplyvov na podnikateľské prostredie a vyznačiť pozitívny vplyv na podnikateľské prostredie v Doložke vybraných vplyvov.</w:t>
            </w:r>
          </w:p>
          <w:p w14:paraId="6B6E9479" w14:textId="77777777" w:rsidR="00A417FF" w:rsidRPr="00867B8E" w:rsidRDefault="00A417FF" w:rsidP="00EA7F60">
            <w:pPr>
              <w:jc w:val="both"/>
              <w:rPr>
                <w:sz w:val="20"/>
                <w:szCs w:val="20"/>
                <w:lang w:eastAsia="sk-SK"/>
              </w:rPr>
            </w:pPr>
            <w:r w:rsidRPr="00867B8E">
              <w:rPr>
                <w:sz w:val="20"/>
                <w:szCs w:val="20"/>
                <w:u w:val="single"/>
                <w:lang w:eastAsia="sk-SK"/>
              </w:rPr>
              <w:t>Odôvodnenie:</w:t>
            </w:r>
            <w:r w:rsidRPr="00867B8E">
              <w:rPr>
                <w:sz w:val="20"/>
                <w:szCs w:val="20"/>
                <w:lang w:eastAsia="sk-SK"/>
              </w:rPr>
              <w:t xml:space="preserve"> Podľa dôvodovej správy bodu 15 (§ 120) je cieľom ustanovenia zatraktívniť verejné kapitálové trhy v Únii pre spoločnosti a uľahčiť malým a stredným podnikom prístup ku kapitálu. Tento vplyv by mal byť opísaný v časti 3.4 a vyznačený v Doložke vybraných vplyvov v časti 9. Vybrané vplyvy materiálu ako pozitívny. Zároveň Komisia žiada predkladateľa premiestniť regulácie č. 5 a 6 do časti 3.4 z časti 3.1 vzhľadom na skutočnosť, že sa v súčasnosti nepredpokladá vznik samostatného segmentu rastového trhu. Z tohto dôvod bude postačujúce potenciálne vzniknuté náklady opísať.  </w:t>
            </w:r>
          </w:p>
          <w:p w14:paraId="0C42DD65" w14:textId="77777777" w:rsidR="00A417FF" w:rsidRPr="00867B8E" w:rsidRDefault="00A417FF" w:rsidP="00EA7F60">
            <w:pPr>
              <w:jc w:val="both"/>
              <w:rPr>
                <w:sz w:val="20"/>
                <w:szCs w:val="20"/>
                <w:lang w:eastAsia="sk-SK"/>
              </w:rPr>
            </w:pPr>
            <w:r w:rsidRPr="00867B8E">
              <w:rPr>
                <w:sz w:val="20"/>
                <w:szCs w:val="20"/>
                <w:u w:val="single"/>
                <w:lang w:eastAsia="sk-SK"/>
              </w:rPr>
              <w:t>Vyhodnotenie:</w:t>
            </w:r>
            <w:r w:rsidRPr="00867B8E">
              <w:rPr>
                <w:sz w:val="20"/>
                <w:szCs w:val="20"/>
                <w:lang w:eastAsia="sk-SK"/>
              </w:rPr>
              <w:t xml:space="preserve"> V Doložke vybraných vplyvov bol vyznačený pozitívny vplyv na podnikateľské prostredie, ktorý sa predpokladá z dôvodu zatraktívnenia verejných trhov v Európskej únii a uľahčením prístupu ku kapitálu zo strany MSP.  Regulácie č. 5 a 6 boli presunuté z časti 3.1 do časti 3.4, a sú opísané potenciálne náklady s nimi spojené.    </w:t>
            </w:r>
          </w:p>
          <w:p w14:paraId="7C3433D8" w14:textId="77777777" w:rsidR="00A417FF" w:rsidRPr="00867B8E" w:rsidRDefault="00A417FF" w:rsidP="00EA7F60">
            <w:pPr>
              <w:jc w:val="both"/>
              <w:rPr>
                <w:sz w:val="20"/>
                <w:szCs w:val="20"/>
                <w:highlight w:val="yellow"/>
                <w:lang w:eastAsia="sk-SK"/>
              </w:rPr>
            </w:pPr>
          </w:p>
          <w:p w14:paraId="79B5E299" w14:textId="77777777" w:rsidR="00A417FF" w:rsidRPr="00867B8E" w:rsidRDefault="00A417FF" w:rsidP="00EA7F60">
            <w:pPr>
              <w:jc w:val="both"/>
              <w:rPr>
                <w:sz w:val="20"/>
                <w:szCs w:val="20"/>
                <w:lang w:eastAsia="sk-SK"/>
              </w:rPr>
            </w:pPr>
            <w:r w:rsidRPr="00867B8E">
              <w:rPr>
                <w:sz w:val="20"/>
                <w:szCs w:val="20"/>
                <w:lang w:eastAsia="sk-SK"/>
              </w:rPr>
              <w:t>K sociálnym vplyvom</w:t>
            </w:r>
          </w:p>
          <w:p w14:paraId="51C2EE9C" w14:textId="77777777" w:rsidR="00A417FF" w:rsidRPr="00867B8E" w:rsidRDefault="00A417FF" w:rsidP="00EA7F60">
            <w:pPr>
              <w:jc w:val="both"/>
              <w:rPr>
                <w:sz w:val="20"/>
                <w:szCs w:val="20"/>
                <w:lang w:eastAsia="sk-SK"/>
              </w:rPr>
            </w:pPr>
            <w:r w:rsidRPr="00867B8E">
              <w:rPr>
                <w:sz w:val="20"/>
                <w:szCs w:val="20"/>
                <w:lang w:eastAsia="sk-SK"/>
              </w:rPr>
              <w:t>Komisia odporúča v bode 9 doložky vybraných vplyvov označiť sociálne vplyvy predloženého materiálu a vypracovať analýzu sociálnych vplyvov.</w:t>
            </w:r>
          </w:p>
          <w:p w14:paraId="3E48A738" w14:textId="77777777" w:rsidR="00A417FF" w:rsidRPr="00867B8E" w:rsidRDefault="00A417FF" w:rsidP="00EA7F60">
            <w:pPr>
              <w:jc w:val="both"/>
              <w:rPr>
                <w:b/>
                <w:bCs/>
                <w:sz w:val="20"/>
                <w:szCs w:val="20"/>
                <w:lang w:eastAsia="sk-SK"/>
              </w:rPr>
            </w:pPr>
            <w:r w:rsidRPr="00867B8E">
              <w:rPr>
                <w:sz w:val="20"/>
                <w:szCs w:val="20"/>
                <w:u w:val="single"/>
                <w:lang w:eastAsia="sk-SK"/>
              </w:rPr>
              <w:t xml:space="preserve">Odôvodnenie: </w:t>
            </w:r>
            <w:r w:rsidRPr="00867B8E">
              <w:rPr>
                <w:sz w:val="20"/>
                <w:szCs w:val="20"/>
                <w:lang w:eastAsia="sk-SK"/>
              </w:rPr>
              <w:t>V porovnaní so súčasným stavom predložený materiál predpokladá zmeny týkajúce sa povinnosti obchodníka informovať svojho klienta. Sociálne vplyvy preto Komisia odporúča bližším spôsobom zhodnotiť v analýze sociálnych vplyvov a to predovšetkým v bode 4.2 – prístup k zdrojom, právam, tovarom a službám. Zároveň je ich potrebné označiť v bode 9 doložky vybraných vplyvov.</w:t>
            </w:r>
          </w:p>
          <w:p w14:paraId="0443F34D" w14:textId="77777777" w:rsidR="00A417FF" w:rsidRPr="00867B8E" w:rsidRDefault="00A417FF" w:rsidP="00EA7F60">
            <w:pPr>
              <w:jc w:val="both"/>
              <w:rPr>
                <w:b/>
                <w:sz w:val="20"/>
                <w:szCs w:val="20"/>
                <w:lang w:eastAsia="sk-SK"/>
              </w:rPr>
            </w:pPr>
            <w:r w:rsidRPr="00867B8E">
              <w:rPr>
                <w:sz w:val="20"/>
                <w:szCs w:val="20"/>
                <w:u w:val="single"/>
                <w:lang w:eastAsia="sk-SK"/>
              </w:rPr>
              <w:t>Vyhodnotenie:</w:t>
            </w:r>
            <w:r w:rsidRPr="00867B8E">
              <w:rPr>
                <w:sz w:val="20"/>
                <w:szCs w:val="20"/>
                <w:lang w:eastAsia="sk-SK"/>
              </w:rPr>
              <w:t xml:space="preserve"> Pozitívne sociálne vplyvy boli vyznačené v bode 9 Doložky vybraných vplyvov a bola vypracovaná Analýza sociálnych vplyvov. V zmysle § 73o ods. 3 zákona o cenných papieroch je obchodník s cennými papiermi povinný informovať klienta o mieste, na ktorom bol jeho pokyn vykonaný. Takáto informácia má pozitívny dopad na klienta, keďže mu umožňuje rozhodnúť sa, či bude naďalej žiadať o vykonanie jeho pokynov na príslušnom mieste. Sociálne vplyvy boli podrobnejšie opísané v Analýze sociálnych vplyvov. </w:t>
            </w:r>
          </w:p>
          <w:p w14:paraId="3DD9904A" w14:textId="77777777" w:rsidR="00A417FF" w:rsidRPr="00867B8E" w:rsidRDefault="00A417FF" w:rsidP="00EA7F60">
            <w:pPr>
              <w:rPr>
                <w:b/>
                <w:sz w:val="20"/>
                <w:szCs w:val="20"/>
                <w:lang w:eastAsia="sk-SK"/>
              </w:rPr>
            </w:pPr>
          </w:p>
        </w:tc>
      </w:tr>
      <w:tr w:rsidR="00A417FF" w:rsidRPr="0074339B" w14:paraId="12C929E3" w14:textId="77777777" w:rsidTr="00EA7F60">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1CA8CCE5" w14:textId="77777777" w:rsidR="00A417FF" w:rsidRPr="0074339B" w:rsidRDefault="00A417FF" w:rsidP="00A417FF">
            <w:pPr>
              <w:numPr>
                <w:ilvl w:val="0"/>
                <w:numId w:val="2"/>
              </w:numPr>
              <w:ind w:left="450" w:hanging="425"/>
              <w:contextualSpacing/>
              <w:jc w:val="both"/>
              <w:rPr>
                <w:rFonts w:eastAsia="Calibri"/>
                <w:b/>
                <w:sz w:val="22"/>
                <w:szCs w:val="22"/>
              </w:rPr>
            </w:pPr>
            <w:r w:rsidRPr="0074339B">
              <w:rPr>
                <w:rFonts w:eastAsia="Calibri"/>
                <w:b/>
                <w:sz w:val="22"/>
                <w:szCs w:val="22"/>
              </w:rPr>
              <w:t>Stanovisko Komisie na posudzovanie vybraných vplyvov zo záverečného posúdenia č. ..........</w:t>
            </w:r>
            <w:r w:rsidRPr="0074339B">
              <w:rPr>
                <w:rFonts w:eastAsia="Calibri"/>
                <w:sz w:val="22"/>
                <w:szCs w:val="22"/>
              </w:rPr>
              <w:t xml:space="preserve"> (v prípade, ak sa uskutočnilo v zmysle bodu 9.1. Jednotnej metodiky) </w:t>
            </w:r>
          </w:p>
        </w:tc>
      </w:tr>
      <w:tr w:rsidR="00A417FF" w:rsidRPr="0074339B" w14:paraId="7AED0EA5" w14:textId="77777777" w:rsidTr="00EA7F60">
        <w:tblPrEx>
          <w:tblBorders>
            <w:insideH w:val="single" w:sz="4" w:space="0" w:color="FFFFFF"/>
            <w:insideV w:val="single" w:sz="4" w:space="0" w:color="FFFFFF"/>
          </w:tblBorders>
        </w:tblPrEx>
        <w:tc>
          <w:tcPr>
            <w:tcW w:w="9176" w:type="dxa"/>
            <w:shd w:val="clear" w:color="auto" w:fill="FFFFFF"/>
          </w:tcPr>
          <w:p w14:paraId="4A58A1E3" w14:textId="77777777" w:rsidR="00A417FF" w:rsidRPr="0074339B" w:rsidRDefault="00A417FF" w:rsidP="00EA7F60">
            <w:pPr>
              <w:rPr>
                <w:b/>
                <w:sz w:val="22"/>
                <w:szCs w:val="22"/>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417FF" w:rsidRPr="0074339B" w14:paraId="5DE8ECCE" w14:textId="77777777" w:rsidTr="00EA7F60">
              <w:trPr>
                <w:trHeight w:val="396"/>
              </w:trPr>
              <w:tc>
                <w:tcPr>
                  <w:tcW w:w="2552" w:type="dxa"/>
                </w:tcPr>
                <w:p w14:paraId="454752B0" w14:textId="77777777" w:rsidR="00A417FF" w:rsidRPr="0074339B" w:rsidRDefault="00A417FF" w:rsidP="00EA7F60">
                  <w:pPr>
                    <w:rPr>
                      <w:b/>
                      <w:sz w:val="22"/>
                      <w:szCs w:val="22"/>
                      <w:lang w:eastAsia="sk-SK"/>
                    </w:rPr>
                  </w:pPr>
                  <w:sdt>
                    <w:sdtPr>
                      <w:rPr>
                        <w:b/>
                        <w:sz w:val="22"/>
                        <w:szCs w:val="22"/>
                        <w:lang w:eastAsia="sk-SK"/>
                      </w:rPr>
                      <w:id w:val="888232876"/>
                      <w14:checkbox>
                        <w14:checked w14:val="0"/>
                        <w14:checkedState w14:val="2612" w14:font="MS Gothic"/>
                        <w14:uncheckedState w14:val="2610" w14:font="MS Gothic"/>
                      </w14:checkbox>
                    </w:sdtPr>
                    <w:sdtContent>
                      <w:r w:rsidRPr="0074339B">
                        <w:rPr>
                          <w:rFonts w:ascii="Segoe UI Symbol" w:eastAsia="MS Gothic" w:hAnsi="Segoe UI Symbol" w:cs="Segoe UI Symbol"/>
                          <w:b/>
                          <w:sz w:val="22"/>
                          <w:szCs w:val="22"/>
                          <w:lang w:eastAsia="sk-SK"/>
                        </w:rPr>
                        <w:t>☐</w:t>
                      </w:r>
                    </w:sdtContent>
                  </w:sdt>
                  <w:r w:rsidRPr="0074339B">
                    <w:rPr>
                      <w:b/>
                      <w:sz w:val="22"/>
                      <w:szCs w:val="22"/>
                      <w:lang w:eastAsia="sk-SK"/>
                    </w:rPr>
                    <w:t xml:space="preserve">   Súhlasné </w:t>
                  </w:r>
                </w:p>
              </w:tc>
              <w:tc>
                <w:tcPr>
                  <w:tcW w:w="3827" w:type="dxa"/>
                </w:tcPr>
                <w:p w14:paraId="5C3BFFE1" w14:textId="77777777" w:rsidR="00A417FF" w:rsidRPr="0074339B" w:rsidRDefault="00A417FF" w:rsidP="00EA7F60">
                  <w:pPr>
                    <w:rPr>
                      <w:b/>
                      <w:sz w:val="22"/>
                      <w:szCs w:val="22"/>
                      <w:lang w:eastAsia="sk-SK"/>
                    </w:rPr>
                  </w:pPr>
                  <w:sdt>
                    <w:sdtPr>
                      <w:rPr>
                        <w:b/>
                        <w:sz w:val="22"/>
                        <w:szCs w:val="22"/>
                        <w:lang w:eastAsia="sk-SK"/>
                      </w:rPr>
                      <w:id w:val="953831761"/>
                      <w14:checkbox>
                        <w14:checked w14:val="0"/>
                        <w14:checkedState w14:val="2612" w14:font="MS Gothic"/>
                        <w14:uncheckedState w14:val="2610" w14:font="MS Gothic"/>
                      </w14:checkbox>
                    </w:sdtPr>
                    <w:sdtContent>
                      <w:r w:rsidRPr="0074339B">
                        <w:rPr>
                          <w:rFonts w:ascii="Segoe UI Symbol" w:eastAsia="MS Gothic" w:hAnsi="Segoe UI Symbol" w:cs="Segoe UI Symbol"/>
                          <w:b/>
                          <w:sz w:val="22"/>
                          <w:szCs w:val="22"/>
                          <w:lang w:eastAsia="sk-SK"/>
                        </w:rPr>
                        <w:t>☐</w:t>
                      </w:r>
                    </w:sdtContent>
                  </w:sdt>
                  <w:r w:rsidRPr="0074339B">
                    <w:rPr>
                      <w:b/>
                      <w:sz w:val="22"/>
                      <w:szCs w:val="22"/>
                      <w:lang w:eastAsia="sk-SK"/>
                    </w:rPr>
                    <w:t xml:space="preserve">  Súhlasné s  návrhom na dopracovanie</w:t>
                  </w:r>
                </w:p>
              </w:tc>
              <w:tc>
                <w:tcPr>
                  <w:tcW w:w="2534" w:type="dxa"/>
                </w:tcPr>
                <w:p w14:paraId="04D441B2" w14:textId="77777777" w:rsidR="00A417FF" w:rsidRPr="0074339B" w:rsidRDefault="00A417FF" w:rsidP="00EA7F60">
                  <w:pPr>
                    <w:ind w:right="459"/>
                    <w:rPr>
                      <w:b/>
                      <w:sz w:val="22"/>
                      <w:szCs w:val="22"/>
                      <w:lang w:eastAsia="sk-SK"/>
                    </w:rPr>
                  </w:pPr>
                  <w:sdt>
                    <w:sdtPr>
                      <w:rPr>
                        <w:b/>
                        <w:sz w:val="22"/>
                        <w:szCs w:val="22"/>
                        <w:lang w:eastAsia="sk-SK"/>
                      </w:rPr>
                      <w:id w:val="-361740452"/>
                      <w14:checkbox>
                        <w14:checked w14:val="0"/>
                        <w14:checkedState w14:val="2612" w14:font="MS Gothic"/>
                        <w14:uncheckedState w14:val="2610" w14:font="MS Gothic"/>
                      </w14:checkbox>
                    </w:sdtPr>
                    <w:sdtContent>
                      <w:r w:rsidRPr="0074339B">
                        <w:rPr>
                          <w:rFonts w:ascii="Segoe UI Symbol" w:eastAsia="MS Gothic" w:hAnsi="Segoe UI Symbol" w:cs="Segoe UI Symbol"/>
                          <w:b/>
                          <w:sz w:val="22"/>
                          <w:szCs w:val="22"/>
                          <w:lang w:eastAsia="sk-SK"/>
                        </w:rPr>
                        <w:t>☐</w:t>
                      </w:r>
                    </w:sdtContent>
                  </w:sdt>
                  <w:r w:rsidRPr="0074339B">
                    <w:rPr>
                      <w:b/>
                      <w:sz w:val="22"/>
                      <w:szCs w:val="22"/>
                      <w:lang w:eastAsia="sk-SK"/>
                    </w:rPr>
                    <w:t xml:space="preserve">  Nesúhlasné</w:t>
                  </w:r>
                </w:p>
              </w:tc>
            </w:tr>
          </w:tbl>
          <w:p w14:paraId="4BD17BF1" w14:textId="77777777" w:rsidR="00A417FF" w:rsidRPr="0074339B" w:rsidRDefault="00A417FF" w:rsidP="00EA7F60">
            <w:pPr>
              <w:jc w:val="both"/>
              <w:rPr>
                <w:b/>
                <w:sz w:val="22"/>
                <w:szCs w:val="22"/>
                <w:lang w:eastAsia="sk-SK"/>
              </w:rPr>
            </w:pPr>
            <w:r w:rsidRPr="0074339B">
              <w:rPr>
                <w:b/>
                <w:sz w:val="22"/>
                <w:szCs w:val="22"/>
                <w:lang w:eastAsia="sk-SK"/>
              </w:rPr>
              <w:t>Uveďte pripomienky zo stanoviska Komisie z časti II. spolu s Vaším vyhodnotením:</w:t>
            </w:r>
          </w:p>
          <w:p w14:paraId="3E8CB5FA" w14:textId="77777777" w:rsidR="00A417FF" w:rsidRPr="0074339B" w:rsidRDefault="00A417FF" w:rsidP="00EA7F60">
            <w:pPr>
              <w:rPr>
                <w:b/>
                <w:sz w:val="22"/>
                <w:szCs w:val="22"/>
                <w:lang w:eastAsia="sk-SK"/>
              </w:rPr>
            </w:pPr>
          </w:p>
          <w:p w14:paraId="372E011A" w14:textId="77777777" w:rsidR="00A417FF" w:rsidRPr="0074339B" w:rsidRDefault="00A417FF" w:rsidP="00EA7F60">
            <w:pPr>
              <w:rPr>
                <w:b/>
                <w:sz w:val="22"/>
                <w:szCs w:val="22"/>
                <w:lang w:eastAsia="sk-SK"/>
              </w:rPr>
            </w:pPr>
          </w:p>
        </w:tc>
      </w:tr>
    </w:tbl>
    <w:p w14:paraId="7357C5BA" w14:textId="77777777" w:rsidR="00A417FF" w:rsidRPr="00612E08" w:rsidRDefault="00A417FF" w:rsidP="00A417FF"/>
    <w:p w14:paraId="6C5E7333" w14:textId="5E0385A5" w:rsidR="00867B8E" w:rsidRDefault="00867B8E">
      <w:pPr>
        <w:spacing w:after="160" w:line="259" w:lineRule="auto"/>
      </w:pPr>
      <w:r>
        <w:br w:type="page"/>
      </w:r>
    </w:p>
    <w:p w14:paraId="69BA42F1" w14:textId="77777777" w:rsidR="00A417FF" w:rsidRPr="00033974" w:rsidRDefault="00A417FF" w:rsidP="00A417FF">
      <w:pPr>
        <w:jc w:val="center"/>
        <w:rPr>
          <w:b/>
          <w:bCs/>
          <w:noProof/>
          <w:color w:val="000000"/>
          <w:lang w:eastAsia="sk-SK"/>
        </w:rPr>
      </w:pPr>
      <w:r w:rsidRPr="00033974">
        <w:rPr>
          <w:b/>
          <w:bCs/>
          <w:noProof/>
          <w:color w:val="000000"/>
          <w:lang w:eastAsia="sk-SK"/>
        </w:rPr>
        <w:lastRenderedPageBreak/>
        <w:t>DOLOŽKA ZLUČITEĽNOSTI</w:t>
      </w:r>
    </w:p>
    <w:p w14:paraId="29A7009A" w14:textId="77777777" w:rsidR="00A417FF" w:rsidRPr="00033974" w:rsidRDefault="00A417FF" w:rsidP="00A417FF">
      <w:pPr>
        <w:jc w:val="center"/>
        <w:rPr>
          <w:b/>
          <w:bCs/>
          <w:noProof/>
          <w:color w:val="000000"/>
          <w:lang w:eastAsia="sk-SK"/>
        </w:rPr>
      </w:pPr>
      <w:r w:rsidRPr="00033974">
        <w:rPr>
          <w:b/>
          <w:bCs/>
          <w:noProof/>
          <w:color w:val="000000"/>
          <w:lang w:eastAsia="sk-SK"/>
        </w:rPr>
        <w:t xml:space="preserve">návrhu zákona </w:t>
      </w:r>
    </w:p>
    <w:p w14:paraId="06CEE0C0" w14:textId="77777777" w:rsidR="00A417FF" w:rsidRPr="00033974" w:rsidRDefault="00A417FF" w:rsidP="00A417FF">
      <w:pPr>
        <w:pBdr>
          <w:bottom w:val="single" w:sz="12" w:space="1" w:color="auto"/>
        </w:pBdr>
        <w:jc w:val="center"/>
        <w:rPr>
          <w:b/>
          <w:bCs/>
          <w:noProof/>
          <w:color w:val="000000"/>
          <w:lang w:eastAsia="sk-SK"/>
        </w:rPr>
      </w:pPr>
      <w:r w:rsidRPr="00033974">
        <w:rPr>
          <w:b/>
          <w:bCs/>
          <w:noProof/>
          <w:color w:val="000000"/>
          <w:lang w:eastAsia="sk-SK"/>
        </w:rPr>
        <w:t>s právom Európskej únie</w:t>
      </w:r>
    </w:p>
    <w:p w14:paraId="4990E032" w14:textId="77777777" w:rsidR="00A417FF" w:rsidRPr="00033974" w:rsidRDefault="00A417FF" w:rsidP="00A417FF">
      <w:pPr>
        <w:rPr>
          <w:noProof/>
          <w:color w:val="000000"/>
          <w:lang w:eastAsia="sk-SK"/>
        </w:rPr>
      </w:pPr>
    </w:p>
    <w:p w14:paraId="55F5ABB7" w14:textId="77777777" w:rsidR="00A417FF" w:rsidRPr="00033974" w:rsidRDefault="00A417FF" w:rsidP="00A417FF">
      <w:pPr>
        <w:rPr>
          <w:noProof/>
          <w:color w:val="000000"/>
          <w:lang w:eastAsia="sk-SK"/>
        </w:rPr>
      </w:pPr>
    </w:p>
    <w:p w14:paraId="4CC9653E" w14:textId="77777777" w:rsidR="00A417FF" w:rsidRPr="00033974" w:rsidRDefault="00A417FF" w:rsidP="00A417FF">
      <w:pPr>
        <w:pStyle w:val="Odsekzoznamu"/>
        <w:numPr>
          <w:ilvl w:val="0"/>
          <w:numId w:val="4"/>
        </w:numPr>
        <w:spacing w:after="0" w:line="240" w:lineRule="auto"/>
        <w:ind w:left="426" w:hanging="426"/>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b/>
          <w:bCs/>
          <w:noProof/>
          <w:color w:val="000000"/>
          <w:sz w:val="24"/>
          <w:szCs w:val="24"/>
          <w:lang w:eastAsia="sk-SK"/>
        </w:rPr>
        <w:t>Navrhovateľ zákona:</w:t>
      </w:r>
    </w:p>
    <w:p w14:paraId="653DEC97" w14:textId="77777777" w:rsidR="00A417FF" w:rsidRPr="00033974" w:rsidRDefault="00A417FF" w:rsidP="00A417FF">
      <w:pPr>
        <w:rPr>
          <w:noProof/>
          <w:color w:val="000000"/>
          <w:lang w:eastAsia="sk-SK"/>
        </w:rPr>
      </w:pPr>
      <w:r w:rsidRPr="00033974">
        <w:rPr>
          <w:noProof/>
          <w:color w:val="000000"/>
          <w:lang w:eastAsia="sk-SK"/>
        </w:rPr>
        <w:t>Vláda Slovenskej republiky.</w:t>
      </w:r>
    </w:p>
    <w:p w14:paraId="13AA3A5E" w14:textId="77777777" w:rsidR="00A417FF" w:rsidRPr="00033974" w:rsidRDefault="00A417FF" w:rsidP="00A417FF">
      <w:pPr>
        <w:rPr>
          <w:noProof/>
          <w:color w:val="000000"/>
          <w:lang w:eastAsia="sk-SK"/>
        </w:rPr>
      </w:pPr>
    </w:p>
    <w:p w14:paraId="048DF601" w14:textId="77777777" w:rsidR="00A417FF" w:rsidRPr="00033974" w:rsidRDefault="00A417FF" w:rsidP="00A417FF">
      <w:pPr>
        <w:pStyle w:val="Odsekzoznamu"/>
        <w:numPr>
          <w:ilvl w:val="0"/>
          <w:numId w:val="4"/>
        </w:numPr>
        <w:spacing w:after="0" w:line="240" w:lineRule="auto"/>
        <w:ind w:left="426" w:hanging="426"/>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b/>
          <w:bCs/>
          <w:noProof/>
          <w:color w:val="000000"/>
          <w:sz w:val="24"/>
          <w:szCs w:val="24"/>
          <w:lang w:eastAsia="sk-SK"/>
        </w:rPr>
        <w:t>Názov návrhu zákona:</w:t>
      </w:r>
    </w:p>
    <w:p w14:paraId="55232D46" w14:textId="77777777" w:rsidR="00A417FF" w:rsidRPr="00033974" w:rsidRDefault="00A417FF" w:rsidP="00A417FF">
      <w:pPr>
        <w:keepNext/>
        <w:suppressAutoHyphens/>
        <w:jc w:val="both"/>
        <w:rPr>
          <w:noProof/>
          <w:color w:val="000000"/>
          <w:lang w:eastAsia="sk-SK"/>
        </w:rPr>
      </w:pPr>
      <w:r w:rsidRPr="00033974">
        <w:rPr>
          <w:noProof/>
          <w:color w:val="000000"/>
          <w:lang w:eastAsia="sk-SK"/>
        </w:rPr>
        <w:t xml:space="preserve">Návrh zákona, ktorým sa mení a dopĺňa zákon č. 566/2001 Z. z. o cenných papieroch a investičných službách a o zmene a doplnení niektorých zákonov (zákon o cenných papieroch) v znení neskorších predpisov a ktorým sa </w:t>
      </w:r>
      <w:r w:rsidRPr="00033974">
        <w:rPr>
          <w:bCs/>
          <w:noProof/>
          <w:lang w:eastAsia="sk-SK"/>
        </w:rPr>
        <w:t>mení a dopĺňa zákon č. 429/2002 Z. z. o burze cenných papierov v znení neskorších predpisov</w:t>
      </w:r>
      <w:r w:rsidRPr="00033974">
        <w:rPr>
          <w:noProof/>
          <w:color w:val="000000"/>
          <w:lang w:eastAsia="sk-SK"/>
        </w:rPr>
        <w:t>.</w:t>
      </w:r>
    </w:p>
    <w:p w14:paraId="418CB703" w14:textId="77777777" w:rsidR="00A417FF" w:rsidRPr="00033974" w:rsidRDefault="00A417FF" w:rsidP="00A417FF">
      <w:pPr>
        <w:keepNext/>
        <w:suppressAutoHyphens/>
        <w:jc w:val="both"/>
        <w:rPr>
          <w:noProof/>
          <w:color w:val="000000"/>
          <w:lang w:eastAsia="sk-SK"/>
        </w:rPr>
      </w:pPr>
    </w:p>
    <w:p w14:paraId="4E55CD19" w14:textId="77777777" w:rsidR="00A417FF" w:rsidRPr="00033974" w:rsidRDefault="00A417FF" w:rsidP="00A417FF">
      <w:pPr>
        <w:pStyle w:val="Odsekzoznamu"/>
        <w:keepNext/>
        <w:numPr>
          <w:ilvl w:val="0"/>
          <w:numId w:val="4"/>
        </w:numPr>
        <w:suppressAutoHyphens/>
        <w:spacing w:after="0" w:line="240" w:lineRule="auto"/>
        <w:ind w:left="426" w:hanging="426"/>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b/>
          <w:bCs/>
          <w:noProof/>
          <w:color w:val="000000"/>
          <w:sz w:val="24"/>
          <w:szCs w:val="24"/>
          <w:lang w:eastAsia="sk-SK"/>
        </w:rPr>
        <w:t>Predmet návrhu zákona je upravený v práve Európskej únie:</w:t>
      </w:r>
    </w:p>
    <w:p w14:paraId="4CAA1E35" w14:textId="77777777" w:rsidR="00A417FF" w:rsidRPr="00033974" w:rsidRDefault="00A417FF" w:rsidP="00A417FF">
      <w:pPr>
        <w:pStyle w:val="Odsekzoznamu"/>
        <w:keepNext/>
        <w:numPr>
          <w:ilvl w:val="0"/>
          <w:numId w:val="5"/>
        </w:numPr>
        <w:suppressAutoHyphens/>
        <w:spacing w:after="0" w:line="240" w:lineRule="auto"/>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noProof/>
          <w:color w:val="000000"/>
          <w:sz w:val="24"/>
          <w:szCs w:val="24"/>
          <w:lang w:eastAsia="sk-SK"/>
        </w:rPr>
        <w:t>v primárnom práve</w:t>
      </w:r>
    </w:p>
    <w:p w14:paraId="3555C733" w14:textId="77777777" w:rsidR="00A417FF" w:rsidRPr="00033974" w:rsidRDefault="00A417FF" w:rsidP="00A417FF">
      <w:pPr>
        <w:pStyle w:val="Odsekzoznamu"/>
        <w:keepNext/>
        <w:numPr>
          <w:ilvl w:val="0"/>
          <w:numId w:val="6"/>
        </w:numPr>
        <w:suppressAutoHyphens/>
        <w:spacing w:after="0" w:line="240" w:lineRule="auto"/>
        <w:jc w:val="both"/>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noProof/>
          <w:color w:val="000000"/>
          <w:sz w:val="24"/>
          <w:szCs w:val="24"/>
          <w:lang w:eastAsia="sk-SK"/>
        </w:rPr>
        <w:t>čl. 3 ods. 1 písm. b), čl. 4, čl. 26 ods. 2, čl. 49 až 66 , čl. 114 Zmluvy o fungovaní Európskej únie</w:t>
      </w:r>
      <w:r w:rsidRPr="00033974">
        <w:rPr>
          <w:rFonts w:ascii="Times New Roman" w:hAnsi="Times New Roman" w:cs="Times New Roman"/>
          <w:noProof/>
          <w:sz w:val="24"/>
          <w:szCs w:val="24"/>
        </w:rPr>
        <w:t xml:space="preserve"> (Ú. v. EÚ C 202, 7.6. 2016).</w:t>
      </w:r>
    </w:p>
    <w:p w14:paraId="36C7B13E" w14:textId="77777777" w:rsidR="00A417FF" w:rsidRPr="00033974" w:rsidRDefault="00A417FF" w:rsidP="00A417FF">
      <w:pPr>
        <w:keepNext/>
        <w:suppressAutoHyphens/>
        <w:rPr>
          <w:b/>
          <w:bCs/>
          <w:i/>
          <w:iCs/>
          <w:noProof/>
          <w:color w:val="000000"/>
          <w:lang w:eastAsia="sk-SK"/>
        </w:rPr>
      </w:pPr>
    </w:p>
    <w:p w14:paraId="25E75677" w14:textId="77777777" w:rsidR="00A417FF" w:rsidRPr="00033974" w:rsidRDefault="00A417FF" w:rsidP="00A417FF">
      <w:pPr>
        <w:pStyle w:val="Odsekzoznamu"/>
        <w:keepNext/>
        <w:numPr>
          <w:ilvl w:val="0"/>
          <w:numId w:val="5"/>
        </w:numPr>
        <w:suppressAutoHyphens/>
        <w:spacing w:after="0" w:line="240" w:lineRule="auto"/>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noProof/>
          <w:color w:val="000000"/>
          <w:sz w:val="24"/>
          <w:szCs w:val="24"/>
          <w:lang w:eastAsia="sk-SK"/>
        </w:rPr>
        <w:t>v sekundárnom práve</w:t>
      </w:r>
    </w:p>
    <w:p w14:paraId="36ECDCE3" w14:textId="77777777" w:rsidR="00A417FF" w:rsidRPr="00033974" w:rsidRDefault="00A417FF" w:rsidP="00A417FF">
      <w:pPr>
        <w:pStyle w:val="oj-doc-ti"/>
        <w:keepNext/>
        <w:numPr>
          <w:ilvl w:val="0"/>
          <w:numId w:val="9"/>
        </w:numPr>
        <w:suppressAutoHyphens/>
        <w:spacing w:before="0" w:beforeAutospacing="0" w:after="0" w:afterAutospacing="0"/>
        <w:jc w:val="both"/>
        <w:rPr>
          <w:noProof/>
          <w:color w:val="FF0000"/>
        </w:rPr>
      </w:pPr>
      <w:r w:rsidRPr="00033974">
        <w:rPr>
          <w:noProof/>
          <w:color w:val="000000"/>
        </w:rPr>
        <w:t xml:space="preserve">smernica </w:t>
      </w:r>
      <w:r w:rsidRPr="00033974">
        <w:rPr>
          <w:noProof/>
          <w:color w:val="000000" w:themeColor="text1"/>
        </w:rPr>
        <w:t xml:space="preserve">Európskeho parlamentu a Rady (EÚ) </w:t>
      </w:r>
      <w:r w:rsidRPr="00033974">
        <w:rPr>
          <w:noProof/>
          <w:color w:val="000000"/>
        </w:rPr>
        <w:t xml:space="preserve">2024/2811 </w:t>
      </w:r>
      <w:r w:rsidRPr="00033974">
        <w:rPr>
          <w:noProof/>
          <w:color w:val="333333"/>
          <w:shd w:val="clear" w:color="auto" w:fill="FFFFFF"/>
        </w:rPr>
        <w:t>z 23. októbra 2024, ktorou sa mení smernica 2014/65/EÚ s cieľom zatraktívniť verejné kapitálové trhy v Únii pre spoločnosti a uľahčiť malým a stredným podnikom prístup ku kapitálu a ktorou sa zrušuje smernica 2001/34/ES</w:t>
      </w:r>
      <w:r w:rsidRPr="00033974">
        <w:rPr>
          <w:noProof/>
          <w:color w:val="000000"/>
        </w:rPr>
        <w:t xml:space="preserve"> (Ú. v. EÚ L, 2024/2811, 14.11.2024), gestor: </w:t>
      </w:r>
      <w:r w:rsidRPr="00033974">
        <w:rPr>
          <w:noProof/>
        </w:rPr>
        <w:t>MF SR, spolugestor: NBS,</w:t>
      </w:r>
    </w:p>
    <w:p w14:paraId="37E2B925" w14:textId="77777777" w:rsidR="00A417FF" w:rsidRPr="00033974" w:rsidRDefault="00A417FF" w:rsidP="00A417FF">
      <w:pPr>
        <w:pStyle w:val="oj-doc-ti"/>
        <w:keepNext/>
        <w:numPr>
          <w:ilvl w:val="0"/>
          <w:numId w:val="6"/>
        </w:numPr>
        <w:suppressAutoHyphens/>
        <w:spacing w:before="0" w:beforeAutospacing="0" w:after="0" w:afterAutospacing="0" w:line="259" w:lineRule="auto"/>
        <w:jc w:val="both"/>
        <w:rPr>
          <w:noProof/>
          <w:color w:val="000000"/>
        </w:rPr>
      </w:pPr>
      <w:r w:rsidRPr="00033974">
        <w:rPr>
          <w:noProof/>
          <w:color w:val="000000"/>
        </w:rPr>
        <w:t xml:space="preserve">smernica </w:t>
      </w:r>
      <w:r w:rsidRPr="00033974">
        <w:rPr>
          <w:noProof/>
          <w:color w:val="000000" w:themeColor="text1"/>
        </w:rPr>
        <w:t xml:space="preserve">Európskeho parlamentu a Rady (EÚ) </w:t>
      </w:r>
      <w:r w:rsidRPr="00033974">
        <w:rPr>
          <w:noProof/>
          <w:color w:val="000000"/>
        </w:rPr>
        <w:t xml:space="preserve">2024/2994 z 27. novembra 2024, ktorou sa menia smernice 2009/65/ES, 2013/36/EÚ a (EÚ) 2019/2034, pokiaľ ide o zaobchádzanie s rizikom koncentrácie vyplývajúcim z expozícií voči centrálnym protistranám a s rizikom protistrany pri centrálne zúčtovávaných transakciách s derivátmi (Ú. v. EÚ L, 2024/2994, 4.12.2024), gestor: </w:t>
      </w:r>
      <w:r w:rsidRPr="00033974">
        <w:rPr>
          <w:noProof/>
        </w:rPr>
        <w:t>MF SR, spolugestor: NBS,</w:t>
      </w:r>
    </w:p>
    <w:p w14:paraId="0FE5A1A0" w14:textId="77777777" w:rsidR="00A417FF" w:rsidRPr="00033974" w:rsidRDefault="00A417FF" w:rsidP="00A417FF">
      <w:pPr>
        <w:pStyle w:val="oj-doc-ti"/>
        <w:keepNext/>
        <w:numPr>
          <w:ilvl w:val="0"/>
          <w:numId w:val="6"/>
        </w:numPr>
        <w:suppressAutoHyphens/>
        <w:spacing w:before="0" w:beforeAutospacing="0" w:after="0" w:afterAutospacing="0" w:line="259" w:lineRule="auto"/>
        <w:jc w:val="both"/>
        <w:rPr>
          <w:noProof/>
          <w:color w:val="000000"/>
        </w:rPr>
      </w:pPr>
      <w:r w:rsidRPr="00033974">
        <w:rPr>
          <w:noProof/>
          <w:color w:val="000000"/>
        </w:rPr>
        <w:t xml:space="preserve">smernica Európskeho parlamentu a Rady (EÚ) 2024/790 </w:t>
      </w:r>
      <w:r w:rsidRPr="00033974">
        <w:rPr>
          <w:noProof/>
          <w:color w:val="333333"/>
          <w:shd w:val="clear" w:color="auto" w:fill="FFFFFF"/>
        </w:rPr>
        <w:t>z 28. februára 2024, ktorou sa mení smernica 2014/65/EÚ o trhoch s finančnými nástrojmi</w:t>
      </w:r>
      <w:r w:rsidRPr="00033974">
        <w:rPr>
          <w:noProof/>
          <w:color w:val="000000"/>
        </w:rPr>
        <w:t xml:space="preserve"> (Ú. v. EÚ L, 2024/790, 8.3.2024), gestor: MF SR, spolugestor: NBS, </w:t>
      </w:r>
    </w:p>
    <w:p w14:paraId="77764127" w14:textId="77777777" w:rsidR="00A417FF" w:rsidRPr="00033974" w:rsidRDefault="00A417FF" w:rsidP="00A417FF">
      <w:pPr>
        <w:pStyle w:val="Odsekzoznamu"/>
        <w:keepNext/>
        <w:numPr>
          <w:ilvl w:val="0"/>
          <w:numId w:val="6"/>
        </w:numPr>
        <w:suppressAutoHyphens/>
        <w:spacing w:after="200" w:line="276" w:lineRule="auto"/>
        <w:jc w:val="both"/>
        <w:rPr>
          <w:rFonts w:ascii="Times New Roman" w:eastAsia="Times New Roman" w:hAnsi="Times New Roman" w:cs="Times New Roman"/>
          <w:noProof/>
          <w:color w:val="000000" w:themeColor="text1"/>
          <w:sz w:val="24"/>
          <w:szCs w:val="24"/>
          <w:lang w:eastAsia="sk-SK"/>
        </w:rPr>
      </w:pPr>
      <w:r w:rsidRPr="00033974">
        <w:rPr>
          <w:rFonts w:ascii="Times New Roman" w:eastAsia="Times New Roman" w:hAnsi="Times New Roman" w:cs="Times New Roman"/>
          <w:noProof/>
          <w:color w:val="000000"/>
          <w:sz w:val="24"/>
          <w:szCs w:val="24"/>
          <w:lang w:eastAsia="sk-SK"/>
        </w:rPr>
        <w:t>smernica Európskeho parlamentu a Rady 2014/65/EÚ z 15. mája 2014 o</w:t>
      </w:r>
      <w:r>
        <w:rPr>
          <w:rFonts w:ascii="Times New Roman" w:eastAsia="Times New Roman" w:hAnsi="Times New Roman" w:cs="Times New Roman"/>
          <w:noProof/>
          <w:color w:val="000000"/>
          <w:sz w:val="24"/>
          <w:szCs w:val="24"/>
          <w:lang w:eastAsia="sk-SK"/>
        </w:rPr>
        <w:t> </w:t>
      </w:r>
      <w:r w:rsidRPr="00033974">
        <w:rPr>
          <w:rFonts w:ascii="Times New Roman" w:eastAsia="Times New Roman" w:hAnsi="Times New Roman" w:cs="Times New Roman"/>
          <w:noProof/>
          <w:color w:val="000000"/>
          <w:sz w:val="24"/>
          <w:szCs w:val="24"/>
          <w:lang w:eastAsia="sk-SK"/>
        </w:rPr>
        <w:t>trhoch</w:t>
      </w:r>
      <w:r>
        <w:rPr>
          <w:rFonts w:ascii="Times New Roman" w:eastAsia="Times New Roman" w:hAnsi="Times New Roman" w:cs="Times New Roman"/>
          <w:noProof/>
          <w:color w:val="000000"/>
          <w:sz w:val="24"/>
          <w:szCs w:val="24"/>
          <w:lang w:eastAsia="sk-SK"/>
        </w:rPr>
        <w:t xml:space="preserve">                 </w:t>
      </w:r>
      <w:r w:rsidRPr="00033974">
        <w:rPr>
          <w:rFonts w:ascii="Times New Roman" w:eastAsia="Times New Roman" w:hAnsi="Times New Roman" w:cs="Times New Roman"/>
          <w:noProof/>
          <w:color w:val="000000"/>
          <w:sz w:val="24"/>
          <w:szCs w:val="24"/>
          <w:lang w:eastAsia="sk-SK"/>
        </w:rPr>
        <w:t xml:space="preserve"> s finančnými nástrojmi, ktorou sa mení smernica 2002/92/ES a smernica 2011/61/EÚ (prepracované znenie) (Ú. v. EÚ L 173, 12.6.2014) v platnom znení, gestor: MF SR, spolugestor: NBS,</w:t>
      </w:r>
      <w:r w:rsidRPr="00033974">
        <w:rPr>
          <w:rFonts w:ascii="Times New Roman" w:eastAsia="Times New Roman" w:hAnsi="Times New Roman" w:cs="Times New Roman"/>
          <w:noProof/>
          <w:color w:val="000000" w:themeColor="text1"/>
          <w:sz w:val="24"/>
          <w:szCs w:val="24"/>
          <w:lang w:eastAsia="sk-SK"/>
        </w:rPr>
        <w:t xml:space="preserve"> </w:t>
      </w:r>
    </w:p>
    <w:p w14:paraId="0EAE60B2" w14:textId="77777777" w:rsidR="00A417FF" w:rsidRPr="00033974" w:rsidRDefault="00A417FF" w:rsidP="00A417FF">
      <w:pPr>
        <w:pStyle w:val="Odsekzoznamu"/>
        <w:keepNext/>
        <w:numPr>
          <w:ilvl w:val="0"/>
          <w:numId w:val="6"/>
        </w:numPr>
        <w:suppressAutoHyphens/>
        <w:spacing w:after="0"/>
        <w:jc w:val="both"/>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noProof/>
          <w:color w:val="000000"/>
          <w:sz w:val="24"/>
          <w:szCs w:val="24"/>
          <w:lang w:eastAsia="sk-SK"/>
        </w:rPr>
        <w:t xml:space="preserve">smernica </w:t>
      </w:r>
      <w:r w:rsidRPr="00033974">
        <w:rPr>
          <w:rFonts w:ascii="Times New Roman" w:eastAsia="Times New Roman" w:hAnsi="Times New Roman" w:cs="Times New Roman"/>
          <w:noProof/>
          <w:color w:val="000000" w:themeColor="text1"/>
          <w:sz w:val="24"/>
          <w:szCs w:val="24"/>
          <w:lang w:eastAsia="sk-SK"/>
        </w:rPr>
        <w:t xml:space="preserve">Európskeho parlamentu a Rady (EÚ) </w:t>
      </w:r>
      <w:r w:rsidRPr="00033974">
        <w:rPr>
          <w:rFonts w:ascii="Times New Roman" w:eastAsia="Times New Roman" w:hAnsi="Times New Roman" w:cs="Times New Roman"/>
          <w:noProof/>
          <w:color w:val="000000"/>
          <w:sz w:val="24"/>
          <w:szCs w:val="24"/>
          <w:lang w:eastAsia="sk-SK"/>
        </w:rPr>
        <w:t xml:space="preserve">2019/2034 </w:t>
      </w:r>
      <w:r w:rsidRPr="00033974">
        <w:rPr>
          <w:rFonts w:ascii="Times New Roman" w:hAnsi="Times New Roman" w:cs="Times New Roman"/>
          <w:noProof/>
          <w:color w:val="333333"/>
          <w:sz w:val="24"/>
          <w:szCs w:val="24"/>
          <w:shd w:val="clear" w:color="auto" w:fill="FFFFFF"/>
        </w:rPr>
        <w:t> z 27. novembra 2019</w:t>
      </w:r>
      <w:r>
        <w:rPr>
          <w:rFonts w:ascii="Times New Roman" w:hAnsi="Times New Roman" w:cs="Times New Roman"/>
          <w:noProof/>
          <w:color w:val="333333"/>
          <w:sz w:val="24"/>
          <w:szCs w:val="24"/>
          <w:shd w:val="clear" w:color="auto" w:fill="FFFFFF"/>
        </w:rPr>
        <w:t xml:space="preserve">               </w:t>
      </w:r>
      <w:r w:rsidRPr="00033974">
        <w:rPr>
          <w:rFonts w:ascii="Times New Roman" w:hAnsi="Times New Roman" w:cs="Times New Roman"/>
          <w:noProof/>
          <w:color w:val="333333"/>
          <w:sz w:val="24"/>
          <w:szCs w:val="24"/>
          <w:shd w:val="clear" w:color="auto" w:fill="FFFFFF"/>
        </w:rPr>
        <w:t xml:space="preserve"> o prudenciálnom dohľade nad investičnými spoločnosťami a o zmene smerníc 2002/87/ES, 2009/65/ES, 2011/61/EÚ, 2013/36/EÚ, 2014/59/EÚ a 2014/65/EÚ</w:t>
      </w:r>
      <w:r w:rsidRPr="00033974">
        <w:rPr>
          <w:rFonts w:ascii="Times New Roman" w:eastAsia="Times New Roman" w:hAnsi="Times New Roman" w:cs="Times New Roman"/>
          <w:noProof/>
          <w:color w:val="000000"/>
          <w:sz w:val="24"/>
          <w:szCs w:val="24"/>
          <w:lang w:eastAsia="sk-SK"/>
        </w:rPr>
        <w:t xml:space="preserve"> (Ú. v. EÚ L 314, 5.12.2019) v platnom znení, gestor: MF SR, spolugestor: NBS,</w:t>
      </w:r>
    </w:p>
    <w:p w14:paraId="52C032F4" w14:textId="77777777" w:rsidR="00A417FF" w:rsidRPr="00033974" w:rsidRDefault="00A417FF" w:rsidP="00A417FF">
      <w:pPr>
        <w:pStyle w:val="Odsekzoznamu"/>
        <w:keepNext/>
        <w:numPr>
          <w:ilvl w:val="0"/>
          <w:numId w:val="6"/>
        </w:numPr>
        <w:suppressAutoHyphens/>
        <w:spacing w:after="0"/>
        <w:jc w:val="both"/>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noProof/>
          <w:color w:val="000000"/>
          <w:sz w:val="24"/>
          <w:szCs w:val="24"/>
          <w:lang w:eastAsia="sk-SK"/>
        </w:rPr>
        <w:t xml:space="preserve">smernica </w:t>
      </w:r>
      <w:r w:rsidRPr="00033974">
        <w:rPr>
          <w:rFonts w:ascii="Times New Roman" w:eastAsia="Times New Roman" w:hAnsi="Times New Roman" w:cs="Times New Roman"/>
          <w:noProof/>
          <w:color w:val="000000" w:themeColor="text1"/>
          <w:sz w:val="24"/>
          <w:szCs w:val="24"/>
          <w:lang w:eastAsia="sk-SK"/>
        </w:rPr>
        <w:t xml:space="preserve">Európskeho parlamentu a Rady (EÚ) </w:t>
      </w:r>
      <w:r w:rsidRPr="00033974">
        <w:rPr>
          <w:rFonts w:ascii="Times New Roman" w:eastAsia="Times New Roman" w:hAnsi="Times New Roman" w:cs="Times New Roman"/>
          <w:noProof/>
          <w:color w:val="000000"/>
          <w:sz w:val="24"/>
          <w:szCs w:val="24"/>
          <w:lang w:eastAsia="sk-SK"/>
        </w:rPr>
        <w:t xml:space="preserve">2009/65/ES </w:t>
      </w:r>
      <w:r w:rsidRPr="00033974">
        <w:rPr>
          <w:rFonts w:ascii="Times New Roman" w:hAnsi="Times New Roman" w:cs="Times New Roman"/>
          <w:b/>
          <w:bCs/>
          <w:noProof/>
          <w:color w:val="333333"/>
          <w:sz w:val="24"/>
          <w:szCs w:val="24"/>
          <w:shd w:val="clear" w:color="auto" w:fill="FFFFFF"/>
        </w:rPr>
        <w:t> </w:t>
      </w:r>
      <w:r w:rsidRPr="00033974">
        <w:rPr>
          <w:rFonts w:ascii="Times New Roman" w:hAnsi="Times New Roman" w:cs="Times New Roman"/>
          <w:noProof/>
          <w:color w:val="333333"/>
          <w:sz w:val="24"/>
          <w:szCs w:val="24"/>
          <w:shd w:val="clear" w:color="auto" w:fill="FFFFFF"/>
        </w:rPr>
        <w:t>z 13. júla 2009</w:t>
      </w:r>
      <w:r>
        <w:rPr>
          <w:rFonts w:ascii="Times New Roman" w:hAnsi="Times New Roman" w:cs="Times New Roman"/>
          <w:noProof/>
          <w:color w:val="333333"/>
          <w:sz w:val="24"/>
          <w:szCs w:val="24"/>
          <w:shd w:val="clear" w:color="auto" w:fill="FFFFFF"/>
        </w:rPr>
        <w:t xml:space="preserve">                           </w:t>
      </w:r>
      <w:r w:rsidRPr="00033974">
        <w:rPr>
          <w:rFonts w:ascii="Times New Roman" w:hAnsi="Times New Roman" w:cs="Times New Roman"/>
          <w:noProof/>
          <w:color w:val="333333"/>
          <w:sz w:val="24"/>
          <w:szCs w:val="24"/>
          <w:shd w:val="clear" w:color="auto" w:fill="FFFFFF"/>
        </w:rPr>
        <w:t xml:space="preserve"> o koordinácii zákonov, iných právnych predpisov a správnych opatrení týkajúcich sa podnikov kolektívneho investovania do prevoditeľných cenných papierov (PKIPCP) (prepracované znenie)</w:t>
      </w:r>
      <w:r w:rsidRPr="00033974">
        <w:rPr>
          <w:rFonts w:ascii="Times New Roman" w:hAnsi="Times New Roman" w:cs="Times New Roman"/>
          <w:b/>
          <w:bCs/>
          <w:noProof/>
          <w:color w:val="333333"/>
          <w:sz w:val="24"/>
          <w:szCs w:val="24"/>
          <w:shd w:val="clear" w:color="auto" w:fill="FFFFFF"/>
        </w:rPr>
        <w:t xml:space="preserve"> </w:t>
      </w:r>
      <w:r w:rsidRPr="00033974">
        <w:rPr>
          <w:rFonts w:ascii="Times New Roman" w:eastAsia="Times New Roman" w:hAnsi="Times New Roman" w:cs="Times New Roman"/>
          <w:noProof/>
          <w:color w:val="000000"/>
          <w:sz w:val="24"/>
          <w:szCs w:val="24"/>
          <w:lang w:eastAsia="sk-SK"/>
        </w:rPr>
        <w:t xml:space="preserve"> (Ú. v. EÚ L 302, 17.11.2009) v platnom znení, gestor: MF SR, spolugestor: NBS,</w:t>
      </w:r>
    </w:p>
    <w:p w14:paraId="326F8D83" w14:textId="77777777" w:rsidR="00A417FF" w:rsidRPr="00033974" w:rsidRDefault="00A417FF" w:rsidP="00A417FF">
      <w:pPr>
        <w:pStyle w:val="oj-doc-ti"/>
        <w:keepNext/>
        <w:numPr>
          <w:ilvl w:val="0"/>
          <w:numId w:val="6"/>
        </w:numPr>
        <w:suppressAutoHyphens/>
        <w:spacing w:before="0" w:beforeAutospacing="0" w:after="0" w:afterAutospacing="0"/>
        <w:jc w:val="both"/>
        <w:rPr>
          <w:noProof/>
          <w:color w:val="000000"/>
        </w:rPr>
      </w:pPr>
      <w:r w:rsidRPr="00033974">
        <w:rPr>
          <w:noProof/>
          <w:color w:val="333333"/>
          <w:shd w:val="clear" w:color="auto" w:fill="FFFFFF"/>
        </w:rPr>
        <w:t xml:space="preserve">smernica Európskeho parlamentu a Rady 2013/36/EÚ z  26. júna 2013 o prístupe k činnosti úverových inštitúcií a prudenciálnom dohľade nad úverovými </w:t>
      </w:r>
      <w:r w:rsidRPr="00033974">
        <w:rPr>
          <w:noProof/>
          <w:color w:val="333333"/>
          <w:shd w:val="clear" w:color="auto" w:fill="FFFFFF"/>
        </w:rPr>
        <w:lastRenderedPageBreak/>
        <w:t>inštitúciami, o zmene smernice 2002/87/ES a o zrušení smerníc 2006/48/ES a 2006/49/ES</w:t>
      </w:r>
      <w:r w:rsidRPr="00033974">
        <w:rPr>
          <w:noProof/>
          <w:color w:val="000000"/>
        </w:rPr>
        <w:t xml:space="preserve"> (Ú. v. EÚ L 176, 27.6.2013) v platnom znení, gestor: MF SR, spolugestor: NBS,</w:t>
      </w:r>
    </w:p>
    <w:p w14:paraId="7C94B061" w14:textId="77777777" w:rsidR="00A417FF" w:rsidRPr="00033974" w:rsidRDefault="00A417FF" w:rsidP="00A417FF">
      <w:pPr>
        <w:pStyle w:val="oj-doc-ti"/>
        <w:keepNext/>
        <w:numPr>
          <w:ilvl w:val="0"/>
          <w:numId w:val="6"/>
        </w:numPr>
        <w:suppressAutoHyphens/>
        <w:spacing w:before="0" w:beforeAutospacing="0" w:after="0" w:afterAutospacing="0"/>
        <w:jc w:val="both"/>
        <w:rPr>
          <w:noProof/>
        </w:rPr>
      </w:pPr>
      <w:r w:rsidRPr="00033974">
        <w:rPr>
          <w:noProof/>
          <w:shd w:val="clear" w:color="auto" w:fill="FFFFFF"/>
        </w:rPr>
        <w:t>nariadenie Európskeho parlamentu a Rady (EÚ) č. 596/2014 zo 16. apríla 2014 o zneužívaní trhu (nariadenie o zneužívaní trhu) a o zrušení smernice Európskeho parlamentu a Rady 2003/6/ES a smerníc Komisie 2003/124/ES, 2003/125/ES a 2004/72/ES (</w:t>
      </w:r>
      <w:r w:rsidRPr="00033974">
        <w:rPr>
          <w:rStyle w:val="Zvraznenie"/>
          <w:i w:val="0"/>
          <w:noProof/>
          <w:shd w:val="clear" w:color="auto" w:fill="FFFFFF"/>
        </w:rPr>
        <w:t>Ú. v. EÚ L, 173, 12.6.2014)</w:t>
      </w:r>
      <w:r w:rsidRPr="00033974">
        <w:rPr>
          <w:rStyle w:val="Zvraznenie"/>
          <w:noProof/>
          <w:shd w:val="clear" w:color="auto" w:fill="FFFFFF"/>
        </w:rPr>
        <w:t xml:space="preserve"> </w:t>
      </w:r>
      <w:r w:rsidRPr="00033974">
        <w:rPr>
          <w:rStyle w:val="Zvraznenie"/>
          <w:i w:val="0"/>
          <w:noProof/>
          <w:shd w:val="clear" w:color="auto" w:fill="FFFFFF"/>
        </w:rPr>
        <w:t>v platnom znení</w:t>
      </w:r>
      <w:r w:rsidRPr="00033974">
        <w:rPr>
          <w:rStyle w:val="Zvraznenie"/>
          <w:noProof/>
          <w:shd w:val="clear" w:color="auto" w:fill="FFFFFF"/>
        </w:rPr>
        <w:t xml:space="preserve">, </w:t>
      </w:r>
      <w:r w:rsidRPr="00033974">
        <w:rPr>
          <w:noProof/>
        </w:rPr>
        <w:t>gestori: MF SR, NBS,</w:t>
      </w:r>
    </w:p>
    <w:p w14:paraId="6F3F789D" w14:textId="77777777" w:rsidR="00A417FF" w:rsidRPr="00033974" w:rsidRDefault="00A417FF" w:rsidP="00A417FF">
      <w:pPr>
        <w:pStyle w:val="oj-doc-ti"/>
        <w:keepNext/>
        <w:numPr>
          <w:ilvl w:val="0"/>
          <w:numId w:val="6"/>
        </w:numPr>
        <w:suppressAutoHyphens/>
        <w:spacing w:before="0" w:beforeAutospacing="0" w:after="0" w:afterAutospacing="0"/>
        <w:jc w:val="both"/>
        <w:rPr>
          <w:noProof/>
          <w:color w:val="000000"/>
        </w:rPr>
      </w:pPr>
      <w:r w:rsidRPr="00033974">
        <w:rPr>
          <w:bCs/>
          <w:noProof/>
          <w:color w:val="333333"/>
          <w:shd w:val="clear" w:color="auto" w:fill="FFFFFF"/>
        </w:rPr>
        <w:t>nariadenie Európskeho parlamentu a Rady (EÚ) 2024/2809 z 23. októbra 2024, ktorým sa menia nariadenia (EÚ) 2017/1129, (EÚ) č. 596/2014 a (EÚ) č. 600/2014 s cieľom zatraktívniť verejné kapitálové trhy v Únii pre spoločnosti a uľahčiť malým a stredným podnikom prístup ku kapitálu (</w:t>
      </w:r>
      <w:r w:rsidRPr="00033974">
        <w:rPr>
          <w:rStyle w:val="Zvraznenie"/>
          <w:i w:val="0"/>
          <w:noProof/>
          <w:color w:val="333333"/>
          <w:shd w:val="clear" w:color="auto" w:fill="FFFFFF"/>
        </w:rPr>
        <w:t>Ú. v. EÚ L, 2024/2809, 14.11.2024)</w:t>
      </w:r>
      <w:r w:rsidRPr="00033974">
        <w:rPr>
          <w:rStyle w:val="Zvraznenie"/>
          <w:noProof/>
          <w:color w:val="333333"/>
          <w:shd w:val="clear" w:color="auto" w:fill="FFFFFF"/>
        </w:rPr>
        <w:t xml:space="preserve"> </w:t>
      </w:r>
      <w:r w:rsidRPr="00033974">
        <w:rPr>
          <w:rStyle w:val="Zvraznenie"/>
          <w:i w:val="0"/>
          <w:noProof/>
          <w:color w:val="333333"/>
          <w:shd w:val="clear" w:color="auto" w:fill="FFFFFF"/>
        </w:rPr>
        <w:t>v platnom znení</w:t>
      </w:r>
      <w:r w:rsidRPr="00033974">
        <w:rPr>
          <w:rStyle w:val="Zvraznenie"/>
          <w:noProof/>
          <w:color w:val="333333"/>
          <w:shd w:val="clear" w:color="auto" w:fill="FFFFFF"/>
        </w:rPr>
        <w:t xml:space="preserve">, </w:t>
      </w:r>
      <w:r w:rsidRPr="00033974">
        <w:rPr>
          <w:noProof/>
          <w:color w:val="000000"/>
        </w:rPr>
        <w:t>gestor:</w:t>
      </w:r>
      <w:r w:rsidRPr="00033974">
        <w:rPr>
          <w:noProof/>
        </w:rPr>
        <w:t xml:space="preserve"> zatiaľ nebol určený,</w:t>
      </w:r>
    </w:p>
    <w:p w14:paraId="71031724" w14:textId="77777777" w:rsidR="00A417FF" w:rsidRPr="00033974" w:rsidRDefault="00A417FF" w:rsidP="00A417FF">
      <w:pPr>
        <w:pStyle w:val="Odsekzoznamu"/>
        <w:keepNext/>
        <w:numPr>
          <w:ilvl w:val="0"/>
          <w:numId w:val="6"/>
        </w:numPr>
        <w:suppressAutoHyphens/>
        <w:spacing w:after="200" w:line="276" w:lineRule="auto"/>
        <w:jc w:val="both"/>
        <w:rPr>
          <w:rFonts w:ascii="Times New Roman" w:eastAsia="Times New Roman" w:hAnsi="Times New Roman" w:cs="Times New Roman"/>
          <w:noProof/>
          <w:color w:val="000000"/>
          <w:sz w:val="24"/>
          <w:szCs w:val="24"/>
          <w:lang w:eastAsia="sk-SK"/>
        </w:rPr>
      </w:pPr>
      <w:r w:rsidRPr="00033974">
        <w:rPr>
          <w:rFonts w:ascii="Times New Roman" w:hAnsi="Times New Roman" w:cs="Times New Roman"/>
          <w:noProof/>
          <w:color w:val="333333"/>
          <w:sz w:val="24"/>
          <w:szCs w:val="24"/>
          <w:shd w:val="clear" w:color="auto" w:fill="FFFFFF"/>
        </w:rPr>
        <w:t xml:space="preserve">nariadenie Európskeho parlamentu a Rady (EÚ) 2024/791 z 28. februára 2024, ktorým sa mení nariadenie (EÚ) č. 600/2014, pokiaľ ide o zvýšenie transparentnosti údajov, odstránenie prekážok vzniku konsolidovaných informačných systémov, optimalizáciu obchodovacích povinností a zákaz prijímania platby za tok pokynov </w:t>
      </w:r>
      <w:r w:rsidRPr="00033974">
        <w:rPr>
          <w:rFonts w:ascii="Times New Roman" w:eastAsia="Times New Roman" w:hAnsi="Times New Roman" w:cs="Times New Roman"/>
          <w:noProof/>
          <w:color w:val="000000"/>
          <w:sz w:val="24"/>
          <w:szCs w:val="24"/>
          <w:lang w:eastAsia="sk-SK"/>
        </w:rPr>
        <w:t>(Ú. v. EÚ L, 2024/791, 8.3.2024),</w:t>
      </w:r>
      <w:r w:rsidRPr="00033974">
        <w:rPr>
          <w:rFonts w:ascii="Times New Roman" w:hAnsi="Times New Roman" w:cs="Times New Roman"/>
          <w:noProof/>
          <w:color w:val="000000"/>
          <w:sz w:val="24"/>
          <w:szCs w:val="24"/>
        </w:rPr>
        <w:t xml:space="preserve"> </w:t>
      </w:r>
      <w:r w:rsidRPr="00033974">
        <w:rPr>
          <w:rFonts w:ascii="Times New Roman" w:eastAsia="Times New Roman" w:hAnsi="Times New Roman" w:cs="Times New Roman"/>
          <w:noProof/>
          <w:sz w:val="24"/>
          <w:szCs w:val="24"/>
          <w:lang w:eastAsia="sk-SK"/>
        </w:rPr>
        <w:t>gestori:</w:t>
      </w:r>
      <w:r w:rsidRPr="00033974">
        <w:rPr>
          <w:rFonts w:ascii="Times New Roman" w:hAnsi="Times New Roman" w:cs="Times New Roman"/>
          <w:noProof/>
          <w:sz w:val="24"/>
          <w:szCs w:val="24"/>
        </w:rPr>
        <w:t xml:space="preserve"> </w:t>
      </w:r>
      <w:r w:rsidRPr="00033974">
        <w:rPr>
          <w:rFonts w:ascii="Times New Roman" w:hAnsi="Times New Roman" w:cs="Times New Roman"/>
          <w:noProof/>
          <w:color w:val="000000"/>
          <w:sz w:val="24"/>
          <w:szCs w:val="24"/>
        </w:rPr>
        <w:t>MF SR, NBS,</w:t>
      </w:r>
    </w:p>
    <w:p w14:paraId="1E9BC6E0" w14:textId="77777777" w:rsidR="00A417FF" w:rsidRPr="00033974" w:rsidRDefault="00A417FF" w:rsidP="00A417FF">
      <w:pPr>
        <w:pStyle w:val="Odsekzoznamu"/>
        <w:keepNext/>
        <w:numPr>
          <w:ilvl w:val="0"/>
          <w:numId w:val="6"/>
        </w:numPr>
        <w:suppressAutoHyphens/>
        <w:spacing w:after="200" w:line="276" w:lineRule="auto"/>
        <w:jc w:val="both"/>
        <w:rPr>
          <w:rFonts w:ascii="Times New Roman" w:eastAsia="Times New Roman" w:hAnsi="Times New Roman" w:cs="Times New Roman"/>
          <w:i/>
          <w:noProof/>
          <w:color w:val="000000"/>
          <w:sz w:val="24"/>
          <w:szCs w:val="24"/>
          <w:lang w:eastAsia="sk-SK"/>
        </w:rPr>
      </w:pPr>
      <w:r w:rsidRPr="00033974">
        <w:rPr>
          <w:rFonts w:ascii="Times New Roman" w:hAnsi="Times New Roman" w:cs="Times New Roman"/>
          <w:noProof/>
          <w:color w:val="333333"/>
          <w:sz w:val="24"/>
          <w:szCs w:val="24"/>
          <w:shd w:val="clear" w:color="auto" w:fill="FFFFFF"/>
        </w:rPr>
        <w:t xml:space="preserve">nariadenie Európskeho parlamentu a Rady (EÚ) 2023/2859 z 13. decembra 2023, ktorým sa zriaďuje jednotné európske miesto prístupu, ktoré poskytuje centralizovaný prístup k verejne dostupným informáciám týkajúcim sa finančných služieb, kapitálových trhov a udržateľnosti </w:t>
      </w:r>
      <w:r w:rsidRPr="00033974">
        <w:rPr>
          <w:rFonts w:ascii="Times New Roman" w:hAnsi="Times New Roman" w:cs="Times New Roman"/>
          <w:noProof/>
          <w:color w:val="000000"/>
          <w:sz w:val="24"/>
          <w:szCs w:val="24"/>
        </w:rPr>
        <w:t>(Ú. v. EÚ L,</w:t>
      </w:r>
      <w:r w:rsidRPr="00033974">
        <w:rPr>
          <w:rFonts w:ascii="Times New Roman" w:hAnsi="Times New Roman" w:cs="Times New Roman"/>
          <w:noProof/>
          <w:sz w:val="24"/>
          <w:szCs w:val="24"/>
        </w:rPr>
        <w:t xml:space="preserve"> </w:t>
      </w:r>
      <w:r w:rsidRPr="00033974">
        <w:rPr>
          <w:rFonts w:ascii="Times New Roman" w:hAnsi="Times New Roman" w:cs="Times New Roman"/>
          <w:noProof/>
          <w:color w:val="000000"/>
          <w:sz w:val="24"/>
          <w:szCs w:val="24"/>
        </w:rPr>
        <w:t>2023/2859, 20.12.2023)</w:t>
      </w:r>
      <w:r>
        <w:rPr>
          <w:rFonts w:ascii="Times New Roman" w:hAnsi="Times New Roman" w:cs="Times New Roman"/>
          <w:noProof/>
          <w:color w:val="000000"/>
          <w:sz w:val="24"/>
          <w:szCs w:val="24"/>
        </w:rPr>
        <w:t xml:space="preserve">                   </w:t>
      </w:r>
      <w:r w:rsidRPr="00033974">
        <w:rPr>
          <w:rFonts w:ascii="Times New Roman" w:hAnsi="Times New Roman" w:cs="Times New Roman"/>
          <w:noProof/>
          <w:color w:val="000000"/>
          <w:sz w:val="24"/>
          <w:szCs w:val="24"/>
        </w:rPr>
        <w:t xml:space="preserve"> v platnom znení, </w:t>
      </w:r>
      <w:r w:rsidRPr="00033974">
        <w:rPr>
          <w:rFonts w:ascii="Times New Roman" w:hAnsi="Times New Roman" w:cs="Times New Roman"/>
          <w:noProof/>
          <w:sz w:val="24"/>
          <w:szCs w:val="24"/>
        </w:rPr>
        <w:t xml:space="preserve">gestori: </w:t>
      </w:r>
      <w:r w:rsidRPr="00033974">
        <w:rPr>
          <w:rFonts w:ascii="Times New Roman" w:hAnsi="Times New Roman" w:cs="Times New Roman"/>
          <w:noProof/>
          <w:color w:val="000000"/>
          <w:sz w:val="24"/>
          <w:szCs w:val="24"/>
        </w:rPr>
        <w:t>MF SR, NBS,</w:t>
      </w:r>
    </w:p>
    <w:p w14:paraId="59295085" w14:textId="77777777" w:rsidR="00A417FF" w:rsidRPr="00033974" w:rsidRDefault="00A417FF" w:rsidP="00A417FF">
      <w:pPr>
        <w:pStyle w:val="Odsekzoznamu"/>
        <w:keepNext/>
        <w:numPr>
          <w:ilvl w:val="0"/>
          <w:numId w:val="6"/>
        </w:numPr>
        <w:suppressAutoHyphens/>
        <w:spacing w:after="200" w:line="276" w:lineRule="auto"/>
        <w:jc w:val="both"/>
        <w:rPr>
          <w:rFonts w:ascii="Times New Roman" w:eastAsia="Times New Roman" w:hAnsi="Times New Roman" w:cs="Times New Roman"/>
          <w:i/>
          <w:noProof/>
          <w:color w:val="000000"/>
          <w:sz w:val="24"/>
          <w:szCs w:val="24"/>
          <w:lang w:eastAsia="sk-SK"/>
        </w:rPr>
      </w:pPr>
      <w:r w:rsidRPr="00033974">
        <w:rPr>
          <w:rFonts w:ascii="Times New Roman" w:hAnsi="Times New Roman" w:cs="Times New Roman"/>
          <w:bCs/>
          <w:noProof/>
          <w:color w:val="333333"/>
          <w:sz w:val="24"/>
          <w:szCs w:val="24"/>
          <w:shd w:val="clear" w:color="auto" w:fill="FFFFFF"/>
        </w:rPr>
        <w:t>nariadenie Európskeho parlamentu a Rady (EÚ) 2023/1114 z 31. mája 2023</w:t>
      </w:r>
      <w:r>
        <w:rPr>
          <w:rFonts w:ascii="Times New Roman" w:hAnsi="Times New Roman" w:cs="Times New Roman"/>
          <w:bCs/>
          <w:noProof/>
          <w:color w:val="333333"/>
          <w:sz w:val="24"/>
          <w:szCs w:val="24"/>
          <w:shd w:val="clear" w:color="auto" w:fill="FFFFFF"/>
        </w:rPr>
        <w:t xml:space="preserve">                       </w:t>
      </w:r>
      <w:r w:rsidRPr="00033974">
        <w:rPr>
          <w:rFonts w:ascii="Times New Roman" w:hAnsi="Times New Roman" w:cs="Times New Roman"/>
          <w:bCs/>
          <w:noProof/>
          <w:color w:val="333333"/>
          <w:sz w:val="24"/>
          <w:szCs w:val="24"/>
          <w:shd w:val="clear" w:color="auto" w:fill="FFFFFF"/>
        </w:rPr>
        <w:t xml:space="preserve"> o trhoch s kryptoaktívami a o zmene nariadení (EÚ) č. 1093/2010 a (EÚ)</w:t>
      </w:r>
      <w:r>
        <w:rPr>
          <w:rFonts w:ascii="Times New Roman" w:hAnsi="Times New Roman" w:cs="Times New Roman"/>
          <w:bCs/>
          <w:noProof/>
          <w:color w:val="333333"/>
          <w:sz w:val="24"/>
          <w:szCs w:val="24"/>
          <w:shd w:val="clear" w:color="auto" w:fill="FFFFFF"/>
        </w:rPr>
        <w:t xml:space="preserve">                          </w:t>
      </w:r>
      <w:r w:rsidRPr="00033974">
        <w:rPr>
          <w:rFonts w:ascii="Times New Roman" w:hAnsi="Times New Roman" w:cs="Times New Roman"/>
          <w:bCs/>
          <w:noProof/>
          <w:color w:val="333333"/>
          <w:sz w:val="24"/>
          <w:szCs w:val="24"/>
          <w:shd w:val="clear" w:color="auto" w:fill="FFFFFF"/>
        </w:rPr>
        <w:t xml:space="preserve"> č. 1095/2010 a smerníc 2013/36/EÚ a (EÚ) 2019/1937 (</w:t>
      </w:r>
      <w:r w:rsidRPr="00033974">
        <w:rPr>
          <w:rStyle w:val="Zvraznenie"/>
          <w:rFonts w:ascii="Times New Roman" w:hAnsi="Times New Roman" w:cs="Times New Roman"/>
          <w:i w:val="0"/>
          <w:noProof/>
          <w:color w:val="333333"/>
          <w:sz w:val="24"/>
          <w:szCs w:val="24"/>
          <w:shd w:val="clear" w:color="auto" w:fill="FFFFFF"/>
        </w:rPr>
        <w:t xml:space="preserve">Ú. v. EÚ L 150, 9.6.2023) </w:t>
      </w:r>
      <w:r w:rsidRPr="00033974">
        <w:rPr>
          <w:rFonts w:ascii="Times New Roman" w:hAnsi="Times New Roman" w:cs="Times New Roman"/>
          <w:noProof/>
          <w:color w:val="000000"/>
          <w:sz w:val="24"/>
          <w:szCs w:val="24"/>
        </w:rPr>
        <w:t xml:space="preserve">v platnom znení, gestori: MF SR, NBS, </w:t>
      </w:r>
    </w:p>
    <w:p w14:paraId="2102F3A8" w14:textId="77777777" w:rsidR="00A417FF" w:rsidRPr="00033974" w:rsidRDefault="00A417FF" w:rsidP="00A417FF">
      <w:pPr>
        <w:pStyle w:val="Odsekzoznamu"/>
        <w:keepNext/>
        <w:numPr>
          <w:ilvl w:val="0"/>
          <w:numId w:val="6"/>
        </w:numPr>
        <w:suppressAutoHyphens/>
        <w:spacing w:after="200" w:line="276" w:lineRule="auto"/>
        <w:jc w:val="both"/>
        <w:rPr>
          <w:rFonts w:ascii="Times New Roman" w:eastAsia="Times New Roman" w:hAnsi="Times New Roman" w:cs="Times New Roman"/>
          <w:i/>
          <w:noProof/>
          <w:color w:val="000000"/>
          <w:sz w:val="24"/>
          <w:szCs w:val="24"/>
          <w:lang w:eastAsia="sk-SK"/>
        </w:rPr>
      </w:pPr>
      <w:bookmarkStart w:id="2" w:name="_Hlk196396580"/>
      <w:r w:rsidRPr="00033974">
        <w:rPr>
          <w:rFonts w:ascii="Times New Roman" w:hAnsi="Times New Roman" w:cs="Times New Roman"/>
          <w:bCs/>
          <w:noProof/>
          <w:color w:val="333333"/>
          <w:sz w:val="24"/>
          <w:szCs w:val="24"/>
          <w:shd w:val="clear" w:color="auto" w:fill="FFFFFF"/>
        </w:rPr>
        <w:t>nariadenie Európskeho parlamentu a Rady (EÚ) 2020/1503 zo 7. októbra 2020</w:t>
      </w:r>
      <w:r>
        <w:rPr>
          <w:rFonts w:ascii="Times New Roman" w:hAnsi="Times New Roman" w:cs="Times New Roman"/>
          <w:bCs/>
          <w:noProof/>
          <w:color w:val="333333"/>
          <w:sz w:val="24"/>
          <w:szCs w:val="24"/>
          <w:shd w:val="clear" w:color="auto" w:fill="FFFFFF"/>
        </w:rPr>
        <w:t xml:space="preserve">                       </w:t>
      </w:r>
      <w:r w:rsidRPr="00033974">
        <w:rPr>
          <w:rFonts w:ascii="Times New Roman" w:hAnsi="Times New Roman" w:cs="Times New Roman"/>
          <w:bCs/>
          <w:noProof/>
          <w:color w:val="333333"/>
          <w:sz w:val="24"/>
          <w:szCs w:val="24"/>
          <w:shd w:val="clear" w:color="auto" w:fill="FFFFFF"/>
        </w:rPr>
        <w:t xml:space="preserve"> o európskych poskytovateľoch služieb hromadného financovania pre podnikanie</w:t>
      </w:r>
      <w:r>
        <w:rPr>
          <w:rFonts w:ascii="Times New Roman" w:hAnsi="Times New Roman" w:cs="Times New Roman"/>
          <w:bCs/>
          <w:noProof/>
          <w:color w:val="333333"/>
          <w:sz w:val="24"/>
          <w:szCs w:val="24"/>
          <w:shd w:val="clear" w:color="auto" w:fill="FFFFFF"/>
        </w:rPr>
        <w:t xml:space="preserve">                   </w:t>
      </w:r>
      <w:r w:rsidRPr="00033974">
        <w:rPr>
          <w:rFonts w:ascii="Times New Roman" w:hAnsi="Times New Roman" w:cs="Times New Roman"/>
          <w:bCs/>
          <w:noProof/>
          <w:color w:val="333333"/>
          <w:sz w:val="24"/>
          <w:szCs w:val="24"/>
          <w:shd w:val="clear" w:color="auto" w:fill="FFFFFF"/>
        </w:rPr>
        <w:t xml:space="preserve"> a o zmene nariadenia (EÚ) 2017/1129 a smernice (EÚ) 2019/1937 (</w:t>
      </w:r>
      <w:r w:rsidRPr="00033974">
        <w:rPr>
          <w:rStyle w:val="Zvraznenie"/>
          <w:rFonts w:ascii="Times New Roman" w:hAnsi="Times New Roman" w:cs="Times New Roman"/>
          <w:i w:val="0"/>
          <w:noProof/>
          <w:color w:val="333333"/>
          <w:sz w:val="24"/>
          <w:szCs w:val="24"/>
          <w:shd w:val="clear" w:color="auto" w:fill="FFFFFF"/>
        </w:rPr>
        <w:t xml:space="preserve">Ú. v. EÚ L 347, 20.10.2020) </w:t>
      </w:r>
      <w:r w:rsidRPr="00033974">
        <w:rPr>
          <w:rFonts w:ascii="Times New Roman" w:hAnsi="Times New Roman" w:cs="Times New Roman"/>
          <w:noProof/>
          <w:color w:val="000000"/>
          <w:sz w:val="24"/>
          <w:szCs w:val="24"/>
        </w:rPr>
        <w:t>v platnom znení</w:t>
      </w:r>
      <w:bookmarkEnd w:id="2"/>
      <w:r w:rsidRPr="00033974">
        <w:rPr>
          <w:rFonts w:ascii="Times New Roman" w:hAnsi="Times New Roman" w:cs="Times New Roman"/>
          <w:noProof/>
          <w:color w:val="000000"/>
          <w:sz w:val="24"/>
          <w:szCs w:val="24"/>
        </w:rPr>
        <w:t xml:space="preserve">, </w:t>
      </w:r>
      <w:r w:rsidRPr="00033974">
        <w:rPr>
          <w:rFonts w:ascii="Times New Roman" w:eastAsia="Times New Roman" w:hAnsi="Times New Roman" w:cs="Times New Roman"/>
          <w:noProof/>
          <w:sz w:val="24"/>
          <w:szCs w:val="24"/>
          <w:lang w:eastAsia="sk-SK"/>
        </w:rPr>
        <w:t>gestori:</w:t>
      </w:r>
      <w:r w:rsidRPr="00033974">
        <w:rPr>
          <w:rFonts w:ascii="Times New Roman" w:hAnsi="Times New Roman" w:cs="Times New Roman"/>
          <w:noProof/>
          <w:color w:val="000000"/>
          <w:sz w:val="24"/>
          <w:szCs w:val="24"/>
        </w:rPr>
        <w:t xml:space="preserve"> MF SR, NBS, ÚV SR,</w:t>
      </w:r>
    </w:p>
    <w:p w14:paraId="094A38BF" w14:textId="77777777" w:rsidR="00A417FF" w:rsidRPr="00033974" w:rsidRDefault="00A417FF" w:rsidP="00A417FF">
      <w:pPr>
        <w:pStyle w:val="Odsekzoznamu"/>
        <w:keepNext/>
        <w:numPr>
          <w:ilvl w:val="0"/>
          <w:numId w:val="6"/>
        </w:numPr>
        <w:suppressAutoHyphens/>
        <w:spacing w:after="200" w:line="276" w:lineRule="auto"/>
        <w:jc w:val="both"/>
        <w:rPr>
          <w:rFonts w:ascii="Times New Roman" w:eastAsia="Times New Roman" w:hAnsi="Times New Roman" w:cs="Times New Roman"/>
          <w:i/>
          <w:noProof/>
          <w:color w:val="000000"/>
          <w:sz w:val="24"/>
          <w:szCs w:val="24"/>
          <w:lang w:eastAsia="sk-SK"/>
        </w:rPr>
      </w:pPr>
      <w:r w:rsidRPr="00033974">
        <w:rPr>
          <w:rFonts w:ascii="Times New Roman" w:hAnsi="Times New Roman" w:cs="Times New Roman"/>
          <w:bCs/>
          <w:noProof/>
          <w:color w:val="333333"/>
          <w:sz w:val="24"/>
          <w:szCs w:val="24"/>
          <w:shd w:val="clear" w:color="auto" w:fill="FFFFFF"/>
        </w:rPr>
        <w:t>nariadenie Európskeho parlamentu a Rady (EÚ) 2017/1129 zo 14. júna 2017</w:t>
      </w:r>
      <w:r>
        <w:rPr>
          <w:rFonts w:ascii="Times New Roman" w:hAnsi="Times New Roman" w:cs="Times New Roman"/>
          <w:bCs/>
          <w:noProof/>
          <w:color w:val="333333"/>
          <w:sz w:val="24"/>
          <w:szCs w:val="24"/>
          <w:shd w:val="clear" w:color="auto" w:fill="FFFFFF"/>
        </w:rPr>
        <w:t xml:space="preserve">                              </w:t>
      </w:r>
      <w:r w:rsidRPr="00033974">
        <w:rPr>
          <w:rFonts w:ascii="Times New Roman" w:hAnsi="Times New Roman" w:cs="Times New Roman"/>
          <w:bCs/>
          <w:noProof/>
          <w:color w:val="333333"/>
          <w:sz w:val="24"/>
          <w:szCs w:val="24"/>
          <w:shd w:val="clear" w:color="auto" w:fill="FFFFFF"/>
        </w:rPr>
        <w:t xml:space="preserve"> o prospekte, ktorý sa má uverejniť pri verejnej ponuke cenných papierov alebo ich prijatí na obchodovanie na regulovanom trhu, a o zrušení smernice 2003/71/ES (</w:t>
      </w:r>
      <w:r w:rsidRPr="00033974">
        <w:rPr>
          <w:rStyle w:val="Zvraznenie"/>
          <w:rFonts w:ascii="Times New Roman" w:hAnsi="Times New Roman" w:cs="Times New Roman"/>
          <w:i w:val="0"/>
          <w:noProof/>
          <w:color w:val="333333"/>
          <w:sz w:val="24"/>
          <w:szCs w:val="24"/>
          <w:shd w:val="clear" w:color="auto" w:fill="FFFFFF"/>
        </w:rPr>
        <w:t xml:space="preserve">Ú. v. EÚ L 168, 30.6.2017) </w:t>
      </w:r>
      <w:r w:rsidRPr="00033974">
        <w:rPr>
          <w:rFonts w:ascii="Times New Roman" w:hAnsi="Times New Roman" w:cs="Times New Roman"/>
          <w:noProof/>
          <w:color w:val="000000"/>
          <w:sz w:val="24"/>
          <w:szCs w:val="24"/>
        </w:rPr>
        <w:t xml:space="preserve">v platnom znení, </w:t>
      </w:r>
      <w:r w:rsidRPr="00033974">
        <w:rPr>
          <w:rFonts w:ascii="Times New Roman" w:eastAsia="Times New Roman" w:hAnsi="Times New Roman" w:cs="Times New Roman"/>
          <w:noProof/>
          <w:sz w:val="24"/>
          <w:szCs w:val="24"/>
          <w:lang w:eastAsia="sk-SK"/>
        </w:rPr>
        <w:t>gestori:</w:t>
      </w:r>
      <w:r w:rsidRPr="00033974">
        <w:rPr>
          <w:rFonts w:ascii="Times New Roman" w:hAnsi="Times New Roman" w:cs="Times New Roman"/>
          <w:noProof/>
          <w:color w:val="000000"/>
          <w:sz w:val="24"/>
          <w:szCs w:val="24"/>
        </w:rPr>
        <w:t xml:space="preserve"> MF SR, NBS,</w:t>
      </w:r>
    </w:p>
    <w:p w14:paraId="7F6F9A26" w14:textId="77777777" w:rsidR="00A417FF" w:rsidRPr="00033974" w:rsidRDefault="00A417FF" w:rsidP="00A417FF">
      <w:pPr>
        <w:pStyle w:val="Odsekzoznamu"/>
        <w:keepNext/>
        <w:numPr>
          <w:ilvl w:val="0"/>
          <w:numId w:val="6"/>
        </w:numPr>
        <w:suppressAutoHyphens/>
        <w:spacing w:after="200" w:line="276" w:lineRule="auto"/>
        <w:jc w:val="both"/>
        <w:rPr>
          <w:rFonts w:ascii="Times New Roman" w:eastAsia="Times New Roman" w:hAnsi="Times New Roman" w:cs="Times New Roman"/>
          <w:noProof/>
          <w:sz w:val="24"/>
          <w:szCs w:val="24"/>
          <w:lang w:eastAsia="sk-SK"/>
        </w:rPr>
      </w:pPr>
      <w:r w:rsidRPr="00033974">
        <w:rPr>
          <w:rFonts w:ascii="Times New Roman" w:eastAsia="Times New Roman" w:hAnsi="Times New Roman" w:cs="Times New Roman"/>
          <w:noProof/>
          <w:sz w:val="24"/>
          <w:szCs w:val="24"/>
          <w:lang w:eastAsia="sk-SK"/>
        </w:rPr>
        <w:t xml:space="preserve">delegované nariadenie Komisie (EÚ) 2017/584 zo 14. júla 2016, ktorým sa dopĺňa smernica Európskeho parlamentu a Rady 2014/65/EÚ, pokiaľ ide o regulačné technické predpisy bližšie určujúce organizačné požiadavky na obchodné miesta (Ú. v. EÚ L 87, 31.3.2017), gestori: MF SR, NBS, </w:t>
      </w:r>
    </w:p>
    <w:p w14:paraId="7779AECB" w14:textId="77777777" w:rsidR="00A417FF" w:rsidRPr="00033974" w:rsidRDefault="00A417FF" w:rsidP="00A417FF">
      <w:pPr>
        <w:pStyle w:val="Odsekzoznamu"/>
        <w:keepNext/>
        <w:numPr>
          <w:ilvl w:val="0"/>
          <w:numId w:val="9"/>
        </w:numPr>
        <w:shd w:val="clear" w:color="auto" w:fill="FFFFFF"/>
        <w:suppressAutoHyphens/>
        <w:spacing w:after="0" w:line="276" w:lineRule="auto"/>
        <w:jc w:val="both"/>
        <w:rPr>
          <w:rFonts w:ascii="Times New Roman" w:hAnsi="Times New Roman" w:cs="Times New Roman"/>
          <w:noProof/>
          <w:color w:val="000000"/>
          <w:sz w:val="24"/>
          <w:szCs w:val="24"/>
        </w:rPr>
      </w:pPr>
      <w:r w:rsidRPr="00033974">
        <w:rPr>
          <w:rFonts w:ascii="Times New Roman" w:eastAsia="Times New Roman" w:hAnsi="Times New Roman" w:cs="Times New Roman"/>
          <w:noProof/>
          <w:sz w:val="24"/>
          <w:szCs w:val="24"/>
          <w:lang w:eastAsia="sk-SK"/>
        </w:rPr>
        <w:t xml:space="preserve">delegované nariadenie Komisie (EÚ) 2017/568 z 24. mája 2016, ktorým sa dopĺňa smernica Európskeho parlamentu a Rady 2014/65/EÚ, pokiaľ ide o regulačné </w:t>
      </w:r>
      <w:r w:rsidRPr="00033974">
        <w:rPr>
          <w:rFonts w:ascii="Times New Roman" w:eastAsia="Times New Roman" w:hAnsi="Times New Roman" w:cs="Times New Roman"/>
          <w:noProof/>
          <w:sz w:val="24"/>
          <w:szCs w:val="24"/>
          <w:lang w:eastAsia="sk-SK"/>
        </w:rPr>
        <w:lastRenderedPageBreak/>
        <w:t>technické predpisy pre prijatie finančných nástrojov na obchodovanie</w:t>
      </w:r>
      <w:r>
        <w:rPr>
          <w:rFonts w:ascii="Times New Roman" w:eastAsia="Times New Roman" w:hAnsi="Times New Roman" w:cs="Times New Roman"/>
          <w:noProof/>
          <w:sz w:val="24"/>
          <w:szCs w:val="24"/>
          <w:lang w:eastAsia="sk-SK"/>
        </w:rPr>
        <w:t xml:space="preserve">                                       </w:t>
      </w:r>
      <w:r w:rsidRPr="00033974">
        <w:rPr>
          <w:rFonts w:ascii="Times New Roman" w:eastAsia="Times New Roman" w:hAnsi="Times New Roman" w:cs="Times New Roman"/>
          <w:noProof/>
          <w:sz w:val="24"/>
          <w:szCs w:val="24"/>
          <w:lang w:eastAsia="sk-SK"/>
        </w:rPr>
        <w:t xml:space="preserve"> na regulovaných trhoch (Ú. v. EÚ L 87, 31. 3. 2017),</w:t>
      </w:r>
      <w:r w:rsidRPr="00033974">
        <w:rPr>
          <w:rFonts w:ascii="Times New Roman" w:hAnsi="Times New Roman" w:cs="Times New Roman"/>
          <w:noProof/>
          <w:color w:val="000000"/>
          <w:sz w:val="24"/>
          <w:szCs w:val="24"/>
        </w:rPr>
        <w:t xml:space="preserve"> </w:t>
      </w:r>
      <w:r w:rsidRPr="00033974">
        <w:rPr>
          <w:rFonts w:ascii="Times New Roman" w:eastAsia="Times New Roman" w:hAnsi="Times New Roman" w:cs="Times New Roman"/>
          <w:noProof/>
          <w:sz w:val="24"/>
          <w:szCs w:val="24"/>
          <w:lang w:eastAsia="sk-SK"/>
        </w:rPr>
        <w:t>gestori:</w:t>
      </w:r>
      <w:r w:rsidRPr="00033974">
        <w:rPr>
          <w:rFonts w:ascii="Times New Roman" w:hAnsi="Times New Roman" w:cs="Times New Roman"/>
          <w:noProof/>
          <w:sz w:val="24"/>
          <w:szCs w:val="24"/>
        </w:rPr>
        <w:t xml:space="preserve"> </w:t>
      </w:r>
      <w:r w:rsidRPr="00033974">
        <w:rPr>
          <w:rFonts w:ascii="Times New Roman" w:hAnsi="Times New Roman" w:cs="Times New Roman"/>
          <w:noProof/>
          <w:color w:val="000000"/>
          <w:sz w:val="24"/>
          <w:szCs w:val="24"/>
        </w:rPr>
        <w:t>MF SR, NBS,</w:t>
      </w:r>
    </w:p>
    <w:p w14:paraId="12339FDB" w14:textId="77777777" w:rsidR="00A417FF" w:rsidRPr="00033974" w:rsidRDefault="00A417FF" w:rsidP="00A417FF">
      <w:pPr>
        <w:pStyle w:val="Odsekzoznamu"/>
        <w:keepNext/>
        <w:numPr>
          <w:ilvl w:val="0"/>
          <w:numId w:val="9"/>
        </w:numPr>
        <w:suppressAutoHyphens/>
        <w:spacing w:after="200" w:line="276" w:lineRule="auto"/>
        <w:jc w:val="both"/>
        <w:rPr>
          <w:rFonts w:ascii="Times New Roman" w:eastAsia="Times New Roman" w:hAnsi="Times New Roman" w:cs="Times New Roman"/>
          <w:noProof/>
          <w:color w:val="000000"/>
          <w:sz w:val="24"/>
          <w:szCs w:val="24"/>
          <w:lang w:eastAsia="sk-SK"/>
        </w:rPr>
      </w:pPr>
      <w:r w:rsidRPr="00033974">
        <w:rPr>
          <w:rFonts w:ascii="Times New Roman" w:hAnsi="Times New Roman" w:cs="Times New Roman"/>
          <w:noProof/>
          <w:color w:val="333333"/>
          <w:sz w:val="24"/>
          <w:szCs w:val="24"/>
          <w:shd w:val="clear" w:color="auto" w:fill="FFFFFF"/>
        </w:rPr>
        <w:t xml:space="preserve">nariadenie Európskeho parlamentu a Rady (EÚ) č. 600/2014 z 15. mája 2014 o trhoch s finančnými nástrojmi, ktorým sa mení nariadenie (EÚ) č. 648/2012  </w:t>
      </w:r>
      <w:r w:rsidRPr="00033974">
        <w:rPr>
          <w:rFonts w:ascii="Times New Roman" w:eastAsia="Times New Roman" w:hAnsi="Times New Roman" w:cs="Times New Roman"/>
          <w:noProof/>
          <w:color w:val="000000"/>
          <w:sz w:val="24"/>
          <w:szCs w:val="24"/>
          <w:lang w:eastAsia="sk-SK"/>
        </w:rPr>
        <w:t xml:space="preserve">(Ú. v. EÚ L 173, 12.6.2014) v platnom znení, </w:t>
      </w:r>
      <w:r w:rsidRPr="00033974">
        <w:rPr>
          <w:rFonts w:ascii="Times New Roman" w:eastAsia="Times New Roman" w:hAnsi="Times New Roman" w:cs="Times New Roman"/>
          <w:noProof/>
          <w:sz w:val="24"/>
          <w:szCs w:val="24"/>
          <w:lang w:eastAsia="sk-SK"/>
        </w:rPr>
        <w:t>gestori:</w:t>
      </w:r>
      <w:r w:rsidRPr="00033974">
        <w:rPr>
          <w:rFonts w:ascii="Times New Roman" w:hAnsi="Times New Roman" w:cs="Times New Roman"/>
          <w:noProof/>
          <w:sz w:val="24"/>
          <w:szCs w:val="24"/>
        </w:rPr>
        <w:t xml:space="preserve"> </w:t>
      </w:r>
      <w:r w:rsidRPr="00033974">
        <w:rPr>
          <w:rFonts w:ascii="Times New Roman" w:hAnsi="Times New Roman" w:cs="Times New Roman"/>
          <w:noProof/>
          <w:color w:val="000000"/>
          <w:sz w:val="24"/>
          <w:szCs w:val="24"/>
        </w:rPr>
        <w:t>MF SR, NBS,</w:t>
      </w:r>
    </w:p>
    <w:p w14:paraId="61883CA5" w14:textId="77777777" w:rsidR="00A417FF" w:rsidRPr="00033974" w:rsidRDefault="00A417FF" w:rsidP="00A417FF">
      <w:pPr>
        <w:pStyle w:val="Odsekzoznamu"/>
        <w:keepNext/>
        <w:numPr>
          <w:ilvl w:val="0"/>
          <w:numId w:val="9"/>
        </w:numPr>
        <w:shd w:val="clear" w:color="auto" w:fill="FFFFFF"/>
        <w:suppressAutoHyphens/>
        <w:spacing w:after="0" w:line="276" w:lineRule="auto"/>
        <w:jc w:val="both"/>
        <w:rPr>
          <w:rFonts w:ascii="Times New Roman" w:hAnsi="Times New Roman" w:cs="Times New Roman"/>
          <w:noProof/>
          <w:color w:val="000000"/>
          <w:sz w:val="24"/>
          <w:szCs w:val="24"/>
        </w:rPr>
      </w:pPr>
      <w:r w:rsidRPr="00033974">
        <w:rPr>
          <w:rFonts w:ascii="Times New Roman" w:hAnsi="Times New Roman" w:cs="Times New Roman"/>
          <w:noProof/>
          <w:color w:val="333333"/>
          <w:sz w:val="24"/>
          <w:szCs w:val="24"/>
          <w:shd w:val="clear" w:color="auto" w:fill="FFFFFF"/>
        </w:rPr>
        <w:t>nariadenie Európskeho parlamentu a Rady (EÚ) č. 575/2013 z  26. júna 2013</w:t>
      </w:r>
      <w:r w:rsidRPr="00033974">
        <w:rPr>
          <w:rFonts w:ascii="Times New Roman" w:hAnsi="Times New Roman" w:cs="Times New Roman"/>
          <w:b/>
          <w:bCs/>
          <w:noProof/>
          <w:color w:val="333333"/>
          <w:sz w:val="24"/>
          <w:szCs w:val="24"/>
          <w:shd w:val="clear" w:color="auto" w:fill="FFFFFF"/>
        </w:rPr>
        <w:t xml:space="preserve"> </w:t>
      </w:r>
      <w:r w:rsidRPr="00033974">
        <w:rPr>
          <w:rFonts w:ascii="Times New Roman" w:hAnsi="Times New Roman" w:cs="Times New Roman"/>
          <w:noProof/>
          <w:color w:val="333333"/>
          <w:sz w:val="24"/>
          <w:szCs w:val="24"/>
          <w:shd w:val="clear" w:color="auto" w:fill="FFFFFF"/>
        </w:rPr>
        <w:t xml:space="preserve">o prudenciálnych požiadavkách na úverové inštitúcie a o zmene nariadenia (EÚ) č. 648/2012 </w:t>
      </w:r>
      <w:r w:rsidRPr="00033974">
        <w:rPr>
          <w:rFonts w:ascii="Times New Roman" w:hAnsi="Times New Roman" w:cs="Times New Roman"/>
          <w:noProof/>
          <w:color w:val="000000"/>
          <w:sz w:val="24"/>
          <w:szCs w:val="24"/>
        </w:rPr>
        <w:t xml:space="preserve">(Ú. v. EÚ L 176, 27.6.2013) v platnom znení, </w:t>
      </w:r>
      <w:r w:rsidRPr="00033974">
        <w:rPr>
          <w:rFonts w:ascii="Times New Roman" w:eastAsia="Times New Roman" w:hAnsi="Times New Roman" w:cs="Times New Roman"/>
          <w:noProof/>
          <w:sz w:val="24"/>
          <w:szCs w:val="24"/>
          <w:lang w:eastAsia="sk-SK"/>
        </w:rPr>
        <w:t>gestori:</w:t>
      </w:r>
      <w:r w:rsidRPr="00033974">
        <w:rPr>
          <w:rFonts w:ascii="Times New Roman" w:hAnsi="Times New Roman" w:cs="Times New Roman"/>
          <w:noProof/>
          <w:sz w:val="24"/>
          <w:szCs w:val="24"/>
        </w:rPr>
        <w:t xml:space="preserve"> </w:t>
      </w:r>
      <w:r w:rsidRPr="00033974">
        <w:rPr>
          <w:rFonts w:ascii="Times New Roman" w:hAnsi="Times New Roman" w:cs="Times New Roman"/>
          <w:noProof/>
          <w:color w:val="000000"/>
          <w:sz w:val="24"/>
          <w:szCs w:val="24"/>
        </w:rPr>
        <w:t>MF SR, NBS,</w:t>
      </w:r>
    </w:p>
    <w:p w14:paraId="428B6699" w14:textId="77777777" w:rsidR="00A417FF" w:rsidRPr="00033974" w:rsidRDefault="00A417FF" w:rsidP="00A417FF">
      <w:pPr>
        <w:pStyle w:val="oj-doc-ti"/>
        <w:keepNext/>
        <w:numPr>
          <w:ilvl w:val="0"/>
          <w:numId w:val="9"/>
        </w:numPr>
        <w:shd w:val="clear" w:color="auto" w:fill="FFFFFF"/>
        <w:suppressAutoHyphens/>
        <w:spacing w:before="0" w:beforeAutospacing="0" w:after="0" w:afterAutospacing="0"/>
        <w:jc w:val="both"/>
        <w:rPr>
          <w:noProof/>
          <w:color w:val="000000"/>
        </w:rPr>
      </w:pPr>
      <w:r w:rsidRPr="00033974">
        <w:rPr>
          <w:noProof/>
          <w:color w:val="333333"/>
          <w:shd w:val="clear" w:color="auto" w:fill="FFFFFF"/>
        </w:rPr>
        <w:t xml:space="preserve">nariadenie Európskeho parlamentu a Rady (EÚ) č. 648/2012 zo 4. júla 2012 o mimoburzových derivátoch, centrálnych protistranách a archívoch obchodných údajov </w:t>
      </w:r>
      <w:r w:rsidRPr="00033974">
        <w:rPr>
          <w:noProof/>
          <w:color w:val="000000"/>
        </w:rPr>
        <w:t xml:space="preserve">(Ú. v. EÚ L 201, 27.7.2012) v platnom znení, </w:t>
      </w:r>
      <w:r w:rsidRPr="00033974">
        <w:rPr>
          <w:noProof/>
        </w:rPr>
        <w:t xml:space="preserve">gestori: </w:t>
      </w:r>
      <w:r w:rsidRPr="00033974">
        <w:rPr>
          <w:noProof/>
          <w:color w:val="000000"/>
        </w:rPr>
        <w:t>MF SR, NBS,</w:t>
      </w:r>
    </w:p>
    <w:p w14:paraId="78EBE18E" w14:textId="77777777" w:rsidR="00A417FF" w:rsidRPr="00033974" w:rsidRDefault="00A417FF" w:rsidP="00A417FF">
      <w:pPr>
        <w:pStyle w:val="oj-doc-ti"/>
        <w:keepNext/>
        <w:numPr>
          <w:ilvl w:val="0"/>
          <w:numId w:val="9"/>
        </w:numPr>
        <w:shd w:val="clear" w:color="auto" w:fill="FFFFFF"/>
        <w:suppressAutoHyphens/>
        <w:spacing w:before="0" w:beforeAutospacing="0" w:after="0" w:afterAutospacing="0"/>
        <w:jc w:val="both"/>
        <w:rPr>
          <w:noProof/>
          <w:color w:val="000000"/>
        </w:rPr>
      </w:pPr>
      <w:r w:rsidRPr="00033974">
        <w:rPr>
          <w:noProof/>
          <w:color w:val="333333"/>
          <w:shd w:val="clear" w:color="auto" w:fill="FFFFFF"/>
        </w:rPr>
        <w:t xml:space="preserve">nariadenie Európskeho parlamentu a Rady (EÚ) č. 1227/2011 z  25. októbra 2011 o integrite a transparentnosti veľkoobchodného trhu s energiou </w:t>
      </w:r>
      <w:r w:rsidRPr="00033974">
        <w:rPr>
          <w:i/>
          <w:iCs/>
          <w:noProof/>
          <w:color w:val="333333"/>
          <w:shd w:val="clear" w:color="auto" w:fill="FFFFFF"/>
        </w:rPr>
        <w:t>(</w:t>
      </w:r>
      <w:r w:rsidRPr="00033974">
        <w:rPr>
          <w:rStyle w:val="Zvraznenie"/>
          <w:i w:val="0"/>
          <w:iCs w:val="0"/>
          <w:noProof/>
          <w:color w:val="333333"/>
          <w:shd w:val="clear" w:color="auto" w:fill="FFFFFF"/>
        </w:rPr>
        <w:t>Ú. v. EÚ L 326, 8.12.2011)</w:t>
      </w:r>
      <w:r w:rsidRPr="00033974">
        <w:rPr>
          <w:rStyle w:val="Zvraznenie"/>
          <w:noProof/>
          <w:color w:val="333333"/>
          <w:shd w:val="clear" w:color="auto" w:fill="FFFFFF"/>
        </w:rPr>
        <w:t xml:space="preserve"> </w:t>
      </w:r>
      <w:r w:rsidRPr="00033974">
        <w:rPr>
          <w:noProof/>
          <w:color w:val="000000"/>
        </w:rPr>
        <w:t xml:space="preserve">v platnom znení, </w:t>
      </w:r>
      <w:r w:rsidRPr="00033974">
        <w:rPr>
          <w:noProof/>
        </w:rPr>
        <w:t>gestori: MH SR, ÚRSO,</w:t>
      </w:r>
    </w:p>
    <w:p w14:paraId="0C390CF5" w14:textId="77777777" w:rsidR="00A417FF" w:rsidRPr="00033974" w:rsidRDefault="00A417FF" w:rsidP="00A417FF">
      <w:pPr>
        <w:pStyle w:val="oj-doc-ti"/>
        <w:keepNext/>
        <w:numPr>
          <w:ilvl w:val="0"/>
          <w:numId w:val="9"/>
        </w:numPr>
        <w:shd w:val="clear" w:color="auto" w:fill="FFFFFF"/>
        <w:suppressAutoHyphens/>
        <w:spacing w:before="0" w:beforeAutospacing="0" w:after="0" w:afterAutospacing="0"/>
        <w:jc w:val="both"/>
        <w:rPr>
          <w:noProof/>
          <w:color w:val="000000"/>
        </w:rPr>
      </w:pPr>
      <w:r w:rsidRPr="00033974">
        <w:rPr>
          <w:noProof/>
          <w:color w:val="333333"/>
          <w:shd w:val="clear" w:color="auto" w:fill="FFFFFF"/>
        </w:rPr>
        <w:t>nariadenie Európskeho parlamentu a Rady (EÚ) č. 1092/2010 z  24. novembra 2010 o makroprudenciálnom dohľade Európskej únie nad finančným systémom a o zriadení Európskeho výboru pre systémové riziká (</w:t>
      </w:r>
      <w:r w:rsidRPr="00033974">
        <w:rPr>
          <w:rStyle w:val="Zvraznenie"/>
          <w:i w:val="0"/>
          <w:iCs w:val="0"/>
          <w:noProof/>
          <w:color w:val="333333"/>
          <w:shd w:val="clear" w:color="auto" w:fill="FFFFFF"/>
        </w:rPr>
        <w:t>Ú. v. EÚ L 331, 15.12.2010)</w:t>
      </w:r>
      <w:r w:rsidRPr="00033974">
        <w:rPr>
          <w:rStyle w:val="Zvraznenie"/>
          <w:noProof/>
          <w:color w:val="333333"/>
          <w:shd w:val="clear" w:color="auto" w:fill="FFFFFF"/>
        </w:rPr>
        <w:t xml:space="preserve"> </w:t>
      </w:r>
      <w:r w:rsidRPr="00033974">
        <w:rPr>
          <w:noProof/>
          <w:color w:val="000000"/>
        </w:rPr>
        <w:t xml:space="preserve">v platnom znení, </w:t>
      </w:r>
      <w:r w:rsidRPr="00033974">
        <w:rPr>
          <w:noProof/>
        </w:rPr>
        <w:t>gestori: MF SR, NBS.</w:t>
      </w:r>
    </w:p>
    <w:p w14:paraId="03B2DCF6" w14:textId="77777777" w:rsidR="00A417FF" w:rsidRPr="00033974" w:rsidRDefault="00A417FF" w:rsidP="00A417FF">
      <w:pPr>
        <w:pStyle w:val="oj-doc-ti"/>
        <w:keepNext/>
        <w:shd w:val="clear" w:color="auto" w:fill="FFFFFF"/>
        <w:suppressAutoHyphens/>
        <w:spacing w:before="0" w:beforeAutospacing="0" w:after="0" w:afterAutospacing="0"/>
        <w:ind w:left="720"/>
        <w:jc w:val="both"/>
        <w:rPr>
          <w:noProof/>
          <w:color w:val="000000"/>
        </w:rPr>
      </w:pPr>
    </w:p>
    <w:p w14:paraId="7FD3878E" w14:textId="77777777" w:rsidR="00A417FF" w:rsidRPr="00033974" w:rsidRDefault="00A417FF" w:rsidP="00A417FF">
      <w:pPr>
        <w:pStyle w:val="oj-doc-ti"/>
        <w:keepNext/>
        <w:shd w:val="clear" w:color="auto" w:fill="FFFFFF"/>
        <w:suppressAutoHyphens/>
        <w:spacing w:before="0" w:beforeAutospacing="0" w:after="0" w:afterAutospacing="0"/>
        <w:ind w:left="720"/>
        <w:jc w:val="both"/>
        <w:rPr>
          <w:noProof/>
          <w:color w:val="000000"/>
        </w:rPr>
      </w:pPr>
    </w:p>
    <w:p w14:paraId="710449A5" w14:textId="77777777" w:rsidR="00A417FF" w:rsidRPr="00033974" w:rsidRDefault="00A417FF" w:rsidP="00A417FF">
      <w:pPr>
        <w:keepNext/>
        <w:suppressAutoHyphens/>
        <w:rPr>
          <w:noProof/>
          <w:color w:val="000000"/>
          <w:lang w:eastAsia="sk-SK"/>
        </w:rPr>
      </w:pPr>
    </w:p>
    <w:p w14:paraId="4C8A30E8" w14:textId="77777777" w:rsidR="00A417FF" w:rsidRPr="00033974" w:rsidRDefault="00A417FF" w:rsidP="00A417FF">
      <w:pPr>
        <w:pStyle w:val="Odsekzoznamu"/>
        <w:keepNext/>
        <w:numPr>
          <w:ilvl w:val="0"/>
          <w:numId w:val="5"/>
        </w:numPr>
        <w:suppressAutoHyphens/>
        <w:spacing w:after="0" w:line="240" w:lineRule="auto"/>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noProof/>
          <w:color w:val="000000"/>
          <w:sz w:val="24"/>
          <w:szCs w:val="24"/>
          <w:lang w:eastAsia="sk-SK"/>
        </w:rPr>
        <w:t>v judikatúre Súdneho dvora Európskej únie:</w:t>
      </w:r>
    </w:p>
    <w:p w14:paraId="6C8318C2" w14:textId="77777777" w:rsidR="00A417FF" w:rsidRPr="00033974" w:rsidRDefault="00A417FF" w:rsidP="00A417FF">
      <w:pPr>
        <w:pStyle w:val="Odsekzoznamu"/>
        <w:keepNext/>
        <w:suppressAutoHyphens/>
        <w:spacing w:after="0" w:line="240" w:lineRule="auto"/>
        <w:rPr>
          <w:rFonts w:ascii="Times New Roman" w:eastAsia="Times New Roman" w:hAnsi="Times New Roman" w:cs="Times New Roman"/>
          <w:noProof/>
          <w:color w:val="000000"/>
          <w:sz w:val="24"/>
          <w:szCs w:val="24"/>
          <w:lang w:eastAsia="sk-SK"/>
        </w:rPr>
      </w:pPr>
    </w:p>
    <w:p w14:paraId="7C59BA91" w14:textId="77777777" w:rsidR="00A417FF" w:rsidRPr="00033974" w:rsidRDefault="00A417FF" w:rsidP="00A417FF">
      <w:pPr>
        <w:pStyle w:val="c02alineaalta"/>
        <w:keepNext/>
        <w:suppressAutoHyphens/>
        <w:spacing w:before="0" w:beforeAutospacing="0" w:after="240" w:afterAutospacing="0"/>
        <w:ind w:left="567"/>
        <w:jc w:val="both"/>
        <w:rPr>
          <w:noProof/>
          <w:color w:val="000000"/>
        </w:rPr>
      </w:pPr>
      <w:r w:rsidRPr="00033974">
        <w:rPr>
          <w:noProof/>
        </w:rPr>
        <w:t>- rozsudok</w:t>
      </w:r>
      <w:r w:rsidRPr="00033974">
        <w:rPr>
          <w:noProof/>
          <w:spacing w:val="15"/>
        </w:rPr>
        <w:t xml:space="preserve"> </w:t>
      </w:r>
      <w:r w:rsidRPr="00033974">
        <w:rPr>
          <w:noProof/>
        </w:rPr>
        <w:t>Súdneho</w:t>
      </w:r>
      <w:r w:rsidRPr="00033974">
        <w:rPr>
          <w:noProof/>
          <w:spacing w:val="15"/>
        </w:rPr>
        <w:t xml:space="preserve"> </w:t>
      </w:r>
      <w:r w:rsidRPr="00033974">
        <w:rPr>
          <w:noProof/>
        </w:rPr>
        <w:t>dvora</w:t>
      </w:r>
      <w:r w:rsidRPr="00033974">
        <w:rPr>
          <w:noProof/>
          <w:spacing w:val="15"/>
        </w:rPr>
        <w:t xml:space="preserve"> </w:t>
      </w:r>
      <w:r w:rsidRPr="00033974">
        <w:rPr>
          <w:noProof/>
        </w:rPr>
        <w:t>vo</w:t>
      </w:r>
      <w:r w:rsidRPr="00033974">
        <w:rPr>
          <w:noProof/>
          <w:spacing w:val="15"/>
        </w:rPr>
        <w:t xml:space="preserve"> </w:t>
      </w:r>
      <w:r w:rsidRPr="00033974">
        <w:rPr>
          <w:noProof/>
        </w:rPr>
        <w:t xml:space="preserve">veci </w:t>
      </w:r>
      <w:r w:rsidRPr="00033974">
        <w:rPr>
          <w:noProof/>
          <w:color w:val="000000"/>
        </w:rPr>
        <w:t>C</w:t>
      </w:r>
      <w:r w:rsidRPr="00033974">
        <w:rPr>
          <w:noProof/>
          <w:color w:val="000000"/>
        </w:rPr>
        <w:noBreakHyphen/>
        <w:t>95/20</w:t>
      </w:r>
      <w:r w:rsidRPr="00033974">
        <w:rPr>
          <w:noProof/>
        </w:rPr>
        <w:t xml:space="preserve">, </w:t>
      </w:r>
      <w:r w:rsidRPr="00033974">
        <w:rPr>
          <w:bCs/>
          <w:noProof/>
          <w:color w:val="000000"/>
        </w:rPr>
        <w:t>„Varčev Finans“ EOOD proti Komisija za finansov nadzor, za účasti Okrăžna prokuratura – Varna,</w:t>
      </w:r>
      <w:r w:rsidRPr="00033974">
        <w:rPr>
          <w:noProof/>
        </w:rPr>
        <w:t xml:space="preserve"> [2021].</w:t>
      </w:r>
    </w:p>
    <w:p w14:paraId="195742B1" w14:textId="77777777" w:rsidR="00A417FF" w:rsidRPr="00033974" w:rsidRDefault="00A417FF" w:rsidP="00A417FF">
      <w:pPr>
        <w:keepNext/>
        <w:suppressAutoHyphens/>
        <w:ind w:firstLine="567"/>
        <w:jc w:val="both"/>
        <w:rPr>
          <w:b/>
          <w:noProof/>
          <w:lang w:eastAsia="sk-SK"/>
        </w:rPr>
      </w:pPr>
      <w:r w:rsidRPr="00033974">
        <w:rPr>
          <w:b/>
          <w:noProof/>
          <w:lang w:eastAsia="sk-SK"/>
        </w:rPr>
        <w:t>Výrok rozhodnutia:</w:t>
      </w:r>
    </w:p>
    <w:p w14:paraId="43A63713" w14:textId="77777777" w:rsidR="00A417FF" w:rsidRPr="00033974" w:rsidRDefault="00A417FF" w:rsidP="00A417FF">
      <w:pPr>
        <w:pStyle w:val="Odsekzoznamu"/>
        <w:keepNext/>
        <w:suppressAutoHyphens/>
        <w:spacing w:after="0" w:line="240" w:lineRule="auto"/>
        <w:rPr>
          <w:rFonts w:ascii="Times New Roman" w:eastAsia="Times New Roman" w:hAnsi="Times New Roman" w:cs="Times New Roman"/>
          <w:noProof/>
          <w:color w:val="000000"/>
          <w:sz w:val="24"/>
          <w:szCs w:val="24"/>
          <w:lang w:eastAsia="sk-SK"/>
        </w:rPr>
      </w:pPr>
    </w:p>
    <w:p w14:paraId="5A9BA546" w14:textId="77777777" w:rsidR="00A417FF" w:rsidRPr="00033974" w:rsidRDefault="00A417FF" w:rsidP="00A417FF">
      <w:pPr>
        <w:pStyle w:val="Odsekzoznamu"/>
        <w:keepNext/>
        <w:suppressAutoHyphens/>
        <w:spacing w:after="0" w:line="240" w:lineRule="auto"/>
        <w:ind w:left="170"/>
        <w:jc w:val="both"/>
        <w:rPr>
          <w:rFonts w:ascii="Times New Roman" w:hAnsi="Times New Roman" w:cs="Times New Roman"/>
          <w:bCs/>
          <w:noProof/>
          <w:sz w:val="24"/>
          <w:szCs w:val="24"/>
        </w:rPr>
      </w:pPr>
      <w:r w:rsidRPr="00033974">
        <w:rPr>
          <w:rFonts w:ascii="Times New Roman" w:hAnsi="Times New Roman" w:cs="Times New Roman"/>
          <w:bCs/>
          <w:noProof/>
          <w:sz w:val="24"/>
          <w:szCs w:val="24"/>
        </w:rPr>
        <w:t>Článok 56 ods. 2 a článok 72 ods. 2 delegovaného nariadenia Komisie (EÚ) 2017/565 z 25. apríla 2016, ktorým sa dopĺňa smernica Európskeho parlamentu a Rady </w:t>
      </w:r>
      <w:bookmarkStart w:id="3" w:name="ctx15"/>
      <w:r w:rsidRPr="00033974">
        <w:rPr>
          <w:rFonts w:ascii="Times New Roman" w:hAnsi="Times New Roman" w:cs="Times New Roman"/>
          <w:bCs/>
          <w:noProof/>
          <w:sz w:val="24"/>
          <w:szCs w:val="24"/>
        </w:rPr>
        <w:t>2014/65</w:t>
      </w:r>
      <w:bookmarkEnd w:id="3"/>
      <w:r w:rsidRPr="00033974">
        <w:rPr>
          <w:rFonts w:ascii="Times New Roman" w:hAnsi="Times New Roman" w:cs="Times New Roman"/>
          <w:bCs/>
          <w:noProof/>
          <w:sz w:val="24"/>
          <w:szCs w:val="24"/>
        </w:rPr>
        <w:t>/EÚ, pokiaľ ide o organizačné požiadavky a podmienky výkonu činnosti investičných spoločností, ako aj o vymedzené pojmy na účely uvedenej smernice v spojení s prílohou I k tomuto delegovanému nariadeniu sa majú vykladať v tom zmysle, že investičné spoločnosti nie sú povinné uchovávať záznamy týkajúce sa posúdenia vhodnosti a primeranosti investičných produktov alebo služieb pre každého klienta a informácie poskytované každému klientovi o nákladoch a poplatkoch spojených s investičnými službami v samostatných nezávislých registroch, najmä v podobe počítačovej databázy, pričom spôsob uchovávania takýchto záznamov si môžu zvoliť ľubovoľne za predpokladu, že spĺňa všetky požiadavky stanovené v článku 72 ods. 1 uvedeného delegovaného nariadenia.</w:t>
      </w:r>
    </w:p>
    <w:p w14:paraId="20205250" w14:textId="77777777" w:rsidR="00A417FF" w:rsidRPr="00033974" w:rsidRDefault="00A417FF" w:rsidP="00A417FF">
      <w:pPr>
        <w:pStyle w:val="Odsekzoznamu"/>
        <w:keepNext/>
        <w:suppressAutoHyphens/>
        <w:spacing w:after="0" w:line="240" w:lineRule="auto"/>
        <w:jc w:val="both"/>
        <w:rPr>
          <w:rFonts w:ascii="Times New Roman" w:eastAsia="Times New Roman" w:hAnsi="Times New Roman" w:cs="Times New Roman"/>
          <w:noProof/>
          <w:sz w:val="24"/>
          <w:szCs w:val="24"/>
          <w:lang w:eastAsia="sk-SK"/>
        </w:rPr>
      </w:pPr>
    </w:p>
    <w:p w14:paraId="13027F69" w14:textId="77777777" w:rsidR="00A417FF" w:rsidRPr="00033974" w:rsidRDefault="00A417FF" w:rsidP="00A417FF">
      <w:pPr>
        <w:pStyle w:val="Odsekzoznamu"/>
        <w:keepNext/>
        <w:suppressAutoHyphens/>
        <w:spacing w:after="0" w:line="240" w:lineRule="auto"/>
        <w:jc w:val="both"/>
        <w:rPr>
          <w:rFonts w:ascii="Times New Roman" w:eastAsia="Times New Roman" w:hAnsi="Times New Roman" w:cs="Times New Roman"/>
          <w:noProof/>
          <w:sz w:val="24"/>
          <w:szCs w:val="24"/>
          <w:lang w:eastAsia="sk-SK"/>
        </w:rPr>
      </w:pPr>
    </w:p>
    <w:p w14:paraId="61DEA966" w14:textId="77777777" w:rsidR="00A417FF" w:rsidRPr="00033974" w:rsidRDefault="00A417FF" w:rsidP="00A417FF">
      <w:pPr>
        <w:pStyle w:val="Odsekzoznamu"/>
        <w:keepNext/>
        <w:suppressAutoHyphens/>
        <w:spacing w:after="0" w:line="240" w:lineRule="auto"/>
        <w:ind w:left="567"/>
        <w:jc w:val="both"/>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noProof/>
          <w:sz w:val="24"/>
          <w:szCs w:val="24"/>
          <w:lang w:eastAsia="sk-SK"/>
        </w:rPr>
        <w:t>- rozsudok</w:t>
      </w:r>
      <w:r w:rsidRPr="00033974">
        <w:rPr>
          <w:rFonts w:ascii="Times New Roman" w:eastAsia="Times New Roman" w:hAnsi="Times New Roman" w:cs="Times New Roman"/>
          <w:noProof/>
          <w:spacing w:val="15"/>
          <w:sz w:val="24"/>
          <w:szCs w:val="24"/>
          <w:lang w:eastAsia="sk-SK"/>
        </w:rPr>
        <w:t xml:space="preserve"> </w:t>
      </w:r>
      <w:r w:rsidRPr="00033974">
        <w:rPr>
          <w:rFonts w:ascii="Times New Roman" w:eastAsia="Times New Roman" w:hAnsi="Times New Roman" w:cs="Times New Roman"/>
          <w:noProof/>
          <w:sz w:val="24"/>
          <w:szCs w:val="24"/>
          <w:lang w:eastAsia="sk-SK"/>
        </w:rPr>
        <w:t>Súdneho</w:t>
      </w:r>
      <w:r w:rsidRPr="00033974">
        <w:rPr>
          <w:rFonts w:ascii="Times New Roman" w:eastAsia="Times New Roman" w:hAnsi="Times New Roman" w:cs="Times New Roman"/>
          <w:noProof/>
          <w:spacing w:val="15"/>
          <w:sz w:val="24"/>
          <w:szCs w:val="24"/>
          <w:lang w:eastAsia="sk-SK"/>
        </w:rPr>
        <w:t xml:space="preserve"> </w:t>
      </w:r>
      <w:r w:rsidRPr="00033974">
        <w:rPr>
          <w:rFonts w:ascii="Times New Roman" w:eastAsia="Times New Roman" w:hAnsi="Times New Roman" w:cs="Times New Roman"/>
          <w:noProof/>
          <w:sz w:val="24"/>
          <w:szCs w:val="24"/>
          <w:lang w:eastAsia="sk-SK"/>
        </w:rPr>
        <w:t>dvora</w:t>
      </w:r>
      <w:r w:rsidRPr="00033974">
        <w:rPr>
          <w:rFonts w:ascii="Times New Roman" w:eastAsia="Times New Roman" w:hAnsi="Times New Roman" w:cs="Times New Roman"/>
          <w:noProof/>
          <w:spacing w:val="15"/>
          <w:sz w:val="24"/>
          <w:szCs w:val="24"/>
          <w:lang w:eastAsia="sk-SK"/>
        </w:rPr>
        <w:t xml:space="preserve"> </w:t>
      </w:r>
      <w:r w:rsidRPr="00033974">
        <w:rPr>
          <w:rFonts w:ascii="Times New Roman" w:eastAsia="Times New Roman" w:hAnsi="Times New Roman" w:cs="Times New Roman"/>
          <w:noProof/>
          <w:sz w:val="24"/>
          <w:szCs w:val="24"/>
          <w:lang w:eastAsia="sk-SK"/>
        </w:rPr>
        <w:t>vo</w:t>
      </w:r>
      <w:r w:rsidRPr="00033974">
        <w:rPr>
          <w:rFonts w:ascii="Times New Roman" w:eastAsia="Times New Roman" w:hAnsi="Times New Roman" w:cs="Times New Roman"/>
          <w:noProof/>
          <w:spacing w:val="15"/>
          <w:sz w:val="24"/>
          <w:szCs w:val="24"/>
          <w:lang w:eastAsia="sk-SK"/>
        </w:rPr>
        <w:t xml:space="preserve"> </w:t>
      </w:r>
      <w:r w:rsidRPr="00033974">
        <w:rPr>
          <w:rFonts w:ascii="Times New Roman" w:eastAsia="Times New Roman" w:hAnsi="Times New Roman" w:cs="Times New Roman"/>
          <w:noProof/>
          <w:sz w:val="24"/>
          <w:szCs w:val="24"/>
          <w:lang w:eastAsia="sk-SK"/>
        </w:rPr>
        <w:t xml:space="preserve">veci C-15/16, </w:t>
      </w:r>
      <w:r w:rsidRPr="00033974">
        <w:rPr>
          <w:rFonts w:ascii="Times New Roman" w:hAnsi="Times New Roman" w:cs="Times New Roman"/>
          <w:bCs/>
          <w:noProof/>
          <w:color w:val="000000"/>
          <w:sz w:val="24"/>
          <w:szCs w:val="24"/>
        </w:rPr>
        <w:t>Bundesanstalt für Finanzdienstleistungsaufsicht proti Ewaldovi Baumeisterovi,</w:t>
      </w:r>
      <w:r w:rsidRPr="00033974">
        <w:rPr>
          <w:rFonts w:ascii="Times New Roman" w:hAnsi="Times New Roman" w:cs="Times New Roman"/>
          <w:noProof/>
          <w:sz w:val="24"/>
          <w:szCs w:val="24"/>
        </w:rPr>
        <w:t xml:space="preserve"> [2018].</w:t>
      </w:r>
    </w:p>
    <w:p w14:paraId="3615881F" w14:textId="77777777" w:rsidR="00A417FF" w:rsidRPr="00033974" w:rsidRDefault="00A417FF" w:rsidP="00A417FF">
      <w:pPr>
        <w:pStyle w:val="Odsekzoznamu"/>
        <w:keepNext/>
        <w:suppressAutoHyphens/>
        <w:spacing w:after="0" w:line="240" w:lineRule="auto"/>
        <w:ind w:left="1068"/>
        <w:jc w:val="both"/>
        <w:rPr>
          <w:rFonts w:ascii="Times New Roman" w:eastAsia="Times New Roman" w:hAnsi="Times New Roman" w:cs="Times New Roman"/>
          <w:noProof/>
          <w:sz w:val="24"/>
          <w:szCs w:val="24"/>
          <w:lang w:eastAsia="sk-SK"/>
        </w:rPr>
      </w:pPr>
    </w:p>
    <w:p w14:paraId="7313CD79" w14:textId="77777777" w:rsidR="00A417FF" w:rsidRPr="00033974" w:rsidRDefault="00A417FF" w:rsidP="00A417FF">
      <w:pPr>
        <w:keepNext/>
        <w:suppressAutoHyphens/>
        <w:ind w:firstLine="708"/>
        <w:jc w:val="both"/>
        <w:rPr>
          <w:b/>
          <w:noProof/>
          <w:lang w:eastAsia="sk-SK"/>
        </w:rPr>
      </w:pPr>
      <w:r w:rsidRPr="00033974">
        <w:rPr>
          <w:b/>
          <w:noProof/>
          <w:lang w:eastAsia="sk-SK"/>
        </w:rPr>
        <w:t>Výrok rozhodnutia:</w:t>
      </w:r>
    </w:p>
    <w:p w14:paraId="59BE8E58" w14:textId="77777777" w:rsidR="00A417FF" w:rsidRPr="00033974" w:rsidRDefault="00A417FF" w:rsidP="00A417FF">
      <w:pPr>
        <w:keepNext/>
        <w:suppressAutoHyphens/>
        <w:ind w:firstLine="708"/>
        <w:jc w:val="both"/>
        <w:rPr>
          <w:b/>
          <w:noProof/>
          <w:lang w:eastAsia="sk-SK"/>
        </w:rPr>
      </w:pPr>
    </w:p>
    <w:p w14:paraId="7E67BBAD" w14:textId="77777777" w:rsidR="00A417FF" w:rsidRPr="00033974" w:rsidRDefault="00A417FF" w:rsidP="00A417FF">
      <w:pPr>
        <w:pStyle w:val="c08dispositif"/>
        <w:keepNext/>
        <w:suppressAutoHyphens/>
        <w:spacing w:before="0" w:beforeAutospacing="0" w:after="120" w:afterAutospacing="0"/>
        <w:ind w:left="170" w:right="-57"/>
        <w:jc w:val="both"/>
        <w:rPr>
          <w:bCs/>
          <w:noProof/>
        </w:rPr>
      </w:pPr>
      <w:r w:rsidRPr="00033974">
        <w:rPr>
          <w:bCs/>
          <w:noProof/>
          <w:color w:val="000000"/>
        </w:rPr>
        <w:t xml:space="preserve">1. </w:t>
      </w:r>
      <w:r w:rsidRPr="00033974">
        <w:rPr>
          <w:bCs/>
          <w:noProof/>
        </w:rPr>
        <w:t>Článok 54 ods. 1 smernice Európskeho parlamentu a Rady </w:t>
      </w:r>
      <w:bookmarkStart w:id="4" w:name="ctx38"/>
      <w:r w:rsidRPr="00033974">
        <w:rPr>
          <w:bCs/>
          <w:noProof/>
        </w:rPr>
        <w:t>2004/39</w:t>
      </w:r>
      <w:bookmarkEnd w:id="4"/>
      <w:r w:rsidRPr="00033974">
        <w:rPr>
          <w:bCs/>
          <w:noProof/>
        </w:rPr>
        <w:t xml:space="preserve">/ES z 21. apríla 2004 o trhoch s finančnými nástrojmi, o zmene a doplnení smerníc Rady 85/611/EHS a 93/6/EHS a smernice Európskeho parlamentu a Rady 2000/12/ES a o zrušení smernice Rady </w:t>
      </w:r>
      <w:r w:rsidRPr="00033974">
        <w:rPr>
          <w:bCs/>
          <w:noProof/>
        </w:rPr>
        <w:lastRenderedPageBreak/>
        <w:t>93/22/EHS, sa má vykladať v tom zmysle, že všetky informácie týkajúce sa podniku, nad ktorým sa vykonáva dohľad, ktoré tento podnik poskytne príslušnému orgánu, ako aj všetky vyhlásenia toho orgánu uvedené v jeho dokumentácii o dohľade, vrátane jeho korešpondencie s inými orgánmi, nie sú bezpodmienečne dôvernými informáciami, na ktoré sa teda vzťahuje povinnosť zachovávať služobné tajomstvo, ktorá je stanovená v tomto ustanovení. Táto kvalifikácia sa vzťahuje na informácie, ktoré majú k dispozícii orgány určené členskými štátmi na to, aby plnili úlohy stanovené touto smernicou, a ktoré jednak nemajú verejnú povahu a jednak ich sprístupnenie by mohlo poškodiť záujmy fyzickej či právnickej osoby, ktorá ich poskytla, alebo tretej osoby, alebo aj riadne fungovanie systému monitorovania činností investičných podnikov, ktorý normotvorca Únie zaviedol prijatím smernice </w:t>
      </w:r>
      <w:bookmarkStart w:id="5" w:name="ctx39"/>
      <w:r w:rsidRPr="00033974">
        <w:rPr>
          <w:bCs/>
          <w:noProof/>
        </w:rPr>
        <w:t>2004/39</w:t>
      </w:r>
      <w:bookmarkEnd w:id="5"/>
      <w:r w:rsidRPr="00033974">
        <w:rPr>
          <w:bCs/>
          <w:noProof/>
        </w:rPr>
        <w:t>.</w:t>
      </w:r>
    </w:p>
    <w:p w14:paraId="6C97E9C2" w14:textId="77777777" w:rsidR="00A417FF" w:rsidRPr="00033974" w:rsidRDefault="00A417FF" w:rsidP="00A417FF">
      <w:pPr>
        <w:pStyle w:val="c08dispositif"/>
        <w:keepNext/>
        <w:suppressAutoHyphens/>
        <w:spacing w:before="0" w:beforeAutospacing="0" w:after="120" w:afterAutospacing="0"/>
        <w:ind w:left="170" w:right="-57"/>
        <w:jc w:val="both"/>
        <w:rPr>
          <w:bCs/>
          <w:noProof/>
        </w:rPr>
      </w:pPr>
      <w:r w:rsidRPr="00033974">
        <w:rPr>
          <w:bCs/>
          <w:noProof/>
        </w:rPr>
        <w:t>2. Preto treba na druhú otázku odpovedať tak, že článok 54 ods. 1 smernice </w:t>
      </w:r>
      <w:bookmarkStart w:id="6" w:name="ctx40"/>
      <w:r w:rsidRPr="00033974">
        <w:rPr>
          <w:bCs/>
          <w:noProof/>
        </w:rPr>
        <w:t>2004/39</w:t>
      </w:r>
      <w:bookmarkEnd w:id="6"/>
      <w:r w:rsidRPr="00033974">
        <w:rPr>
          <w:bCs/>
          <w:noProof/>
        </w:rPr>
        <w:t> sa má vykladať v tom zmysle, že dôverná povaha informácií týkajúcich sa podniku, nad ktorým sa vykonáva dohľad, ktoré boli poskytnuté orgánom určeným členskými štátmi na to, aby plnili úlohy stanovené touto smernicou, sa musí posúdiť ku dňu preskúmania, ktoré majú tieto orgány vykonať pri rozhodovaní o žiadosti o sprístupnenie uvedených informácií, bez ohľadu na to, ako boli kvalifikované v okamihu, keď boli uvedeným orgánom poskytnuté.</w:t>
      </w:r>
    </w:p>
    <w:p w14:paraId="1AEFB8E1" w14:textId="77777777" w:rsidR="00A417FF" w:rsidRPr="00033974" w:rsidRDefault="00A417FF" w:rsidP="00A417FF">
      <w:pPr>
        <w:pStyle w:val="c08dispositif"/>
        <w:keepNext/>
        <w:suppressAutoHyphens/>
        <w:spacing w:before="0" w:beforeAutospacing="0" w:after="120" w:afterAutospacing="0"/>
        <w:ind w:left="170" w:right="-57"/>
        <w:jc w:val="both"/>
        <w:rPr>
          <w:bCs/>
          <w:noProof/>
        </w:rPr>
      </w:pPr>
      <w:r w:rsidRPr="00033974">
        <w:rPr>
          <w:bCs/>
          <w:noProof/>
        </w:rPr>
        <w:t>3. V dôsledku toho treba na tretiu otázku odpovedať tak, že článok 54 ods. 1 smernice </w:t>
      </w:r>
      <w:bookmarkStart w:id="7" w:name="ctx41"/>
      <w:r w:rsidRPr="00033974">
        <w:rPr>
          <w:bCs/>
          <w:noProof/>
        </w:rPr>
        <w:t>2004/39</w:t>
      </w:r>
      <w:bookmarkEnd w:id="7"/>
      <w:r w:rsidRPr="00033974">
        <w:rPr>
          <w:bCs/>
          <w:noProof/>
        </w:rPr>
        <w:t> sa má vykladať v tom zmysle, že informácie, ktoré majú k dispozícii orgány určené členskými štátmi na to, aby plnili úlohy stanovené touto smernicou, a ktoré môžu predstavovať obchodné tajomstvo, no sú staré päť a viac rokov, sa v dôsledku uplynutia času v zásade považujú za zastarané, a z tohto dôvodu stratili svoj tajný charakter, ibaže by účastník konania, ktorý sa odvoláva na tento charakter, výnimočne preukázal, že tieto informácie napriek ich veku stále predstavujú podstatné prvky jeho obchodného postavenia alebo postavenia tretej osoby. Takéto úvahy neplatia v prípade informácií, ktoré majú k dispozícií tieto orgány a ktorých dôvernosť možno odôvodniť inými dôvodmi, než je ich význam pre obchodné postavenie dotknutých podnikov.</w:t>
      </w:r>
    </w:p>
    <w:p w14:paraId="79945DE3" w14:textId="77777777" w:rsidR="00A417FF" w:rsidRPr="00033974" w:rsidRDefault="00A417FF" w:rsidP="00A417FF">
      <w:pPr>
        <w:pStyle w:val="c08dispositif"/>
        <w:keepNext/>
        <w:suppressAutoHyphens/>
        <w:spacing w:after="120"/>
        <w:ind w:left="170" w:right="-57"/>
        <w:jc w:val="both"/>
        <w:rPr>
          <w:bCs/>
          <w:noProof/>
        </w:rPr>
      </w:pPr>
      <w:r w:rsidRPr="00033974">
        <w:rPr>
          <w:bCs/>
          <w:noProof/>
        </w:rPr>
        <w:t>- rozsudok Súdneho dvora vo veci C-695/22, Fondee a.s. proti Česká národní banka, [2024].</w:t>
      </w:r>
    </w:p>
    <w:p w14:paraId="4BE2B89D" w14:textId="77777777" w:rsidR="00A417FF" w:rsidRPr="00033974" w:rsidRDefault="00A417FF" w:rsidP="00A417FF">
      <w:pPr>
        <w:pStyle w:val="c08dispositif"/>
        <w:keepNext/>
        <w:suppressAutoHyphens/>
        <w:spacing w:before="0" w:beforeAutospacing="0" w:after="120" w:afterAutospacing="0"/>
        <w:ind w:left="170" w:right="-57"/>
        <w:jc w:val="both"/>
        <w:rPr>
          <w:bCs/>
          <w:noProof/>
        </w:rPr>
      </w:pPr>
      <w:r w:rsidRPr="00033974">
        <w:rPr>
          <w:bCs/>
          <w:noProof/>
        </w:rPr>
        <w:t>Výrok rozhodnutia:</w:t>
      </w:r>
    </w:p>
    <w:p w14:paraId="53D12F48" w14:textId="77777777" w:rsidR="00A417FF" w:rsidRPr="00033974" w:rsidRDefault="00A417FF" w:rsidP="00A417FF">
      <w:pPr>
        <w:pStyle w:val="c08dispositif"/>
        <w:keepNext/>
        <w:suppressAutoHyphens/>
        <w:spacing w:before="0" w:beforeAutospacing="0" w:after="0" w:afterAutospacing="0"/>
        <w:ind w:left="170" w:right="-57"/>
        <w:jc w:val="both"/>
        <w:rPr>
          <w:bCs/>
          <w:noProof/>
        </w:rPr>
      </w:pPr>
      <w:r w:rsidRPr="00033974">
        <w:rPr>
          <w:bCs/>
          <w:noProof/>
        </w:rPr>
        <w:t>Článok 3 ods. 1 písm. c) bod i) smernice Európskeho parlamentu a Rady 2014/65/EÚ z 15. mája 2014 o trhoch s finančnými nástrojmi, ktorou sa mení smernica 2002/92/ES a smernica 2011/61/EÚ, sa má vykladať v tom zmysle, že:</w:t>
      </w:r>
    </w:p>
    <w:p w14:paraId="1B0FCB9A" w14:textId="77777777" w:rsidR="00A417FF" w:rsidRPr="00033974" w:rsidRDefault="00A417FF" w:rsidP="00A417FF">
      <w:pPr>
        <w:pStyle w:val="c08dispositif"/>
        <w:keepNext/>
        <w:suppressAutoHyphens/>
        <w:spacing w:before="0" w:beforeAutospacing="0"/>
        <w:ind w:left="170" w:right="-57"/>
        <w:jc w:val="both"/>
        <w:rPr>
          <w:bCs/>
          <w:noProof/>
        </w:rPr>
      </w:pPr>
      <w:r w:rsidRPr="00033974">
        <w:rPr>
          <w:bCs/>
          <w:noProof/>
        </w:rPr>
        <w:t xml:space="preserve">osoby, ktoré členský štát vyňal z pôsobnosti tejto smernice, sú oprávnené postúpiť na vykonanie pokyny klientov s bydliskom alebo so sídlom v tomto členskom štáte investičným spoločnostiam so sídlom v inom členskom štáte, ktorým bolo udelené povolenie na tento účel </w:t>
      </w:r>
      <w:r w:rsidRPr="00033974">
        <w:rPr>
          <w:bCs/>
          <w:noProof/>
        </w:rPr>
        <w:lastRenderedPageBreak/>
        <w:t>na základe uvedenej smernice príslušným orgánom tohto iného členského štátu, a teda bráni vnútroštátnej právnej úprave, ktorá takéto postúpenie zakazuje.</w:t>
      </w:r>
    </w:p>
    <w:p w14:paraId="4802A2BE" w14:textId="77777777" w:rsidR="00A417FF" w:rsidRPr="00033974" w:rsidRDefault="00A417FF" w:rsidP="00A417FF">
      <w:pPr>
        <w:pStyle w:val="Odsekzoznamu"/>
        <w:keepNext/>
        <w:suppressAutoHyphens/>
        <w:spacing w:after="0" w:line="240" w:lineRule="auto"/>
        <w:rPr>
          <w:rFonts w:ascii="Times New Roman" w:eastAsia="Times New Roman" w:hAnsi="Times New Roman" w:cs="Times New Roman"/>
          <w:noProof/>
          <w:color w:val="000000"/>
          <w:sz w:val="24"/>
          <w:szCs w:val="24"/>
          <w:lang w:eastAsia="sk-SK"/>
        </w:rPr>
      </w:pPr>
    </w:p>
    <w:p w14:paraId="282A3E06" w14:textId="77777777" w:rsidR="00A417FF" w:rsidRPr="00033974" w:rsidRDefault="00A417FF" w:rsidP="00A417FF">
      <w:pPr>
        <w:keepNext/>
        <w:suppressAutoHyphens/>
        <w:rPr>
          <w:b/>
          <w:bCs/>
          <w:noProof/>
          <w:color w:val="000000"/>
          <w:lang w:eastAsia="sk-SK"/>
        </w:rPr>
      </w:pPr>
    </w:p>
    <w:p w14:paraId="779A2E57" w14:textId="77777777" w:rsidR="00A417FF" w:rsidRPr="00033974" w:rsidRDefault="00A417FF" w:rsidP="00A417FF">
      <w:pPr>
        <w:pStyle w:val="Odsekzoznamu"/>
        <w:keepNext/>
        <w:numPr>
          <w:ilvl w:val="0"/>
          <w:numId w:val="4"/>
        </w:numPr>
        <w:suppressAutoHyphens/>
        <w:spacing w:after="0" w:line="240" w:lineRule="auto"/>
        <w:ind w:left="426" w:hanging="426"/>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b/>
          <w:bCs/>
          <w:noProof/>
          <w:color w:val="000000"/>
          <w:sz w:val="24"/>
          <w:szCs w:val="24"/>
          <w:lang w:eastAsia="sk-SK"/>
        </w:rPr>
        <w:t xml:space="preserve">Záväzky Slovenskej republiky vo vzťahu k Európskej únii: </w:t>
      </w:r>
    </w:p>
    <w:p w14:paraId="70F0A85A" w14:textId="77777777" w:rsidR="00A417FF" w:rsidRPr="00033974" w:rsidRDefault="00A417FF" w:rsidP="00A417FF">
      <w:pPr>
        <w:pStyle w:val="Odsekzoznamu"/>
        <w:keepNext/>
        <w:suppressAutoHyphens/>
        <w:spacing w:after="0" w:line="240" w:lineRule="auto"/>
        <w:ind w:left="426"/>
        <w:rPr>
          <w:rFonts w:ascii="Times New Roman" w:eastAsia="Times New Roman" w:hAnsi="Times New Roman" w:cs="Times New Roman"/>
          <w:noProof/>
          <w:color w:val="000000"/>
          <w:sz w:val="24"/>
          <w:szCs w:val="24"/>
          <w:lang w:eastAsia="sk-SK"/>
        </w:rPr>
      </w:pPr>
    </w:p>
    <w:p w14:paraId="5B778280" w14:textId="77777777" w:rsidR="00A417FF" w:rsidRPr="00033974" w:rsidRDefault="00A417FF" w:rsidP="00A417FF">
      <w:pPr>
        <w:pStyle w:val="Odsekzoznamu"/>
        <w:keepNext/>
        <w:numPr>
          <w:ilvl w:val="0"/>
          <w:numId w:val="7"/>
        </w:numPr>
        <w:tabs>
          <w:tab w:val="left" w:pos="360"/>
          <w:tab w:val="left" w:pos="540"/>
        </w:tabs>
        <w:suppressAutoHyphens/>
        <w:spacing w:after="0" w:line="240" w:lineRule="auto"/>
        <w:ind w:left="680" w:hanging="218"/>
        <w:jc w:val="both"/>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noProof/>
          <w:color w:val="000000"/>
          <w:sz w:val="24"/>
          <w:szCs w:val="24"/>
          <w:lang w:eastAsia="sk-SK"/>
        </w:rPr>
        <w:t xml:space="preserve">Lehota na prebratie smernice </w:t>
      </w:r>
      <w:r w:rsidRPr="00033974">
        <w:rPr>
          <w:rFonts w:ascii="Times New Roman" w:hAnsi="Times New Roman" w:cs="Times New Roman"/>
          <w:noProof/>
          <w:color w:val="000000"/>
          <w:sz w:val="24"/>
          <w:szCs w:val="24"/>
        </w:rPr>
        <w:t xml:space="preserve">(EÚ) 2024/790 </w:t>
      </w:r>
      <w:r w:rsidRPr="00033974">
        <w:rPr>
          <w:rFonts w:ascii="Times New Roman" w:eastAsia="Times New Roman" w:hAnsi="Times New Roman" w:cs="Times New Roman"/>
          <w:noProof/>
          <w:color w:val="000000"/>
          <w:sz w:val="24"/>
          <w:szCs w:val="24"/>
          <w:lang w:eastAsia="sk-SK"/>
        </w:rPr>
        <w:t>bola stanovená do 29. septembra 2025.</w:t>
      </w:r>
    </w:p>
    <w:p w14:paraId="12D64171" w14:textId="77777777" w:rsidR="00A417FF" w:rsidRPr="00033974" w:rsidRDefault="00A417FF" w:rsidP="00A417FF">
      <w:pPr>
        <w:pStyle w:val="Odsekzoznamu"/>
        <w:keepNext/>
        <w:tabs>
          <w:tab w:val="left" w:pos="360"/>
          <w:tab w:val="left" w:pos="540"/>
        </w:tabs>
        <w:suppressAutoHyphens/>
        <w:spacing w:after="0" w:line="240" w:lineRule="auto"/>
        <w:ind w:left="680"/>
        <w:jc w:val="both"/>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noProof/>
          <w:color w:val="000000"/>
          <w:sz w:val="24"/>
          <w:szCs w:val="24"/>
          <w:lang w:eastAsia="sk-SK"/>
        </w:rPr>
        <w:t xml:space="preserve">Lehota na prebratie smernice </w:t>
      </w:r>
      <w:r w:rsidRPr="00033974">
        <w:rPr>
          <w:rFonts w:ascii="Times New Roman" w:hAnsi="Times New Roman" w:cs="Times New Roman"/>
          <w:noProof/>
          <w:color w:val="000000" w:themeColor="text1"/>
          <w:sz w:val="24"/>
          <w:szCs w:val="24"/>
        </w:rPr>
        <w:t xml:space="preserve">(EÚ) </w:t>
      </w:r>
      <w:r w:rsidRPr="00033974">
        <w:rPr>
          <w:rFonts w:ascii="Times New Roman" w:hAnsi="Times New Roman" w:cs="Times New Roman"/>
          <w:noProof/>
          <w:color w:val="000000"/>
          <w:sz w:val="24"/>
          <w:szCs w:val="24"/>
        </w:rPr>
        <w:t xml:space="preserve">2024/2811 </w:t>
      </w:r>
      <w:r w:rsidRPr="00033974">
        <w:rPr>
          <w:rFonts w:ascii="Times New Roman" w:eastAsia="Times New Roman" w:hAnsi="Times New Roman" w:cs="Times New Roman"/>
          <w:noProof/>
          <w:color w:val="000000"/>
          <w:sz w:val="24"/>
          <w:szCs w:val="24"/>
          <w:lang w:eastAsia="sk-SK"/>
        </w:rPr>
        <w:t>bola stanovená do 5. júna 2026.</w:t>
      </w:r>
      <w:r w:rsidRPr="00033974">
        <w:rPr>
          <w:rFonts w:ascii="Times New Roman" w:hAnsi="Times New Roman" w:cs="Times New Roman"/>
          <w:noProof/>
          <w:sz w:val="24"/>
          <w:szCs w:val="24"/>
        </w:rPr>
        <w:t xml:space="preserve"> </w:t>
      </w:r>
      <w:r w:rsidRPr="00033974">
        <w:rPr>
          <w:rFonts w:ascii="Times New Roman" w:eastAsia="Times New Roman" w:hAnsi="Times New Roman" w:cs="Times New Roman"/>
          <w:noProof/>
          <w:color w:val="000000"/>
          <w:sz w:val="24"/>
          <w:szCs w:val="24"/>
          <w:lang w:eastAsia="sk-SK"/>
        </w:rPr>
        <w:t>Uvedené ustanovenia sa uplatňujú od 6. júna 2026.</w:t>
      </w:r>
    </w:p>
    <w:p w14:paraId="409956D4" w14:textId="77777777" w:rsidR="00A417FF" w:rsidRPr="00033974" w:rsidRDefault="00A417FF" w:rsidP="00A417FF">
      <w:pPr>
        <w:pStyle w:val="Odsekzoznamu"/>
        <w:keepNext/>
        <w:tabs>
          <w:tab w:val="left" w:pos="360"/>
          <w:tab w:val="left" w:pos="540"/>
        </w:tabs>
        <w:suppressAutoHyphens/>
        <w:spacing w:after="0" w:line="240" w:lineRule="auto"/>
        <w:ind w:left="680"/>
        <w:jc w:val="both"/>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noProof/>
          <w:color w:val="000000"/>
          <w:sz w:val="24"/>
          <w:szCs w:val="24"/>
          <w:lang w:eastAsia="sk-SK"/>
        </w:rPr>
        <w:t xml:space="preserve">Lehota na prebratie smernice </w:t>
      </w:r>
      <w:r w:rsidRPr="00033974">
        <w:rPr>
          <w:rFonts w:ascii="Times New Roman" w:hAnsi="Times New Roman" w:cs="Times New Roman"/>
          <w:noProof/>
          <w:color w:val="000000" w:themeColor="text1"/>
          <w:sz w:val="24"/>
          <w:szCs w:val="24"/>
        </w:rPr>
        <w:t xml:space="preserve">(EÚ) </w:t>
      </w:r>
      <w:r w:rsidRPr="00033974">
        <w:rPr>
          <w:rFonts w:ascii="Times New Roman" w:eastAsia="Times New Roman" w:hAnsi="Times New Roman" w:cs="Times New Roman"/>
          <w:noProof/>
          <w:color w:val="000000"/>
          <w:sz w:val="24"/>
          <w:szCs w:val="24"/>
          <w:lang w:eastAsia="sk-SK"/>
        </w:rPr>
        <w:t>2024/2994 bola stanovená do 25. júna 2026.</w:t>
      </w:r>
    </w:p>
    <w:p w14:paraId="55A4E77E" w14:textId="77777777" w:rsidR="00A417FF" w:rsidRPr="00033974" w:rsidRDefault="00A417FF" w:rsidP="00A417FF">
      <w:pPr>
        <w:pStyle w:val="Odsekzoznamu"/>
        <w:keepNext/>
        <w:tabs>
          <w:tab w:val="left" w:pos="360"/>
          <w:tab w:val="left" w:pos="540"/>
        </w:tabs>
        <w:suppressAutoHyphens/>
        <w:spacing w:after="0" w:line="240" w:lineRule="auto"/>
        <w:ind w:left="680"/>
        <w:jc w:val="both"/>
        <w:rPr>
          <w:rFonts w:ascii="Times New Roman" w:eastAsia="Times New Roman" w:hAnsi="Times New Roman" w:cs="Times New Roman"/>
          <w:noProof/>
          <w:color w:val="000000"/>
          <w:sz w:val="24"/>
          <w:szCs w:val="24"/>
          <w:lang w:eastAsia="sk-SK"/>
        </w:rPr>
      </w:pPr>
    </w:p>
    <w:p w14:paraId="3251BCDE" w14:textId="77777777" w:rsidR="00A417FF" w:rsidRPr="00033974" w:rsidRDefault="00A417FF" w:rsidP="00A417FF">
      <w:pPr>
        <w:pStyle w:val="Odsekzoznamu"/>
        <w:keepNext/>
        <w:numPr>
          <w:ilvl w:val="0"/>
          <w:numId w:val="7"/>
        </w:numPr>
        <w:suppressAutoHyphens/>
        <w:spacing w:after="120" w:line="276" w:lineRule="auto"/>
        <w:jc w:val="both"/>
        <w:rPr>
          <w:rFonts w:ascii="Times New Roman" w:hAnsi="Times New Roman" w:cs="Times New Roman"/>
          <w:noProof/>
          <w:color w:val="000000"/>
          <w:sz w:val="24"/>
          <w:szCs w:val="24"/>
          <w:lang w:eastAsia="sk-SK"/>
        </w:rPr>
      </w:pPr>
      <w:r w:rsidRPr="00033974">
        <w:rPr>
          <w:rFonts w:ascii="Times New Roman" w:hAnsi="Times New Roman" w:cs="Times New Roman"/>
          <w:noProof/>
          <w:sz w:val="24"/>
          <w:szCs w:val="24"/>
        </w:rPr>
        <w:t>Proti SR nebolo začaté konanie v rámci „EÚ Pilot“, ani nebol začatý postup EK a ani nebolo začaté konanie o porušení Zmluvy o fungovaní Európskej únie podľa čl. 258 až 260.</w:t>
      </w:r>
    </w:p>
    <w:p w14:paraId="04C7604D" w14:textId="77777777" w:rsidR="00A417FF" w:rsidRPr="00033974" w:rsidRDefault="00A417FF" w:rsidP="00A417FF">
      <w:pPr>
        <w:pStyle w:val="Odsekzoznamu"/>
        <w:keepNext/>
        <w:suppressAutoHyphens/>
        <w:spacing w:after="120"/>
        <w:jc w:val="both"/>
        <w:rPr>
          <w:rFonts w:ascii="Times New Roman" w:hAnsi="Times New Roman" w:cs="Times New Roman"/>
          <w:noProof/>
          <w:color w:val="000000"/>
          <w:sz w:val="24"/>
          <w:szCs w:val="24"/>
          <w:lang w:eastAsia="sk-SK"/>
        </w:rPr>
      </w:pPr>
    </w:p>
    <w:p w14:paraId="6FC620AB" w14:textId="77777777" w:rsidR="00A417FF" w:rsidRPr="00033974" w:rsidRDefault="00A417FF" w:rsidP="00A417FF">
      <w:pPr>
        <w:pStyle w:val="Odsekzoznamu"/>
        <w:keepNext/>
        <w:numPr>
          <w:ilvl w:val="0"/>
          <w:numId w:val="7"/>
        </w:numPr>
        <w:suppressAutoHyphens/>
        <w:spacing w:after="120" w:line="276" w:lineRule="auto"/>
        <w:jc w:val="both"/>
        <w:rPr>
          <w:rFonts w:ascii="Times New Roman" w:hAnsi="Times New Roman" w:cs="Times New Roman"/>
          <w:noProof/>
          <w:sz w:val="24"/>
          <w:szCs w:val="24"/>
          <w:lang w:eastAsia="sk-SK"/>
        </w:rPr>
      </w:pPr>
      <w:r w:rsidRPr="00033974">
        <w:rPr>
          <w:rFonts w:ascii="Times New Roman" w:hAnsi="Times New Roman" w:cs="Times New Roman"/>
          <w:noProof/>
          <w:color w:val="000000"/>
          <w:sz w:val="24"/>
          <w:szCs w:val="24"/>
        </w:rPr>
        <w:t xml:space="preserve">Smernica (EÚ) 2024/790 </w:t>
      </w:r>
      <w:r w:rsidRPr="00033974">
        <w:rPr>
          <w:rFonts w:ascii="Times New Roman" w:hAnsi="Times New Roman" w:cs="Times New Roman"/>
          <w:noProof/>
          <w:sz w:val="24"/>
          <w:szCs w:val="24"/>
        </w:rPr>
        <w:t>sa preberá do predkladaného návrhu zákona,</w:t>
      </w:r>
      <w:r w:rsidRPr="00033974">
        <w:rPr>
          <w:rFonts w:ascii="Times New Roman" w:eastAsia="Times New Roman" w:hAnsi="Times New Roman" w:cs="Times New Roman"/>
          <w:noProof/>
          <w:sz w:val="24"/>
          <w:szCs w:val="24"/>
          <w:lang w:eastAsia="sk-SK"/>
        </w:rPr>
        <w:t xml:space="preserve"> do zákona</w:t>
      </w:r>
      <w:r>
        <w:rPr>
          <w:rFonts w:ascii="Times New Roman" w:eastAsia="Times New Roman" w:hAnsi="Times New Roman" w:cs="Times New Roman"/>
          <w:noProof/>
          <w:sz w:val="24"/>
          <w:szCs w:val="24"/>
          <w:lang w:eastAsia="sk-SK"/>
        </w:rPr>
        <w:t xml:space="preserve">                       </w:t>
      </w:r>
      <w:r w:rsidRPr="00033974">
        <w:rPr>
          <w:rFonts w:ascii="Times New Roman" w:eastAsia="Times New Roman" w:hAnsi="Times New Roman" w:cs="Times New Roman"/>
          <w:noProof/>
          <w:sz w:val="24"/>
          <w:szCs w:val="24"/>
          <w:lang w:eastAsia="sk-SK"/>
        </w:rPr>
        <w:t xml:space="preserve"> č. 566/2001 Z. z. </w:t>
      </w:r>
      <w:r w:rsidRPr="00033974">
        <w:rPr>
          <w:rFonts w:ascii="Times New Roman" w:eastAsia="Times New Roman" w:hAnsi="Times New Roman" w:cs="Times New Roman"/>
          <w:noProof/>
          <w:sz w:val="24"/>
          <w:szCs w:val="24"/>
          <w:shd w:val="clear" w:color="auto" w:fill="FFFFFF"/>
          <w:lang w:eastAsia="sk-SK"/>
        </w:rPr>
        <w:t>o cenných papieroch a investičných službách a o zmene a doplnení niektorých zákonov (zákon o cenných papieroch) v znení neskorších predpisov</w:t>
      </w:r>
      <w:r w:rsidRPr="00033974">
        <w:rPr>
          <w:rFonts w:ascii="Times New Roman" w:eastAsia="Times New Roman" w:hAnsi="Times New Roman" w:cs="Times New Roman"/>
          <w:noProof/>
          <w:sz w:val="24"/>
          <w:szCs w:val="24"/>
          <w:lang w:eastAsia="sk-SK"/>
        </w:rPr>
        <w:t xml:space="preserve"> a do zákona č. 429/2002 Z. z. o burze cenných papierov v znení neskorších predpisov.</w:t>
      </w:r>
    </w:p>
    <w:p w14:paraId="1EE030E4" w14:textId="77777777" w:rsidR="00A417FF" w:rsidRPr="00033974" w:rsidRDefault="00A417FF" w:rsidP="00A417FF">
      <w:pPr>
        <w:pStyle w:val="Odsekzoznamu"/>
        <w:keepNext/>
        <w:suppressAutoHyphens/>
        <w:rPr>
          <w:rFonts w:ascii="Times New Roman" w:hAnsi="Times New Roman" w:cs="Times New Roman"/>
          <w:noProof/>
          <w:sz w:val="24"/>
          <w:szCs w:val="24"/>
          <w:lang w:eastAsia="sk-SK"/>
        </w:rPr>
      </w:pPr>
    </w:p>
    <w:p w14:paraId="19C05C8B" w14:textId="77777777" w:rsidR="00A417FF" w:rsidRPr="00033974" w:rsidRDefault="00A417FF" w:rsidP="00A417FF">
      <w:pPr>
        <w:pStyle w:val="Odsekzoznamu"/>
        <w:keepNext/>
        <w:suppressAutoHyphens/>
        <w:spacing w:after="120"/>
        <w:jc w:val="both"/>
        <w:rPr>
          <w:rFonts w:ascii="Times New Roman" w:hAnsi="Times New Roman" w:cs="Times New Roman"/>
          <w:noProof/>
          <w:color w:val="0070C0"/>
          <w:sz w:val="24"/>
          <w:szCs w:val="24"/>
        </w:rPr>
      </w:pPr>
      <w:r w:rsidRPr="00033974">
        <w:rPr>
          <w:rFonts w:ascii="Times New Roman" w:hAnsi="Times New Roman" w:cs="Times New Roman"/>
          <w:noProof/>
          <w:color w:val="000000"/>
          <w:sz w:val="24"/>
          <w:szCs w:val="24"/>
        </w:rPr>
        <w:t xml:space="preserve">Smernica </w:t>
      </w:r>
      <w:r w:rsidRPr="00033974">
        <w:rPr>
          <w:rFonts w:ascii="Times New Roman" w:hAnsi="Times New Roman" w:cs="Times New Roman"/>
          <w:noProof/>
          <w:color w:val="000000" w:themeColor="text1"/>
          <w:sz w:val="24"/>
          <w:szCs w:val="24"/>
        </w:rPr>
        <w:t xml:space="preserve">(EÚ) </w:t>
      </w:r>
      <w:r w:rsidRPr="00033974">
        <w:rPr>
          <w:rFonts w:ascii="Times New Roman" w:hAnsi="Times New Roman" w:cs="Times New Roman"/>
          <w:noProof/>
          <w:color w:val="000000"/>
          <w:sz w:val="24"/>
          <w:szCs w:val="24"/>
        </w:rPr>
        <w:t xml:space="preserve">2024/2811 </w:t>
      </w:r>
      <w:r w:rsidRPr="00033974">
        <w:rPr>
          <w:rFonts w:ascii="Times New Roman" w:hAnsi="Times New Roman" w:cs="Times New Roman"/>
          <w:noProof/>
          <w:sz w:val="24"/>
          <w:szCs w:val="24"/>
        </w:rPr>
        <w:t xml:space="preserve">sa preberá do predkladaného návrhu zákona, </w:t>
      </w:r>
      <w:r w:rsidRPr="00033974">
        <w:rPr>
          <w:rFonts w:ascii="Times New Roman" w:eastAsia="Times New Roman" w:hAnsi="Times New Roman" w:cs="Times New Roman"/>
          <w:noProof/>
          <w:sz w:val="24"/>
          <w:szCs w:val="24"/>
          <w:lang w:eastAsia="sk-SK"/>
        </w:rPr>
        <w:t>do zákona</w:t>
      </w:r>
      <w:r>
        <w:rPr>
          <w:rFonts w:ascii="Times New Roman" w:eastAsia="Times New Roman" w:hAnsi="Times New Roman" w:cs="Times New Roman"/>
          <w:noProof/>
          <w:sz w:val="24"/>
          <w:szCs w:val="24"/>
          <w:lang w:eastAsia="sk-SK"/>
        </w:rPr>
        <w:t xml:space="preserve">                  </w:t>
      </w:r>
      <w:r w:rsidRPr="00033974">
        <w:rPr>
          <w:rFonts w:ascii="Times New Roman" w:eastAsia="Times New Roman" w:hAnsi="Times New Roman" w:cs="Times New Roman"/>
          <w:noProof/>
          <w:sz w:val="24"/>
          <w:szCs w:val="24"/>
          <w:lang w:eastAsia="sk-SK"/>
        </w:rPr>
        <w:t xml:space="preserve"> č. 566/2001 Z. z. </w:t>
      </w:r>
      <w:r w:rsidRPr="00033974">
        <w:rPr>
          <w:rFonts w:ascii="Times New Roman" w:eastAsia="Times New Roman" w:hAnsi="Times New Roman" w:cs="Times New Roman"/>
          <w:noProof/>
          <w:sz w:val="24"/>
          <w:szCs w:val="24"/>
          <w:shd w:val="clear" w:color="auto" w:fill="FFFFFF"/>
          <w:lang w:eastAsia="sk-SK"/>
        </w:rPr>
        <w:t>o cenných papieroch a investičných službách a o zmene a doplnení niektorých zákonov (zákon o cenných papieroch) v znení neskorších predpisov</w:t>
      </w:r>
      <w:r w:rsidRPr="00033974">
        <w:rPr>
          <w:rFonts w:ascii="Times New Roman" w:eastAsia="Times New Roman" w:hAnsi="Times New Roman" w:cs="Times New Roman"/>
          <w:noProof/>
          <w:sz w:val="24"/>
          <w:szCs w:val="24"/>
          <w:lang w:eastAsia="sk-SK"/>
        </w:rPr>
        <w:t xml:space="preserve"> a do zákona č. 429/2002 Z. z. o burze cenných papierov v znení neskorších predpisov.</w:t>
      </w:r>
      <w:r w:rsidRPr="00033974">
        <w:rPr>
          <w:rFonts w:ascii="Times New Roman" w:hAnsi="Times New Roman" w:cs="Times New Roman"/>
          <w:noProof/>
          <w:color w:val="0070C0"/>
          <w:sz w:val="24"/>
          <w:szCs w:val="24"/>
        </w:rPr>
        <w:t xml:space="preserve"> </w:t>
      </w:r>
    </w:p>
    <w:p w14:paraId="03AAFF71" w14:textId="77777777" w:rsidR="00A417FF" w:rsidRPr="00033974" w:rsidRDefault="00A417FF" w:rsidP="00A417FF">
      <w:pPr>
        <w:pStyle w:val="Odsekzoznamu"/>
        <w:keepNext/>
        <w:suppressAutoHyphens/>
        <w:spacing w:after="120"/>
        <w:jc w:val="both"/>
        <w:rPr>
          <w:rFonts w:ascii="Times New Roman" w:hAnsi="Times New Roman" w:cs="Times New Roman"/>
          <w:noProof/>
          <w:sz w:val="24"/>
          <w:szCs w:val="24"/>
          <w:lang w:eastAsia="sk-SK"/>
        </w:rPr>
      </w:pPr>
    </w:p>
    <w:p w14:paraId="52163557" w14:textId="77777777" w:rsidR="00A417FF" w:rsidRPr="00033974" w:rsidRDefault="00A417FF" w:rsidP="00A417FF">
      <w:pPr>
        <w:pStyle w:val="Odsekzoznamu"/>
        <w:keepNext/>
        <w:tabs>
          <w:tab w:val="left" w:pos="709"/>
        </w:tabs>
        <w:suppressAutoHyphens/>
        <w:spacing w:after="0" w:line="240" w:lineRule="auto"/>
        <w:ind w:left="709"/>
        <w:jc w:val="both"/>
        <w:rPr>
          <w:rFonts w:ascii="Times New Roman" w:hAnsi="Times New Roman" w:cs="Times New Roman"/>
          <w:noProof/>
          <w:color w:val="0070C0"/>
          <w:sz w:val="24"/>
          <w:szCs w:val="24"/>
        </w:rPr>
      </w:pPr>
      <w:r w:rsidRPr="00033974">
        <w:rPr>
          <w:rFonts w:ascii="Times New Roman" w:hAnsi="Times New Roman" w:cs="Times New Roman"/>
          <w:noProof/>
          <w:color w:val="000000"/>
          <w:sz w:val="24"/>
          <w:szCs w:val="24"/>
        </w:rPr>
        <w:t xml:space="preserve">Smernica </w:t>
      </w:r>
      <w:r w:rsidRPr="00033974">
        <w:rPr>
          <w:rFonts w:ascii="Times New Roman" w:hAnsi="Times New Roman" w:cs="Times New Roman"/>
          <w:noProof/>
          <w:color w:val="000000" w:themeColor="text1"/>
          <w:sz w:val="24"/>
          <w:szCs w:val="24"/>
        </w:rPr>
        <w:t xml:space="preserve">(EÚ) </w:t>
      </w:r>
      <w:r w:rsidRPr="00033974">
        <w:rPr>
          <w:rFonts w:ascii="Times New Roman" w:hAnsi="Times New Roman" w:cs="Times New Roman"/>
          <w:noProof/>
          <w:color w:val="000000"/>
          <w:sz w:val="24"/>
          <w:szCs w:val="24"/>
        </w:rPr>
        <w:t xml:space="preserve">2024/2994 </w:t>
      </w:r>
      <w:r w:rsidRPr="00033974">
        <w:rPr>
          <w:rFonts w:ascii="Times New Roman" w:hAnsi="Times New Roman" w:cs="Times New Roman"/>
          <w:noProof/>
          <w:sz w:val="24"/>
          <w:szCs w:val="24"/>
        </w:rPr>
        <w:t>sa preberá do predkladaného návrhu zákona,</w:t>
      </w:r>
      <w:r w:rsidRPr="00033974">
        <w:rPr>
          <w:rFonts w:ascii="Times New Roman" w:eastAsia="Times New Roman" w:hAnsi="Times New Roman" w:cs="Times New Roman"/>
          <w:noProof/>
          <w:sz w:val="24"/>
          <w:szCs w:val="24"/>
          <w:lang w:eastAsia="sk-SK"/>
        </w:rPr>
        <w:t xml:space="preserve"> do zákona</w:t>
      </w:r>
      <w:r>
        <w:rPr>
          <w:rFonts w:ascii="Times New Roman" w:eastAsia="Times New Roman" w:hAnsi="Times New Roman" w:cs="Times New Roman"/>
          <w:noProof/>
          <w:sz w:val="24"/>
          <w:szCs w:val="24"/>
          <w:lang w:eastAsia="sk-SK"/>
        </w:rPr>
        <w:t xml:space="preserve">                   </w:t>
      </w:r>
      <w:r w:rsidRPr="00033974">
        <w:rPr>
          <w:rFonts w:ascii="Times New Roman" w:eastAsia="Times New Roman" w:hAnsi="Times New Roman" w:cs="Times New Roman"/>
          <w:noProof/>
          <w:sz w:val="24"/>
          <w:szCs w:val="24"/>
          <w:lang w:eastAsia="sk-SK"/>
        </w:rPr>
        <w:t xml:space="preserve"> č. 566/2001 Z. z. </w:t>
      </w:r>
      <w:r w:rsidRPr="00033974">
        <w:rPr>
          <w:rFonts w:ascii="Times New Roman" w:eastAsia="Times New Roman" w:hAnsi="Times New Roman" w:cs="Times New Roman"/>
          <w:noProof/>
          <w:sz w:val="24"/>
          <w:szCs w:val="24"/>
          <w:shd w:val="clear" w:color="auto" w:fill="FFFFFF"/>
          <w:lang w:eastAsia="sk-SK"/>
        </w:rPr>
        <w:t>o cenných papieroch a investičných službách a o zmene a doplnení niektorých zákonov (zákon o cenných papieroch) v znení neskorších predpisov</w:t>
      </w:r>
      <w:r w:rsidRPr="00033974">
        <w:rPr>
          <w:rFonts w:ascii="Times New Roman" w:hAnsi="Times New Roman" w:cs="Times New Roman"/>
          <w:noProof/>
          <w:color w:val="0070C0"/>
          <w:sz w:val="24"/>
          <w:szCs w:val="24"/>
        </w:rPr>
        <w:t xml:space="preserve">. </w:t>
      </w:r>
    </w:p>
    <w:p w14:paraId="390939A6" w14:textId="77777777" w:rsidR="00A417FF" w:rsidRPr="00033974" w:rsidRDefault="00A417FF" w:rsidP="00A417FF">
      <w:pPr>
        <w:pStyle w:val="Odsekzoznamu"/>
        <w:keepNext/>
        <w:tabs>
          <w:tab w:val="left" w:pos="709"/>
        </w:tabs>
        <w:suppressAutoHyphens/>
        <w:spacing w:after="0" w:line="240" w:lineRule="auto"/>
        <w:ind w:left="709"/>
        <w:jc w:val="both"/>
        <w:rPr>
          <w:rFonts w:ascii="Times New Roman" w:hAnsi="Times New Roman" w:cs="Times New Roman"/>
          <w:noProof/>
          <w:color w:val="0070C0"/>
          <w:sz w:val="24"/>
          <w:szCs w:val="24"/>
        </w:rPr>
      </w:pPr>
    </w:p>
    <w:p w14:paraId="31F5767D" w14:textId="77777777" w:rsidR="00A417FF" w:rsidRPr="00033974" w:rsidRDefault="00A417FF" w:rsidP="00A417FF">
      <w:pPr>
        <w:pStyle w:val="Odsekzoznamu"/>
        <w:keepNext/>
        <w:tabs>
          <w:tab w:val="left" w:pos="709"/>
        </w:tabs>
        <w:suppressAutoHyphens/>
        <w:spacing w:after="0" w:line="240" w:lineRule="auto"/>
        <w:ind w:left="709"/>
        <w:jc w:val="both"/>
        <w:rPr>
          <w:rFonts w:ascii="Times New Roman" w:hAnsi="Times New Roman" w:cs="Times New Roman"/>
          <w:noProof/>
          <w:sz w:val="24"/>
          <w:szCs w:val="24"/>
        </w:rPr>
      </w:pPr>
      <w:r w:rsidRPr="00033974">
        <w:rPr>
          <w:rFonts w:ascii="Times New Roman" w:hAnsi="Times New Roman" w:cs="Times New Roman"/>
          <w:noProof/>
          <w:sz w:val="24"/>
          <w:szCs w:val="24"/>
        </w:rPr>
        <w:t>Smernica 2014/65/EÚ v platnom znení bola prebratá do zákona č. 566/2001 Z. z.</w:t>
      </w:r>
      <w:r>
        <w:rPr>
          <w:rFonts w:ascii="Times New Roman" w:hAnsi="Times New Roman" w:cs="Times New Roman"/>
          <w:noProof/>
          <w:sz w:val="24"/>
          <w:szCs w:val="24"/>
        </w:rPr>
        <w:t xml:space="preserve">                       </w:t>
      </w:r>
      <w:r w:rsidRPr="00033974">
        <w:rPr>
          <w:rFonts w:ascii="Times New Roman" w:hAnsi="Times New Roman" w:cs="Times New Roman"/>
          <w:noProof/>
          <w:sz w:val="24"/>
          <w:szCs w:val="24"/>
        </w:rPr>
        <w:t xml:space="preserve"> o cenných papieroch a investičných službách a o zmene a doplnení niektorých zákonov (zákon o cenných papieroch) v znení neskorších predpisov, do zákona č. 429/2002 Z. z. o burze cenných papierov v znení neskorších predpisov, do zákona č. 747/2004 Z. z. o dohľade nad finančným trhom a o zmene a doplnení niektorých zákonov v znení neskorších predpisov, do zákona č. 186/2009 Z. z. o finančnom sprostredkovaní</w:t>
      </w:r>
      <w:r>
        <w:rPr>
          <w:rFonts w:ascii="Times New Roman" w:hAnsi="Times New Roman" w:cs="Times New Roman"/>
          <w:noProof/>
          <w:sz w:val="24"/>
          <w:szCs w:val="24"/>
        </w:rPr>
        <w:t xml:space="preserve">                        </w:t>
      </w:r>
      <w:r w:rsidRPr="00033974">
        <w:rPr>
          <w:rFonts w:ascii="Times New Roman" w:hAnsi="Times New Roman" w:cs="Times New Roman"/>
          <w:noProof/>
          <w:sz w:val="24"/>
          <w:szCs w:val="24"/>
        </w:rPr>
        <w:t xml:space="preserve"> a finančnom poradenstve a o zmene a doplnení niektorých zákonov v znení neskorších predpisov, do zákona č. 203/2011 Z. z. o kolektívnom investovaní v znení neskorších predpisov, do zákona č. 483/2001 Z. z. o bankách a o zmene a doplnení niektorých zákonov v znení neskorších predpisov, do zákona č. 108/2024 Z. z. o ochrane spotrebiteľa a o zmene a doplnení niektorých zákonov a do zákona č. 423/2015 Z. z.</w:t>
      </w:r>
      <w:r>
        <w:rPr>
          <w:rFonts w:ascii="Times New Roman" w:hAnsi="Times New Roman" w:cs="Times New Roman"/>
          <w:noProof/>
          <w:sz w:val="24"/>
          <w:szCs w:val="24"/>
        </w:rPr>
        <w:t xml:space="preserve">                       </w:t>
      </w:r>
      <w:r w:rsidRPr="00033974">
        <w:rPr>
          <w:rFonts w:ascii="Times New Roman" w:hAnsi="Times New Roman" w:cs="Times New Roman"/>
          <w:noProof/>
          <w:sz w:val="24"/>
          <w:szCs w:val="24"/>
        </w:rPr>
        <w:t xml:space="preserve"> o štatutárnom audite a o zmene a doplnení zákona č. 431/2002 Z. z. o účtovníctve v znení neskorších predpisov v znení neskorších predpisov.</w:t>
      </w:r>
    </w:p>
    <w:p w14:paraId="30CF6371" w14:textId="77777777" w:rsidR="00A417FF" w:rsidRPr="00033974" w:rsidRDefault="00A417FF" w:rsidP="00A417FF">
      <w:pPr>
        <w:pStyle w:val="Odsekzoznamu"/>
        <w:keepNext/>
        <w:tabs>
          <w:tab w:val="left" w:pos="709"/>
        </w:tabs>
        <w:suppressAutoHyphens/>
        <w:spacing w:after="0" w:line="240" w:lineRule="auto"/>
        <w:ind w:left="709"/>
        <w:jc w:val="both"/>
        <w:rPr>
          <w:rFonts w:ascii="Times New Roman" w:hAnsi="Times New Roman" w:cs="Times New Roman"/>
          <w:noProof/>
          <w:color w:val="0070C0"/>
          <w:sz w:val="24"/>
          <w:szCs w:val="24"/>
        </w:rPr>
      </w:pPr>
    </w:p>
    <w:p w14:paraId="1F26AB36" w14:textId="77777777" w:rsidR="00A417FF" w:rsidRPr="00033974" w:rsidRDefault="00A417FF" w:rsidP="00A417FF">
      <w:pPr>
        <w:pStyle w:val="Odsekzoznamu"/>
        <w:keepNext/>
        <w:suppressAutoHyphens/>
        <w:ind w:left="709"/>
        <w:jc w:val="both"/>
        <w:rPr>
          <w:rFonts w:ascii="Times New Roman" w:hAnsi="Times New Roman" w:cs="Times New Roman"/>
          <w:noProof/>
          <w:sz w:val="24"/>
          <w:szCs w:val="24"/>
          <w:shd w:val="clear" w:color="auto" w:fill="FAFAFA"/>
        </w:rPr>
      </w:pPr>
      <w:r w:rsidRPr="00033974">
        <w:rPr>
          <w:rFonts w:ascii="Times New Roman" w:eastAsia="Times New Roman" w:hAnsi="Times New Roman" w:cs="Times New Roman"/>
          <w:noProof/>
          <w:sz w:val="24"/>
          <w:szCs w:val="24"/>
          <w:lang w:eastAsia="sk-SK"/>
        </w:rPr>
        <w:t xml:space="preserve">Smernica (EÚ) 2019/2034 </w:t>
      </w:r>
      <w:r w:rsidRPr="00033974">
        <w:rPr>
          <w:rFonts w:ascii="Times New Roman" w:hAnsi="Times New Roman" w:cs="Times New Roman"/>
          <w:noProof/>
          <w:sz w:val="24"/>
          <w:szCs w:val="24"/>
          <w:lang w:eastAsia="cs-CZ"/>
        </w:rPr>
        <w:t>v platnom znení</w:t>
      </w:r>
      <w:r w:rsidRPr="00033974">
        <w:rPr>
          <w:rFonts w:ascii="Times New Roman" w:eastAsia="Times New Roman" w:hAnsi="Times New Roman" w:cs="Times New Roman"/>
          <w:noProof/>
          <w:sz w:val="24"/>
          <w:szCs w:val="24"/>
          <w:lang w:eastAsia="sk-SK"/>
        </w:rPr>
        <w:t xml:space="preserve"> </w:t>
      </w:r>
      <w:r w:rsidRPr="00033974">
        <w:rPr>
          <w:rFonts w:ascii="Times New Roman" w:eastAsia="Times New Roman" w:hAnsi="Times New Roman" w:cs="Times New Roman"/>
          <w:noProof/>
          <w:sz w:val="24"/>
          <w:szCs w:val="24"/>
          <w:shd w:val="clear" w:color="auto" w:fill="FFFFFF"/>
          <w:lang w:eastAsia="sk-SK"/>
        </w:rPr>
        <w:t xml:space="preserve">bola prebratá do zákona č. 483/2001 Z. z. o bankách a o zmene a doplnení niektorých zákonov v znení neskorších predpisov, do zákona č. 566/2001 Z. z. o cenných papieroch a investičných službách a o zmene a doplnení niektorých zákonov (zákon o cenných papieroch) v znení neskorších </w:t>
      </w:r>
      <w:r w:rsidRPr="00033974">
        <w:rPr>
          <w:rFonts w:ascii="Times New Roman" w:eastAsia="Times New Roman" w:hAnsi="Times New Roman" w:cs="Times New Roman"/>
          <w:noProof/>
          <w:sz w:val="24"/>
          <w:szCs w:val="24"/>
          <w:shd w:val="clear" w:color="auto" w:fill="FFFFFF"/>
          <w:lang w:eastAsia="sk-SK"/>
        </w:rPr>
        <w:lastRenderedPageBreak/>
        <w:t>predpisov,</w:t>
      </w:r>
      <w:r w:rsidRPr="00033974">
        <w:rPr>
          <w:rFonts w:ascii="Times New Roman" w:hAnsi="Times New Roman" w:cs="Times New Roman"/>
          <w:noProof/>
          <w:sz w:val="24"/>
          <w:szCs w:val="24"/>
        </w:rPr>
        <w:t xml:space="preserve"> do zákona č. 429/2002 Z. z. o burze cenných papierov v znení neskorších predpisov, do zákona č. 747/2004 Z. z. o dohľade nad finančným trhom a o</w:t>
      </w:r>
      <w:r>
        <w:rPr>
          <w:rFonts w:ascii="Times New Roman" w:hAnsi="Times New Roman" w:cs="Times New Roman"/>
          <w:noProof/>
          <w:sz w:val="24"/>
          <w:szCs w:val="24"/>
        </w:rPr>
        <w:t> </w:t>
      </w:r>
      <w:r w:rsidRPr="00033974">
        <w:rPr>
          <w:rFonts w:ascii="Times New Roman" w:hAnsi="Times New Roman" w:cs="Times New Roman"/>
          <w:noProof/>
          <w:sz w:val="24"/>
          <w:szCs w:val="24"/>
        </w:rPr>
        <w:t>zmene</w:t>
      </w:r>
      <w:r>
        <w:rPr>
          <w:rFonts w:ascii="Times New Roman" w:hAnsi="Times New Roman" w:cs="Times New Roman"/>
          <w:noProof/>
          <w:sz w:val="24"/>
          <w:szCs w:val="24"/>
        </w:rPr>
        <w:t xml:space="preserve">                    </w:t>
      </w:r>
      <w:r w:rsidRPr="00033974">
        <w:rPr>
          <w:rFonts w:ascii="Times New Roman" w:hAnsi="Times New Roman" w:cs="Times New Roman"/>
          <w:noProof/>
          <w:sz w:val="24"/>
          <w:szCs w:val="24"/>
        </w:rPr>
        <w:t xml:space="preserve"> a doplnení niektorých zákonov v znení neskorších predpisov, </w:t>
      </w:r>
      <w:r w:rsidRPr="00033974">
        <w:rPr>
          <w:rFonts w:ascii="Times New Roman" w:eastAsia="Times New Roman" w:hAnsi="Times New Roman" w:cs="Times New Roman"/>
          <w:noProof/>
          <w:sz w:val="24"/>
          <w:szCs w:val="24"/>
          <w:shd w:val="clear" w:color="auto" w:fill="FFFFFF"/>
          <w:lang w:eastAsia="sk-SK"/>
        </w:rPr>
        <w:t xml:space="preserve">do zákona č. 371/2014 Z. z. o riešení krízových situácií na finančnom trhu a o zmene a doplnení niektorých zákonov v znení neskorších predpisov, </w:t>
      </w:r>
      <w:r w:rsidRPr="00033974">
        <w:rPr>
          <w:rFonts w:ascii="Times New Roman" w:hAnsi="Times New Roman" w:cs="Times New Roman"/>
          <w:noProof/>
          <w:sz w:val="24"/>
          <w:szCs w:val="24"/>
        </w:rPr>
        <w:t xml:space="preserve">do zákona č. 423/2015 Z. z. o štatutárnom audite a o zmene a doplnení zákona č. 431/2002 Z. z. o účtovníctve v znení neskorších predpisov v znení neskorších predpisov, </w:t>
      </w:r>
      <w:r w:rsidRPr="00033974">
        <w:rPr>
          <w:rFonts w:ascii="Times New Roman" w:eastAsia="Times New Roman" w:hAnsi="Times New Roman" w:cs="Times New Roman"/>
          <w:noProof/>
          <w:sz w:val="24"/>
          <w:szCs w:val="24"/>
          <w:shd w:val="clear" w:color="auto" w:fill="FFFFFF"/>
          <w:lang w:eastAsia="sk-SK"/>
        </w:rPr>
        <w:t xml:space="preserve">do zákona Národnej rady Slovenskej republiky č. 566/1992 Zb. o Národnej banke Slovenska v znení neskorších predpisov, </w:t>
      </w:r>
      <w:r w:rsidRPr="00033974">
        <w:rPr>
          <w:rFonts w:ascii="Times New Roman" w:hAnsi="Times New Roman" w:cs="Times New Roman"/>
          <w:noProof/>
          <w:sz w:val="24"/>
          <w:szCs w:val="24"/>
        </w:rPr>
        <w:t xml:space="preserve">do zákona č. 203/2011 Z. z. o kolektívnom investovaní </w:t>
      </w:r>
      <w:r w:rsidRPr="00033974">
        <w:rPr>
          <w:rFonts w:ascii="Times New Roman" w:hAnsi="Times New Roman" w:cs="Times New Roman"/>
          <w:noProof/>
          <w:sz w:val="24"/>
          <w:szCs w:val="24"/>
          <w:lang w:eastAsia="cs-CZ"/>
        </w:rPr>
        <w:t xml:space="preserve">v znení neskorších predpisov, </w:t>
      </w:r>
      <w:r w:rsidRPr="00033974">
        <w:rPr>
          <w:rFonts w:ascii="Times New Roman" w:eastAsia="Times New Roman" w:hAnsi="Times New Roman" w:cs="Times New Roman"/>
          <w:noProof/>
          <w:sz w:val="24"/>
          <w:szCs w:val="24"/>
          <w:shd w:val="clear" w:color="auto" w:fill="FFFFFF"/>
          <w:lang w:eastAsia="sk-SK"/>
        </w:rPr>
        <w:t>do opatrenia Národnej banky Slovenska z 31. marca 2015 č. 4/2015 o ďalších druhoch rizík, o podrobnostiach o systéme riadenia rizík banky a pobočky zahraničnej banky a ktorým sa ustanovuje čo sa rozumie náhlou a neočakávanou zmenou úrokových mier na trhu a do o</w:t>
      </w:r>
      <w:r w:rsidRPr="00033974">
        <w:rPr>
          <w:rFonts w:ascii="Times New Roman" w:hAnsi="Times New Roman" w:cs="Times New Roman"/>
          <w:noProof/>
          <w:sz w:val="24"/>
          <w:szCs w:val="24"/>
          <w:shd w:val="clear" w:color="auto" w:fill="FAFAFA"/>
        </w:rPr>
        <w:t>patrenia Národnej banky Slovenska z 28. októbra 2008 č. 18/2008</w:t>
      </w:r>
      <w:r>
        <w:rPr>
          <w:rFonts w:ascii="Times New Roman" w:hAnsi="Times New Roman" w:cs="Times New Roman"/>
          <w:noProof/>
          <w:sz w:val="24"/>
          <w:szCs w:val="24"/>
          <w:shd w:val="clear" w:color="auto" w:fill="FAFAFA"/>
        </w:rPr>
        <w:t xml:space="preserve">                          </w:t>
      </w:r>
      <w:r w:rsidRPr="00033974">
        <w:rPr>
          <w:rFonts w:ascii="Times New Roman" w:hAnsi="Times New Roman" w:cs="Times New Roman"/>
          <w:noProof/>
          <w:sz w:val="24"/>
          <w:szCs w:val="24"/>
          <w:shd w:val="clear" w:color="auto" w:fill="FAFAFA"/>
        </w:rPr>
        <w:t xml:space="preserve"> o likvidite bánk a pobočiek zahraničných bánk a o postupe riadenia rizika likvidity bánk a likvidity pobočiek zahraničných bánk a o zmene opatrenia Národnej banky Slovenska 11/2007 o predkladaní výkazov, hlásení a iných správ bankami, pobočkami zahraničných bánk, obchodníkmi s cennými papiermi a pobočkami zahraničných obchodníkov s cennými papiermi na účely vykonávania dohľadu a na štatistické účely.</w:t>
      </w:r>
    </w:p>
    <w:p w14:paraId="29830332" w14:textId="77777777" w:rsidR="00A417FF" w:rsidRPr="00033974" w:rsidRDefault="00A417FF" w:rsidP="00A417FF">
      <w:pPr>
        <w:pStyle w:val="Odsekzoznamu"/>
        <w:keepNext/>
        <w:suppressAutoHyphens/>
        <w:ind w:left="709"/>
        <w:jc w:val="both"/>
        <w:rPr>
          <w:rFonts w:ascii="Times New Roman" w:eastAsia="Times New Roman" w:hAnsi="Times New Roman" w:cs="Times New Roman"/>
          <w:noProof/>
          <w:sz w:val="24"/>
          <w:szCs w:val="24"/>
          <w:lang w:eastAsia="sk-SK"/>
        </w:rPr>
      </w:pPr>
    </w:p>
    <w:p w14:paraId="221E6112" w14:textId="77777777" w:rsidR="00A417FF" w:rsidRPr="00033974" w:rsidRDefault="00A417FF" w:rsidP="00A417FF">
      <w:pPr>
        <w:pStyle w:val="Odsekzoznamu"/>
        <w:keepNext/>
        <w:suppressAutoHyphens/>
        <w:spacing w:after="0" w:line="240" w:lineRule="auto"/>
        <w:jc w:val="both"/>
        <w:rPr>
          <w:rFonts w:ascii="Times New Roman" w:hAnsi="Times New Roman" w:cs="Times New Roman"/>
          <w:bCs/>
          <w:noProof/>
          <w:sz w:val="24"/>
          <w:szCs w:val="24"/>
          <w:shd w:val="clear" w:color="auto" w:fill="FFFFFF"/>
        </w:rPr>
      </w:pPr>
      <w:r w:rsidRPr="00033974">
        <w:rPr>
          <w:rFonts w:ascii="Times New Roman" w:hAnsi="Times New Roman" w:cs="Times New Roman"/>
          <w:noProof/>
          <w:sz w:val="24"/>
          <w:szCs w:val="24"/>
          <w:lang w:eastAsia="cs-CZ"/>
        </w:rPr>
        <w:t xml:space="preserve">Smernica 2009/65/ES v platnom znení bola prebratá </w:t>
      </w:r>
      <w:r w:rsidRPr="00033974">
        <w:rPr>
          <w:rFonts w:ascii="Times New Roman" w:hAnsi="Times New Roman" w:cs="Times New Roman"/>
          <w:noProof/>
          <w:sz w:val="24"/>
          <w:szCs w:val="24"/>
        </w:rPr>
        <w:t xml:space="preserve">do zákona č. 203/2011 Z. z. o kolektívnom investovaní </w:t>
      </w:r>
      <w:r w:rsidRPr="00033974">
        <w:rPr>
          <w:rFonts w:ascii="Times New Roman" w:hAnsi="Times New Roman" w:cs="Times New Roman"/>
          <w:noProof/>
          <w:sz w:val="24"/>
          <w:szCs w:val="24"/>
          <w:lang w:eastAsia="cs-CZ"/>
        </w:rPr>
        <w:t>v znení neskorších predpisov,</w:t>
      </w:r>
      <w:r w:rsidRPr="00033974">
        <w:rPr>
          <w:rFonts w:ascii="Times New Roman" w:hAnsi="Times New Roman" w:cs="Times New Roman"/>
          <w:noProof/>
          <w:sz w:val="24"/>
          <w:szCs w:val="24"/>
        </w:rPr>
        <w:t xml:space="preserve"> do zákona č.</w:t>
      </w:r>
      <w:r w:rsidRPr="00033974">
        <w:rPr>
          <w:rFonts w:ascii="Times New Roman" w:hAnsi="Times New Roman" w:cs="Times New Roman"/>
          <w:noProof/>
          <w:sz w:val="24"/>
          <w:szCs w:val="24"/>
          <w:lang w:eastAsia="cs-CZ"/>
        </w:rPr>
        <w:t xml:space="preserve"> 566/2001 Z. z. o cenných papieroch a investičných službách a o zmene a doplnení niektorých zákonov (zákon o cenných papieroch) v znení neskorších predpisov, do zákona č. 747/2004 Z. z. o dohľade nad finančným trhom a o zmene niektorých zákonov v znení neskorších predpisov, do zákona </w:t>
      </w:r>
      <w:r w:rsidRPr="00033974">
        <w:rPr>
          <w:rFonts w:ascii="Times New Roman" w:hAnsi="Times New Roman" w:cs="Times New Roman"/>
          <w:noProof/>
          <w:sz w:val="24"/>
          <w:szCs w:val="24"/>
        </w:rPr>
        <w:t>108/2024 Z. z. o ochrane spotrebiteľa a o zmene a doplnení niektorých zákonov</w:t>
      </w:r>
      <w:r w:rsidRPr="00033974">
        <w:rPr>
          <w:rFonts w:ascii="Times New Roman" w:hAnsi="Times New Roman" w:cs="Times New Roman"/>
          <w:bCs/>
          <w:noProof/>
          <w:sz w:val="24"/>
          <w:szCs w:val="24"/>
          <w:shd w:val="clear" w:color="auto" w:fill="FFFFFF"/>
        </w:rPr>
        <w:t xml:space="preserve">, </w:t>
      </w:r>
      <w:r w:rsidRPr="00033974">
        <w:rPr>
          <w:rFonts w:ascii="Times New Roman" w:hAnsi="Times New Roman" w:cs="Times New Roman"/>
          <w:noProof/>
          <w:sz w:val="24"/>
          <w:szCs w:val="24"/>
          <w:lang w:eastAsia="cs-CZ"/>
        </w:rPr>
        <w:t xml:space="preserve">do zákona č. </w:t>
      </w:r>
      <w:r w:rsidRPr="00033974">
        <w:rPr>
          <w:rFonts w:ascii="Times New Roman" w:hAnsi="Times New Roman" w:cs="Times New Roman"/>
          <w:noProof/>
          <w:sz w:val="24"/>
          <w:szCs w:val="24"/>
        </w:rPr>
        <w:t xml:space="preserve"> 244/2002 Z. z. o rozhodcovskom konaní </w:t>
      </w:r>
      <w:r w:rsidRPr="00033974">
        <w:rPr>
          <w:rFonts w:ascii="Times New Roman" w:hAnsi="Times New Roman" w:cs="Times New Roman"/>
          <w:bCs/>
          <w:noProof/>
          <w:sz w:val="24"/>
          <w:szCs w:val="24"/>
          <w:shd w:val="clear" w:color="auto" w:fill="FFFFFF"/>
        </w:rPr>
        <w:t xml:space="preserve">v znení neskorších predpisov a do zákona č. </w:t>
      </w:r>
      <w:r w:rsidRPr="00033974">
        <w:rPr>
          <w:rFonts w:ascii="Times New Roman" w:hAnsi="Times New Roman" w:cs="Times New Roman"/>
          <w:noProof/>
          <w:sz w:val="24"/>
          <w:szCs w:val="24"/>
        </w:rPr>
        <w:t xml:space="preserve">420/2004 Z. z. o mediácii a o doplnení niektorých zákonov </w:t>
      </w:r>
      <w:r w:rsidRPr="00033974">
        <w:rPr>
          <w:rFonts w:ascii="Times New Roman" w:hAnsi="Times New Roman" w:cs="Times New Roman"/>
          <w:bCs/>
          <w:noProof/>
          <w:sz w:val="24"/>
          <w:szCs w:val="24"/>
          <w:shd w:val="clear" w:color="auto" w:fill="FFFFFF"/>
        </w:rPr>
        <w:t>v znení neskorších predpisov do opatrenia Národnej banky Slovenska z 26. júla 2011 č. 6/2011 o náležitostiach žiadosti o udelenie predchádzajúceho súhlasu Národnej banky Slovenska podľa zákona o kolektívnom investovaní v znení neskorších predpisov, do opatrenia Národnej banky Slovenska z 26. júla 2011 č. 7/2011</w:t>
      </w:r>
      <w:r>
        <w:rPr>
          <w:rFonts w:ascii="Times New Roman" w:hAnsi="Times New Roman" w:cs="Times New Roman"/>
          <w:bCs/>
          <w:noProof/>
          <w:sz w:val="24"/>
          <w:szCs w:val="24"/>
          <w:shd w:val="clear" w:color="auto" w:fill="FFFFFF"/>
        </w:rPr>
        <w:t xml:space="preserve">                                 </w:t>
      </w:r>
      <w:r w:rsidRPr="00033974">
        <w:rPr>
          <w:rFonts w:ascii="Times New Roman" w:hAnsi="Times New Roman" w:cs="Times New Roman"/>
          <w:bCs/>
          <w:noProof/>
          <w:sz w:val="24"/>
          <w:szCs w:val="24"/>
          <w:shd w:val="clear" w:color="auto" w:fill="FFFFFF"/>
        </w:rPr>
        <w:t xml:space="preserve"> o vlastných zdrojoch správcovskej spoločnosti.</w:t>
      </w:r>
    </w:p>
    <w:p w14:paraId="027EA318" w14:textId="77777777" w:rsidR="00A417FF" w:rsidRPr="00033974" w:rsidRDefault="00A417FF" w:rsidP="00A417FF">
      <w:pPr>
        <w:pStyle w:val="Odsekzoznamu"/>
        <w:keepNext/>
        <w:suppressAutoHyphens/>
        <w:spacing w:after="0" w:line="240" w:lineRule="auto"/>
        <w:jc w:val="both"/>
        <w:rPr>
          <w:rFonts w:ascii="Times New Roman" w:hAnsi="Times New Roman" w:cs="Times New Roman"/>
          <w:bCs/>
          <w:noProof/>
          <w:sz w:val="24"/>
          <w:szCs w:val="24"/>
          <w:shd w:val="clear" w:color="auto" w:fill="FFFFFF"/>
        </w:rPr>
      </w:pPr>
    </w:p>
    <w:p w14:paraId="4F4381FF" w14:textId="79F142B0" w:rsidR="00A417FF" w:rsidRPr="00033974" w:rsidRDefault="00A417FF" w:rsidP="00A417FF">
      <w:pPr>
        <w:pStyle w:val="Odsekzoznamu"/>
        <w:keepNext/>
        <w:suppressAutoHyphens/>
        <w:spacing w:after="0" w:line="240" w:lineRule="auto"/>
        <w:ind w:left="680"/>
        <w:jc w:val="both"/>
        <w:rPr>
          <w:rFonts w:ascii="Times New Roman" w:eastAsia="Times New Roman" w:hAnsi="Times New Roman" w:cs="Times New Roman"/>
          <w:noProof/>
          <w:sz w:val="24"/>
          <w:szCs w:val="24"/>
          <w:lang w:eastAsia="sk-SK"/>
        </w:rPr>
      </w:pPr>
      <w:r w:rsidRPr="00033974">
        <w:rPr>
          <w:rFonts w:ascii="Times New Roman" w:eastAsia="Times New Roman" w:hAnsi="Times New Roman" w:cs="Times New Roman"/>
          <w:noProof/>
          <w:sz w:val="24"/>
          <w:szCs w:val="24"/>
          <w:shd w:val="clear" w:color="auto" w:fill="FFFFFF"/>
          <w:lang w:eastAsia="sk-SK"/>
        </w:rPr>
        <w:t xml:space="preserve">Smernica 2013/36/EÚ v platnom znení bola prebratá do zákona č. 483/2001 Z. z. o bankách a o zmene a doplnení niektorých zákonov v znení neskorších predpisov, do zákona č. 566/2001 Z. z. o cenných papieroch a investičných službách a o zmene a doplnení niektorých zákonov (zákon o cenných papieroch) v znení neskorších predpisov, do zákona č. 513/1991 Zb. Obchodný zákonník v znení neskorších </w:t>
      </w:r>
      <w:r w:rsidR="00867B8E">
        <w:rPr>
          <w:rFonts w:ascii="Times New Roman" w:eastAsia="Times New Roman" w:hAnsi="Times New Roman" w:cs="Times New Roman"/>
          <w:noProof/>
          <w:sz w:val="24"/>
          <w:szCs w:val="24"/>
          <w:shd w:val="clear" w:color="auto" w:fill="FFFFFF"/>
          <w:lang w:eastAsia="sk-SK"/>
        </w:rPr>
        <w:t xml:space="preserve">     </w:t>
      </w:r>
      <w:r w:rsidRPr="00033974">
        <w:rPr>
          <w:rFonts w:ascii="Times New Roman" w:eastAsia="Times New Roman" w:hAnsi="Times New Roman" w:cs="Times New Roman"/>
          <w:noProof/>
          <w:sz w:val="24"/>
          <w:szCs w:val="24"/>
          <w:shd w:val="clear" w:color="auto" w:fill="FFFFFF"/>
          <w:lang w:eastAsia="sk-SK"/>
        </w:rPr>
        <w:t>predpisov, do zákona Národnej rady Slovenskej republiky č. 566/1992 Zb. o Národnej banke Slovenska v znení neskorších predpisov, do zákona č. 747/2004 Z. z. o dohľade nad finančným trhom a o zmene a doplnení niektorých zákonov v znení neskorších predpisov, do zákona č. 423/2015 Z. z. o štatutárnom audite a o zmene a doplnení zákona č. 431/2002 Z. z. o účtovníctve v znení neskorších predpisov v znení neskorších predpisov, do zákona č. 186/2009 Z. z. o finančnom sprostredkovaní a finančnom poradenstve a o zmene a doplnení niektorých zákonov v znení neskorších predpisov, do zákona č. 371/2014 Z. z. o riešení krízových situácií na finančnom trhu a o zmene a doplnení niektorých zákonov v znení neskorších predpisov, do zákona č. 39/2015 Z. z. o poisťovníctve a o zmene a doplnení niektorých zákonov v znení neskorších</w:t>
      </w:r>
      <w:r w:rsidR="00867B8E">
        <w:rPr>
          <w:rFonts w:ascii="Times New Roman" w:eastAsia="Times New Roman" w:hAnsi="Times New Roman" w:cs="Times New Roman"/>
          <w:noProof/>
          <w:sz w:val="24"/>
          <w:szCs w:val="24"/>
          <w:shd w:val="clear" w:color="auto" w:fill="FFFFFF"/>
          <w:lang w:eastAsia="sk-SK"/>
        </w:rPr>
        <w:t xml:space="preserve">     </w:t>
      </w:r>
      <w:r w:rsidRPr="00033974">
        <w:rPr>
          <w:rFonts w:ascii="Times New Roman" w:eastAsia="Times New Roman" w:hAnsi="Times New Roman" w:cs="Times New Roman"/>
          <w:noProof/>
          <w:sz w:val="24"/>
          <w:szCs w:val="24"/>
          <w:shd w:val="clear" w:color="auto" w:fill="FFFFFF"/>
          <w:lang w:eastAsia="sk-SK"/>
        </w:rPr>
        <w:t xml:space="preserve"> predpisov, do opatrenia Národnej banky Slovenska z 28. októbra 2008 č. 18/2008 </w:t>
      </w:r>
      <w:r w:rsidRPr="00033974">
        <w:rPr>
          <w:rFonts w:ascii="Times New Roman" w:eastAsia="Times New Roman" w:hAnsi="Times New Roman" w:cs="Times New Roman"/>
          <w:noProof/>
          <w:sz w:val="24"/>
          <w:szCs w:val="24"/>
          <w:shd w:val="clear" w:color="auto" w:fill="FFFFFF"/>
          <w:lang w:eastAsia="sk-SK"/>
        </w:rPr>
        <w:lastRenderedPageBreak/>
        <w:t>o likvidite bánk a pobočiek zahraničných bánk a o postupe riadenia rizika likvidity bánk a likvidity pobočiek zahraničných bánk a o zmene opatrenia Národnej banky Slovenska č. 11/2007 o predkladaní výkazov, hlásení a iných správ bankami, pobočkami zahraničných bánk, obchodníkmi s cennými papiermi a pobočkami zahraničných obchodníkov s cennými papiermi na účely vykonávania dohľadu a na štatistické účely v znení neskorších predpisov, do opatrenia Národnej banky Slovenska č. 6/2010 z</w:t>
      </w:r>
      <w:r w:rsidRPr="00033974">
        <w:rPr>
          <w:rFonts w:ascii="Times New Roman" w:eastAsia="Times New Roman" w:hAnsi="Times New Roman" w:cs="Times New Roman"/>
          <w:b/>
          <w:bCs/>
          <w:noProof/>
          <w:sz w:val="24"/>
          <w:szCs w:val="24"/>
          <w:shd w:val="clear" w:color="auto" w:fill="FFFFFF"/>
          <w:lang w:eastAsia="sk-SK"/>
        </w:rPr>
        <w:t> </w:t>
      </w:r>
      <w:r w:rsidRPr="00033974">
        <w:rPr>
          <w:rFonts w:ascii="Times New Roman" w:eastAsia="Times New Roman" w:hAnsi="Times New Roman" w:cs="Times New Roman"/>
          <w:noProof/>
          <w:sz w:val="24"/>
          <w:szCs w:val="24"/>
          <w:shd w:val="clear" w:color="auto" w:fill="FFFFFF"/>
          <w:lang w:eastAsia="sk-SK"/>
        </w:rPr>
        <w:t>11.</w:t>
      </w:r>
      <w:r w:rsidRPr="00033974">
        <w:rPr>
          <w:rFonts w:ascii="Times New Roman" w:eastAsia="Times New Roman" w:hAnsi="Times New Roman" w:cs="Times New Roman"/>
          <w:b/>
          <w:bCs/>
          <w:noProof/>
          <w:sz w:val="24"/>
          <w:szCs w:val="24"/>
          <w:shd w:val="clear" w:color="auto" w:fill="FFFFFF"/>
          <w:lang w:eastAsia="sk-SK"/>
        </w:rPr>
        <w:t> </w:t>
      </w:r>
      <w:r w:rsidRPr="00033974">
        <w:rPr>
          <w:rFonts w:ascii="Times New Roman" w:eastAsia="Times New Roman" w:hAnsi="Times New Roman" w:cs="Times New Roman"/>
          <w:noProof/>
          <w:sz w:val="24"/>
          <w:szCs w:val="24"/>
          <w:shd w:val="clear" w:color="auto" w:fill="FFFFFF"/>
          <w:lang w:eastAsia="sk-SK"/>
        </w:rPr>
        <w:t>mája 2010, ktorým sa ustanovujú náležitosti žiadosti o predchádzajúci súhlas Národnej banky Slovenska podľa § 28 ods. 1 zákona o bankách v znení neskorších predpisov, do opatrenia Národnej banky Slovenska z 31. marca 2015 č. 4/2015 o ďalších druhoch rizík, o podrobnostiach o systéme riadenia rizík banky a pobočky zahraničnej banky a ktorým sa ustanovuje čo sa rozumie náhlou a neočakávanou zmenou úrokových mier na trhu, do opatrenia Národnej banky Slovenska z 12. decembra 2017 č. 13/2017 o predkladaní výkazov, hlásení a iných správ bankami a pobočkami zahraničných bánk na účely vykonávania dohľadu v znení neskorších predpisov, do opatrenia Národnej banky Slovenska č. 13/2014 z 29. júla 2014 o predkladaní výkazov, hlásení a iných správ obchodníkmi s cennými papiermi a pobočkami zahraničných obchodníkov s cennými papiermi na účely vykonávania dohľadu v znení neskorších predpisov, do opatrenia Národnej banky Slovenska</w:t>
      </w:r>
      <w:r>
        <w:rPr>
          <w:rFonts w:ascii="Times New Roman" w:eastAsia="Times New Roman" w:hAnsi="Times New Roman" w:cs="Times New Roman"/>
          <w:noProof/>
          <w:sz w:val="24"/>
          <w:szCs w:val="24"/>
          <w:shd w:val="clear" w:color="auto" w:fill="FFFFFF"/>
          <w:lang w:eastAsia="sk-SK"/>
        </w:rPr>
        <w:t xml:space="preserve">                            </w:t>
      </w:r>
      <w:r w:rsidRPr="00033974">
        <w:rPr>
          <w:rFonts w:ascii="Times New Roman" w:eastAsia="Times New Roman" w:hAnsi="Times New Roman" w:cs="Times New Roman"/>
          <w:noProof/>
          <w:sz w:val="24"/>
          <w:szCs w:val="24"/>
          <w:shd w:val="clear" w:color="auto" w:fill="FFFFFF"/>
          <w:lang w:eastAsia="sk-SK"/>
        </w:rPr>
        <w:t xml:space="preserve"> č. 16/2014 z 2. septembra 2014 o uverejňovaní informácií bankami a pobočkami zahraničných bánk v znení neskorších predpisov a do opatrenia Národnej banky Slovenska z 31. marca 2015 č. 4/2015 o ďalších druhoch rizík, o podrobnostiach o systéme riadenia rizík banky a pobočky zahraničnej banky a ktorým sa ustanovuje čo sa rozumie náhlou a neočakávanou zmenou úrokových mier na trhu.</w:t>
      </w:r>
    </w:p>
    <w:p w14:paraId="6BDEE8E8" w14:textId="77777777" w:rsidR="00A417FF" w:rsidRPr="00033974" w:rsidRDefault="00A417FF" w:rsidP="00A417FF">
      <w:pPr>
        <w:pStyle w:val="Odsekzoznamu"/>
        <w:keepNext/>
        <w:tabs>
          <w:tab w:val="left" w:pos="360"/>
          <w:tab w:val="left" w:pos="540"/>
        </w:tabs>
        <w:suppressAutoHyphens/>
        <w:spacing w:after="0" w:line="240" w:lineRule="auto"/>
        <w:ind w:left="680"/>
        <w:jc w:val="both"/>
        <w:rPr>
          <w:rFonts w:ascii="Times New Roman" w:eastAsia="Times New Roman" w:hAnsi="Times New Roman" w:cs="Times New Roman"/>
          <w:noProof/>
          <w:color w:val="000000"/>
          <w:sz w:val="24"/>
          <w:szCs w:val="24"/>
          <w:lang w:eastAsia="sk-SK"/>
        </w:rPr>
      </w:pPr>
    </w:p>
    <w:p w14:paraId="6199F1E2" w14:textId="77777777" w:rsidR="00A417FF" w:rsidRPr="00033974" w:rsidRDefault="00A417FF" w:rsidP="00A417FF">
      <w:pPr>
        <w:pStyle w:val="Odsekzoznamu"/>
        <w:keepNext/>
        <w:tabs>
          <w:tab w:val="left" w:pos="360"/>
          <w:tab w:val="left" w:pos="540"/>
        </w:tabs>
        <w:suppressAutoHyphens/>
        <w:spacing w:after="0" w:line="240" w:lineRule="auto"/>
        <w:ind w:left="680"/>
        <w:jc w:val="both"/>
        <w:rPr>
          <w:rFonts w:ascii="Times New Roman" w:eastAsia="Times New Roman" w:hAnsi="Times New Roman" w:cs="Times New Roman"/>
          <w:noProof/>
          <w:color w:val="000000"/>
          <w:sz w:val="24"/>
          <w:szCs w:val="24"/>
          <w:lang w:eastAsia="sk-SK"/>
        </w:rPr>
      </w:pPr>
    </w:p>
    <w:p w14:paraId="69E150A1" w14:textId="77777777" w:rsidR="00A417FF" w:rsidRPr="00033974" w:rsidRDefault="00A417FF" w:rsidP="00A417FF">
      <w:pPr>
        <w:pStyle w:val="Odsekzoznamu"/>
        <w:keepNext/>
        <w:tabs>
          <w:tab w:val="left" w:pos="360"/>
          <w:tab w:val="left" w:pos="540"/>
        </w:tabs>
        <w:suppressAutoHyphens/>
        <w:spacing w:after="0" w:line="240" w:lineRule="auto"/>
        <w:ind w:left="680"/>
        <w:jc w:val="both"/>
        <w:rPr>
          <w:rFonts w:ascii="Times New Roman" w:eastAsia="Times New Roman" w:hAnsi="Times New Roman" w:cs="Times New Roman"/>
          <w:noProof/>
          <w:color w:val="000000"/>
          <w:sz w:val="24"/>
          <w:szCs w:val="24"/>
          <w:lang w:eastAsia="sk-SK"/>
        </w:rPr>
      </w:pPr>
    </w:p>
    <w:p w14:paraId="03DF0F0D" w14:textId="77777777" w:rsidR="00A417FF" w:rsidRPr="00033974" w:rsidRDefault="00A417FF" w:rsidP="00A417FF">
      <w:pPr>
        <w:pStyle w:val="Odsekzoznamu"/>
        <w:keepNext/>
        <w:numPr>
          <w:ilvl w:val="0"/>
          <w:numId w:val="4"/>
        </w:numPr>
        <w:suppressAutoHyphens/>
        <w:spacing w:after="0" w:line="240" w:lineRule="auto"/>
        <w:ind w:left="426" w:hanging="426"/>
        <w:rPr>
          <w:rFonts w:ascii="Times New Roman" w:eastAsia="Times New Roman" w:hAnsi="Times New Roman" w:cs="Times New Roman"/>
          <w:noProof/>
          <w:color w:val="000000"/>
          <w:sz w:val="24"/>
          <w:szCs w:val="24"/>
          <w:lang w:eastAsia="sk-SK"/>
        </w:rPr>
      </w:pPr>
      <w:r w:rsidRPr="00033974">
        <w:rPr>
          <w:rFonts w:ascii="Times New Roman" w:eastAsia="Times New Roman" w:hAnsi="Times New Roman" w:cs="Times New Roman"/>
          <w:b/>
          <w:bCs/>
          <w:noProof/>
          <w:color w:val="000000"/>
          <w:sz w:val="24"/>
          <w:szCs w:val="24"/>
          <w:lang w:eastAsia="sk-SK"/>
        </w:rPr>
        <w:t>Návrh zákona je zlučiteľný s právom Európskej únie:</w:t>
      </w:r>
    </w:p>
    <w:p w14:paraId="1F51220B" w14:textId="77777777" w:rsidR="00A417FF" w:rsidRPr="00033974" w:rsidRDefault="00A417FF" w:rsidP="00A417FF">
      <w:pPr>
        <w:pStyle w:val="Odsekzoznamu"/>
        <w:keepNext/>
        <w:numPr>
          <w:ilvl w:val="0"/>
          <w:numId w:val="8"/>
        </w:numPr>
        <w:suppressAutoHyphens/>
        <w:spacing w:after="0" w:line="240" w:lineRule="auto"/>
        <w:jc w:val="both"/>
        <w:rPr>
          <w:rFonts w:ascii="Times New Roman" w:hAnsi="Times New Roman" w:cs="Times New Roman"/>
          <w:noProof/>
          <w:sz w:val="24"/>
          <w:szCs w:val="24"/>
        </w:rPr>
      </w:pPr>
      <w:r w:rsidRPr="00033974">
        <w:rPr>
          <w:rFonts w:ascii="Times New Roman" w:eastAsia="Times New Roman" w:hAnsi="Times New Roman" w:cs="Times New Roman"/>
          <w:noProof/>
          <w:color w:val="000000"/>
          <w:sz w:val="24"/>
          <w:szCs w:val="24"/>
          <w:lang w:eastAsia="sk-SK"/>
        </w:rPr>
        <w:t>úplne.</w:t>
      </w:r>
    </w:p>
    <w:p w14:paraId="0693BBF1" w14:textId="77777777" w:rsidR="00A417FF" w:rsidRPr="00033974" w:rsidRDefault="00A417FF" w:rsidP="00A417FF">
      <w:pPr>
        <w:keepNext/>
        <w:suppressAutoHyphens/>
        <w:jc w:val="both"/>
        <w:rPr>
          <w:noProof/>
        </w:rPr>
      </w:pPr>
    </w:p>
    <w:p w14:paraId="6C9DCC03" w14:textId="77777777" w:rsidR="00A417FF" w:rsidRPr="00033974" w:rsidRDefault="00A417FF" w:rsidP="00A417FF">
      <w:pPr>
        <w:keepNext/>
        <w:suppressAutoHyphens/>
        <w:ind w:left="360"/>
        <w:jc w:val="both"/>
        <w:rPr>
          <w:noProof/>
        </w:rPr>
      </w:pPr>
      <w:r w:rsidRPr="00033974">
        <w:rPr>
          <w:noProof/>
        </w:rPr>
        <w:t xml:space="preserve">Smernica (EÚ) 2024/2994 je predloženým návrhom zákona transponovaná iba čiastočne, nakoľko článok 1 uvedenej smernice bude transponovaný do zákona č. 203/2011 Z. z. o kolektívnom investovaní v znení neskorších predpisov a článok 2 bude transponovaný do zákona </w:t>
      </w:r>
      <w:r w:rsidRPr="00033974">
        <w:rPr>
          <w:bCs/>
          <w:noProof/>
        </w:rPr>
        <w:t>č. 483/2001 Z. z. o bankách a o zmene a doplnení niektorých zákonov v znení neskorších predpisov</w:t>
      </w:r>
      <w:r w:rsidRPr="00033974">
        <w:rPr>
          <w:noProof/>
        </w:rPr>
        <w:t xml:space="preserve">. </w:t>
      </w:r>
    </w:p>
    <w:p w14:paraId="7CA88985" w14:textId="77777777" w:rsidR="00A417FF" w:rsidRPr="00033974" w:rsidRDefault="00A417FF" w:rsidP="00A417FF">
      <w:pPr>
        <w:keepNext/>
        <w:suppressAutoHyphens/>
        <w:jc w:val="both"/>
        <w:rPr>
          <w:noProof/>
        </w:rPr>
      </w:pPr>
    </w:p>
    <w:p w14:paraId="68B0AC06" w14:textId="77777777" w:rsidR="00A417FF" w:rsidRPr="00033974" w:rsidRDefault="00A417FF" w:rsidP="00A417FF">
      <w:pPr>
        <w:keepNext/>
        <w:suppressAutoHyphens/>
        <w:jc w:val="both"/>
      </w:pPr>
    </w:p>
    <w:p w14:paraId="49C3E235" w14:textId="77777777" w:rsidR="00A417FF" w:rsidRDefault="00A417FF" w:rsidP="00A46F6A">
      <w:pPr>
        <w:jc w:val="both"/>
      </w:pPr>
    </w:p>
    <w:p w14:paraId="304985AA" w14:textId="77777777" w:rsidR="00A417FF" w:rsidRDefault="00A417FF" w:rsidP="00A46F6A">
      <w:pPr>
        <w:jc w:val="both"/>
      </w:pPr>
    </w:p>
    <w:p w14:paraId="13FBD6E1" w14:textId="77777777" w:rsidR="00A417FF" w:rsidRDefault="00A417FF" w:rsidP="00A46F6A">
      <w:pPr>
        <w:jc w:val="both"/>
      </w:pPr>
    </w:p>
    <w:p w14:paraId="268734EA" w14:textId="353DA8CA" w:rsidR="00867B8E" w:rsidRDefault="00867B8E">
      <w:pPr>
        <w:spacing w:after="160" w:line="259" w:lineRule="auto"/>
      </w:pPr>
      <w:r>
        <w:br w:type="page"/>
      </w:r>
    </w:p>
    <w:p w14:paraId="4F79C4BF" w14:textId="77777777" w:rsidR="00FD7677" w:rsidRPr="008E2E6B" w:rsidRDefault="00FD7677" w:rsidP="00A417FF">
      <w:pPr>
        <w:jc w:val="both"/>
        <w:rPr>
          <w:b/>
          <w:noProof/>
          <w:sz w:val="28"/>
          <w:szCs w:val="28"/>
        </w:rPr>
      </w:pPr>
    </w:p>
    <w:p w14:paraId="7E241113" w14:textId="1EDAEB18" w:rsidR="00A417FF" w:rsidRPr="00FD7677" w:rsidRDefault="00A417FF" w:rsidP="00A417FF">
      <w:pPr>
        <w:jc w:val="both"/>
        <w:rPr>
          <w:b/>
          <w:noProof/>
        </w:rPr>
      </w:pPr>
      <w:r w:rsidRPr="00FD7677">
        <w:rPr>
          <w:b/>
          <w:noProof/>
        </w:rPr>
        <w:t xml:space="preserve">Osobitná časť </w:t>
      </w:r>
    </w:p>
    <w:p w14:paraId="48AFF180" w14:textId="77777777" w:rsidR="00A417FF" w:rsidRPr="008E2E6B" w:rsidRDefault="00A417FF" w:rsidP="00A417FF">
      <w:pPr>
        <w:jc w:val="both"/>
        <w:rPr>
          <w:b/>
          <w:noProof/>
          <w:sz w:val="28"/>
          <w:szCs w:val="28"/>
        </w:rPr>
      </w:pPr>
    </w:p>
    <w:p w14:paraId="20D08F0C" w14:textId="77777777" w:rsidR="00A417FF" w:rsidRPr="008E2E6B" w:rsidRDefault="00A417FF" w:rsidP="00A417FF">
      <w:pPr>
        <w:pStyle w:val="Bezriadkovania"/>
        <w:rPr>
          <w:rFonts w:ascii="Times New Roman" w:hAnsi="Times New Roman" w:cs="Times New Roman"/>
          <w:noProof/>
          <w:sz w:val="28"/>
          <w:szCs w:val="28"/>
          <w:lang w:val="sk-SK"/>
        </w:rPr>
      </w:pPr>
    </w:p>
    <w:p w14:paraId="7C0C8723" w14:textId="77777777" w:rsidR="00A417FF" w:rsidRPr="00FD7677" w:rsidRDefault="00A417FF" w:rsidP="00A417FF">
      <w:pPr>
        <w:rPr>
          <w:b/>
          <w:bCs/>
          <w:noProof/>
        </w:rPr>
      </w:pPr>
      <w:r w:rsidRPr="00FD7677">
        <w:rPr>
          <w:b/>
          <w:bCs/>
          <w:noProof/>
        </w:rPr>
        <w:t>Čl. I – zákon č. 566/2001 Z. z. o cenných papieroch a investičných službách</w:t>
      </w:r>
    </w:p>
    <w:p w14:paraId="07A94A5F" w14:textId="77777777" w:rsidR="00A417FF" w:rsidRPr="008E2E6B" w:rsidRDefault="00A417FF" w:rsidP="00A417FF">
      <w:pPr>
        <w:ind w:left="284"/>
        <w:rPr>
          <w:b/>
          <w:noProof/>
          <w:sz w:val="30"/>
          <w:szCs w:val="30"/>
        </w:rPr>
      </w:pPr>
    </w:p>
    <w:p w14:paraId="0496CD59" w14:textId="77777777" w:rsidR="00A417FF" w:rsidRPr="00FD7677" w:rsidRDefault="00A417FF" w:rsidP="00A417FF">
      <w:pPr>
        <w:ind w:left="284"/>
        <w:rPr>
          <w:b/>
          <w:noProof/>
        </w:rPr>
      </w:pPr>
      <w:r w:rsidRPr="00FD7677">
        <w:rPr>
          <w:b/>
          <w:noProof/>
        </w:rPr>
        <w:t>K bodu 1 [§ 7 ods. 12]</w:t>
      </w:r>
    </w:p>
    <w:p w14:paraId="2850709A" w14:textId="77777777" w:rsidR="00A417FF" w:rsidRPr="00FD7677" w:rsidRDefault="00A417FF" w:rsidP="00FD7677">
      <w:pPr>
        <w:ind w:left="284"/>
        <w:jc w:val="both"/>
        <w:rPr>
          <w:noProof/>
        </w:rPr>
      </w:pPr>
      <w:r w:rsidRPr="00FD7677">
        <w:rPr>
          <w:noProof/>
        </w:rPr>
        <w:t xml:space="preserve">Ide o transpozíciu článku 1(3) smernice Európskeho parlamentu a Rady (EÚ) 2024/790 z 28. februára 2024, ktorou sa mení smernica 2014/65/EÚ o trhoch s finančnými nástrojmi (Ú. v. EÚ L, 2024/790, 8.3.2024)(ďalej len „smernica (EÚ) 2024/790“). Spresňuje sa definícia systematického internalizátora.  </w:t>
      </w:r>
    </w:p>
    <w:p w14:paraId="3595547F" w14:textId="77777777" w:rsidR="008E2E6B" w:rsidRPr="008E2E6B" w:rsidRDefault="008E2E6B" w:rsidP="00FD7677">
      <w:pPr>
        <w:ind w:left="284"/>
        <w:jc w:val="both"/>
        <w:rPr>
          <w:b/>
          <w:noProof/>
          <w:sz w:val="30"/>
          <w:szCs w:val="30"/>
        </w:rPr>
      </w:pPr>
    </w:p>
    <w:p w14:paraId="643890F8" w14:textId="77777777" w:rsidR="00A417FF" w:rsidRPr="00FD7677" w:rsidRDefault="00A417FF" w:rsidP="00FD7677">
      <w:pPr>
        <w:ind w:left="284"/>
        <w:jc w:val="both"/>
        <w:rPr>
          <w:b/>
          <w:noProof/>
        </w:rPr>
      </w:pPr>
      <w:r w:rsidRPr="00FD7677">
        <w:rPr>
          <w:b/>
          <w:noProof/>
        </w:rPr>
        <w:t>K bodu 2 [§ 7 ods. 32 a 33]</w:t>
      </w:r>
    </w:p>
    <w:p w14:paraId="691E605E" w14:textId="77777777" w:rsidR="00A417FF" w:rsidRPr="00FD7677" w:rsidRDefault="00A417FF" w:rsidP="00FD7677">
      <w:pPr>
        <w:ind w:left="284"/>
        <w:jc w:val="both"/>
        <w:rPr>
          <w:noProof/>
        </w:rPr>
      </w:pPr>
      <w:r w:rsidRPr="00FD7677">
        <w:rPr>
          <w:noProof/>
        </w:rPr>
        <w:t xml:space="preserve">Ide o transpozíciu článku 3 bod 1 smernice Európskeho parlamentu a Rady  (EÚ) 2024/2994 z 27. novembra 2024, ktorou sa menia smernice 2009/65/ES, 2013/36/EÚ a (EÚ) 2019/2034, pokiaľ ide o zaobchádzanie s rizikom koncentrácie vyplývajúcim z expozícií voči centrálnym protistranám a s rizikom protistrany pri centrálne zúčtovávaných transakciách s derivátmi (Ú. v. EÚ L, 2024/2994, 4.12.2024)(ďalej len „smernica (EÚ) 2024/2994“). Dopĺňa sa definícia  centrálnej protistrany a kvalifikovanej centrálnej protistrany.      </w:t>
      </w:r>
    </w:p>
    <w:p w14:paraId="4D63F407" w14:textId="77777777" w:rsidR="00A417FF" w:rsidRPr="008E2E6B" w:rsidRDefault="00A417FF" w:rsidP="00FD7677">
      <w:pPr>
        <w:ind w:left="284"/>
        <w:jc w:val="both"/>
        <w:rPr>
          <w:b/>
          <w:noProof/>
          <w:sz w:val="30"/>
          <w:szCs w:val="30"/>
        </w:rPr>
      </w:pPr>
    </w:p>
    <w:p w14:paraId="0E959061" w14:textId="77777777" w:rsidR="00A417FF" w:rsidRPr="00FD7677" w:rsidRDefault="00A417FF" w:rsidP="00FD7677">
      <w:pPr>
        <w:ind w:left="284"/>
        <w:jc w:val="both"/>
        <w:rPr>
          <w:b/>
          <w:noProof/>
        </w:rPr>
      </w:pPr>
      <w:r w:rsidRPr="00FD7677">
        <w:rPr>
          <w:b/>
          <w:noProof/>
        </w:rPr>
        <w:t>K bodu 3 [§ 8 pís. aa]</w:t>
      </w:r>
    </w:p>
    <w:p w14:paraId="1AD098EE" w14:textId="77777777" w:rsidR="00A417FF" w:rsidRPr="00FD7677" w:rsidRDefault="00A417FF" w:rsidP="00FD7677">
      <w:pPr>
        <w:ind w:left="284"/>
        <w:jc w:val="both"/>
        <w:rPr>
          <w:b/>
          <w:noProof/>
        </w:rPr>
      </w:pPr>
      <w:r w:rsidRPr="00FD7677">
        <w:rPr>
          <w:noProof/>
          <w:color w:val="000000"/>
        </w:rPr>
        <w:t xml:space="preserve">Zákon č. 566/2001 Z. z. o cenných papieroch a investičných službách a o zmene a doplnení niektorých zákonov (zákon o cenných papieroch) v znení neskorších predpisov neobsahuje definíciu pojmu „členský štát“. Vzhľadom na to, že viaceré ustanovenia zákona sa vzťahujú na Európsku úniu a nadväzne na „členské štáty“, ale zároveň sú niektoré ustanovenia záväzné aj pre zmluvné štáty Dohody o Európskom hospodárskom priestore (pričom zákonom č. 566/2001 Z. z.  sa transponujú do slovenského právneho poriadku viaceré smernice s významom pre Európsky hospodársky priestor), je  potrebné zaviesť do zákona č. 566/2001 Z. z. definíciu pojmu „členský štát“. </w:t>
      </w:r>
    </w:p>
    <w:p w14:paraId="4F87A512" w14:textId="77777777" w:rsidR="00A417FF" w:rsidRPr="008E2E6B" w:rsidRDefault="00A417FF" w:rsidP="00FD7677">
      <w:pPr>
        <w:ind w:left="284"/>
        <w:jc w:val="both"/>
        <w:rPr>
          <w:b/>
          <w:noProof/>
          <w:sz w:val="30"/>
          <w:szCs w:val="30"/>
        </w:rPr>
      </w:pPr>
    </w:p>
    <w:p w14:paraId="21D48FBD" w14:textId="77777777" w:rsidR="00A417FF" w:rsidRPr="00FD7677" w:rsidRDefault="00A417FF" w:rsidP="00FD7677">
      <w:pPr>
        <w:ind w:left="284"/>
        <w:jc w:val="both"/>
        <w:rPr>
          <w:b/>
          <w:noProof/>
        </w:rPr>
      </w:pPr>
      <w:r w:rsidRPr="00FD7677">
        <w:rPr>
          <w:b/>
          <w:noProof/>
        </w:rPr>
        <w:t>K bodu 4 [§ 54 ods. 3]</w:t>
      </w:r>
    </w:p>
    <w:p w14:paraId="729B0439" w14:textId="77777777" w:rsidR="00A417FF" w:rsidRPr="00FD7677" w:rsidRDefault="00A417FF" w:rsidP="00FD7677">
      <w:pPr>
        <w:ind w:left="284"/>
        <w:jc w:val="both"/>
        <w:rPr>
          <w:noProof/>
        </w:rPr>
      </w:pPr>
      <w:r w:rsidRPr="00FD7677">
        <w:rPr>
          <w:noProof/>
        </w:rPr>
        <w:t xml:space="preserve">Ide o transpozíciu článku 1(2) smernice (EÚ) 2024/790. Spresňuje sa doterajšie znenie ustanovenia, ktoré sa bude vzťahovať aj na transakcie, ktoré sú súčasťou riadenia likvidity.   </w:t>
      </w:r>
    </w:p>
    <w:p w14:paraId="3FFDF23F" w14:textId="77777777" w:rsidR="00A417FF" w:rsidRPr="008E2E6B" w:rsidRDefault="00A417FF" w:rsidP="00FD7677">
      <w:pPr>
        <w:ind w:left="284"/>
        <w:jc w:val="both"/>
        <w:rPr>
          <w:b/>
          <w:noProof/>
          <w:sz w:val="30"/>
          <w:szCs w:val="30"/>
        </w:rPr>
      </w:pPr>
    </w:p>
    <w:p w14:paraId="0C433853" w14:textId="77777777" w:rsidR="00A417FF" w:rsidRPr="00FD7677" w:rsidRDefault="00A417FF" w:rsidP="00FD7677">
      <w:pPr>
        <w:ind w:left="284"/>
        <w:jc w:val="both"/>
        <w:rPr>
          <w:b/>
          <w:noProof/>
        </w:rPr>
      </w:pPr>
      <w:r w:rsidRPr="00FD7677">
        <w:rPr>
          <w:b/>
          <w:noProof/>
        </w:rPr>
        <w:t>K bodu 5 [§ 54 ods. 7]</w:t>
      </w:r>
    </w:p>
    <w:p w14:paraId="09D48F0A" w14:textId="77777777" w:rsidR="00A417FF" w:rsidRPr="00B62291" w:rsidRDefault="00A417FF" w:rsidP="00FD7677">
      <w:pPr>
        <w:ind w:left="284"/>
        <w:jc w:val="both"/>
        <w:rPr>
          <w:noProof/>
          <w:color w:val="000000"/>
        </w:rPr>
      </w:pPr>
      <w:r w:rsidRPr="00FD7677">
        <w:rPr>
          <w:noProof/>
          <w:color w:val="000000"/>
        </w:rPr>
        <w:t xml:space="preserve">Ide o úpravu vyplývajúcu z praxe, pričom zmenou ustanovenia sa upravuje možnosť poskytovať aj iné služby a činnosti obchodníkom s cennými papiermi, ktoré priamo nemá uvedené v povolení na poskytovanie investičných služieb, aby sa zákonné ustanovenia </w:t>
      </w:r>
      <w:r w:rsidRPr="00FD7677">
        <w:rPr>
          <w:noProof/>
        </w:rPr>
        <w:t xml:space="preserve">zosúladili so smernicou Európskeho parlamentu a Rady (EÚ) 2014/65/EÚ z  15. mája 2014 o trhoch s finančnými nástrojmi, ktorou sa mení smernica 2002/92/ES a smernica 2011/61/EÚ (Ú. v. EÚ L 173, 12.6.2014) v platnom znení, ktorá pripúšťa, aby obchodník s cennými </w:t>
      </w:r>
      <w:r w:rsidRPr="00FD7677">
        <w:rPr>
          <w:noProof/>
          <w:color w:val="000000"/>
        </w:rPr>
        <w:t xml:space="preserve">papiermi popri poskytovaní investičných služieb vykonával aj ďalšie činnosti súvisiace s podnikaním na finančnom trhu. </w:t>
      </w:r>
      <w:r w:rsidRPr="00FD7677">
        <w:rPr>
          <w:noProof/>
        </w:rPr>
        <w:t xml:space="preserve">Rozsah poskytovania zamýšľaných ďalších činností súvisiacich s podnikaním na finančnom trhu by však nemal výrazne prevyšovať rozsah poskytovaných investičných služieb. Obchodník s cennými papiermi môže začať vykonávať príslušnú zamýšľanú podnikateľskú činnosť po márnom uplynutí 30 dňovej lehoty od oznámenia tohto zámeru Národnej banke Slovenska. Ak v rámci tejto lehoty </w:t>
      </w:r>
      <w:r w:rsidRPr="00FD7677">
        <w:rPr>
          <w:noProof/>
        </w:rPr>
        <w:lastRenderedPageBreak/>
        <w:t xml:space="preserve">Národná banka Slovenska dospeje k názoru, že zamýšľaná podnikateľská činnosť by bola v rozpore s riadnym poskytovaním investičných služieb alebo by bránila účinnému výkonu dohľadu, vydá rozhodnutie o zamietnutí výkonu tejto činnosti. </w:t>
      </w:r>
      <w:r w:rsidRPr="00FD7677">
        <w:rPr>
          <w:noProof/>
          <w:color w:val="000000"/>
        </w:rPr>
        <w:t xml:space="preserve"> Ďalšie činnosti podľa tohto</w:t>
      </w:r>
      <w:r w:rsidRPr="00B62291">
        <w:rPr>
          <w:noProof/>
          <w:color w:val="000000"/>
        </w:rPr>
        <w:t xml:space="preserve"> ustanovenia môže obchodník s cennými papiermi poskytovať a vykonávať nad rámec povolenia na poskytovanie investičných služieb bez ďalšieho posúdenia orgánom dohľadu, ak je to výslovne upravené v tomto zákone alebo v osobitných predpisoch, alebo ak je na výkon týchto činností potrebné osobitné povolenie podľa osobitných predpisov, ktoré získal. </w:t>
      </w:r>
    </w:p>
    <w:p w14:paraId="3A801FAA" w14:textId="77777777" w:rsidR="00A417FF" w:rsidRPr="008E64D2" w:rsidRDefault="00A417FF" w:rsidP="00A417FF">
      <w:pPr>
        <w:ind w:left="284"/>
        <w:jc w:val="both"/>
        <w:rPr>
          <w:b/>
          <w:noProof/>
        </w:rPr>
      </w:pPr>
      <w:r w:rsidRPr="00B62291">
        <w:rPr>
          <w:noProof/>
          <w:color w:val="000000"/>
        </w:rPr>
        <w:t xml:space="preserve">Obchodník s cennými papiermi môže mať zámer vykonávať aj také činnosti, na ktoré je </w:t>
      </w:r>
      <w:r w:rsidRPr="008E64D2">
        <w:rPr>
          <w:noProof/>
        </w:rPr>
        <w:t>potrebné iné povolenie od Národnej banky Slovenska alebo od iného príslušného orgánu, a zároveň môže vykonávať služby, na ktoré je oprávnený podľa tohto zákona alebo osobitných predpisov. Ustanovením odseku 16 nie je dotknutá povinnosť obchodníka s cennými papiermi získať</w:t>
      </w:r>
      <w:r w:rsidRPr="008E64D2">
        <w:rPr>
          <w:b/>
          <w:noProof/>
        </w:rPr>
        <w:t xml:space="preserve"> </w:t>
      </w:r>
      <w:r w:rsidRPr="008E64D2">
        <w:rPr>
          <w:bCs/>
          <w:noProof/>
        </w:rPr>
        <w:t>na výkon ďalšej podnikateľskej činnosti povolenie podľa iného právneho predpisu, ak sa takéto povolenie vyžaduje.</w:t>
      </w:r>
      <w:r w:rsidRPr="008E64D2">
        <w:rPr>
          <w:b/>
          <w:noProof/>
        </w:rPr>
        <w:t xml:space="preserve">  </w:t>
      </w:r>
    </w:p>
    <w:p w14:paraId="604B9CF7" w14:textId="77777777" w:rsidR="00A417FF" w:rsidRPr="004F1FFA" w:rsidRDefault="00A417FF" w:rsidP="00A417FF">
      <w:pPr>
        <w:ind w:left="284"/>
        <w:rPr>
          <w:b/>
          <w:noProof/>
        </w:rPr>
      </w:pPr>
    </w:p>
    <w:p w14:paraId="4FD19243" w14:textId="77777777" w:rsidR="00A417FF" w:rsidRPr="00B62291" w:rsidRDefault="00A417FF" w:rsidP="00A417FF">
      <w:pPr>
        <w:ind w:left="284"/>
        <w:jc w:val="both"/>
        <w:rPr>
          <w:b/>
          <w:noProof/>
        </w:rPr>
      </w:pPr>
      <w:r w:rsidRPr="00B62291">
        <w:rPr>
          <w:b/>
          <w:noProof/>
        </w:rPr>
        <w:t>K bodu 6 [§ 54 ods. 16]</w:t>
      </w:r>
    </w:p>
    <w:p w14:paraId="35E4E8B6" w14:textId="77777777" w:rsidR="00A417FF" w:rsidRPr="00B62291" w:rsidRDefault="00A417FF" w:rsidP="004F1FFA">
      <w:pPr>
        <w:spacing w:line="276" w:lineRule="auto"/>
        <w:ind w:left="284"/>
        <w:jc w:val="both"/>
        <w:rPr>
          <w:bCs/>
          <w:noProof/>
        </w:rPr>
      </w:pPr>
      <w:r w:rsidRPr="00B62291">
        <w:rPr>
          <w:bCs/>
          <w:noProof/>
        </w:rPr>
        <w:t xml:space="preserve">Ide o úpravu súvisiacu so zabezpečením dostatočných informácií o činnosti obchodníka s cennými papiermi, ktoré vykonáva nad rámec povolenia na poskytovanie investičných služieb.  </w:t>
      </w:r>
    </w:p>
    <w:p w14:paraId="29C055D3" w14:textId="77777777" w:rsidR="00A417FF" w:rsidRPr="00B62291" w:rsidRDefault="00A417FF" w:rsidP="004F1FFA">
      <w:pPr>
        <w:spacing w:line="276" w:lineRule="auto"/>
        <w:ind w:left="284"/>
        <w:jc w:val="both"/>
        <w:rPr>
          <w:noProof/>
          <w:color w:val="000000"/>
        </w:rPr>
      </w:pPr>
      <w:r w:rsidRPr="00B62291">
        <w:rPr>
          <w:noProof/>
          <w:color w:val="000000"/>
        </w:rPr>
        <w:t xml:space="preserve">Ide o úpravu, ktorá povoľuje obchodníkom s cennými papiermi vykonávanie ďalších podnikateľských činností, ktoré súvisia so službami na finančnom trhu alebo správou vlastného majetku. Činnosťami súvisiacimi so službami na finančnom trhu sa rozumejú najmä činnosti vo vzťahu k stavebnému sporeniu, hypotekárnym alebo iným úverom, poisteniu alebo zaisteniu, doplnkovému dôchodkovému sporeniu, starobnému dôchodkovému sporenia alebo vývoj a poskytovanie IT riešení súvisiacich s investičnými službami. Medzi činnosti súvisiace so správou vlastného majetku je možné zaradiť nepodnikateľské aj podnikateľské činnosti, najmä vydavateľskú činnosť, prevádzkovanie verejnej knihovne, predaj prebytkov elektrickej energie zo solárnych kolektorov, prenájom priestorov, prevádzkovanie skladu, činnosť podnikateľských, organizačných a ekonomických poradcov a pod. </w:t>
      </w:r>
    </w:p>
    <w:p w14:paraId="52A952F9" w14:textId="77777777" w:rsidR="00A417FF" w:rsidRPr="00B62291" w:rsidRDefault="00A417FF" w:rsidP="004F1FFA">
      <w:pPr>
        <w:spacing w:line="276" w:lineRule="auto"/>
        <w:ind w:left="284"/>
        <w:jc w:val="both"/>
        <w:rPr>
          <w:noProof/>
          <w:color w:val="000000"/>
        </w:rPr>
      </w:pPr>
      <w:r w:rsidRPr="00B62291">
        <w:rPr>
          <w:noProof/>
          <w:color w:val="000000"/>
        </w:rPr>
        <w:t xml:space="preserve">Vykonávanie ďalších podnikateľských činností  upravených v tomto ustanovení je možné iba za predpokladu, že zámer vykonávať takéto činnosti obchodník s cennými papiermi písomne oznámi Národnej banke Slovenska a že takéto činnosti neohrozia riadne poskytovanie investičných služieb. </w:t>
      </w:r>
    </w:p>
    <w:p w14:paraId="44E0F3B2" w14:textId="77777777" w:rsidR="00A417FF" w:rsidRPr="00B62291" w:rsidRDefault="00A417FF" w:rsidP="004F1FFA">
      <w:pPr>
        <w:spacing w:line="276" w:lineRule="auto"/>
        <w:ind w:left="284"/>
        <w:jc w:val="both"/>
        <w:rPr>
          <w:noProof/>
          <w:color w:val="000000"/>
        </w:rPr>
      </w:pPr>
      <w:r w:rsidRPr="00B62291">
        <w:rPr>
          <w:noProof/>
          <w:color w:val="000000"/>
        </w:rPr>
        <w:t xml:space="preserve">Ustanovenie ďalej obsahuje detaily oznámenia, ktoré má zabezpečiť dostatočné informácie o činnosti obchodníka s cennými papiermi, ktoré plánuje vykonávať nad rámec povolenia na poskytovanie investičných služieb.  </w:t>
      </w:r>
    </w:p>
    <w:p w14:paraId="04F1DA52" w14:textId="77777777" w:rsidR="00A417FF" w:rsidRPr="00B62291" w:rsidRDefault="00A417FF" w:rsidP="004F1FFA">
      <w:pPr>
        <w:spacing w:line="276" w:lineRule="auto"/>
        <w:ind w:left="284"/>
        <w:jc w:val="both"/>
        <w:rPr>
          <w:b/>
          <w:noProof/>
        </w:rPr>
      </w:pPr>
      <w:r w:rsidRPr="00B62291">
        <w:rPr>
          <w:noProof/>
          <w:color w:val="000000"/>
        </w:rPr>
        <w:t>Ustanovenie odseku 16 upravuje postup Národnej banky Slovenska pri posudzovaní vhodnosti konkrétnej činnosti vo vzťahu k poskytovaniu investičných služieb obchodníkom s cennými papiermi.</w:t>
      </w:r>
    </w:p>
    <w:p w14:paraId="4D51296B" w14:textId="77777777" w:rsidR="00A417FF" w:rsidRPr="004F1FFA" w:rsidRDefault="00A417FF" w:rsidP="00A417FF">
      <w:pPr>
        <w:ind w:left="284"/>
        <w:rPr>
          <w:b/>
          <w:noProof/>
        </w:rPr>
      </w:pPr>
    </w:p>
    <w:p w14:paraId="3DAEDF76" w14:textId="77777777" w:rsidR="00A417FF" w:rsidRPr="00B62291" w:rsidRDefault="00A417FF" w:rsidP="00A417FF">
      <w:pPr>
        <w:ind w:left="284"/>
        <w:jc w:val="both"/>
        <w:rPr>
          <w:b/>
          <w:noProof/>
        </w:rPr>
      </w:pPr>
      <w:r w:rsidRPr="00B62291">
        <w:rPr>
          <w:b/>
          <w:noProof/>
        </w:rPr>
        <w:t>K bodu 7 [§ 70 ods. 15]</w:t>
      </w:r>
    </w:p>
    <w:p w14:paraId="78BF99CA" w14:textId="77777777" w:rsidR="00A417FF" w:rsidRPr="00B62291" w:rsidRDefault="00A417FF" w:rsidP="00A417FF">
      <w:pPr>
        <w:ind w:left="284"/>
        <w:jc w:val="both"/>
        <w:rPr>
          <w:b/>
          <w:noProof/>
        </w:rPr>
      </w:pPr>
      <w:r w:rsidRPr="00B62291">
        <w:rPr>
          <w:bCs/>
          <w:noProof/>
        </w:rPr>
        <w:t xml:space="preserve">Dopĺňa sa ustanovenie, na základe ktorého sa spresňuje text zákona v súvislosti s kompetenciou Národnej banky Slovenska zamietnuť žiadosť o udelenie predchádzajúceho súhlasu podľa odseku 1.  </w:t>
      </w:r>
    </w:p>
    <w:p w14:paraId="697BD81C" w14:textId="77777777" w:rsidR="00A417FF" w:rsidRPr="004F1FFA" w:rsidRDefault="00A417FF" w:rsidP="00A417FF">
      <w:pPr>
        <w:ind w:left="284"/>
        <w:rPr>
          <w:b/>
          <w:noProof/>
          <w:sz w:val="30"/>
          <w:szCs w:val="30"/>
        </w:rPr>
      </w:pPr>
    </w:p>
    <w:p w14:paraId="4F1EA295" w14:textId="77777777" w:rsidR="00A417FF" w:rsidRPr="00B62291" w:rsidRDefault="00A417FF" w:rsidP="00A417FF">
      <w:pPr>
        <w:ind w:left="284"/>
        <w:jc w:val="both"/>
        <w:rPr>
          <w:b/>
          <w:noProof/>
        </w:rPr>
      </w:pPr>
      <w:r w:rsidRPr="00B62291">
        <w:rPr>
          <w:b/>
          <w:noProof/>
        </w:rPr>
        <w:t>K bodu 8 [§ 71 ods. 3]</w:t>
      </w:r>
    </w:p>
    <w:p w14:paraId="655003FF" w14:textId="77777777" w:rsidR="00A417FF" w:rsidRPr="00B62291" w:rsidRDefault="00A417FF" w:rsidP="00A417FF">
      <w:pPr>
        <w:ind w:left="284"/>
        <w:jc w:val="both"/>
        <w:rPr>
          <w:noProof/>
        </w:rPr>
      </w:pPr>
      <w:r w:rsidRPr="00B62291">
        <w:rPr>
          <w:noProof/>
        </w:rPr>
        <w:lastRenderedPageBreak/>
        <w:t xml:space="preserve">Vyprecizovanie transpozície čl. 28 ods. 3 </w:t>
      </w:r>
      <w:r w:rsidRPr="008E64D2">
        <w:rPr>
          <w:noProof/>
        </w:rPr>
        <w:t xml:space="preserve">smernice Európskeho Parlamentu a Rady (EÚ) 2019/2034 z 27. novembra 2019 o prudenciálnom dohľade nad investičnými spoločnosťami a o zmene smerníc 2002/87/ES, 2009/65/ES, 2011/61/EÚ, 2013/36/EÚ, 2014/59/EÚ a 2014/65/EÚ (Ú. v. EÚ L 314, 5.12.2019) v platnom znení (ďalej len „smernica (EÚ) 2019/2034 v platnom znení“) týkajúce sa povinnosti </w:t>
      </w:r>
      <w:r w:rsidRPr="00B62291">
        <w:rPr>
          <w:noProof/>
        </w:rPr>
        <w:t>zaviesť pravidlá oznamovania všetkých závažných rizík, všetkých politík riadenia rizík a všetkých ich zmien.</w:t>
      </w:r>
    </w:p>
    <w:p w14:paraId="49B62D9F" w14:textId="77777777" w:rsidR="00A417FF" w:rsidRPr="00B62291" w:rsidRDefault="00A417FF" w:rsidP="00A417FF">
      <w:pPr>
        <w:ind w:left="284"/>
        <w:rPr>
          <w:b/>
          <w:noProof/>
        </w:rPr>
      </w:pPr>
    </w:p>
    <w:p w14:paraId="6D00FA63" w14:textId="77777777" w:rsidR="00A417FF" w:rsidRPr="00B62291" w:rsidRDefault="00A417FF" w:rsidP="00A417FF">
      <w:pPr>
        <w:ind w:left="284"/>
        <w:rPr>
          <w:b/>
          <w:noProof/>
        </w:rPr>
      </w:pPr>
      <w:r w:rsidRPr="00B62291">
        <w:rPr>
          <w:b/>
          <w:noProof/>
        </w:rPr>
        <w:t>K bodu 9 [§ 71c ods. 2]</w:t>
      </w:r>
    </w:p>
    <w:p w14:paraId="599288B2" w14:textId="77777777" w:rsidR="00A417FF" w:rsidRPr="00B62291" w:rsidRDefault="00A417FF" w:rsidP="00A417FF">
      <w:pPr>
        <w:ind w:left="284"/>
        <w:jc w:val="both"/>
        <w:rPr>
          <w:noProof/>
        </w:rPr>
      </w:pPr>
      <w:r w:rsidRPr="00B62291">
        <w:rPr>
          <w:noProof/>
          <w:lang w:eastAsia="sk-SK"/>
        </w:rPr>
        <w:t xml:space="preserve">Ide o transpozíciu čl. 3 bod 3 písmeno a) smernice (EÚ) 2024/2994. Upravuje sa doterajšie znenie ustanovenia s ohľadom na expozície obchodníka s cennými papiermi voči centrálnym protistranám a ich vplyv na vlastné zdroje.  </w:t>
      </w:r>
    </w:p>
    <w:p w14:paraId="659301AF" w14:textId="77777777" w:rsidR="00A417FF" w:rsidRPr="00B62291" w:rsidRDefault="00A417FF" w:rsidP="00A417FF">
      <w:pPr>
        <w:ind w:left="284"/>
        <w:jc w:val="both"/>
        <w:rPr>
          <w:b/>
          <w:noProof/>
        </w:rPr>
      </w:pPr>
    </w:p>
    <w:p w14:paraId="53B47B6D" w14:textId="77777777" w:rsidR="00A417FF" w:rsidRPr="00B62291" w:rsidRDefault="00A417FF" w:rsidP="00A417FF">
      <w:pPr>
        <w:ind w:left="284"/>
        <w:jc w:val="both"/>
        <w:rPr>
          <w:b/>
          <w:noProof/>
        </w:rPr>
      </w:pPr>
      <w:r w:rsidRPr="00B62291">
        <w:rPr>
          <w:b/>
          <w:noProof/>
        </w:rPr>
        <w:t>K bodu 10 [§ 71c ods. 7]</w:t>
      </w:r>
    </w:p>
    <w:p w14:paraId="4DEFF12B" w14:textId="77777777" w:rsidR="00A417FF" w:rsidRPr="00B62291" w:rsidRDefault="00A417FF" w:rsidP="004F1FFA">
      <w:pPr>
        <w:spacing w:line="276" w:lineRule="auto"/>
        <w:ind w:left="284"/>
        <w:jc w:val="both"/>
        <w:rPr>
          <w:noProof/>
        </w:rPr>
      </w:pPr>
      <w:r w:rsidRPr="00B62291">
        <w:rPr>
          <w:noProof/>
          <w:lang w:eastAsia="sk-SK"/>
        </w:rPr>
        <w:t xml:space="preserve">Ide o transpozíciu čl. 3 bod 3 písmeno b) smernice (EÚ) 2024/2994. Zavádza sa povinnosť obchodníka s cennými papiermi vypracovať osobitné plány a kvantifikovateľné ciele v súlade s článkom 7a nariadenia (EÚ) č. 648/2012 v platnom znení na monitorovanie a riadenie rizika koncentrácie vyplývajúceho z expozícií voči centrálnym protistranám ponúkajúcim služby podstatného systémového významu pre Európsku úniu alebo niektorý z jej členských štátov.    </w:t>
      </w:r>
    </w:p>
    <w:p w14:paraId="0903E008" w14:textId="77777777" w:rsidR="00A417FF" w:rsidRPr="00B62291" w:rsidRDefault="00A417FF" w:rsidP="00A417FF">
      <w:pPr>
        <w:ind w:left="284"/>
        <w:jc w:val="both"/>
        <w:rPr>
          <w:b/>
          <w:noProof/>
        </w:rPr>
      </w:pPr>
    </w:p>
    <w:p w14:paraId="74B64B79" w14:textId="77777777" w:rsidR="00A417FF" w:rsidRPr="00B62291" w:rsidRDefault="00A417FF" w:rsidP="00A417FF">
      <w:pPr>
        <w:ind w:left="284"/>
        <w:jc w:val="both"/>
        <w:rPr>
          <w:b/>
          <w:noProof/>
        </w:rPr>
      </w:pPr>
      <w:r w:rsidRPr="00B62291">
        <w:rPr>
          <w:b/>
          <w:noProof/>
        </w:rPr>
        <w:t>K bodu 11 [§ 71d ods. 2]</w:t>
      </w:r>
    </w:p>
    <w:p w14:paraId="107A667C" w14:textId="77777777" w:rsidR="00A417FF" w:rsidRPr="00B62291" w:rsidRDefault="00A417FF" w:rsidP="00A417FF">
      <w:pPr>
        <w:ind w:left="284"/>
        <w:jc w:val="both"/>
        <w:rPr>
          <w:noProof/>
        </w:rPr>
      </w:pPr>
      <w:r w:rsidRPr="00B62291">
        <w:rPr>
          <w:noProof/>
          <w:lang w:eastAsia="sk-SK"/>
        </w:rPr>
        <w:t>Ide o transpozíciu čl. 3 bod 2 smernice (EÚ) 2024/2994. Upravuje sa tak doterajšie znenie daného ustanovenia tak, aby obchodník s cennými papiermi riadil aj riziko koncentrácie vyplývajúce z expozícií voči centrálnym protistranám. Zároveň ide o v</w:t>
      </w:r>
      <w:r w:rsidRPr="00B62291">
        <w:rPr>
          <w:noProof/>
        </w:rPr>
        <w:t xml:space="preserve">yprecizovanie transpozície čl. 28 ods. 1 smernice (EÚ) 2019/2034 v platnom znení týkajúcej sa úlohy riadiaceho orgánu pri riadení rizika.  </w:t>
      </w:r>
    </w:p>
    <w:p w14:paraId="42BA4A89" w14:textId="77777777" w:rsidR="00A417FF" w:rsidRPr="004F1FFA" w:rsidRDefault="00A417FF" w:rsidP="00A417FF">
      <w:pPr>
        <w:jc w:val="both"/>
        <w:rPr>
          <w:noProof/>
        </w:rPr>
      </w:pPr>
    </w:p>
    <w:p w14:paraId="7FCA390A" w14:textId="77777777" w:rsidR="00A417FF" w:rsidRPr="00B62291" w:rsidRDefault="00A417FF" w:rsidP="00A417FF">
      <w:pPr>
        <w:ind w:left="284"/>
        <w:jc w:val="both"/>
        <w:rPr>
          <w:b/>
          <w:bCs/>
          <w:noProof/>
        </w:rPr>
      </w:pPr>
      <w:r w:rsidRPr="00B62291">
        <w:rPr>
          <w:b/>
          <w:bCs/>
          <w:noProof/>
        </w:rPr>
        <w:t>K bodom 12 a 13 [§ 71da ods. 1 písm. j)]</w:t>
      </w:r>
    </w:p>
    <w:p w14:paraId="0BFB3B95" w14:textId="77777777" w:rsidR="00A417FF" w:rsidRPr="00B62291" w:rsidRDefault="00A417FF" w:rsidP="00A417FF">
      <w:pPr>
        <w:ind w:left="284"/>
        <w:jc w:val="both"/>
        <w:rPr>
          <w:noProof/>
        </w:rPr>
      </w:pPr>
      <w:r w:rsidRPr="00B62291">
        <w:rPr>
          <w:noProof/>
        </w:rPr>
        <w:t xml:space="preserve">Ide o vyprecizovanie čl. 30 ods. 1 písm. j) smernice (EÚ) 2019/2034 v platnom znení, podľa ktorej je obchodník s cennými papiermi v rámci zásad odmeňovania pri pevnej a pohyblivej zložke z celkovej odmeny zohľadňovať odbornú spôsobilosť a zodpovednosť. </w:t>
      </w:r>
    </w:p>
    <w:p w14:paraId="40297BDA" w14:textId="77777777" w:rsidR="00A417FF" w:rsidRPr="004F1FFA" w:rsidRDefault="00A417FF" w:rsidP="00A417FF">
      <w:pPr>
        <w:ind w:left="284"/>
        <w:rPr>
          <w:b/>
          <w:noProof/>
        </w:rPr>
      </w:pPr>
    </w:p>
    <w:p w14:paraId="128120EE" w14:textId="77777777" w:rsidR="00A417FF" w:rsidRPr="00B62291" w:rsidRDefault="00A417FF" w:rsidP="00A417FF">
      <w:pPr>
        <w:ind w:left="284"/>
        <w:rPr>
          <w:b/>
          <w:noProof/>
        </w:rPr>
      </w:pPr>
      <w:r w:rsidRPr="00B62291">
        <w:rPr>
          <w:b/>
          <w:noProof/>
        </w:rPr>
        <w:t xml:space="preserve">K bodu 14 [§ 73b ods. 18] </w:t>
      </w:r>
    </w:p>
    <w:p w14:paraId="7ED90FEA" w14:textId="77777777" w:rsidR="00A417FF" w:rsidRPr="00B62291" w:rsidRDefault="00A417FF" w:rsidP="004F1FFA">
      <w:pPr>
        <w:spacing w:line="276" w:lineRule="auto"/>
        <w:ind w:left="284"/>
        <w:jc w:val="both"/>
        <w:rPr>
          <w:noProof/>
        </w:rPr>
      </w:pPr>
      <w:r w:rsidRPr="00B62291">
        <w:rPr>
          <w:noProof/>
        </w:rPr>
        <w:t xml:space="preserve">Ide o transpozíciu článku 1 bod 2 písm. b) podbod i) smernice Európskeho parlamentu a Rady (EÚ) 2024/2811 z 23. októbra 2024, ktorou sa mení smernica 2014/65/EÚ s cieľom zatraktívniť verejné kapitálové trhy v Únii pre spoločnosti a uľahčiť malým a stredným podnikom prístup ku kapitálu a ktorou sa zrušuje smernica 2001/34/ES </w:t>
      </w:r>
      <w:r w:rsidRPr="00B62291">
        <w:rPr>
          <w:noProof/>
          <w:color w:val="333333"/>
          <w:shd w:val="clear" w:color="auto" w:fill="FFFFFF"/>
        </w:rPr>
        <w:t>(</w:t>
      </w:r>
      <w:r w:rsidRPr="00B62291">
        <w:rPr>
          <w:noProof/>
        </w:rPr>
        <w:t xml:space="preserve">Ú. v. EÚ L, 2024/2811, 14.11.2024)(ďalej len „smernica (EÚ) 2024/2811“). Upresňuje sa poskytovanie investičného prieskumu, vyhotoveného treťou osobou, obchodníkovi s cennými papiermi. Zavádza sa požiadavka na uzavretie dohody o poskytovaní investičného prieskumu, v ktorej sa uvedie metodika odmeňovania za dodané investičné prieskumy, ktorá má zohľadňovať celkové náklady na investičný prieskum.   </w:t>
      </w:r>
    </w:p>
    <w:p w14:paraId="684492D2" w14:textId="77777777" w:rsidR="00A417FF" w:rsidRPr="004F1FFA" w:rsidRDefault="00A417FF" w:rsidP="00A417FF">
      <w:pPr>
        <w:ind w:left="284"/>
        <w:rPr>
          <w:b/>
          <w:noProof/>
          <w:sz w:val="26"/>
          <w:szCs w:val="26"/>
        </w:rPr>
      </w:pPr>
    </w:p>
    <w:p w14:paraId="29C16439" w14:textId="77777777" w:rsidR="00A417FF" w:rsidRPr="00B62291" w:rsidRDefault="00A417FF" w:rsidP="00A417FF">
      <w:pPr>
        <w:ind w:left="284"/>
        <w:rPr>
          <w:b/>
          <w:noProof/>
        </w:rPr>
      </w:pPr>
      <w:r w:rsidRPr="00B62291">
        <w:rPr>
          <w:b/>
          <w:noProof/>
        </w:rPr>
        <w:t xml:space="preserve">K bodu 15 [§ 73b odseky 23 až 31] </w:t>
      </w:r>
    </w:p>
    <w:p w14:paraId="7B2EA1B1" w14:textId="77777777" w:rsidR="00A417FF" w:rsidRPr="00B62291" w:rsidRDefault="00A417FF" w:rsidP="00A417FF">
      <w:pPr>
        <w:ind w:left="284"/>
        <w:jc w:val="both"/>
        <w:rPr>
          <w:noProof/>
        </w:rPr>
      </w:pPr>
      <w:r w:rsidRPr="00B62291">
        <w:rPr>
          <w:noProof/>
        </w:rPr>
        <w:t xml:space="preserve">Ustanovenia odsekov 23 až 27 sú transpozíciou článku 1 bod 2 písm. a) smernice (EÚ) 2024/2811. Obchodník s cennými papiermi môže poskytovať jeho klientom aj prieskum platený emitentom, len ak je daný prieskum označený ako „prieskum sponzorovaný </w:t>
      </w:r>
      <w:r w:rsidRPr="00B62291">
        <w:rPr>
          <w:noProof/>
        </w:rPr>
        <w:lastRenderedPageBreak/>
        <w:t xml:space="preserve">emitentom“ a ak je vypracovaný v súlade s kódexom správania EÚ pre prieskum sponzorovaný emitentom.   </w:t>
      </w:r>
    </w:p>
    <w:p w14:paraId="46FDEBFA" w14:textId="77777777" w:rsidR="00A417FF" w:rsidRPr="00B62291" w:rsidRDefault="00A417FF" w:rsidP="00A417FF">
      <w:pPr>
        <w:ind w:left="284"/>
        <w:jc w:val="both"/>
        <w:rPr>
          <w:noProof/>
        </w:rPr>
      </w:pPr>
      <w:r w:rsidRPr="00B62291">
        <w:rPr>
          <w:noProof/>
        </w:rPr>
        <w:t xml:space="preserve">Ustanovenia odsekov 28 až 31 sú transpozíciou článku 1 bod 2 písm. b) podbod ii) smernice (EÚ) 2024/2811. Obchodník s cennými papiermi musí viesť záznamy o celkových nákladoch za investičné prieskumy poskytnuté treťou osobou.   </w:t>
      </w:r>
    </w:p>
    <w:p w14:paraId="1652A639" w14:textId="77777777" w:rsidR="00A417FF" w:rsidRPr="00B62291" w:rsidRDefault="00A417FF" w:rsidP="00A417FF">
      <w:pPr>
        <w:ind w:left="284"/>
        <w:rPr>
          <w:b/>
          <w:noProof/>
        </w:rPr>
      </w:pPr>
    </w:p>
    <w:p w14:paraId="7BBF885C" w14:textId="77777777" w:rsidR="00A417FF" w:rsidRPr="00B62291" w:rsidRDefault="00A417FF" w:rsidP="00A417FF">
      <w:pPr>
        <w:ind w:left="284"/>
        <w:rPr>
          <w:b/>
          <w:noProof/>
        </w:rPr>
      </w:pPr>
      <w:r w:rsidRPr="00B62291">
        <w:rPr>
          <w:b/>
          <w:noProof/>
        </w:rPr>
        <w:t xml:space="preserve">K bodu 16 [§ 73o] </w:t>
      </w:r>
    </w:p>
    <w:p w14:paraId="7DDF1F57" w14:textId="77777777" w:rsidR="00A417FF" w:rsidRPr="00B62291" w:rsidRDefault="00A417FF" w:rsidP="00A417FF">
      <w:pPr>
        <w:ind w:left="284"/>
        <w:jc w:val="both"/>
        <w:rPr>
          <w:noProof/>
        </w:rPr>
      </w:pPr>
      <w:r w:rsidRPr="00B62291">
        <w:rPr>
          <w:noProof/>
        </w:rPr>
        <w:t xml:space="preserve">Ide o transpozíciu článku 1(4) písm. a) smernice (EÚ) 2024/790. Súčasné znenie upravujúce  mnohostranné obchodné </w:t>
      </w:r>
      <w:r w:rsidRPr="008E64D2">
        <w:rPr>
          <w:noProof/>
        </w:rPr>
        <w:t>systémy sa presúva do nariadenia Európskeho parlamentu a Rady  (EÚ) č. 600/2014 z  15. mája 2014 o trhoch s finančnými nástrojmi, ktorým sa mení nariadenie (EÚ) č. 648/2012 (Ú. v. EÚ L 173, 12.6.2014) v platnom znení (ďalej len „nariadenie (EÚ) 600/2014 v platnom znení</w:t>
      </w:r>
      <w:r w:rsidRPr="00B62291">
        <w:rPr>
          <w:noProof/>
        </w:rPr>
        <w:t xml:space="preserve">“).   </w:t>
      </w:r>
    </w:p>
    <w:p w14:paraId="73C2386D" w14:textId="77777777" w:rsidR="00A417FF" w:rsidRPr="00B62291" w:rsidRDefault="00A417FF" w:rsidP="00A417FF">
      <w:pPr>
        <w:ind w:left="284"/>
        <w:rPr>
          <w:noProof/>
        </w:rPr>
      </w:pPr>
    </w:p>
    <w:p w14:paraId="7CFB961F" w14:textId="77777777" w:rsidR="00A417FF" w:rsidRPr="00B62291" w:rsidRDefault="00A417FF" w:rsidP="00A417FF">
      <w:pPr>
        <w:ind w:left="284"/>
        <w:rPr>
          <w:b/>
          <w:noProof/>
        </w:rPr>
      </w:pPr>
      <w:r w:rsidRPr="00B62291">
        <w:rPr>
          <w:b/>
          <w:noProof/>
        </w:rPr>
        <w:t>K bodu 17 [§ 73o ods. 3]</w:t>
      </w:r>
    </w:p>
    <w:p w14:paraId="5ABB0C16" w14:textId="77777777" w:rsidR="00A417FF" w:rsidRPr="00B62291" w:rsidRDefault="00A417FF" w:rsidP="00A417FF">
      <w:pPr>
        <w:ind w:left="284"/>
        <w:jc w:val="both"/>
        <w:rPr>
          <w:noProof/>
        </w:rPr>
      </w:pPr>
      <w:r w:rsidRPr="00B62291">
        <w:rPr>
          <w:noProof/>
        </w:rPr>
        <w:t xml:space="preserve">Ide o transpozíciu článku 1(4) písm. b) smernice (EÚ) 2024/790. Upravuje sa doterajšie ustanovenie za účelom zjednodušovania administratívnych procesov.    </w:t>
      </w:r>
    </w:p>
    <w:p w14:paraId="54CB8653" w14:textId="77777777" w:rsidR="00A417FF" w:rsidRPr="00B62291" w:rsidRDefault="00A417FF" w:rsidP="00A417FF">
      <w:pPr>
        <w:ind w:left="284"/>
        <w:rPr>
          <w:b/>
          <w:noProof/>
        </w:rPr>
      </w:pPr>
    </w:p>
    <w:p w14:paraId="1EED124B" w14:textId="77777777" w:rsidR="00A417FF" w:rsidRPr="00B62291" w:rsidRDefault="00A417FF" w:rsidP="00A417FF">
      <w:pPr>
        <w:ind w:left="284"/>
        <w:rPr>
          <w:b/>
          <w:noProof/>
        </w:rPr>
      </w:pPr>
      <w:r w:rsidRPr="00B62291">
        <w:rPr>
          <w:b/>
          <w:noProof/>
        </w:rPr>
        <w:t xml:space="preserve">K bodu 18 [§ 73p ods. 5] </w:t>
      </w:r>
    </w:p>
    <w:p w14:paraId="07E38F8E" w14:textId="77777777" w:rsidR="00A417FF" w:rsidRPr="00B62291" w:rsidRDefault="00A417FF" w:rsidP="004F1FFA">
      <w:pPr>
        <w:spacing w:line="276" w:lineRule="auto"/>
        <w:ind w:left="284"/>
        <w:jc w:val="both"/>
        <w:rPr>
          <w:noProof/>
        </w:rPr>
      </w:pPr>
      <w:r w:rsidRPr="00B62291">
        <w:rPr>
          <w:noProof/>
        </w:rPr>
        <w:t xml:space="preserve">Ide o transpozíciu článku 1(4) písm. d) smernice (EÚ) 2024/790. Ruší sa povinnosť obchodníka s cennými papiermi raz ročne vypracovať a zverejniť súhrn informácií z piatich najlepších miest výkonu, keďže tieto informácie neprinášali neprofesionálnym klientom žiadnu pridanú hodnotu. Spresňuje sa, že informačná povinnosť zo strany obchodníka s cennými papiermi je voči klientom, s ktorými má pretrvávajúci vzťah.    </w:t>
      </w:r>
    </w:p>
    <w:p w14:paraId="4006F8ED" w14:textId="77777777" w:rsidR="00A417FF" w:rsidRPr="00B62291" w:rsidRDefault="00A417FF" w:rsidP="00A417FF">
      <w:pPr>
        <w:ind w:left="284"/>
        <w:rPr>
          <w:bCs/>
          <w:noProof/>
        </w:rPr>
      </w:pPr>
    </w:p>
    <w:p w14:paraId="66887ABB" w14:textId="77777777" w:rsidR="00A417FF" w:rsidRPr="00B62291" w:rsidRDefault="00A417FF" w:rsidP="00A417FF">
      <w:pPr>
        <w:ind w:left="284"/>
        <w:rPr>
          <w:b/>
          <w:noProof/>
        </w:rPr>
      </w:pPr>
      <w:r w:rsidRPr="00B62291">
        <w:rPr>
          <w:b/>
          <w:noProof/>
        </w:rPr>
        <w:t xml:space="preserve">K bodu 19 [§ 74e ods. 1] </w:t>
      </w:r>
    </w:p>
    <w:p w14:paraId="1CD94196" w14:textId="77777777" w:rsidR="00A417FF" w:rsidRPr="00B62291" w:rsidRDefault="00A417FF" w:rsidP="00A417FF">
      <w:pPr>
        <w:ind w:left="360" w:hanging="76"/>
        <w:jc w:val="both"/>
        <w:rPr>
          <w:noProof/>
        </w:rPr>
      </w:pPr>
      <w:r w:rsidRPr="00B62291">
        <w:rPr>
          <w:noProof/>
        </w:rPr>
        <w:t>Ide o legislatívno-technickú zmenu – úprava vnútorných odkazov.</w:t>
      </w:r>
    </w:p>
    <w:p w14:paraId="55B5CF50" w14:textId="77777777" w:rsidR="00A417FF" w:rsidRPr="00B62291" w:rsidRDefault="00A417FF" w:rsidP="00A417FF">
      <w:pPr>
        <w:ind w:left="360"/>
        <w:jc w:val="both"/>
        <w:rPr>
          <w:b/>
          <w:noProof/>
          <w:shd w:val="clear" w:color="auto" w:fill="FFFFFF"/>
        </w:rPr>
      </w:pPr>
    </w:p>
    <w:p w14:paraId="3ADF1644" w14:textId="77777777" w:rsidR="00A417FF" w:rsidRPr="00B62291" w:rsidRDefault="00A417FF" w:rsidP="00A417FF">
      <w:pPr>
        <w:ind w:left="284"/>
        <w:rPr>
          <w:b/>
          <w:noProof/>
        </w:rPr>
      </w:pPr>
      <w:r w:rsidRPr="00B62291">
        <w:rPr>
          <w:b/>
          <w:noProof/>
        </w:rPr>
        <w:t xml:space="preserve">K bodu 20 [§ 74e </w:t>
      </w:r>
      <w:r>
        <w:rPr>
          <w:b/>
          <w:noProof/>
        </w:rPr>
        <w:t xml:space="preserve">ods. 1 </w:t>
      </w:r>
      <w:r w:rsidRPr="00B62291">
        <w:rPr>
          <w:b/>
          <w:noProof/>
        </w:rPr>
        <w:t xml:space="preserve">pís. d] </w:t>
      </w:r>
    </w:p>
    <w:p w14:paraId="1B65FF41" w14:textId="77777777" w:rsidR="00A417FF" w:rsidRPr="00B62291" w:rsidRDefault="00A417FF" w:rsidP="00A417FF">
      <w:pPr>
        <w:ind w:left="360" w:hanging="76"/>
        <w:jc w:val="both"/>
        <w:rPr>
          <w:noProof/>
        </w:rPr>
      </w:pPr>
      <w:r w:rsidRPr="00B62291">
        <w:rPr>
          <w:noProof/>
        </w:rPr>
        <w:t>Ide o legislatívno-technickú zmenu – úprava vnútorných odkazov.</w:t>
      </w:r>
    </w:p>
    <w:p w14:paraId="32FE1E35" w14:textId="77777777" w:rsidR="00A417FF" w:rsidRPr="00B62291" w:rsidRDefault="00A417FF" w:rsidP="00A417FF">
      <w:pPr>
        <w:ind w:left="360"/>
        <w:jc w:val="both"/>
        <w:rPr>
          <w:noProof/>
        </w:rPr>
      </w:pPr>
    </w:p>
    <w:p w14:paraId="59D99691" w14:textId="77777777" w:rsidR="00A417FF" w:rsidRPr="00B62291" w:rsidRDefault="00A417FF" w:rsidP="00A417FF">
      <w:pPr>
        <w:ind w:left="284"/>
        <w:rPr>
          <w:b/>
          <w:noProof/>
        </w:rPr>
      </w:pPr>
      <w:r w:rsidRPr="00B62291">
        <w:rPr>
          <w:b/>
          <w:noProof/>
        </w:rPr>
        <w:t xml:space="preserve">K bodu 21 [§ 77 ods. 10] </w:t>
      </w:r>
    </w:p>
    <w:p w14:paraId="0B72252D" w14:textId="77777777" w:rsidR="00A417FF" w:rsidRPr="00B62291" w:rsidRDefault="00A417FF" w:rsidP="004F1FFA">
      <w:pPr>
        <w:spacing w:line="276" w:lineRule="auto"/>
        <w:ind w:left="284"/>
        <w:jc w:val="both"/>
        <w:rPr>
          <w:noProof/>
          <w:shd w:val="clear" w:color="auto" w:fill="FFFFFF"/>
        </w:rPr>
      </w:pPr>
      <w:r w:rsidRPr="00B62291">
        <w:rPr>
          <w:noProof/>
        </w:rPr>
        <w:t>V niektorých prípadoch je potrebné, aby Národná banka Slovenska ako orgán dohľadu nad obchodníkom s cennými papiermi, ktorý patrí do skupiny s úzkymi väzbami, mala prístup k účtovným informáciám, ktoré sa týkajú účtovných jednotiek (subjektov) patriacich do skupiny s úzkymi väzbami, ktorej súčasťou je obchodník s cennými papiermi. Ide napríklad o prípady, keď finančná situácia účtovných jednotiek (subjektov) patriacich do skupiny s úzkymi väzbami, do ktorej patrí obchodník s cennými papiermi, môže mať priamy (negatívny) dopad na plnenie prudenciálnych požiadaviek kladených na samotného obchodníka s cennými papiermi alebo o prípady, kedy môže byť ohrozená ochrana investorov vlastniacich finančné nástroje emitované účtovnými jednotkami (subjektmi) patriacimi do skupiny s úzkymi väzbami z dôvodu (negatívnej) finančnej situácie celej skupiny.</w:t>
      </w:r>
    </w:p>
    <w:p w14:paraId="3508E36C" w14:textId="77777777" w:rsidR="00A417FF" w:rsidRPr="00B62291" w:rsidRDefault="00A417FF" w:rsidP="00A417FF">
      <w:pPr>
        <w:ind w:left="360"/>
        <w:jc w:val="both"/>
        <w:rPr>
          <w:noProof/>
        </w:rPr>
      </w:pPr>
    </w:p>
    <w:p w14:paraId="3109894A" w14:textId="77777777" w:rsidR="00A417FF" w:rsidRPr="00B62291" w:rsidRDefault="00A417FF" w:rsidP="00A417FF">
      <w:pPr>
        <w:ind w:left="284"/>
        <w:rPr>
          <w:b/>
          <w:noProof/>
        </w:rPr>
      </w:pPr>
      <w:r w:rsidRPr="00B62291">
        <w:rPr>
          <w:b/>
          <w:noProof/>
        </w:rPr>
        <w:t xml:space="preserve">K bodu 22 [§ 99] </w:t>
      </w:r>
    </w:p>
    <w:p w14:paraId="55E4BAAB" w14:textId="77777777" w:rsidR="00A417FF" w:rsidRPr="00B62291" w:rsidRDefault="00A417FF" w:rsidP="00A417FF">
      <w:pPr>
        <w:ind w:left="284"/>
        <w:jc w:val="both"/>
        <w:rPr>
          <w:noProof/>
        </w:rPr>
      </w:pPr>
      <w:r w:rsidRPr="00B62291">
        <w:rPr>
          <w:noProof/>
        </w:rPr>
        <w:t xml:space="preserve">Vypúšťa sa odkaz 89r a poznámka pod čiarou k odkazu 89r z dôvodu, že definácia centrálnej protistrany sa zaviedla v § 7. Ide o transpozíciu článku 3 bod 1 smernice (EÚ) 2024/2994. Touto úpravou sa zabezpečuje, že popri definícii kvalifikovanej centrálnej protistrany je </w:t>
      </w:r>
      <w:r w:rsidRPr="00B62291">
        <w:rPr>
          <w:noProof/>
        </w:rPr>
        <w:lastRenderedPageBreak/>
        <w:t xml:space="preserve">priamo v § 7 aj definícia centrálnej protistrany, ktorá bola doteraz uvedená v § 99 ods. 19 písm. c) len v poznámke pod čiarou. </w:t>
      </w:r>
    </w:p>
    <w:p w14:paraId="42DA0358" w14:textId="77777777" w:rsidR="00A417FF" w:rsidRPr="00B62291" w:rsidRDefault="00A417FF" w:rsidP="00A417FF">
      <w:pPr>
        <w:ind w:left="360"/>
        <w:jc w:val="both"/>
        <w:rPr>
          <w:noProof/>
        </w:rPr>
      </w:pPr>
    </w:p>
    <w:p w14:paraId="40BF1CE9" w14:textId="77777777" w:rsidR="00A417FF" w:rsidRPr="00B62291" w:rsidRDefault="00A417FF" w:rsidP="00A417FF">
      <w:pPr>
        <w:ind w:left="284"/>
        <w:jc w:val="both"/>
        <w:rPr>
          <w:b/>
          <w:noProof/>
          <w:shd w:val="clear" w:color="auto" w:fill="FFFFFF"/>
        </w:rPr>
      </w:pPr>
      <w:r w:rsidRPr="00B62291">
        <w:rPr>
          <w:b/>
          <w:noProof/>
          <w:shd w:val="clear" w:color="auto" w:fill="FFFFFF"/>
        </w:rPr>
        <w:t xml:space="preserve">K bodu </w:t>
      </w:r>
      <w:r w:rsidRPr="00B62291">
        <w:rPr>
          <w:b/>
          <w:noProof/>
        </w:rPr>
        <w:t>23 [§ 120 ods. 2]</w:t>
      </w:r>
    </w:p>
    <w:p w14:paraId="7EC4FD98" w14:textId="77777777" w:rsidR="00A417FF" w:rsidRPr="00B62291" w:rsidRDefault="00A417FF" w:rsidP="00A417FF">
      <w:pPr>
        <w:ind w:left="284"/>
        <w:jc w:val="both"/>
        <w:rPr>
          <w:noProof/>
          <w:shd w:val="clear" w:color="auto" w:fill="FFFFFF"/>
        </w:rPr>
      </w:pPr>
      <w:r w:rsidRPr="00B62291">
        <w:rPr>
          <w:noProof/>
          <w:shd w:val="clear" w:color="auto" w:fill="FFFFFF"/>
        </w:rPr>
        <w:t xml:space="preserve">Ide o zosúladenie s nariadením Európskeho parlamentu a Rady (EÚ) 2024/2809 z 23. októbra 2024, ktorým sa menia nariadenia (EÚ) 2017/1129, (EÚ) č. 596/2014 a (EÚ) č. 600/2014 s cieľom zatraktívniť verejné kapitálové trhy v Únii pre spoločnosti a uľahčiť malým a stredným podnikom prístup ku kapitálu (Ú. v. EÚ L, 2024/2809) (ďalej len „nariadenie (EÚ) 2024/2809“) čl. 1 bod 3, pričom Slovenská republika využila možnosť nezverejnenia prospektu pod limitom menším ako 5 000 000 EUR. </w:t>
      </w:r>
    </w:p>
    <w:p w14:paraId="6641A016" w14:textId="77777777" w:rsidR="00A417FF" w:rsidRPr="00B62291" w:rsidRDefault="00A417FF" w:rsidP="00A417FF">
      <w:pPr>
        <w:ind w:left="284"/>
        <w:jc w:val="both"/>
        <w:rPr>
          <w:b/>
          <w:noProof/>
          <w:shd w:val="clear" w:color="auto" w:fill="FFFFFF"/>
        </w:rPr>
      </w:pPr>
    </w:p>
    <w:p w14:paraId="7EA74D2C" w14:textId="77777777" w:rsidR="00A417FF" w:rsidRPr="00B62291" w:rsidRDefault="00A417FF" w:rsidP="00A417FF">
      <w:pPr>
        <w:ind w:left="284"/>
        <w:jc w:val="both"/>
        <w:rPr>
          <w:b/>
          <w:noProof/>
          <w:shd w:val="clear" w:color="auto" w:fill="FFFFFF"/>
        </w:rPr>
      </w:pPr>
      <w:r w:rsidRPr="00B62291">
        <w:rPr>
          <w:b/>
          <w:noProof/>
          <w:shd w:val="clear" w:color="auto" w:fill="FFFFFF"/>
        </w:rPr>
        <w:t xml:space="preserve">K bodu 24 </w:t>
      </w:r>
      <w:r w:rsidRPr="00B62291">
        <w:rPr>
          <w:b/>
          <w:noProof/>
        </w:rPr>
        <w:t xml:space="preserve"> [§ 120 ods. 3]</w:t>
      </w:r>
    </w:p>
    <w:p w14:paraId="73488160" w14:textId="77777777" w:rsidR="00A417FF" w:rsidRPr="00B62291" w:rsidRDefault="00A417FF" w:rsidP="00A417FF">
      <w:pPr>
        <w:ind w:left="284"/>
        <w:jc w:val="both"/>
        <w:rPr>
          <w:b/>
          <w:noProof/>
          <w:shd w:val="clear" w:color="auto" w:fill="FFFFFF"/>
        </w:rPr>
      </w:pPr>
      <w:r w:rsidRPr="00B62291">
        <w:rPr>
          <w:noProof/>
        </w:rPr>
        <w:t>Vzhľadom k zvýšeniu prahovej hodnoty na 5 miliónov eur a v súvislosti s veľkosťou slovenského trhu, životnou úrovňou, finančnou gramotnosťou v SR a potrebou zabezpečenia poskytnutia aspoň základných informácií retailovým investorom navrhujeme využiť túto možnosť, ktorú prináša nariadenie.</w:t>
      </w:r>
    </w:p>
    <w:p w14:paraId="3F982B66" w14:textId="77777777" w:rsidR="00A417FF" w:rsidRPr="00B62291" w:rsidRDefault="00A417FF" w:rsidP="00A417FF">
      <w:pPr>
        <w:ind w:left="284"/>
        <w:jc w:val="both"/>
        <w:rPr>
          <w:b/>
          <w:noProof/>
          <w:shd w:val="clear" w:color="auto" w:fill="FFFFFF"/>
        </w:rPr>
      </w:pPr>
    </w:p>
    <w:p w14:paraId="4BC5B4B5" w14:textId="77777777" w:rsidR="00A417FF" w:rsidRPr="00B62291" w:rsidRDefault="00A417FF" w:rsidP="00A417FF">
      <w:pPr>
        <w:ind w:left="284"/>
        <w:jc w:val="both"/>
        <w:rPr>
          <w:b/>
          <w:noProof/>
          <w:shd w:val="clear" w:color="auto" w:fill="FFFFFF"/>
        </w:rPr>
      </w:pPr>
      <w:r w:rsidRPr="00B62291">
        <w:rPr>
          <w:b/>
          <w:noProof/>
          <w:shd w:val="clear" w:color="auto" w:fill="FFFFFF"/>
        </w:rPr>
        <w:t xml:space="preserve">K bodu 25 </w:t>
      </w:r>
      <w:r w:rsidRPr="00B62291">
        <w:rPr>
          <w:b/>
          <w:noProof/>
        </w:rPr>
        <w:t xml:space="preserve"> [poznámka 102ad]</w:t>
      </w:r>
    </w:p>
    <w:p w14:paraId="7AB2569F" w14:textId="77777777" w:rsidR="00A417FF" w:rsidRPr="00B62291" w:rsidRDefault="00A417FF" w:rsidP="00A417FF">
      <w:pPr>
        <w:ind w:left="284"/>
        <w:jc w:val="both"/>
        <w:rPr>
          <w:noProof/>
          <w:shd w:val="clear" w:color="auto" w:fill="FFFFFF"/>
        </w:rPr>
      </w:pPr>
      <w:r w:rsidRPr="00B62291">
        <w:rPr>
          <w:noProof/>
          <w:shd w:val="clear" w:color="auto" w:fill="FFFFFF"/>
        </w:rPr>
        <w:t xml:space="preserve">Ide o zosúladenie s čl. 1 bod 9 nariadenia (EÚ) 2024/2809. Za škodu, ktorá vznikla v dôsledku toho, že súhrn obsahoval zavádzajúce údaje alebo nepresné údaje, zodpovedá osoba zodpovedná za súhrn prospektu len podľa čl. 7 nariadenie Európskeho parlamentu a Rady (EÚ) 2017/1129 zo 14. júna 2017 o prospekte, ktorý sa má uverejniť pri verejnej ponuke cenných papierov alebo ich prijatí na obchodovanie na regulovanom trhu, a o zrušení smernice 2003/71/ES (Ú. v. EÚ L 168, 30.6.2017) v platnom znení. </w:t>
      </w:r>
    </w:p>
    <w:p w14:paraId="26B20DEB" w14:textId="77777777" w:rsidR="00A417FF" w:rsidRPr="00B62291" w:rsidRDefault="00A417FF" w:rsidP="00A417FF">
      <w:pPr>
        <w:ind w:left="284"/>
        <w:jc w:val="both"/>
        <w:rPr>
          <w:b/>
          <w:noProof/>
          <w:shd w:val="clear" w:color="auto" w:fill="FFFFFF"/>
        </w:rPr>
      </w:pPr>
    </w:p>
    <w:p w14:paraId="17CCC977" w14:textId="77777777" w:rsidR="00A417FF" w:rsidRPr="00B62291" w:rsidRDefault="00A417FF" w:rsidP="00A417FF">
      <w:pPr>
        <w:ind w:left="284"/>
        <w:jc w:val="both"/>
        <w:rPr>
          <w:b/>
          <w:noProof/>
          <w:shd w:val="clear" w:color="auto" w:fill="FFFFFF"/>
        </w:rPr>
      </w:pPr>
      <w:r w:rsidRPr="00B62291">
        <w:rPr>
          <w:b/>
          <w:noProof/>
          <w:shd w:val="clear" w:color="auto" w:fill="FFFFFF"/>
        </w:rPr>
        <w:t xml:space="preserve">K bodu 26 </w:t>
      </w:r>
      <w:r w:rsidRPr="00B62291">
        <w:rPr>
          <w:b/>
          <w:noProof/>
        </w:rPr>
        <w:t xml:space="preserve"> [§ 132t ods. 4]</w:t>
      </w:r>
    </w:p>
    <w:p w14:paraId="26598C96" w14:textId="77777777" w:rsidR="00A417FF" w:rsidRPr="00B62291" w:rsidRDefault="00A417FF" w:rsidP="004F1FFA">
      <w:pPr>
        <w:spacing w:line="276" w:lineRule="auto"/>
        <w:ind w:left="284"/>
        <w:jc w:val="both"/>
        <w:rPr>
          <w:noProof/>
          <w:shd w:val="clear" w:color="auto" w:fill="FFFFFF"/>
        </w:rPr>
      </w:pPr>
      <w:r w:rsidRPr="00B62291">
        <w:rPr>
          <w:noProof/>
          <w:shd w:val="clear" w:color="auto" w:fill="FFFFFF"/>
        </w:rPr>
        <w:t>Na účely výpočtu prudenciálnych požiadaviek ako aj z hľadiska právnej istoty podľa  čl. 11 ods. 8 nariadenia Európskeho parlamentu a Rady (EÚ) 2020/1503 zo 7. októbra 2020 o európskych poskytovateľoch služieb hromadného financovania pre podnikanie a o zmene nariadenia (EÚ) 2017/1129 a smernice (EÚ) 2019/1937 (Ú. v. EÚ L 347, 20.10.2020) sa zavádza povinnosť poskytovateľovi služieb hromadného financovania uložiť do verejnej časti registra účtovných závierok účtovnú závierku overenú audítorom.</w:t>
      </w:r>
    </w:p>
    <w:p w14:paraId="54730C5D" w14:textId="77777777" w:rsidR="00A417FF" w:rsidRPr="00B62291" w:rsidRDefault="00A417FF" w:rsidP="00A417FF">
      <w:pPr>
        <w:ind w:left="284"/>
        <w:jc w:val="both"/>
        <w:rPr>
          <w:noProof/>
          <w:shd w:val="clear" w:color="auto" w:fill="FFFFFF"/>
        </w:rPr>
      </w:pPr>
    </w:p>
    <w:p w14:paraId="5CAE3CA0" w14:textId="77777777" w:rsidR="00A417FF" w:rsidRPr="00B62291" w:rsidRDefault="00A417FF" w:rsidP="00A417FF">
      <w:pPr>
        <w:ind w:left="284"/>
        <w:jc w:val="both"/>
        <w:rPr>
          <w:b/>
          <w:noProof/>
          <w:shd w:val="clear" w:color="auto" w:fill="FFFFFF"/>
        </w:rPr>
      </w:pPr>
      <w:r w:rsidRPr="00B62291">
        <w:rPr>
          <w:b/>
          <w:noProof/>
          <w:shd w:val="clear" w:color="auto" w:fill="FFFFFF"/>
        </w:rPr>
        <w:t xml:space="preserve">K bodu 27 </w:t>
      </w:r>
      <w:r w:rsidRPr="00B62291">
        <w:rPr>
          <w:b/>
          <w:noProof/>
        </w:rPr>
        <w:t xml:space="preserve"> [§ 135 ods. 2]</w:t>
      </w:r>
    </w:p>
    <w:p w14:paraId="2358B519" w14:textId="77777777" w:rsidR="00A417FF" w:rsidRPr="00B62291" w:rsidRDefault="00A417FF" w:rsidP="00A417FF">
      <w:pPr>
        <w:ind w:left="284"/>
        <w:jc w:val="both"/>
        <w:rPr>
          <w:noProof/>
        </w:rPr>
      </w:pPr>
      <w:r w:rsidRPr="00B62291">
        <w:rPr>
          <w:noProof/>
        </w:rPr>
        <w:t>Ide o vyprecizovanie transpozície čl. 8 smernice (EÚ) 2019/2034 v platnom znení týkajúce sa povinnosti Národnej banky Slovenska zohľadňovať možný vplyv svojich rozhodnutí na stabilitu finančného systému v iných členských štátoch, ako aj v Európskej únii ako celku.</w:t>
      </w:r>
    </w:p>
    <w:p w14:paraId="1D2833EF" w14:textId="77777777" w:rsidR="00A417FF" w:rsidRDefault="00A417FF" w:rsidP="00A417FF">
      <w:pPr>
        <w:ind w:left="284"/>
        <w:jc w:val="both"/>
        <w:rPr>
          <w:b/>
          <w:noProof/>
          <w:shd w:val="clear" w:color="auto" w:fill="FFFFFF"/>
        </w:rPr>
      </w:pPr>
    </w:p>
    <w:p w14:paraId="2A5D25FA" w14:textId="77777777" w:rsidR="00A417FF" w:rsidRPr="00B62291" w:rsidRDefault="00A417FF" w:rsidP="00A417FF">
      <w:pPr>
        <w:ind w:left="284"/>
        <w:jc w:val="both"/>
        <w:rPr>
          <w:b/>
          <w:noProof/>
          <w:shd w:val="clear" w:color="auto" w:fill="FFFFFF"/>
        </w:rPr>
      </w:pPr>
      <w:r w:rsidRPr="00B62291">
        <w:rPr>
          <w:b/>
          <w:noProof/>
          <w:shd w:val="clear" w:color="auto" w:fill="FFFFFF"/>
        </w:rPr>
        <w:t xml:space="preserve">K bodu 28 </w:t>
      </w:r>
      <w:r w:rsidRPr="00B62291">
        <w:rPr>
          <w:b/>
          <w:noProof/>
        </w:rPr>
        <w:t xml:space="preserve"> [poznámka 110fa]</w:t>
      </w:r>
    </w:p>
    <w:p w14:paraId="5286AC9B" w14:textId="77777777" w:rsidR="00A417FF" w:rsidRPr="00B62291" w:rsidRDefault="00A417FF" w:rsidP="00A417FF">
      <w:pPr>
        <w:ind w:left="284"/>
        <w:jc w:val="both"/>
        <w:rPr>
          <w:noProof/>
        </w:rPr>
      </w:pPr>
      <w:r w:rsidRPr="00B62291">
        <w:rPr>
          <w:noProof/>
        </w:rPr>
        <w:t>Rozširuje sa poznámka pod čiarou o odkaz na nariadenie Európskeho parlamentu a Rady (EÚ) č. 1092/2010 z  24. novembra 2010 o makroprudenciálnom dohľade Európskej únie nad finančným systémom a o zriadení Európskeho výboru pre systémové riziká (Ú. v. EÚ L 331, 15.12.2010) v platnom znení.</w:t>
      </w:r>
    </w:p>
    <w:p w14:paraId="13988669" w14:textId="77777777" w:rsidR="00A417FF" w:rsidRPr="00B62291" w:rsidRDefault="00A417FF" w:rsidP="00A417FF">
      <w:pPr>
        <w:ind w:left="284"/>
        <w:jc w:val="both"/>
        <w:rPr>
          <w:noProof/>
          <w:shd w:val="clear" w:color="auto" w:fill="FFFFFF"/>
        </w:rPr>
      </w:pPr>
    </w:p>
    <w:p w14:paraId="5D69244A" w14:textId="77777777" w:rsidR="00A417FF" w:rsidRPr="00B62291" w:rsidRDefault="00A417FF" w:rsidP="00A417FF">
      <w:pPr>
        <w:ind w:left="284"/>
        <w:rPr>
          <w:b/>
          <w:noProof/>
        </w:rPr>
      </w:pPr>
      <w:r w:rsidRPr="00B62291">
        <w:rPr>
          <w:b/>
          <w:noProof/>
        </w:rPr>
        <w:t>K bodu 29 [§ 135 ods. 9]</w:t>
      </w:r>
    </w:p>
    <w:p w14:paraId="25A202ED" w14:textId="77777777" w:rsidR="00A417FF" w:rsidRPr="00B62291" w:rsidRDefault="00A417FF" w:rsidP="00A417FF">
      <w:pPr>
        <w:ind w:left="284"/>
        <w:jc w:val="both"/>
        <w:rPr>
          <w:noProof/>
          <w:lang w:eastAsia="sk-SK"/>
        </w:rPr>
      </w:pPr>
      <w:r w:rsidRPr="00B62291">
        <w:rPr>
          <w:noProof/>
          <w:lang w:eastAsia="sk-SK"/>
        </w:rPr>
        <w:t xml:space="preserve">Ide o transpozíciu čl. 3 bod 4 smernice (EÚ) 2024/2994. Upresňuje sa, že Národná banka Slovenska posudzuje  a monitoruje vývoj postupov obchodníka s cennými papiermi ohľadne riadenia rizika koncentrácie vyplývajúceho z expozícií voči centrálnym protistranám.   </w:t>
      </w:r>
    </w:p>
    <w:p w14:paraId="535701FB" w14:textId="77777777" w:rsidR="00A417FF" w:rsidRPr="00B62291" w:rsidRDefault="00A417FF" w:rsidP="00A417FF">
      <w:pPr>
        <w:ind w:left="284"/>
        <w:jc w:val="both"/>
        <w:rPr>
          <w:b/>
          <w:noProof/>
        </w:rPr>
      </w:pPr>
    </w:p>
    <w:p w14:paraId="4BF3E9C0" w14:textId="77777777" w:rsidR="00A417FF" w:rsidRPr="00B62291" w:rsidRDefault="00A417FF" w:rsidP="00A417FF">
      <w:pPr>
        <w:ind w:left="284"/>
        <w:rPr>
          <w:b/>
          <w:noProof/>
        </w:rPr>
      </w:pPr>
      <w:r w:rsidRPr="00B62291">
        <w:rPr>
          <w:b/>
          <w:noProof/>
        </w:rPr>
        <w:lastRenderedPageBreak/>
        <w:t>K bodu 30 [§ 135 ods. 12]</w:t>
      </w:r>
    </w:p>
    <w:p w14:paraId="675B5658" w14:textId="77777777" w:rsidR="00A417FF" w:rsidRPr="00B62291" w:rsidRDefault="00A417FF" w:rsidP="00A417FF">
      <w:pPr>
        <w:ind w:left="284"/>
        <w:jc w:val="both"/>
        <w:rPr>
          <w:noProof/>
        </w:rPr>
      </w:pPr>
      <w:r w:rsidRPr="00B62291">
        <w:rPr>
          <w:noProof/>
        </w:rPr>
        <w:t xml:space="preserve">V súlade s čl. 37 ods. 1 smernice (EÚ) 2019/2034 </w:t>
      </w:r>
      <w:r>
        <w:rPr>
          <w:noProof/>
        </w:rPr>
        <w:t xml:space="preserve">v platnom znení </w:t>
      </w:r>
      <w:r w:rsidRPr="00B62291">
        <w:rPr>
          <w:noProof/>
        </w:rPr>
        <w:t xml:space="preserve">sa precizuje, že Národná banka Slovenska pri preskúmaní podmienok, za ktorých bol obchodníkovi s cennými papiermi udelený predchádzajúci súhlas na používanie interných modelov, prihliada aj na zmeny v obchodnej činnosti. </w:t>
      </w:r>
    </w:p>
    <w:p w14:paraId="360C67E1" w14:textId="77777777" w:rsidR="00A417FF" w:rsidRPr="00B62291" w:rsidRDefault="00A417FF" w:rsidP="00A417FF">
      <w:pPr>
        <w:jc w:val="both"/>
        <w:rPr>
          <w:noProof/>
        </w:rPr>
      </w:pPr>
    </w:p>
    <w:p w14:paraId="14F9EA86" w14:textId="77777777" w:rsidR="00A417FF" w:rsidRPr="00B62291" w:rsidRDefault="00A417FF" w:rsidP="00A417FF">
      <w:pPr>
        <w:ind w:left="284"/>
        <w:rPr>
          <w:b/>
          <w:noProof/>
        </w:rPr>
      </w:pPr>
      <w:r w:rsidRPr="00B62291">
        <w:rPr>
          <w:b/>
          <w:noProof/>
        </w:rPr>
        <w:t>K bodu 31 [§ 135 ods. 14]</w:t>
      </w:r>
    </w:p>
    <w:p w14:paraId="52A6CA9B" w14:textId="77777777" w:rsidR="00A417FF" w:rsidRPr="00B62291" w:rsidRDefault="00A417FF" w:rsidP="004F1FFA">
      <w:pPr>
        <w:spacing w:line="276" w:lineRule="auto"/>
        <w:ind w:left="284"/>
        <w:jc w:val="both"/>
        <w:rPr>
          <w:noProof/>
        </w:rPr>
      </w:pPr>
      <w:r w:rsidRPr="00B62291">
        <w:rPr>
          <w:noProof/>
        </w:rPr>
        <w:t xml:space="preserve">V súlade s čl. 37 ods. 2 smernice (EÚ) 2019/2034 </w:t>
      </w:r>
      <w:r>
        <w:rPr>
          <w:noProof/>
        </w:rPr>
        <w:t xml:space="preserve">v platnom znení </w:t>
      </w:r>
      <w:r w:rsidRPr="00B62291">
        <w:rPr>
          <w:noProof/>
        </w:rPr>
        <w:t>je Národná banka Slovenska povinná odobrať obchodníkovi s cennými papiermi udelený predchádzajúci súhlas na používanie interných modelov, ak obchodník s cennými papiermi prekračuje viaceré hodnoty multiplikačného koeficientu v takom rozsahu, že sú pochybnosti o presnosti týchto interných modelov.</w:t>
      </w:r>
    </w:p>
    <w:p w14:paraId="63B7716D" w14:textId="77777777" w:rsidR="00A417FF" w:rsidRPr="00B62291" w:rsidRDefault="00A417FF" w:rsidP="004F1FFA">
      <w:pPr>
        <w:spacing w:line="276" w:lineRule="auto"/>
        <w:ind w:left="284"/>
        <w:jc w:val="both"/>
        <w:rPr>
          <w:b/>
          <w:noProof/>
        </w:rPr>
      </w:pPr>
    </w:p>
    <w:p w14:paraId="0F8749A1" w14:textId="77777777" w:rsidR="00A417FF" w:rsidRPr="00B62291" w:rsidRDefault="00A417FF" w:rsidP="004F1FFA">
      <w:pPr>
        <w:spacing w:line="276" w:lineRule="auto"/>
        <w:ind w:left="284"/>
        <w:jc w:val="both"/>
        <w:rPr>
          <w:b/>
          <w:noProof/>
          <w:shd w:val="clear" w:color="auto" w:fill="FFFFFF"/>
        </w:rPr>
      </w:pPr>
      <w:r w:rsidRPr="00B62291">
        <w:rPr>
          <w:b/>
          <w:noProof/>
          <w:shd w:val="clear" w:color="auto" w:fill="FFFFFF"/>
        </w:rPr>
        <w:t xml:space="preserve">K bodu 32 </w:t>
      </w:r>
      <w:r w:rsidRPr="00B62291">
        <w:rPr>
          <w:b/>
          <w:noProof/>
        </w:rPr>
        <w:t>[§ 135 ods. 17]</w:t>
      </w:r>
    </w:p>
    <w:p w14:paraId="54204F99" w14:textId="77777777" w:rsidR="00A417FF" w:rsidRPr="00B62291" w:rsidRDefault="00A417FF" w:rsidP="004F1FFA">
      <w:pPr>
        <w:spacing w:line="276" w:lineRule="auto"/>
        <w:ind w:left="284"/>
        <w:jc w:val="both"/>
        <w:rPr>
          <w:noProof/>
          <w:shd w:val="clear" w:color="auto" w:fill="FFFFFF"/>
        </w:rPr>
      </w:pPr>
      <w:r w:rsidRPr="00B62291">
        <w:rPr>
          <w:noProof/>
          <w:shd w:val="clear" w:color="auto" w:fill="FFFFFF"/>
        </w:rPr>
        <w:t xml:space="preserve">Ide o legislatívno-technickú zmenu – úprava vnútorného odkazu. </w:t>
      </w:r>
    </w:p>
    <w:p w14:paraId="769A7D91" w14:textId="77777777" w:rsidR="00A417FF" w:rsidRPr="00B62291" w:rsidRDefault="00A417FF" w:rsidP="004F1FFA">
      <w:pPr>
        <w:spacing w:line="276" w:lineRule="auto"/>
        <w:ind w:left="284"/>
        <w:jc w:val="both"/>
        <w:rPr>
          <w:b/>
          <w:noProof/>
        </w:rPr>
      </w:pPr>
    </w:p>
    <w:p w14:paraId="1FD00D7A" w14:textId="77777777" w:rsidR="00A417FF" w:rsidRPr="00B62291" w:rsidRDefault="00A417FF" w:rsidP="004F1FFA">
      <w:pPr>
        <w:spacing w:line="276" w:lineRule="auto"/>
        <w:ind w:left="284"/>
        <w:jc w:val="both"/>
        <w:rPr>
          <w:b/>
          <w:noProof/>
          <w:shd w:val="clear" w:color="auto" w:fill="FFFFFF"/>
        </w:rPr>
      </w:pPr>
      <w:r w:rsidRPr="00B62291">
        <w:rPr>
          <w:b/>
          <w:noProof/>
          <w:shd w:val="clear" w:color="auto" w:fill="FFFFFF"/>
        </w:rPr>
        <w:t xml:space="preserve">K bodu 33 </w:t>
      </w:r>
      <w:r w:rsidRPr="00B62291">
        <w:rPr>
          <w:b/>
          <w:noProof/>
        </w:rPr>
        <w:t xml:space="preserve"> [§ 135 ods. 17</w:t>
      </w:r>
      <w:r>
        <w:rPr>
          <w:b/>
          <w:noProof/>
        </w:rPr>
        <w:t xml:space="preserve"> písm. d</w:t>
      </w:r>
      <w:r w:rsidRPr="00B62291">
        <w:rPr>
          <w:b/>
          <w:noProof/>
        </w:rPr>
        <w:t>]</w:t>
      </w:r>
    </w:p>
    <w:p w14:paraId="0BA1C715" w14:textId="77777777" w:rsidR="00A417FF" w:rsidRPr="00B62291" w:rsidRDefault="00A417FF" w:rsidP="004F1FFA">
      <w:pPr>
        <w:spacing w:line="276" w:lineRule="auto"/>
        <w:ind w:left="284"/>
        <w:jc w:val="both"/>
        <w:rPr>
          <w:noProof/>
        </w:rPr>
      </w:pPr>
      <w:r w:rsidRPr="00B62291">
        <w:rPr>
          <w:noProof/>
        </w:rPr>
        <w:t>Ide o vyprecizovanie transpozície čl. 57 ods. 1 písm. d) smernice (EÚ) 2019/2034 v platnom znení, podľa ktorej Národná banka Slovenska zverejňuje na svojom webovom sídle aj údaje o rozhodujúcich ukazovateľoch v oblasti prudenciálnych požiadaviek na obchodníka s cennými papiermi.</w:t>
      </w:r>
    </w:p>
    <w:p w14:paraId="585F2839" w14:textId="77777777" w:rsidR="00A417FF" w:rsidRPr="00B62291" w:rsidRDefault="00A417FF" w:rsidP="00A417FF">
      <w:pPr>
        <w:ind w:left="284"/>
        <w:jc w:val="both"/>
        <w:rPr>
          <w:b/>
          <w:noProof/>
        </w:rPr>
      </w:pPr>
    </w:p>
    <w:p w14:paraId="55970A5E" w14:textId="77777777" w:rsidR="00A417FF" w:rsidRPr="00B62291" w:rsidRDefault="00A417FF" w:rsidP="00A417FF">
      <w:pPr>
        <w:ind w:left="284"/>
        <w:jc w:val="both"/>
        <w:rPr>
          <w:b/>
          <w:noProof/>
          <w:shd w:val="clear" w:color="auto" w:fill="FFFFFF"/>
        </w:rPr>
      </w:pPr>
      <w:r w:rsidRPr="00B62291">
        <w:rPr>
          <w:b/>
          <w:noProof/>
          <w:shd w:val="clear" w:color="auto" w:fill="FFFFFF"/>
        </w:rPr>
        <w:t xml:space="preserve">K bodu 34 </w:t>
      </w:r>
      <w:r w:rsidRPr="00B62291">
        <w:rPr>
          <w:b/>
          <w:noProof/>
        </w:rPr>
        <w:t xml:space="preserve"> [§ 135 ods. 19]</w:t>
      </w:r>
    </w:p>
    <w:p w14:paraId="1E759510" w14:textId="77777777" w:rsidR="00A417FF" w:rsidRPr="00B62291" w:rsidRDefault="00A417FF" w:rsidP="00A417FF">
      <w:pPr>
        <w:ind w:left="284"/>
        <w:jc w:val="both"/>
        <w:rPr>
          <w:noProof/>
          <w:shd w:val="clear" w:color="auto" w:fill="FFFFFF"/>
        </w:rPr>
      </w:pPr>
      <w:r w:rsidRPr="00B62291">
        <w:rPr>
          <w:noProof/>
          <w:shd w:val="clear" w:color="auto" w:fill="FFFFFF"/>
        </w:rPr>
        <w:t xml:space="preserve">Ide o legislatívno-technickú zmenu – úprava vnútorného odkazu. </w:t>
      </w:r>
    </w:p>
    <w:p w14:paraId="1FE44348" w14:textId="77777777" w:rsidR="00A417FF" w:rsidRPr="00B62291" w:rsidRDefault="00A417FF" w:rsidP="00A417FF">
      <w:pPr>
        <w:ind w:left="360"/>
        <w:jc w:val="both"/>
        <w:rPr>
          <w:noProof/>
          <w:shd w:val="clear" w:color="auto" w:fill="FFFFFF"/>
        </w:rPr>
      </w:pPr>
    </w:p>
    <w:p w14:paraId="12F5EB0A" w14:textId="77777777" w:rsidR="00A417FF" w:rsidRPr="00B62291" w:rsidRDefault="00A417FF" w:rsidP="00A417FF">
      <w:pPr>
        <w:ind w:left="360" w:hanging="76"/>
        <w:jc w:val="both"/>
        <w:rPr>
          <w:b/>
          <w:noProof/>
        </w:rPr>
      </w:pPr>
      <w:r w:rsidRPr="00B62291">
        <w:rPr>
          <w:b/>
          <w:noProof/>
        </w:rPr>
        <w:t xml:space="preserve">K bodu 35  [§ 135 ods. 20]  </w:t>
      </w:r>
    </w:p>
    <w:p w14:paraId="7F4695DA" w14:textId="77777777" w:rsidR="00A417FF" w:rsidRPr="00B62291" w:rsidRDefault="00A417FF" w:rsidP="004F1FFA">
      <w:pPr>
        <w:spacing w:line="276" w:lineRule="auto"/>
        <w:ind w:left="284"/>
        <w:jc w:val="both"/>
        <w:rPr>
          <w:noProof/>
        </w:rPr>
      </w:pPr>
      <w:r w:rsidRPr="00B62291">
        <w:rPr>
          <w:noProof/>
        </w:rPr>
        <w:t xml:space="preserve">Ide o transpozíciu článku 1(5) smernice (EÚ) 2024/2811. Rozširuje sa dohľad nad povinnosťami vyplývajúcimi z Nariadenia (EÚ) č. 600/2004 v platnom znení, a umožňuje sa  udeľovať sankcie za porušenie ustanovených povinností.  </w:t>
      </w:r>
    </w:p>
    <w:p w14:paraId="51EFC760" w14:textId="77777777" w:rsidR="00A417FF" w:rsidRPr="00B62291" w:rsidRDefault="00A417FF" w:rsidP="004F1FFA">
      <w:pPr>
        <w:spacing w:line="276" w:lineRule="auto"/>
        <w:ind w:left="360"/>
        <w:jc w:val="both"/>
        <w:rPr>
          <w:b/>
          <w:noProof/>
          <w:shd w:val="clear" w:color="auto" w:fill="FFFFFF"/>
        </w:rPr>
      </w:pPr>
    </w:p>
    <w:p w14:paraId="76C09F63" w14:textId="77777777" w:rsidR="00A417FF" w:rsidRPr="00B62291" w:rsidRDefault="00A417FF" w:rsidP="004F1FFA">
      <w:pPr>
        <w:spacing w:line="276" w:lineRule="auto"/>
        <w:ind w:left="360" w:hanging="76"/>
        <w:jc w:val="both"/>
        <w:rPr>
          <w:b/>
          <w:noProof/>
          <w:shd w:val="clear" w:color="auto" w:fill="FFFFFF"/>
        </w:rPr>
      </w:pPr>
      <w:r w:rsidRPr="00B62291">
        <w:rPr>
          <w:b/>
          <w:noProof/>
          <w:shd w:val="clear" w:color="auto" w:fill="FFFFFF"/>
        </w:rPr>
        <w:t xml:space="preserve">K bodu 36 </w:t>
      </w:r>
      <w:r w:rsidRPr="00B62291">
        <w:rPr>
          <w:b/>
          <w:noProof/>
        </w:rPr>
        <w:t xml:space="preserve"> [§ 135a ods. 19]</w:t>
      </w:r>
    </w:p>
    <w:p w14:paraId="56AFA049" w14:textId="77777777" w:rsidR="00A417FF" w:rsidRPr="00B62291" w:rsidRDefault="00A417FF" w:rsidP="004F1FFA">
      <w:pPr>
        <w:spacing w:line="276" w:lineRule="auto"/>
        <w:ind w:left="284"/>
        <w:jc w:val="both"/>
        <w:rPr>
          <w:noProof/>
          <w:shd w:val="clear" w:color="auto" w:fill="FFFFFF"/>
        </w:rPr>
      </w:pPr>
      <w:r w:rsidRPr="00B62291">
        <w:rPr>
          <w:noProof/>
          <w:shd w:val="clear" w:color="auto" w:fill="FFFFFF"/>
        </w:rPr>
        <w:t xml:space="preserve">Ide o legislatívno-technickú zmenu – úprava vnútorného odkazu. </w:t>
      </w:r>
    </w:p>
    <w:p w14:paraId="2AA4EC29" w14:textId="77777777" w:rsidR="00A417FF" w:rsidRPr="00B62291" w:rsidRDefault="00A417FF" w:rsidP="004F1FFA">
      <w:pPr>
        <w:spacing w:line="276" w:lineRule="auto"/>
        <w:ind w:left="284" w:hanging="76"/>
        <w:jc w:val="both"/>
        <w:rPr>
          <w:b/>
          <w:noProof/>
        </w:rPr>
      </w:pPr>
    </w:p>
    <w:p w14:paraId="140499FE" w14:textId="77777777" w:rsidR="00A417FF" w:rsidRPr="00B62291" w:rsidRDefault="00A417FF" w:rsidP="00A417FF">
      <w:pPr>
        <w:ind w:left="360" w:hanging="76"/>
        <w:jc w:val="both"/>
        <w:rPr>
          <w:b/>
          <w:noProof/>
          <w:shd w:val="clear" w:color="auto" w:fill="FFFFFF"/>
        </w:rPr>
      </w:pPr>
      <w:r w:rsidRPr="00B62291">
        <w:rPr>
          <w:b/>
          <w:noProof/>
          <w:shd w:val="clear" w:color="auto" w:fill="FFFFFF"/>
        </w:rPr>
        <w:t xml:space="preserve">K bodu 37 </w:t>
      </w:r>
      <w:r w:rsidRPr="00B62291">
        <w:rPr>
          <w:b/>
          <w:noProof/>
        </w:rPr>
        <w:t xml:space="preserve"> [§ 141 ods. 1]</w:t>
      </w:r>
    </w:p>
    <w:p w14:paraId="0F94687D" w14:textId="77777777" w:rsidR="00A417FF" w:rsidRPr="00B62291" w:rsidRDefault="00A417FF" w:rsidP="00A417FF">
      <w:pPr>
        <w:ind w:left="360" w:hanging="76"/>
        <w:jc w:val="both"/>
        <w:rPr>
          <w:noProof/>
        </w:rPr>
      </w:pPr>
      <w:r w:rsidRPr="00B62291">
        <w:rPr>
          <w:noProof/>
        </w:rPr>
        <w:t xml:space="preserve">V súlade čl. 48 ods. 1 smernice (EÚ) 2019/2034 </w:t>
      </w:r>
      <w:r>
        <w:rPr>
          <w:noProof/>
        </w:rPr>
        <w:t xml:space="preserve">v platnom znení </w:t>
      </w:r>
      <w:r w:rsidRPr="00B62291">
        <w:rPr>
          <w:noProof/>
        </w:rPr>
        <w:t xml:space="preserve">sa Národnej banke Slovenska ustanovuje právomoc, že môže zriadiť kolégium orgánov dohľadu, ak je orgánom dohľadu zodpovedným sa výkon dohľadu na konsolidovanom základe. </w:t>
      </w:r>
    </w:p>
    <w:p w14:paraId="4B793443" w14:textId="77777777" w:rsidR="00A417FF" w:rsidRPr="00B62291" w:rsidRDefault="00A417FF" w:rsidP="00A417FF">
      <w:pPr>
        <w:ind w:hanging="76"/>
        <w:jc w:val="both"/>
        <w:rPr>
          <w:noProof/>
        </w:rPr>
      </w:pPr>
    </w:p>
    <w:p w14:paraId="03D6D8AB" w14:textId="77777777" w:rsidR="00A417FF" w:rsidRPr="00B62291" w:rsidRDefault="00A417FF" w:rsidP="00A417FF">
      <w:pPr>
        <w:ind w:left="360" w:hanging="76"/>
        <w:jc w:val="both"/>
        <w:rPr>
          <w:b/>
          <w:noProof/>
          <w:shd w:val="clear" w:color="auto" w:fill="FFFFFF"/>
        </w:rPr>
      </w:pPr>
      <w:r w:rsidRPr="00B62291">
        <w:rPr>
          <w:b/>
          <w:noProof/>
          <w:shd w:val="clear" w:color="auto" w:fill="FFFFFF"/>
        </w:rPr>
        <w:t xml:space="preserve">K bodu 38 </w:t>
      </w:r>
      <w:r w:rsidRPr="00B62291">
        <w:rPr>
          <w:b/>
          <w:noProof/>
        </w:rPr>
        <w:t xml:space="preserve"> [§ 142 ods. 2]</w:t>
      </w:r>
    </w:p>
    <w:p w14:paraId="6442C1EE" w14:textId="77777777" w:rsidR="00A417FF" w:rsidRPr="00B62291" w:rsidRDefault="00A417FF" w:rsidP="00A417FF">
      <w:pPr>
        <w:ind w:left="284"/>
        <w:jc w:val="both"/>
        <w:rPr>
          <w:noProof/>
        </w:rPr>
      </w:pPr>
      <w:r w:rsidRPr="00B62291">
        <w:rPr>
          <w:noProof/>
        </w:rPr>
        <w:t>Ide o vyprecizovanie transpozície čl. 49 ods. 2 smernice (EÚ) 2019/2034 v platnom znení, podľa ktorej sa Národná banka Slovenska môže obrátiť na Európsky orgán dohľadu (Európsky orgán pre bankovníctvo), ak jej neboli poskytnuté potrebné informácie na výkon dohľadu na konsolidovanom základe bezodkladne.</w:t>
      </w:r>
    </w:p>
    <w:p w14:paraId="7016AEEF" w14:textId="77777777" w:rsidR="00A417FF" w:rsidRPr="00B62291" w:rsidRDefault="00A417FF" w:rsidP="00A417FF">
      <w:pPr>
        <w:ind w:left="284"/>
        <w:jc w:val="both"/>
        <w:rPr>
          <w:noProof/>
        </w:rPr>
      </w:pPr>
    </w:p>
    <w:p w14:paraId="3142011C" w14:textId="77777777" w:rsidR="00A417FF" w:rsidRPr="00B62291" w:rsidRDefault="00A417FF" w:rsidP="00A417FF">
      <w:pPr>
        <w:ind w:left="284"/>
        <w:jc w:val="both"/>
        <w:rPr>
          <w:b/>
          <w:noProof/>
        </w:rPr>
      </w:pPr>
      <w:r w:rsidRPr="00B62291">
        <w:rPr>
          <w:b/>
          <w:noProof/>
        </w:rPr>
        <w:t>K bodu 39 [§ 144 ods. 1, odkazy]</w:t>
      </w:r>
    </w:p>
    <w:p w14:paraId="4C31536E" w14:textId="77777777" w:rsidR="00A417FF" w:rsidRPr="00B62291" w:rsidRDefault="00A417FF" w:rsidP="00A417FF">
      <w:pPr>
        <w:ind w:left="284"/>
        <w:jc w:val="both"/>
        <w:rPr>
          <w:noProof/>
          <w:lang w:eastAsia="sk-SK"/>
        </w:rPr>
      </w:pPr>
      <w:r w:rsidRPr="00B62291">
        <w:rPr>
          <w:noProof/>
          <w:lang w:eastAsia="sk-SK"/>
        </w:rPr>
        <w:t xml:space="preserve">Ide o transpozíciu čl. 3 bod 5 smernice (EÚ) 2024/2994. Upresňuje sa rozsah dohľadu.          </w:t>
      </w:r>
    </w:p>
    <w:p w14:paraId="1B5A8F03" w14:textId="77777777" w:rsidR="00A417FF" w:rsidRPr="00B62291" w:rsidRDefault="00A417FF" w:rsidP="00A417FF">
      <w:pPr>
        <w:ind w:left="284"/>
        <w:rPr>
          <w:b/>
          <w:noProof/>
        </w:rPr>
      </w:pPr>
    </w:p>
    <w:p w14:paraId="7C2D16B7" w14:textId="77777777" w:rsidR="00A417FF" w:rsidRPr="00B62291" w:rsidRDefault="00A417FF" w:rsidP="00A417FF">
      <w:pPr>
        <w:ind w:left="284"/>
        <w:rPr>
          <w:b/>
          <w:noProof/>
        </w:rPr>
      </w:pPr>
      <w:r w:rsidRPr="00B62291">
        <w:rPr>
          <w:b/>
          <w:noProof/>
        </w:rPr>
        <w:lastRenderedPageBreak/>
        <w:t>K bodu 40 [§ 144 ods. 1, písm. p]</w:t>
      </w:r>
    </w:p>
    <w:p w14:paraId="68CD6643" w14:textId="77777777" w:rsidR="00A417FF" w:rsidRPr="00B62291" w:rsidRDefault="00A417FF" w:rsidP="004F1FFA">
      <w:pPr>
        <w:spacing w:line="276" w:lineRule="auto"/>
        <w:ind w:left="284"/>
        <w:jc w:val="both"/>
        <w:rPr>
          <w:noProof/>
        </w:rPr>
      </w:pPr>
      <w:r w:rsidRPr="00B62291">
        <w:rPr>
          <w:noProof/>
        </w:rPr>
        <w:t xml:space="preserve">Ide o vyprecizovanie transpozície čl. 39 ods. 2 písm. g) smernice (EÚ) 2019/2034 v platnom znení týkajúce sa sankcie, v rámci ktorej Národná banka Slovenska môže uložiť obchodníkovi s cennými papiermi, aby obmedzil poskytovanie pohyblivej zložky celkovej odmeny vo výške určenej percentom z čistých príjmov. </w:t>
      </w:r>
    </w:p>
    <w:p w14:paraId="2AD8F4E1" w14:textId="77777777" w:rsidR="00A417FF" w:rsidRPr="00B62291" w:rsidRDefault="00A417FF" w:rsidP="004F1FFA">
      <w:pPr>
        <w:spacing w:line="276" w:lineRule="auto"/>
        <w:jc w:val="both"/>
        <w:rPr>
          <w:noProof/>
        </w:rPr>
      </w:pPr>
    </w:p>
    <w:p w14:paraId="60371BBA" w14:textId="77777777" w:rsidR="00A417FF" w:rsidRPr="00B62291" w:rsidRDefault="00A417FF" w:rsidP="004F1FFA">
      <w:pPr>
        <w:spacing w:line="276" w:lineRule="auto"/>
        <w:ind w:left="284"/>
        <w:rPr>
          <w:b/>
          <w:noProof/>
        </w:rPr>
      </w:pPr>
      <w:r w:rsidRPr="00B62291">
        <w:rPr>
          <w:b/>
          <w:noProof/>
        </w:rPr>
        <w:t>K bodu 41 [§ 144 ods. 1, písm. ah]</w:t>
      </w:r>
    </w:p>
    <w:p w14:paraId="3D2F8D0E" w14:textId="77777777" w:rsidR="00A417FF" w:rsidRPr="00B62291" w:rsidRDefault="00A417FF" w:rsidP="004F1FFA">
      <w:pPr>
        <w:spacing w:line="276" w:lineRule="auto"/>
        <w:ind w:left="284"/>
        <w:jc w:val="both"/>
        <w:rPr>
          <w:noProof/>
          <w:lang w:eastAsia="sk-SK"/>
        </w:rPr>
      </w:pPr>
      <w:r w:rsidRPr="00B62291">
        <w:rPr>
          <w:noProof/>
          <w:lang w:eastAsia="sk-SK"/>
        </w:rPr>
        <w:t xml:space="preserve">Ide o transpozíciu čl. 3 bod 5 smernice (EÚ) 2024/2994. Zavádza sa možnosť uložiť obchodníkovi s cennými papiermi povinnosť znížiť expozície voči centrálnej protistrane alebo opätovne preskupiť expozície na všetkých svojich zúčtovacích účtoch, ak existuje nadmerné riziko koncentrácie vyplývajúce z expozícií voči centrálnej protistrane.     </w:t>
      </w:r>
    </w:p>
    <w:p w14:paraId="64432DCC" w14:textId="77777777" w:rsidR="00A417FF" w:rsidRPr="00B62291" w:rsidRDefault="00A417FF" w:rsidP="004F1FFA">
      <w:pPr>
        <w:spacing w:line="276" w:lineRule="auto"/>
        <w:ind w:left="284"/>
        <w:rPr>
          <w:b/>
          <w:noProof/>
        </w:rPr>
      </w:pPr>
    </w:p>
    <w:p w14:paraId="0040D18A" w14:textId="77777777" w:rsidR="00A417FF" w:rsidRPr="00B62291" w:rsidRDefault="00A417FF" w:rsidP="004F1FFA">
      <w:pPr>
        <w:spacing w:line="276" w:lineRule="auto"/>
        <w:ind w:left="284"/>
        <w:rPr>
          <w:b/>
          <w:noProof/>
        </w:rPr>
      </w:pPr>
      <w:r w:rsidRPr="00B62291">
        <w:rPr>
          <w:b/>
          <w:noProof/>
        </w:rPr>
        <w:t>K bodu 42 [§ 144 ods. 35, písm. i]</w:t>
      </w:r>
    </w:p>
    <w:p w14:paraId="51B35A39" w14:textId="77777777" w:rsidR="00A417FF" w:rsidRPr="00B62291" w:rsidRDefault="00A417FF" w:rsidP="004F1FFA">
      <w:pPr>
        <w:spacing w:line="276" w:lineRule="auto"/>
        <w:ind w:left="284"/>
        <w:jc w:val="both"/>
        <w:rPr>
          <w:noProof/>
        </w:rPr>
      </w:pPr>
      <w:r w:rsidRPr="00B62291">
        <w:rPr>
          <w:noProof/>
        </w:rPr>
        <w:t>V súlade s čl. 18 ods. 3 písm. h) smernice (EÚ) 2019/2034 v platnom znení sa dopĺňa ďalší parameter, ktorý Národná banka Slovenska zohľadňuje pri určovaní druhu a výšky sankcií.</w:t>
      </w:r>
    </w:p>
    <w:p w14:paraId="6899144C" w14:textId="77777777" w:rsidR="00A417FF" w:rsidRPr="00B62291" w:rsidRDefault="00A417FF" w:rsidP="004F1FFA">
      <w:pPr>
        <w:spacing w:line="276" w:lineRule="auto"/>
        <w:jc w:val="both"/>
        <w:rPr>
          <w:noProof/>
        </w:rPr>
      </w:pPr>
    </w:p>
    <w:p w14:paraId="53AC9CCC" w14:textId="77777777" w:rsidR="00A417FF" w:rsidRPr="00B62291" w:rsidRDefault="00A417FF" w:rsidP="004F1FFA">
      <w:pPr>
        <w:spacing w:line="276" w:lineRule="auto"/>
        <w:ind w:left="284"/>
        <w:rPr>
          <w:b/>
          <w:noProof/>
        </w:rPr>
      </w:pPr>
      <w:r w:rsidRPr="00B62291">
        <w:rPr>
          <w:b/>
          <w:noProof/>
        </w:rPr>
        <w:t>K bodu 43 [§ 157 ods. 1]</w:t>
      </w:r>
    </w:p>
    <w:p w14:paraId="20081B3F" w14:textId="77777777" w:rsidR="00A417FF" w:rsidRPr="00B62291" w:rsidRDefault="00A417FF" w:rsidP="004F1FFA">
      <w:pPr>
        <w:spacing w:line="276" w:lineRule="auto"/>
        <w:ind w:left="284"/>
        <w:jc w:val="both"/>
        <w:rPr>
          <w:noProof/>
        </w:rPr>
      </w:pPr>
      <w:r w:rsidRPr="00B62291">
        <w:rPr>
          <w:noProof/>
        </w:rPr>
        <w:t xml:space="preserve">V súlade s čl. 29 ods. 2 smernice (EÚ) 2019/2034 v platnom znení sa ustanovuje, že obchodník s cennými papiermi je povinný pri odobratí povolenia na poskytovanie investičných služieb alebo zániku povolenia na poskytovanie investičných služieb prihliadať nielen na udržateľnosť, ale aj na životaschopnosť obchodných modelov a stratégií. </w:t>
      </w:r>
    </w:p>
    <w:p w14:paraId="720A1142" w14:textId="77777777" w:rsidR="00A417FF" w:rsidRPr="00B62291" w:rsidRDefault="00A417FF" w:rsidP="00A417FF">
      <w:pPr>
        <w:ind w:left="284"/>
        <w:rPr>
          <w:b/>
          <w:noProof/>
        </w:rPr>
      </w:pPr>
    </w:p>
    <w:p w14:paraId="0744F4DC" w14:textId="77777777" w:rsidR="00A417FF" w:rsidRPr="00B62291" w:rsidRDefault="00A417FF" w:rsidP="00A417FF">
      <w:pPr>
        <w:ind w:left="284"/>
        <w:rPr>
          <w:b/>
          <w:noProof/>
        </w:rPr>
      </w:pPr>
      <w:r w:rsidRPr="00B62291">
        <w:rPr>
          <w:b/>
          <w:noProof/>
        </w:rPr>
        <w:t xml:space="preserve">K bodu 44 [Príloha sa vypúšťa] </w:t>
      </w:r>
    </w:p>
    <w:p w14:paraId="7B725457" w14:textId="77777777" w:rsidR="00A417FF" w:rsidRPr="00B62291" w:rsidRDefault="00A417FF" w:rsidP="004F1FFA">
      <w:pPr>
        <w:spacing w:line="276" w:lineRule="auto"/>
        <w:ind w:left="284"/>
        <w:jc w:val="both"/>
        <w:rPr>
          <w:noProof/>
        </w:rPr>
      </w:pPr>
      <w:r w:rsidRPr="00B62291">
        <w:rPr>
          <w:noProof/>
        </w:rPr>
        <w:t>Vypustila sa transpozičná príloha z dôvodu zrušenia smernice Európskeho parlamentu a Rady 2001/34/ES z 28. mája 2001 o prijímaní cenných papierov na kótovanie na burze cenných papierov a o informáciách, ktoré sa o týchto cenných papieroch musia zverejňovať (Ú. v. ES L 184, 6.7.2001)(ďalej len „smernica (EÚ) 2001//34/ES“) v platnom znení.</w:t>
      </w:r>
    </w:p>
    <w:p w14:paraId="6C1A8530" w14:textId="77777777" w:rsidR="00A417FF" w:rsidRPr="00B62291" w:rsidRDefault="00A417FF" w:rsidP="00A417FF">
      <w:pPr>
        <w:ind w:left="284"/>
        <w:rPr>
          <w:b/>
          <w:noProof/>
        </w:rPr>
      </w:pPr>
    </w:p>
    <w:p w14:paraId="50747EBE" w14:textId="77777777" w:rsidR="00A417FF" w:rsidRPr="00B62291" w:rsidRDefault="00A417FF" w:rsidP="00A417FF">
      <w:pPr>
        <w:ind w:left="284"/>
        <w:rPr>
          <w:b/>
          <w:noProof/>
        </w:rPr>
      </w:pPr>
      <w:r w:rsidRPr="00B62291">
        <w:rPr>
          <w:b/>
          <w:noProof/>
        </w:rPr>
        <w:t xml:space="preserve">K bodu 45 [Príloha] </w:t>
      </w:r>
    </w:p>
    <w:p w14:paraId="202F260D" w14:textId="77777777" w:rsidR="00A417FF" w:rsidRPr="00B62291" w:rsidRDefault="00A417FF" w:rsidP="00A417FF">
      <w:pPr>
        <w:ind w:left="284"/>
        <w:jc w:val="both"/>
        <w:rPr>
          <w:noProof/>
        </w:rPr>
      </w:pPr>
      <w:r w:rsidRPr="00B62291">
        <w:rPr>
          <w:noProof/>
        </w:rPr>
        <w:t xml:space="preserve">Dopĺňa sa transpozičná príloha k smernici (EÚ) 2024/790. </w:t>
      </w:r>
    </w:p>
    <w:p w14:paraId="4BD39132" w14:textId="77777777" w:rsidR="00A417FF" w:rsidRPr="00B62291" w:rsidRDefault="00A417FF" w:rsidP="00A417FF">
      <w:pPr>
        <w:ind w:left="284"/>
        <w:jc w:val="both"/>
        <w:rPr>
          <w:noProof/>
        </w:rPr>
      </w:pPr>
    </w:p>
    <w:p w14:paraId="0E760827" w14:textId="77777777" w:rsidR="00A417FF" w:rsidRPr="00B62291" w:rsidRDefault="00A417FF" w:rsidP="00A417FF">
      <w:pPr>
        <w:ind w:left="284"/>
        <w:rPr>
          <w:b/>
          <w:noProof/>
        </w:rPr>
      </w:pPr>
      <w:r w:rsidRPr="00B62291">
        <w:rPr>
          <w:b/>
          <w:noProof/>
        </w:rPr>
        <w:t xml:space="preserve">K bodu 46 [Príloha] </w:t>
      </w:r>
    </w:p>
    <w:p w14:paraId="6123839A" w14:textId="77777777" w:rsidR="00A417FF" w:rsidRPr="00B62291" w:rsidRDefault="00A417FF" w:rsidP="00A417FF">
      <w:pPr>
        <w:ind w:left="284"/>
        <w:jc w:val="both"/>
        <w:rPr>
          <w:noProof/>
        </w:rPr>
      </w:pPr>
      <w:r w:rsidRPr="00B62291">
        <w:rPr>
          <w:noProof/>
        </w:rPr>
        <w:t xml:space="preserve">Dopĺňa sa transpozičná príloha k smernici (EÚ) 2024/2811. </w:t>
      </w:r>
    </w:p>
    <w:p w14:paraId="2A7C9712" w14:textId="77777777" w:rsidR="00A417FF" w:rsidRPr="00B62291" w:rsidRDefault="00A417FF" w:rsidP="00A417FF">
      <w:pPr>
        <w:ind w:left="284"/>
        <w:jc w:val="both"/>
        <w:rPr>
          <w:noProof/>
        </w:rPr>
      </w:pPr>
    </w:p>
    <w:p w14:paraId="08BC4524" w14:textId="77777777" w:rsidR="00A417FF" w:rsidRPr="00B62291" w:rsidRDefault="00A417FF" w:rsidP="00A417FF">
      <w:pPr>
        <w:ind w:left="284"/>
        <w:rPr>
          <w:b/>
          <w:noProof/>
        </w:rPr>
      </w:pPr>
      <w:r w:rsidRPr="00B62291">
        <w:rPr>
          <w:b/>
          <w:noProof/>
        </w:rPr>
        <w:t xml:space="preserve">K bodu 47 [Príloha] </w:t>
      </w:r>
    </w:p>
    <w:p w14:paraId="39B52103" w14:textId="77777777" w:rsidR="00A417FF" w:rsidRPr="00B62291" w:rsidRDefault="00A417FF" w:rsidP="00A417FF">
      <w:pPr>
        <w:ind w:left="284"/>
        <w:jc w:val="both"/>
        <w:rPr>
          <w:noProof/>
        </w:rPr>
      </w:pPr>
      <w:r w:rsidRPr="00B62291">
        <w:rPr>
          <w:noProof/>
        </w:rPr>
        <w:t xml:space="preserve">Dopĺňa sa transpozičná príloha k smernici (EÚ) 2024/2994. </w:t>
      </w:r>
    </w:p>
    <w:p w14:paraId="74C04CFF" w14:textId="77777777" w:rsidR="00A417FF" w:rsidRPr="00B62291" w:rsidRDefault="00A417FF" w:rsidP="00A417FF">
      <w:pPr>
        <w:ind w:left="284"/>
        <w:jc w:val="both"/>
        <w:rPr>
          <w:noProof/>
        </w:rPr>
      </w:pPr>
    </w:p>
    <w:p w14:paraId="1056DBD5" w14:textId="77777777" w:rsidR="00A417FF" w:rsidRDefault="00A417FF" w:rsidP="00A417FF">
      <w:pPr>
        <w:ind w:left="284"/>
        <w:jc w:val="both"/>
        <w:rPr>
          <w:noProof/>
        </w:rPr>
      </w:pPr>
    </w:p>
    <w:p w14:paraId="6F3C4455" w14:textId="77777777" w:rsidR="00A417FF" w:rsidRDefault="00A417FF" w:rsidP="00A417FF">
      <w:pPr>
        <w:ind w:left="284"/>
        <w:jc w:val="both"/>
        <w:rPr>
          <w:noProof/>
        </w:rPr>
      </w:pPr>
    </w:p>
    <w:p w14:paraId="7616556E" w14:textId="77777777" w:rsidR="00A417FF" w:rsidRPr="00B62291" w:rsidRDefault="00A417FF" w:rsidP="00A417FF">
      <w:pPr>
        <w:ind w:left="284"/>
        <w:jc w:val="both"/>
        <w:rPr>
          <w:noProof/>
        </w:rPr>
      </w:pPr>
    </w:p>
    <w:p w14:paraId="51D8542C" w14:textId="77777777" w:rsidR="00A417FF" w:rsidRPr="00B62291" w:rsidRDefault="00A417FF" w:rsidP="00A417FF">
      <w:pPr>
        <w:ind w:left="284"/>
        <w:jc w:val="both"/>
        <w:rPr>
          <w:noProof/>
        </w:rPr>
      </w:pPr>
    </w:p>
    <w:p w14:paraId="7321F585" w14:textId="77777777" w:rsidR="00A417FF" w:rsidRPr="00B62291" w:rsidRDefault="00A417FF" w:rsidP="00A417FF">
      <w:pPr>
        <w:ind w:left="284"/>
        <w:jc w:val="both"/>
        <w:rPr>
          <w:noProof/>
        </w:rPr>
      </w:pPr>
    </w:p>
    <w:p w14:paraId="78D4F1D7" w14:textId="77777777" w:rsidR="00A417FF" w:rsidRPr="00B62291" w:rsidRDefault="00A417FF" w:rsidP="00A417FF">
      <w:pPr>
        <w:rPr>
          <w:b/>
          <w:bCs/>
          <w:noProof/>
        </w:rPr>
      </w:pPr>
      <w:r w:rsidRPr="00B62291">
        <w:rPr>
          <w:b/>
          <w:bCs/>
          <w:noProof/>
        </w:rPr>
        <w:t xml:space="preserve">Čl. II – zákon </w:t>
      </w:r>
      <w:r w:rsidRPr="00B62291">
        <w:rPr>
          <w:rStyle w:val="awspan"/>
          <w:b/>
          <w:noProof/>
        </w:rPr>
        <w:t>429/2002</w:t>
      </w:r>
      <w:r w:rsidRPr="00B62291">
        <w:rPr>
          <w:rStyle w:val="awspan"/>
          <w:b/>
          <w:noProof/>
          <w:spacing w:val="2"/>
        </w:rPr>
        <w:t xml:space="preserve"> </w:t>
      </w:r>
      <w:r w:rsidRPr="00B62291">
        <w:rPr>
          <w:rStyle w:val="awspan"/>
          <w:b/>
          <w:noProof/>
        </w:rPr>
        <w:t>Z.</w:t>
      </w:r>
      <w:r w:rsidRPr="00B62291">
        <w:rPr>
          <w:rStyle w:val="awspan"/>
          <w:b/>
          <w:noProof/>
          <w:spacing w:val="2"/>
        </w:rPr>
        <w:t xml:space="preserve"> </w:t>
      </w:r>
      <w:r w:rsidRPr="00B62291">
        <w:rPr>
          <w:rStyle w:val="awspan"/>
          <w:b/>
          <w:noProof/>
        </w:rPr>
        <w:t>z.</w:t>
      </w:r>
      <w:r w:rsidRPr="00B62291">
        <w:rPr>
          <w:rStyle w:val="awspan"/>
          <w:b/>
          <w:noProof/>
          <w:spacing w:val="2"/>
        </w:rPr>
        <w:t xml:space="preserve"> </w:t>
      </w:r>
      <w:r w:rsidRPr="00B62291">
        <w:rPr>
          <w:rStyle w:val="awspan"/>
          <w:b/>
          <w:noProof/>
        </w:rPr>
        <w:t>o</w:t>
      </w:r>
      <w:r w:rsidRPr="00B62291">
        <w:rPr>
          <w:rStyle w:val="awspan"/>
          <w:b/>
          <w:noProof/>
          <w:spacing w:val="2"/>
        </w:rPr>
        <w:t xml:space="preserve"> </w:t>
      </w:r>
      <w:r w:rsidRPr="00B62291">
        <w:rPr>
          <w:rStyle w:val="awspan"/>
          <w:b/>
          <w:noProof/>
        </w:rPr>
        <w:t>burze</w:t>
      </w:r>
      <w:r w:rsidRPr="00B62291">
        <w:rPr>
          <w:rStyle w:val="awspan"/>
          <w:b/>
          <w:noProof/>
          <w:spacing w:val="2"/>
        </w:rPr>
        <w:t xml:space="preserve"> </w:t>
      </w:r>
      <w:r w:rsidRPr="00B62291">
        <w:rPr>
          <w:rStyle w:val="awspan"/>
          <w:b/>
          <w:noProof/>
        </w:rPr>
        <w:t>cenných</w:t>
      </w:r>
      <w:r w:rsidRPr="00B62291">
        <w:rPr>
          <w:rStyle w:val="awspan"/>
          <w:b/>
          <w:noProof/>
          <w:spacing w:val="2"/>
        </w:rPr>
        <w:t xml:space="preserve"> </w:t>
      </w:r>
      <w:r w:rsidRPr="00B62291">
        <w:rPr>
          <w:rStyle w:val="awspan"/>
          <w:b/>
          <w:noProof/>
        </w:rPr>
        <w:t>papierov</w:t>
      </w:r>
    </w:p>
    <w:p w14:paraId="1C4EAF22" w14:textId="77777777" w:rsidR="00A417FF" w:rsidRPr="00B62291" w:rsidRDefault="00A417FF" w:rsidP="00A417FF">
      <w:pPr>
        <w:ind w:left="284"/>
        <w:rPr>
          <w:b/>
          <w:noProof/>
        </w:rPr>
      </w:pPr>
      <w:r w:rsidRPr="00B62291">
        <w:rPr>
          <w:b/>
          <w:noProof/>
        </w:rPr>
        <w:t>K bodu 1 [§ 3]</w:t>
      </w:r>
    </w:p>
    <w:p w14:paraId="11A15FBB" w14:textId="77777777" w:rsidR="00A417FF" w:rsidRPr="00B62291" w:rsidRDefault="00A417FF" w:rsidP="00A417FF">
      <w:pPr>
        <w:ind w:left="284"/>
        <w:jc w:val="both"/>
        <w:rPr>
          <w:noProof/>
        </w:rPr>
      </w:pPr>
      <w:r w:rsidRPr="00B62291">
        <w:rPr>
          <w:noProof/>
        </w:rPr>
        <w:t xml:space="preserve">Ide o transpozíciu článku 1(3) smernice (EÚ) 2024/790. Upresňuje sa definícia mnohostranného obchodného systému. </w:t>
      </w:r>
    </w:p>
    <w:p w14:paraId="76E23B22" w14:textId="77777777" w:rsidR="00A417FF" w:rsidRPr="00B62291" w:rsidRDefault="00A417FF" w:rsidP="00A417FF">
      <w:pPr>
        <w:ind w:left="284"/>
        <w:rPr>
          <w:b/>
          <w:noProof/>
        </w:rPr>
      </w:pPr>
    </w:p>
    <w:p w14:paraId="60037C03" w14:textId="77777777" w:rsidR="00A417FF" w:rsidRPr="00B62291" w:rsidRDefault="00A417FF" w:rsidP="00A417FF">
      <w:pPr>
        <w:ind w:left="284"/>
        <w:rPr>
          <w:b/>
          <w:noProof/>
        </w:rPr>
      </w:pPr>
      <w:r w:rsidRPr="00B62291">
        <w:rPr>
          <w:b/>
          <w:noProof/>
        </w:rPr>
        <w:lastRenderedPageBreak/>
        <w:t xml:space="preserve">K bodu 2 [§ 14] </w:t>
      </w:r>
    </w:p>
    <w:p w14:paraId="00B97841" w14:textId="77777777" w:rsidR="00A417FF" w:rsidRPr="00B62291" w:rsidRDefault="00A417FF" w:rsidP="00A417FF">
      <w:pPr>
        <w:ind w:left="284"/>
        <w:jc w:val="both"/>
        <w:rPr>
          <w:noProof/>
        </w:rPr>
      </w:pPr>
      <w:r w:rsidRPr="00B62291">
        <w:rPr>
          <w:noProof/>
        </w:rPr>
        <w:t>Ide o transpozíciu článku 1(6) smernice (EÚ) 2024/790. Cieľom tohto ustanovenia je stanoviť pre burzu povinnosť mať aspoň troch reálne aktívnych členov alebo používateľov.</w:t>
      </w:r>
    </w:p>
    <w:p w14:paraId="6646FE13" w14:textId="77777777" w:rsidR="00A417FF" w:rsidRPr="00B62291" w:rsidRDefault="00A417FF" w:rsidP="00A417FF">
      <w:pPr>
        <w:ind w:left="284"/>
        <w:jc w:val="both"/>
        <w:rPr>
          <w:b/>
          <w:noProof/>
        </w:rPr>
      </w:pPr>
    </w:p>
    <w:p w14:paraId="4C8DFC0A" w14:textId="77777777" w:rsidR="00A417FF" w:rsidRPr="00B62291" w:rsidRDefault="00A417FF" w:rsidP="00A417FF">
      <w:pPr>
        <w:ind w:left="284"/>
        <w:jc w:val="both"/>
        <w:rPr>
          <w:b/>
          <w:noProof/>
        </w:rPr>
      </w:pPr>
      <w:r w:rsidRPr="00B62291">
        <w:rPr>
          <w:b/>
          <w:noProof/>
        </w:rPr>
        <w:t xml:space="preserve">K bodu 3 [§ 25 nadpisy] </w:t>
      </w:r>
    </w:p>
    <w:p w14:paraId="7E0AE877" w14:textId="77777777" w:rsidR="00A417FF" w:rsidRPr="00B62291" w:rsidRDefault="00A417FF" w:rsidP="00A417FF">
      <w:pPr>
        <w:ind w:left="284"/>
        <w:rPr>
          <w:bCs/>
          <w:noProof/>
        </w:rPr>
      </w:pPr>
      <w:r w:rsidRPr="00B62291">
        <w:rPr>
          <w:bCs/>
          <w:noProof/>
        </w:rPr>
        <w:t>Upresňujú sa názvy trhov.</w:t>
      </w:r>
    </w:p>
    <w:p w14:paraId="03851F76" w14:textId="77777777" w:rsidR="00A417FF" w:rsidRPr="00B62291" w:rsidRDefault="00A417FF" w:rsidP="00A417FF">
      <w:pPr>
        <w:ind w:left="284"/>
        <w:rPr>
          <w:b/>
          <w:noProof/>
        </w:rPr>
      </w:pPr>
    </w:p>
    <w:p w14:paraId="251499A8" w14:textId="77777777" w:rsidR="00A417FF" w:rsidRPr="00B62291" w:rsidRDefault="00A417FF" w:rsidP="00A417FF">
      <w:pPr>
        <w:ind w:left="284"/>
        <w:rPr>
          <w:b/>
          <w:noProof/>
        </w:rPr>
      </w:pPr>
      <w:r w:rsidRPr="00B62291">
        <w:rPr>
          <w:b/>
          <w:noProof/>
        </w:rPr>
        <w:t xml:space="preserve">K bodu 4 [§ 25 ods. 1 a 2] </w:t>
      </w:r>
    </w:p>
    <w:p w14:paraId="225786D1" w14:textId="77777777" w:rsidR="00A417FF" w:rsidRPr="00B62291" w:rsidRDefault="00A417FF" w:rsidP="004F1FFA">
      <w:pPr>
        <w:spacing w:line="276" w:lineRule="auto"/>
        <w:ind w:left="284"/>
        <w:jc w:val="both"/>
        <w:rPr>
          <w:bCs/>
          <w:noProof/>
        </w:rPr>
      </w:pPr>
      <w:r w:rsidRPr="00B62291">
        <w:rPr>
          <w:bCs/>
          <w:noProof/>
        </w:rPr>
        <w:t xml:space="preserve">Burza organizuje regulovaný trh. V zákone sa však zdôrazňuje existencia trhu kótovaných cenných papierov ako súčasť regulovaného trhu, čo je dôležité z hľadiska viditeľnosti emitentov, likvidity trhu a reputácie emitentov. Burza však nie je povinná organizovať obchodovanie na trhu kótovaných cenných papierov.     </w:t>
      </w:r>
    </w:p>
    <w:p w14:paraId="12DBD007" w14:textId="77777777" w:rsidR="00A417FF" w:rsidRPr="00B62291" w:rsidRDefault="00A417FF" w:rsidP="004F1FFA">
      <w:pPr>
        <w:spacing w:line="276" w:lineRule="auto"/>
        <w:ind w:left="284"/>
        <w:jc w:val="both"/>
        <w:rPr>
          <w:bCs/>
          <w:noProof/>
        </w:rPr>
      </w:pPr>
      <w:r w:rsidRPr="00B62291">
        <w:rPr>
          <w:bCs/>
          <w:noProof/>
        </w:rPr>
        <w:t xml:space="preserve">Drhuý odsek upravuje segmentáciu regulovaného trhu, pričom podrobnosti o jednotlivých segmentoch sa uvedú v burzových pravidlách. </w:t>
      </w:r>
      <w:r w:rsidRPr="00B62291">
        <w:rPr>
          <w:noProof/>
        </w:rPr>
        <w:t>Cieľom tohto ustanovenia je jasne zadefinovať požiadavky na regulovaný voľný trh, ako aj na trh kótovaných cenných papierov a tým ich od seba odlíšiť a jednoznačne zdôrazniť, že v prípade trhu kótovaných cenných papierov ide o prémiový trh, na ktorý sú kladené okrem základných požiadaviek určených v § 29 a § 29a aj ďalšie dodatočné požiadavky určené v § 30 až 32.</w:t>
      </w:r>
    </w:p>
    <w:p w14:paraId="15C856B1" w14:textId="77777777" w:rsidR="00A417FF" w:rsidRPr="00B62291" w:rsidRDefault="00A417FF" w:rsidP="004F1FFA">
      <w:pPr>
        <w:spacing w:line="276" w:lineRule="auto"/>
        <w:ind w:left="284"/>
        <w:rPr>
          <w:bCs/>
          <w:noProof/>
        </w:rPr>
      </w:pPr>
    </w:p>
    <w:p w14:paraId="41B275FA" w14:textId="77777777" w:rsidR="00A417FF" w:rsidRPr="00B62291" w:rsidRDefault="00A417FF" w:rsidP="004F1FFA">
      <w:pPr>
        <w:spacing w:line="276" w:lineRule="auto"/>
        <w:ind w:left="284"/>
        <w:rPr>
          <w:b/>
          <w:noProof/>
        </w:rPr>
      </w:pPr>
      <w:r w:rsidRPr="00B62291">
        <w:rPr>
          <w:b/>
          <w:noProof/>
        </w:rPr>
        <w:t xml:space="preserve">K bodu 5 [poznámka pod čiarou 39] </w:t>
      </w:r>
    </w:p>
    <w:p w14:paraId="7664E211" w14:textId="77777777" w:rsidR="00A417FF" w:rsidRPr="00B62291" w:rsidRDefault="00A417FF" w:rsidP="004F1FFA">
      <w:pPr>
        <w:spacing w:line="276" w:lineRule="auto"/>
        <w:ind w:left="360" w:hanging="76"/>
        <w:jc w:val="both"/>
        <w:rPr>
          <w:noProof/>
        </w:rPr>
      </w:pPr>
      <w:r w:rsidRPr="00B62291">
        <w:rPr>
          <w:noProof/>
        </w:rPr>
        <w:t xml:space="preserve">Upresňuje sa znenie poznámky pod čiarou k odkazu 39. </w:t>
      </w:r>
    </w:p>
    <w:p w14:paraId="174195BF" w14:textId="77777777" w:rsidR="00A417FF" w:rsidRPr="00B62291" w:rsidRDefault="00A417FF" w:rsidP="004F1FFA">
      <w:pPr>
        <w:spacing w:line="276" w:lineRule="auto"/>
        <w:ind w:left="284"/>
        <w:rPr>
          <w:bCs/>
          <w:noProof/>
        </w:rPr>
      </w:pPr>
    </w:p>
    <w:p w14:paraId="4A1A85B2" w14:textId="77777777" w:rsidR="00A417FF" w:rsidRPr="00B62291" w:rsidRDefault="00A417FF" w:rsidP="004F1FFA">
      <w:pPr>
        <w:spacing w:line="276" w:lineRule="auto"/>
        <w:ind w:left="284"/>
        <w:rPr>
          <w:b/>
          <w:noProof/>
        </w:rPr>
      </w:pPr>
      <w:r w:rsidRPr="00B62291">
        <w:rPr>
          <w:b/>
          <w:noProof/>
        </w:rPr>
        <w:t xml:space="preserve">K bodu 6 [§ 25 ods. 8] </w:t>
      </w:r>
    </w:p>
    <w:p w14:paraId="7687D82D" w14:textId="77777777" w:rsidR="00A417FF" w:rsidRPr="00B62291" w:rsidRDefault="00A417FF" w:rsidP="004F1FFA">
      <w:pPr>
        <w:spacing w:line="276" w:lineRule="auto"/>
        <w:ind w:left="284"/>
        <w:jc w:val="both"/>
        <w:rPr>
          <w:noProof/>
        </w:rPr>
      </w:pPr>
      <w:r w:rsidRPr="00B62291">
        <w:rPr>
          <w:noProof/>
        </w:rPr>
        <w:t xml:space="preserve">Ide o transpozíciu článku 1(8) smernice (EÚ) 2024/790. Ustanovuje sa možnosť pre regulovaný trh  v Európskom hospodárskom priestore (ďalej ako „EHP“) stanoviť rovnakú veľkosť tiku, aká sa používa na regulovanom trhu mimo EHP, ak majú akcie pridelený ISIN mimo krajín EHP.   </w:t>
      </w:r>
    </w:p>
    <w:p w14:paraId="547D205F" w14:textId="77777777" w:rsidR="00A417FF" w:rsidRPr="00B62291" w:rsidRDefault="00A417FF" w:rsidP="00A417FF">
      <w:pPr>
        <w:ind w:left="284"/>
        <w:rPr>
          <w:noProof/>
        </w:rPr>
      </w:pPr>
    </w:p>
    <w:p w14:paraId="5F4FB740" w14:textId="77777777" w:rsidR="00A417FF" w:rsidRPr="00B62291" w:rsidRDefault="00A417FF" w:rsidP="00A417FF">
      <w:pPr>
        <w:ind w:left="284"/>
        <w:rPr>
          <w:b/>
          <w:noProof/>
        </w:rPr>
      </w:pPr>
      <w:r w:rsidRPr="00B62291">
        <w:rPr>
          <w:b/>
          <w:noProof/>
        </w:rPr>
        <w:t xml:space="preserve">K bodu 7 [§ 26 ods. 2] </w:t>
      </w:r>
    </w:p>
    <w:p w14:paraId="1035EAD2" w14:textId="77777777" w:rsidR="00A417FF" w:rsidRPr="00B62291" w:rsidRDefault="00A417FF" w:rsidP="00A417FF">
      <w:pPr>
        <w:ind w:left="360" w:hanging="76"/>
        <w:jc w:val="both"/>
        <w:rPr>
          <w:noProof/>
        </w:rPr>
      </w:pPr>
      <w:r w:rsidRPr="00B62291">
        <w:rPr>
          <w:noProof/>
        </w:rPr>
        <w:t xml:space="preserve">Legislatívno-technická zmena – vypúšťa sa legislatívna skratka.  </w:t>
      </w:r>
    </w:p>
    <w:p w14:paraId="7F7E2239" w14:textId="77777777" w:rsidR="00A417FF" w:rsidRPr="00B62291" w:rsidRDefault="00A417FF" w:rsidP="00A417FF">
      <w:pPr>
        <w:ind w:left="284"/>
        <w:rPr>
          <w:b/>
          <w:noProof/>
        </w:rPr>
      </w:pPr>
    </w:p>
    <w:p w14:paraId="24F3DDCB" w14:textId="77777777" w:rsidR="00A417FF" w:rsidRPr="00B62291" w:rsidRDefault="00A417FF" w:rsidP="00A417FF">
      <w:pPr>
        <w:ind w:left="284"/>
        <w:rPr>
          <w:b/>
          <w:noProof/>
        </w:rPr>
      </w:pPr>
      <w:r w:rsidRPr="00B62291">
        <w:rPr>
          <w:b/>
          <w:noProof/>
        </w:rPr>
        <w:t xml:space="preserve">K bodu 8 [poznámka pod čiarou 39a] </w:t>
      </w:r>
    </w:p>
    <w:p w14:paraId="3A907C9A" w14:textId="77777777" w:rsidR="00A417FF" w:rsidRPr="00B62291" w:rsidRDefault="00A417FF" w:rsidP="00A417FF">
      <w:pPr>
        <w:ind w:left="360" w:hanging="76"/>
        <w:jc w:val="both"/>
        <w:rPr>
          <w:noProof/>
        </w:rPr>
      </w:pPr>
      <w:r w:rsidRPr="00B62291">
        <w:rPr>
          <w:noProof/>
        </w:rPr>
        <w:t xml:space="preserve">Upresňuje sa znenie poznámky pod čiarou k odkazu 39a. </w:t>
      </w:r>
    </w:p>
    <w:p w14:paraId="54090134" w14:textId="77777777" w:rsidR="00A417FF" w:rsidRPr="00B62291" w:rsidRDefault="00A417FF" w:rsidP="00A417FF">
      <w:pPr>
        <w:ind w:left="284"/>
        <w:rPr>
          <w:b/>
          <w:noProof/>
        </w:rPr>
      </w:pPr>
    </w:p>
    <w:p w14:paraId="787FF8E3" w14:textId="77777777" w:rsidR="00A417FF" w:rsidRPr="00B62291" w:rsidRDefault="00A417FF" w:rsidP="00A417FF">
      <w:pPr>
        <w:ind w:left="284"/>
        <w:rPr>
          <w:b/>
          <w:noProof/>
        </w:rPr>
      </w:pPr>
      <w:r w:rsidRPr="00B62291">
        <w:rPr>
          <w:b/>
          <w:noProof/>
        </w:rPr>
        <w:t xml:space="preserve">K bodu 9  [§ 26 ods. 5] </w:t>
      </w:r>
    </w:p>
    <w:p w14:paraId="607C03DD" w14:textId="77777777" w:rsidR="00A417FF" w:rsidRPr="00B62291" w:rsidRDefault="00A417FF" w:rsidP="00A417FF">
      <w:pPr>
        <w:ind w:left="284"/>
        <w:rPr>
          <w:bCs/>
          <w:noProof/>
        </w:rPr>
      </w:pPr>
      <w:r w:rsidRPr="00B62291">
        <w:rPr>
          <w:noProof/>
        </w:rPr>
        <w:t xml:space="preserve">Legislatívno-technická pripomienka (odstránenie nesúladu s EÚ predpismi). </w:t>
      </w:r>
      <w:r w:rsidRPr="00B62291">
        <w:rPr>
          <w:bCs/>
          <w:noProof/>
        </w:rPr>
        <w:t xml:space="preserve">Vypúšťajú sa nadbytočné slová.     </w:t>
      </w:r>
    </w:p>
    <w:p w14:paraId="10AD289A" w14:textId="77777777" w:rsidR="00A417FF" w:rsidRPr="00B62291" w:rsidRDefault="00A417FF" w:rsidP="00A417FF">
      <w:pPr>
        <w:ind w:left="284"/>
        <w:rPr>
          <w:b/>
          <w:noProof/>
        </w:rPr>
      </w:pPr>
    </w:p>
    <w:p w14:paraId="5DFB6453" w14:textId="77777777" w:rsidR="00A417FF" w:rsidRPr="00B62291" w:rsidRDefault="00A417FF" w:rsidP="00A417FF">
      <w:pPr>
        <w:ind w:left="284"/>
        <w:rPr>
          <w:b/>
          <w:noProof/>
        </w:rPr>
      </w:pPr>
      <w:r w:rsidRPr="00B62291">
        <w:rPr>
          <w:b/>
          <w:noProof/>
        </w:rPr>
        <w:t xml:space="preserve">K bodu 10  [§ 26 ods. 6] </w:t>
      </w:r>
    </w:p>
    <w:p w14:paraId="1044AFD4" w14:textId="77777777" w:rsidR="00A417FF" w:rsidRPr="00B62291" w:rsidRDefault="00A417FF" w:rsidP="00A417FF">
      <w:pPr>
        <w:ind w:left="284"/>
        <w:rPr>
          <w:bCs/>
          <w:noProof/>
        </w:rPr>
      </w:pPr>
      <w:r w:rsidRPr="00B62291">
        <w:rPr>
          <w:bCs/>
          <w:noProof/>
        </w:rPr>
        <w:t>Upresnenie textu s ohľadom na vypustené ustanovenie.</w:t>
      </w:r>
    </w:p>
    <w:p w14:paraId="361A0C2B" w14:textId="77777777" w:rsidR="00A417FF" w:rsidRPr="00B62291" w:rsidRDefault="00A417FF" w:rsidP="00A417FF">
      <w:pPr>
        <w:ind w:left="284"/>
        <w:rPr>
          <w:b/>
          <w:noProof/>
        </w:rPr>
      </w:pPr>
    </w:p>
    <w:p w14:paraId="20519149" w14:textId="77777777" w:rsidR="00A417FF" w:rsidRPr="00B62291" w:rsidRDefault="00A417FF" w:rsidP="00A417FF">
      <w:pPr>
        <w:ind w:left="284"/>
        <w:rPr>
          <w:b/>
          <w:noProof/>
        </w:rPr>
      </w:pPr>
      <w:r w:rsidRPr="00B62291">
        <w:rPr>
          <w:b/>
          <w:noProof/>
        </w:rPr>
        <w:t xml:space="preserve">K bodu 11  [§ 26 ods. 10] </w:t>
      </w:r>
    </w:p>
    <w:p w14:paraId="743F51D1" w14:textId="77777777" w:rsidR="00A417FF" w:rsidRPr="00B62291" w:rsidRDefault="00A417FF" w:rsidP="00A417FF">
      <w:pPr>
        <w:ind w:left="284"/>
        <w:jc w:val="both"/>
        <w:rPr>
          <w:b/>
          <w:noProof/>
        </w:rPr>
      </w:pPr>
      <w:r w:rsidRPr="00B62291">
        <w:rPr>
          <w:noProof/>
        </w:rPr>
        <w:t>Úprava navrhnutá v rámci prebiehajúceho procesu zjednodušovania pravidiel a odstraňovania bariér (simplification and burden reduction). V súčasnosti už nepovažujeme za nevyhnutné zverejňovanie takýchto informácii v celoštátnej tlači a považujeme za postačujúce ich uverejnenie na webovom sídle burzy.</w:t>
      </w:r>
    </w:p>
    <w:p w14:paraId="3C32B6E3" w14:textId="77777777" w:rsidR="00A417FF" w:rsidRPr="00B62291" w:rsidRDefault="00A417FF" w:rsidP="00A417FF">
      <w:pPr>
        <w:ind w:left="284"/>
        <w:rPr>
          <w:b/>
          <w:noProof/>
        </w:rPr>
      </w:pPr>
    </w:p>
    <w:p w14:paraId="009EF4F7" w14:textId="77777777" w:rsidR="00A417FF" w:rsidRPr="00B62291" w:rsidRDefault="00A417FF" w:rsidP="00A417FF">
      <w:pPr>
        <w:ind w:left="284"/>
        <w:rPr>
          <w:b/>
          <w:noProof/>
        </w:rPr>
      </w:pPr>
      <w:r w:rsidRPr="00B62291">
        <w:rPr>
          <w:b/>
          <w:noProof/>
        </w:rPr>
        <w:lastRenderedPageBreak/>
        <w:t xml:space="preserve">K bodu 12  [§ 29 ods. 1 pís. g] </w:t>
      </w:r>
    </w:p>
    <w:p w14:paraId="6D285AAE" w14:textId="77777777" w:rsidR="00A417FF" w:rsidRPr="00B62291" w:rsidRDefault="00A417FF" w:rsidP="00A417FF">
      <w:pPr>
        <w:ind w:left="284"/>
        <w:jc w:val="both"/>
        <w:rPr>
          <w:noProof/>
        </w:rPr>
      </w:pPr>
      <w:r w:rsidRPr="00B62291">
        <w:rPr>
          <w:noProof/>
        </w:rPr>
        <w:t xml:space="preserve">Ide o transpozíciu čl. 2 smernice (EÚ) 2024/2811. Požiadavky na prijímané cenné papiere a finančné nástroje sú upravené delegovaným nariadením (EÚ) 2017/568 v platnom znení pre regulované trhy, a burzovými  pravidlami pre neregulované trhy. Dopĺňa sa odkaz na osobitný predpis (EÚ) 2017/1129 v platnom znení.        </w:t>
      </w:r>
    </w:p>
    <w:p w14:paraId="402BB2D5" w14:textId="77777777" w:rsidR="00A417FF" w:rsidRPr="00B62291" w:rsidRDefault="00A417FF" w:rsidP="00A417FF">
      <w:pPr>
        <w:ind w:left="284"/>
        <w:jc w:val="both"/>
        <w:rPr>
          <w:b/>
          <w:noProof/>
        </w:rPr>
      </w:pPr>
    </w:p>
    <w:p w14:paraId="677870DD" w14:textId="77777777" w:rsidR="00A417FF" w:rsidRPr="00B62291" w:rsidRDefault="00A417FF" w:rsidP="00A417FF">
      <w:pPr>
        <w:ind w:left="284"/>
        <w:jc w:val="both"/>
        <w:rPr>
          <w:b/>
          <w:noProof/>
        </w:rPr>
      </w:pPr>
      <w:r w:rsidRPr="00B62291">
        <w:rPr>
          <w:b/>
          <w:noProof/>
        </w:rPr>
        <w:t xml:space="preserve">K bodu 13  [§ 29 ods. 1 pís. i] </w:t>
      </w:r>
    </w:p>
    <w:p w14:paraId="128EC62C" w14:textId="77777777" w:rsidR="00A417FF" w:rsidRPr="00B62291" w:rsidRDefault="00A417FF" w:rsidP="00A417FF">
      <w:pPr>
        <w:ind w:left="284"/>
        <w:jc w:val="both"/>
        <w:rPr>
          <w:b/>
          <w:noProof/>
        </w:rPr>
      </w:pPr>
      <w:r w:rsidRPr="00B62291">
        <w:rPr>
          <w:noProof/>
        </w:rPr>
        <w:t>Ide o zapracovanie požiadavky, ktorá vyplynula z aplikačnej praxe.</w:t>
      </w:r>
    </w:p>
    <w:p w14:paraId="0A555171" w14:textId="77777777" w:rsidR="00A417FF" w:rsidRPr="00B62291" w:rsidRDefault="00A417FF" w:rsidP="00A417FF">
      <w:pPr>
        <w:ind w:left="284"/>
        <w:jc w:val="both"/>
        <w:rPr>
          <w:b/>
          <w:noProof/>
        </w:rPr>
      </w:pPr>
    </w:p>
    <w:p w14:paraId="06220C29" w14:textId="77777777" w:rsidR="00A417FF" w:rsidRPr="00B62291" w:rsidRDefault="00A417FF" w:rsidP="00A417FF">
      <w:pPr>
        <w:ind w:left="284"/>
        <w:jc w:val="both"/>
        <w:rPr>
          <w:b/>
          <w:noProof/>
        </w:rPr>
      </w:pPr>
      <w:r w:rsidRPr="00B62291">
        <w:rPr>
          <w:b/>
          <w:noProof/>
        </w:rPr>
        <w:t xml:space="preserve">K bodu 14  [§ 29 ods. 4] </w:t>
      </w:r>
    </w:p>
    <w:p w14:paraId="63392588" w14:textId="77777777" w:rsidR="00A417FF" w:rsidRPr="00B62291" w:rsidRDefault="00A417FF" w:rsidP="00A417FF">
      <w:pPr>
        <w:ind w:left="284"/>
        <w:jc w:val="both"/>
        <w:rPr>
          <w:noProof/>
        </w:rPr>
      </w:pPr>
      <w:r w:rsidRPr="00B62291">
        <w:rPr>
          <w:noProof/>
        </w:rPr>
        <w:t xml:space="preserve">Vypúšťa sa nadbytočné ustanovenie, a v tejto súvislosti je potrebné nahradiť doterajší odkaz na § 33.      </w:t>
      </w:r>
    </w:p>
    <w:p w14:paraId="2261CBCB" w14:textId="77777777" w:rsidR="00A417FF" w:rsidRPr="00B62291" w:rsidRDefault="00A417FF" w:rsidP="00A417FF">
      <w:pPr>
        <w:ind w:left="284"/>
        <w:rPr>
          <w:b/>
          <w:noProof/>
        </w:rPr>
      </w:pPr>
    </w:p>
    <w:p w14:paraId="1CD3E81D" w14:textId="77777777" w:rsidR="00A417FF" w:rsidRPr="00B62291" w:rsidRDefault="00A417FF" w:rsidP="00A417FF">
      <w:pPr>
        <w:ind w:left="284"/>
        <w:rPr>
          <w:b/>
          <w:noProof/>
        </w:rPr>
      </w:pPr>
      <w:r w:rsidRPr="00B62291">
        <w:rPr>
          <w:b/>
          <w:noProof/>
        </w:rPr>
        <w:t xml:space="preserve">K bodu 15 [§ 29a] </w:t>
      </w:r>
    </w:p>
    <w:p w14:paraId="087C7150" w14:textId="77777777" w:rsidR="00A417FF" w:rsidRPr="00B62291" w:rsidRDefault="00A417FF" w:rsidP="00A417FF">
      <w:pPr>
        <w:ind w:left="284"/>
        <w:jc w:val="both"/>
        <w:rPr>
          <w:noProof/>
        </w:rPr>
      </w:pPr>
      <w:r w:rsidRPr="00B62291">
        <w:rPr>
          <w:noProof/>
        </w:rPr>
        <w:t xml:space="preserve">Ide o transpozíciu článku 1 bod 4 smernice (EÚ) 2024/2811. Zavádzajú sa osobitné podmienky pre prijatie akcií na obchodovanie. Organizátor regulovaného trhu upresní vo svojich pravidlách týkajúcich sa podmienok prijatia cenných papierov, čo sa považuje za dostatočný počet akcií v držbe verejnosti, čo sa považuje za dostatočný počet akcionárov, a čo sa považuje za dostatočnú úroveň upísaného základného imania. Uvedené kritériá majú podporovať dostatočnú likviditu akcií, ktoré sa prijímajú k obchodovaniu.             </w:t>
      </w:r>
    </w:p>
    <w:p w14:paraId="2913B632" w14:textId="77777777" w:rsidR="00A417FF" w:rsidRPr="00B62291" w:rsidRDefault="00A417FF" w:rsidP="00A417FF">
      <w:pPr>
        <w:ind w:left="284"/>
        <w:rPr>
          <w:b/>
          <w:noProof/>
        </w:rPr>
      </w:pPr>
    </w:p>
    <w:p w14:paraId="7441757A" w14:textId="77777777" w:rsidR="00A417FF" w:rsidRPr="00B62291" w:rsidRDefault="00A417FF" w:rsidP="00A417FF">
      <w:pPr>
        <w:ind w:left="284"/>
        <w:rPr>
          <w:b/>
          <w:noProof/>
        </w:rPr>
      </w:pPr>
      <w:r w:rsidRPr="00B62291">
        <w:rPr>
          <w:b/>
          <w:noProof/>
        </w:rPr>
        <w:t xml:space="preserve">K bodu 16  [§ 30 ods. 1] </w:t>
      </w:r>
    </w:p>
    <w:p w14:paraId="0E44B6F2" w14:textId="77777777" w:rsidR="00A417FF" w:rsidRPr="00B62291" w:rsidRDefault="00A417FF" w:rsidP="00A417FF">
      <w:pPr>
        <w:ind w:left="284"/>
        <w:jc w:val="both"/>
        <w:rPr>
          <w:noProof/>
        </w:rPr>
      </w:pPr>
      <w:r w:rsidRPr="00B62291">
        <w:rPr>
          <w:noProof/>
        </w:rPr>
        <w:t xml:space="preserve">Znižuje sa požadovaný podiel akcií, ktorý je distribuovaný medzi verejnosťou, z 25 % na 20 %. Aj po tomto znížení bude požadovaný podiel akcií distribuovaných medzi verejnosťou postačovať na zabezpečenie likvidity akcií, po zvážení medzinárodnej praxe.      </w:t>
      </w:r>
    </w:p>
    <w:p w14:paraId="7D2B0B7F" w14:textId="77777777" w:rsidR="00A417FF" w:rsidRPr="00B62291" w:rsidRDefault="00A417FF" w:rsidP="00A417FF">
      <w:pPr>
        <w:ind w:left="284"/>
        <w:rPr>
          <w:b/>
          <w:noProof/>
        </w:rPr>
      </w:pPr>
    </w:p>
    <w:p w14:paraId="77650011" w14:textId="77777777" w:rsidR="00A417FF" w:rsidRPr="00B62291" w:rsidRDefault="00A417FF" w:rsidP="00A417FF">
      <w:pPr>
        <w:ind w:left="284"/>
        <w:rPr>
          <w:b/>
          <w:noProof/>
        </w:rPr>
      </w:pPr>
      <w:r w:rsidRPr="00B62291">
        <w:rPr>
          <w:b/>
          <w:noProof/>
        </w:rPr>
        <w:t xml:space="preserve">K bodu 17  [§ 32 ods. 2] </w:t>
      </w:r>
    </w:p>
    <w:p w14:paraId="78C092F8" w14:textId="77777777" w:rsidR="00A417FF" w:rsidRPr="00B62291" w:rsidRDefault="00A417FF" w:rsidP="00A417FF">
      <w:pPr>
        <w:ind w:left="284"/>
        <w:jc w:val="both"/>
        <w:rPr>
          <w:bCs/>
          <w:noProof/>
        </w:rPr>
      </w:pPr>
      <w:r w:rsidRPr="00B62291">
        <w:rPr>
          <w:bCs/>
          <w:noProof/>
        </w:rPr>
        <w:t xml:space="preserve">Legislatívno-technická úprava s ohľadom na to, že v celom texte zákona sa slová „žiadosť o kótovanie“ nahrádzajú slovami „žiadosť o prijatie cenných papirov na trh kótovaných cenných papierov“.     </w:t>
      </w:r>
    </w:p>
    <w:p w14:paraId="0ED32B9C" w14:textId="77777777" w:rsidR="00A417FF" w:rsidRPr="00B62291" w:rsidRDefault="00A417FF" w:rsidP="00A417FF">
      <w:pPr>
        <w:ind w:left="284"/>
        <w:rPr>
          <w:b/>
          <w:noProof/>
        </w:rPr>
      </w:pPr>
    </w:p>
    <w:p w14:paraId="563CA85B" w14:textId="77777777" w:rsidR="00A417FF" w:rsidRPr="00B62291" w:rsidRDefault="00A417FF" w:rsidP="00A417FF">
      <w:pPr>
        <w:ind w:left="284"/>
        <w:rPr>
          <w:b/>
          <w:noProof/>
        </w:rPr>
      </w:pPr>
      <w:r w:rsidRPr="00B62291">
        <w:rPr>
          <w:b/>
          <w:noProof/>
        </w:rPr>
        <w:t xml:space="preserve">K bodu 18  [§ 33] </w:t>
      </w:r>
    </w:p>
    <w:p w14:paraId="70139D19" w14:textId="77777777" w:rsidR="00A417FF" w:rsidRPr="00B62291" w:rsidRDefault="00A417FF" w:rsidP="00A417FF">
      <w:pPr>
        <w:ind w:left="360" w:hanging="76"/>
        <w:jc w:val="both"/>
        <w:rPr>
          <w:noProof/>
        </w:rPr>
      </w:pPr>
      <w:r w:rsidRPr="00B62291">
        <w:rPr>
          <w:noProof/>
        </w:rPr>
        <w:t>Vypúšťa sa § 33 z dôvodu zrušenia smernice (EÚ) 2001/34/ES v platnom znení.</w:t>
      </w:r>
    </w:p>
    <w:p w14:paraId="3B7EB374" w14:textId="77777777" w:rsidR="00A417FF" w:rsidRPr="00B62291" w:rsidRDefault="00A417FF" w:rsidP="00A417FF">
      <w:pPr>
        <w:ind w:left="360" w:hanging="76"/>
        <w:jc w:val="both"/>
        <w:rPr>
          <w:noProof/>
        </w:rPr>
      </w:pPr>
      <w:r w:rsidRPr="00B62291">
        <w:rPr>
          <w:noProof/>
        </w:rPr>
        <w:t xml:space="preserve"> </w:t>
      </w:r>
    </w:p>
    <w:p w14:paraId="06B74E39" w14:textId="77777777" w:rsidR="00A417FF" w:rsidRPr="00B62291" w:rsidRDefault="00A417FF" w:rsidP="00A417FF">
      <w:pPr>
        <w:ind w:left="284"/>
        <w:rPr>
          <w:b/>
          <w:noProof/>
        </w:rPr>
      </w:pPr>
      <w:r w:rsidRPr="00B62291">
        <w:rPr>
          <w:b/>
          <w:noProof/>
        </w:rPr>
        <w:t xml:space="preserve">K bodu 19  [§ 37d ods. 2] </w:t>
      </w:r>
    </w:p>
    <w:p w14:paraId="41409575" w14:textId="77777777" w:rsidR="00A417FF" w:rsidRPr="00B62291" w:rsidRDefault="00A417FF" w:rsidP="00A417FF">
      <w:pPr>
        <w:ind w:left="284"/>
        <w:jc w:val="both"/>
        <w:rPr>
          <w:bCs/>
          <w:noProof/>
        </w:rPr>
      </w:pPr>
      <w:r w:rsidRPr="00B62291">
        <w:rPr>
          <w:bCs/>
          <w:noProof/>
        </w:rPr>
        <w:t>Upresnenie textu v nadväznosti na koncept prijímania finančných nástrjov na obchodovanie podľa smernice 2014/65/EÚ v platnom znení.</w:t>
      </w:r>
    </w:p>
    <w:p w14:paraId="65B27E8C" w14:textId="77777777" w:rsidR="00A417FF" w:rsidRPr="00B62291" w:rsidRDefault="00A417FF" w:rsidP="00A417FF">
      <w:pPr>
        <w:ind w:left="284"/>
        <w:rPr>
          <w:b/>
          <w:noProof/>
        </w:rPr>
      </w:pPr>
    </w:p>
    <w:p w14:paraId="0BADA0EC" w14:textId="77777777" w:rsidR="00A417FF" w:rsidRPr="00B62291" w:rsidRDefault="00A417FF" w:rsidP="00A417FF">
      <w:pPr>
        <w:ind w:left="284"/>
        <w:rPr>
          <w:b/>
          <w:noProof/>
        </w:rPr>
      </w:pPr>
      <w:r w:rsidRPr="00B62291">
        <w:rPr>
          <w:b/>
          <w:noProof/>
        </w:rPr>
        <w:t xml:space="preserve">K bodu 20  [§ 37d ods. 4] </w:t>
      </w:r>
    </w:p>
    <w:p w14:paraId="1F032BF8" w14:textId="77777777" w:rsidR="00A417FF" w:rsidRPr="00B62291" w:rsidRDefault="00A417FF" w:rsidP="00A417FF">
      <w:pPr>
        <w:ind w:left="284"/>
        <w:rPr>
          <w:bCs/>
          <w:noProof/>
        </w:rPr>
      </w:pPr>
      <w:r w:rsidRPr="00B62291">
        <w:rPr>
          <w:bCs/>
          <w:noProof/>
        </w:rPr>
        <w:t>Upresnenie textu.</w:t>
      </w:r>
    </w:p>
    <w:p w14:paraId="57BA7F57" w14:textId="77777777" w:rsidR="00A417FF" w:rsidRPr="00B62291" w:rsidRDefault="00A417FF" w:rsidP="00A417FF">
      <w:pPr>
        <w:ind w:left="284"/>
        <w:rPr>
          <w:b/>
          <w:noProof/>
        </w:rPr>
      </w:pPr>
    </w:p>
    <w:p w14:paraId="28B419ED" w14:textId="77777777" w:rsidR="00A417FF" w:rsidRPr="00B62291" w:rsidRDefault="00A417FF" w:rsidP="00A417FF">
      <w:pPr>
        <w:ind w:left="284"/>
        <w:rPr>
          <w:b/>
          <w:noProof/>
        </w:rPr>
      </w:pPr>
      <w:r w:rsidRPr="00B62291">
        <w:rPr>
          <w:b/>
          <w:noProof/>
        </w:rPr>
        <w:t xml:space="preserve">K bodu 21 [§ 38a ods. 1] </w:t>
      </w:r>
    </w:p>
    <w:p w14:paraId="20537377" w14:textId="77777777" w:rsidR="00A417FF" w:rsidRPr="00B62291" w:rsidRDefault="00A417FF" w:rsidP="00A417FF">
      <w:pPr>
        <w:ind w:left="284"/>
        <w:jc w:val="both"/>
        <w:rPr>
          <w:bCs/>
          <w:noProof/>
        </w:rPr>
      </w:pPr>
      <w:r w:rsidRPr="00B62291">
        <w:rPr>
          <w:bCs/>
          <w:noProof/>
        </w:rPr>
        <w:t xml:space="preserve">Upresňuje sa doterajšie znenie tak, aby bolo jasné, že uvedené kompetencie zastaviť obchodovanie alebo obmedziť obchodovanie sa využijú len vo výnimočných situáciách.   </w:t>
      </w:r>
    </w:p>
    <w:p w14:paraId="3C8151F4" w14:textId="77777777" w:rsidR="00A417FF" w:rsidRPr="00B62291" w:rsidRDefault="00A417FF" w:rsidP="00A417FF">
      <w:pPr>
        <w:ind w:left="284"/>
        <w:rPr>
          <w:b/>
          <w:noProof/>
        </w:rPr>
      </w:pPr>
    </w:p>
    <w:p w14:paraId="4831E08C" w14:textId="77777777" w:rsidR="00A417FF" w:rsidRPr="00B62291" w:rsidRDefault="00A417FF" w:rsidP="00A417FF">
      <w:pPr>
        <w:ind w:left="284"/>
        <w:rPr>
          <w:b/>
          <w:noProof/>
        </w:rPr>
      </w:pPr>
      <w:r w:rsidRPr="00B62291">
        <w:rPr>
          <w:b/>
          <w:noProof/>
        </w:rPr>
        <w:t xml:space="preserve">K bodu 22 [§ 38a ods. 2] </w:t>
      </w:r>
    </w:p>
    <w:p w14:paraId="3C802BB5" w14:textId="77777777" w:rsidR="00A417FF" w:rsidRPr="00B62291" w:rsidRDefault="00A417FF" w:rsidP="00A417FF">
      <w:pPr>
        <w:ind w:left="284"/>
        <w:jc w:val="both"/>
        <w:rPr>
          <w:noProof/>
        </w:rPr>
      </w:pPr>
      <w:r w:rsidRPr="00B62291">
        <w:rPr>
          <w:noProof/>
        </w:rPr>
        <w:t xml:space="preserve">Ide o transpozíciu článku 1(7) smernice (EÚ) 2024/790. Spresňuje sa, že burza môže  obmedziť obchodovanie. </w:t>
      </w:r>
    </w:p>
    <w:p w14:paraId="1C199839" w14:textId="77777777" w:rsidR="00A417FF" w:rsidRPr="00B62291" w:rsidRDefault="00A417FF" w:rsidP="00A417FF">
      <w:pPr>
        <w:ind w:left="284"/>
        <w:rPr>
          <w:b/>
          <w:noProof/>
        </w:rPr>
      </w:pPr>
    </w:p>
    <w:p w14:paraId="1CF1718A" w14:textId="77777777" w:rsidR="00A417FF" w:rsidRPr="00B62291" w:rsidRDefault="00A417FF" w:rsidP="00A417FF">
      <w:pPr>
        <w:ind w:left="284"/>
        <w:rPr>
          <w:b/>
          <w:noProof/>
        </w:rPr>
      </w:pPr>
      <w:r w:rsidRPr="00B62291">
        <w:rPr>
          <w:b/>
          <w:noProof/>
        </w:rPr>
        <w:t xml:space="preserve">K bodu 23 [§ 38a ods. 5 a 6] </w:t>
      </w:r>
    </w:p>
    <w:p w14:paraId="759D82C3" w14:textId="77777777" w:rsidR="00A417FF" w:rsidRPr="00B62291" w:rsidRDefault="00A417FF" w:rsidP="004F1FFA">
      <w:pPr>
        <w:spacing w:line="276" w:lineRule="auto"/>
        <w:ind w:left="284"/>
        <w:jc w:val="both"/>
        <w:rPr>
          <w:noProof/>
        </w:rPr>
      </w:pPr>
      <w:r w:rsidRPr="00B62291">
        <w:rPr>
          <w:noProof/>
        </w:rPr>
        <w:lastRenderedPageBreak/>
        <w:t xml:space="preserve">Ide o transpozíciu článku 1(7)(a) smernice (EÚ) 2024/790. Dopĺňajú sa nové povinnosti pre burzu, aby zverejnila informácie o okolnostiach, ktoré viedli k zastaveniu alebo obmedzeniu obchodovania. Ak v prípade významného pohybu cien burza nezastaví alebo neobmedzí obchodovanie s príslušným finančným nástrojom, Národná banka Slovenska bude oprávnená prijať opatrenia na obnovenie podmienok obchodovania.   </w:t>
      </w:r>
    </w:p>
    <w:p w14:paraId="36AE658E" w14:textId="77777777" w:rsidR="00A417FF" w:rsidRPr="00B62291" w:rsidRDefault="00A417FF" w:rsidP="004F1FFA">
      <w:pPr>
        <w:spacing w:line="276" w:lineRule="auto"/>
        <w:ind w:left="284"/>
        <w:rPr>
          <w:b/>
          <w:noProof/>
        </w:rPr>
      </w:pPr>
      <w:r w:rsidRPr="00B62291">
        <w:rPr>
          <w:b/>
          <w:noProof/>
        </w:rPr>
        <w:t xml:space="preserve">K bodu 24 [§ 38b ods. 2] </w:t>
      </w:r>
    </w:p>
    <w:p w14:paraId="5B7AD605" w14:textId="77777777" w:rsidR="00A417FF" w:rsidRPr="00B62291" w:rsidRDefault="00A417FF" w:rsidP="004F1FFA">
      <w:pPr>
        <w:spacing w:line="276" w:lineRule="auto"/>
        <w:ind w:left="284"/>
        <w:rPr>
          <w:bCs/>
          <w:noProof/>
        </w:rPr>
      </w:pPr>
      <w:r w:rsidRPr="00B62291">
        <w:rPr>
          <w:bCs/>
          <w:noProof/>
        </w:rPr>
        <w:t xml:space="preserve">Vypúšťa sa § 38b ods. 2 v nadväznosti na vypustenie § 65 ods. 1 a 2. </w:t>
      </w:r>
    </w:p>
    <w:p w14:paraId="12716B11" w14:textId="77777777" w:rsidR="00A417FF" w:rsidRPr="00B62291" w:rsidRDefault="00A417FF" w:rsidP="004F1FFA">
      <w:pPr>
        <w:spacing w:line="276" w:lineRule="auto"/>
        <w:ind w:left="284"/>
        <w:rPr>
          <w:b/>
          <w:noProof/>
        </w:rPr>
      </w:pPr>
    </w:p>
    <w:p w14:paraId="24251836" w14:textId="77777777" w:rsidR="00A417FF" w:rsidRPr="00B62291" w:rsidRDefault="00A417FF" w:rsidP="004F1FFA">
      <w:pPr>
        <w:spacing w:line="276" w:lineRule="auto"/>
        <w:ind w:left="284"/>
        <w:rPr>
          <w:b/>
          <w:noProof/>
        </w:rPr>
      </w:pPr>
      <w:r w:rsidRPr="00B62291">
        <w:rPr>
          <w:b/>
          <w:noProof/>
        </w:rPr>
        <w:t xml:space="preserve">K bodu 25 [§ 52 ods. 9] </w:t>
      </w:r>
    </w:p>
    <w:p w14:paraId="3E1E8976" w14:textId="77777777" w:rsidR="00A417FF" w:rsidRPr="00B62291" w:rsidRDefault="00A417FF" w:rsidP="004F1FFA">
      <w:pPr>
        <w:spacing w:line="276" w:lineRule="auto"/>
        <w:ind w:left="284"/>
        <w:jc w:val="both"/>
        <w:rPr>
          <w:noProof/>
        </w:rPr>
      </w:pPr>
      <w:r w:rsidRPr="00B62291">
        <w:rPr>
          <w:noProof/>
        </w:rPr>
        <w:t xml:space="preserve">Ide o transpozíciu článku 1(5) smernice (EÚ) 2024/790. Vyžaduje sa, aby burza a obchodník s cennými papiermi zaviedli opatrenia na spĺňanie požiadaviek na kvalitu údajov, ktoré zverejňujú o transakciách s finančnými nástrojmi.  </w:t>
      </w:r>
    </w:p>
    <w:p w14:paraId="348C5666" w14:textId="77777777" w:rsidR="00A417FF" w:rsidRPr="00B62291" w:rsidRDefault="00A417FF" w:rsidP="004F1FFA">
      <w:pPr>
        <w:spacing w:line="276" w:lineRule="auto"/>
        <w:ind w:left="284"/>
        <w:rPr>
          <w:b/>
          <w:noProof/>
        </w:rPr>
      </w:pPr>
    </w:p>
    <w:p w14:paraId="06DB5B6E" w14:textId="77777777" w:rsidR="00A417FF" w:rsidRPr="00B62291" w:rsidRDefault="00A417FF" w:rsidP="004F1FFA">
      <w:pPr>
        <w:spacing w:line="276" w:lineRule="auto"/>
        <w:ind w:left="284"/>
        <w:rPr>
          <w:b/>
          <w:noProof/>
        </w:rPr>
      </w:pPr>
      <w:r w:rsidRPr="00B62291">
        <w:rPr>
          <w:b/>
          <w:noProof/>
        </w:rPr>
        <w:t xml:space="preserve">K bodu 26 [§ 56 ods. 1] </w:t>
      </w:r>
    </w:p>
    <w:p w14:paraId="284F2C4E" w14:textId="77777777" w:rsidR="00A417FF" w:rsidRPr="00B62291" w:rsidRDefault="00A417FF" w:rsidP="004F1FFA">
      <w:pPr>
        <w:spacing w:line="276" w:lineRule="auto"/>
        <w:ind w:left="284"/>
        <w:jc w:val="both"/>
        <w:rPr>
          <w:noProof/>
        </w:rPr>
      </w:pPr>
      <w:r w:rsidRPr="00B62291">
        <w:rPr>
          <w:noProof/>
        </w:rPr>
        <w:t xml:space="preserve">Ide o transpozíciu článku 1 bod 1 smernice (EÚ) 2024/2811. Umožňuje sa registrácia segmentu mnohostranného obchodného systému  ako rastový trh.    </w:t>
      </w:r>
    </w:p>
    <w:p w14:paraId="00637FA9" w14:textId="77777777" w:rsidR="00A417FF" w:rsidRPr="00B62291" w:rsidRDefault="00A417FF" w:rsidP="004F1FFA">
      <w:pPr>
        <w:spacing w:line="276" w:lineRule="auto"/>
        <w:ind w:left="284"/>
        <w:rPr>
          <w:b/>
          <w:noProof/>
        </w:rPr>
      </w:pPr>
    </w:p>
    <w:p w14:paraId="04252946" w14:textId="77777777" w:rsidR="00A417FF" w:rsidRPr="00B62291" w:rsidRDefault="00A417FF" w:rsidP="004F1FFA">
      <w:pPr>
        <w:spacing w:line="276" w:lineRule="auto"/>
        <w:ind w:left="284"/>
        <w:rPr>
          <w:b/>
          <w:noProof/>
        </w:rPr>
      </w:pPr>
      <w:r w:rsidRPr="00B62291">
        <w:rPr>
          <w:b/>
          <w:noProof/>
        </w:rPr>
        <w:t xml:space="preserve">K bodu 27 [§ 56 ods. 2] </w:t>
      </w:r>
    </w:p>
    <w:p w14:paraId="20AD22B9" w14:textId="77777777" w:rsidR="00A417FF" w:rsidRPr="00B62291" w:rsidRDefault="00A417FF" w:rsidP="004F1FFA">
      <w:pPr>
        <w:spacing w:line="276" w:lineRule="auto"/>
        <w:ind w:left="284"/>
        <w:jc w:val="both"/>
        <w:rPr>
          <w:noProof/>
        </w:rPr>
      </w:pPr>
      <w:r w:rsidRPr="00B62291">
        <w:rPr>
          <w:noProof/>
        </w:rPr>
        <w:t xml:space="preserve">Ide o transpozíciu článku 1 bod 3 smernice (EÚ) 2024/2811. Národná banka Slovenska môže zaregistrovať segment mnohostranného obchodného systému ako rastový trh.  </w:t>
      </w:r>
    </w:p>
    <w:p w14:paraId="2D19CF36" w14:textId="77777777" w:rsidR="00A417FF" w:rsidRPr="00B62291" w:rsidRDefault="00A417FF" w:rsidP="004F1FFA">
      <w:pPr>
        <w:spacing w:line="276" w:lineRule="auto"/>
        <w:ind w:left="284"/>
        <w:rPr>
          <w:b/>
          <w:noProof/>
        </w:rPr>
      </w:pPr>
    </w:p>
    <w:p w14:paraId="522F2086" w14:textId="77777777" w:rsidR="00A417FF" w:rsidRPr="00B62291" w:rsidRDefault="00A417FF" w:rsidP="004F1FFA">
      <w:pPr>
        <w:spacing w:line="276" w:lineRule="auto"/>
        <w:ind w:left="284"/>
        <w:rPr>
          <w:b/>
          <w:noProof/>
        </w:rPr>
      </w:pPr>
      <w:r w:rsidRPr="00B62291">
        <w:rPr>
          <w:b/>
          <w:noProof/>
        </w:rPr>
        <w:t xml:space="preserve">K bodu 28 [§ 56 ods. 4] </w:t>
      </w:r>
    </w:p>
    <w:p w14:paraId="74FF84F6" w14:textId="77777777" w:rsidR="00A417FF" w:rsidRPr="00B62291" w:rsidRDefault="00A417FF" w:rsidP="004F1FFA">
      <w:pPr>
        <w:spacing w:line="276" w:lineRule="auto"/>
        <w:ind w:left="284"/>
        <w:jc w:val="both"/>
        <w:rPr>
          <w:noProof/>
        </w:rPr>
      </w:pPr>
      <w:r w:rsidRPr="00B62291">
        <w:rPr>
          <w:noProof/>
        </w:rPr>
        <w:t xml:space="preserve">Ide o transpozíciu článku 1 bod 3 písm. b) smernice (EÚ) 2024/2811. Zavádza sa požiadavka, aby príslušný segment mnohostranného obchodného systému mal zavedené účinné pravidlá, systémy a postupy na zabezpečenie požadovaných podmienok.    </w:t>
      </w:r>
    </w:p>
    <w:p w14:paraId="099CD672" w14:textId="77777777" w:rsidR="00A417FF" w:rsidRPr="00B62291" w:rsidRDefault="00A417FF" w:rsidP="004F1FFA">
      <w:pPr>
        <w:spacing w:line="276" w:lineRule="auto"/>
        <w:ind w:left="284"/>
        <w:rPr>
          <w:b/>
          <w:noProof/>
        </w:rPr>
      </w:pPr>
    </w:p>
    <w:p w14:paraId="60DB774E" w14:textId="77777777" w:rsidR="00A417FF" w:rsidRPr="00B62291" w:rsidRDefault="00A417FF" w:rsidP="004F1FFA">
      <w:pPr>
        <w:spacing w:line="276" w:lineRule="auto"/>
        <w:ind w:left="284"/>
        <w:rPr>
          <w:b/>
          <w:noProof/>
        </w:rPr>
      </w:pPr>
      <w:r w:rsidRPr="00B62291">
        <w:rPr>
          <w:b/>
          <w:noProof/>
        </w:rPr>
        <w:t xml:space="preserve">K bodu 29 [§ 56 ods. 5 až 9] </w:t>
      </w:r>
    </w:p>
    <w:p w14:paraId="5E7CC566" w14:textId="77777777" w:rsidR="00A417FF" w:rsidRPr="00B62291" w:rsidRDefault="00A417FF" w:rsidP="004F1FFA">
      <w:pPr>
        <w:spacing w:line="276" w:lineRule="auto"/>
        <w:ind w:left="284"/>
        <w:jc w:val="both"/>
        <w:rPr>
          <w:noProof/>
        </w:rPr>
      </w:pPr>
      <w:r w:rsidRPr="00B62291">
        <w:rPr>
          <w:noProof/>
        </w:rPr>
        <w:t xml:space="preserve">Ide o transpozíciu článku 1 bod 3 písm. c) smernice (EÚ) 2024/2811.Upravuje sa, že povoľovací orgán môže zamietnuť žiadosť o registráciu rastového trhu, a môže tiež zrušiť registráciu segmentu mnohostranného obchodného systému.    </w:t>
      </w:r>
    </w:p>
    <w:p w14:paraId="73ADC0A1" w14:textId="77777777" w:rsidR="00A417FF" w:rsidRPr="00B62291" w:rsidRDefault="00A417FF" w:rsidP="004F1FFA">
      <w:pPr>
        <w:spacing w:line="276" w:lineRule="auto"/>
        <w:ind w:left="284"/>
        <w:rPr>
          <w:b/>
          <w:noProof/>
        </w:rPr>
      </w:pPr>
    </w:p>
    <w:p w14:paraId="6BC3D3E0" w14:textId="77777777" w:rsidR="00A417FF" w:rsidRPr="00B62291" w:rsidRDefault="00A417FF" w:rsidP="004F1FFA">
      <w:pPr>
        <w:spacing w:line="276" w:lineRule="auto"/>
        <w:ind w:left="284"/>
        <w:rPr>
          <w:b/>
          <w:noProof/>
        </w:rPr>
      </w:pPr>
      <w:r w:rsidRPr="00B62291">
        <w:rPr>
          <w:b/>
          <w:noProof/>
        </w:rPr>
        <w:t xml:space="preserve">K bodu 30 [§ 57a] </w:t>
      </w:r>
    </w:p>
    <w:p w14:paraId="52A42E16" w14:textId="77777777" w:rsidR="00A417FF" w:rsidRPr="00B62291" w:rsidRDefault="00A417FF" w:rsidP="004F1FFA">
      <w:pPr>
        <w:spacing w:line="276" w:lineRule="auto"/>
        <w:ind w:left="360" w:hanging="76"/>
        <w:jc w:val="both"/>
        <w:rPr>
          <w:b/>
          <w:i/>
          <w:noProof/>
          <w:highlight w:val="yellow"/>
        </w:rPr>
      </w:pPr>
      <w:r w:rsidRPr="00B62291">
        <w:rPr>
          <w:noProof/>
        </w:rPr>
        <w:t xml:space="preserve">Ide o transpozíciu článku 1(10)(a) smernice (EÚ) 2024/790. Rozširuje sa názov ustanovenia. </w:t>
      </w:r>
    </w:p>
    <w:p w14:paraId="7F88E99D" w14:textId="77777777" w:rsidR="00A417FF" w:rsidRPr="00B62291" w:rsidRDefault="00A417FF" w:rsidP="004F1FFA">
      <w:pPr>
        <w:spacing w:line="276" w:lineRule="auto"/>
        <w:ind w:left="284"/>
        <w:rPr>
          <w:b/>
          <w:noProof/>
        </w:rPr>
      </w:pPr>
    </w:p>
    <w:p w14:paraId="42773441" w14:textId="77777777" w:rsidR="00A417FF" w:rsidRPr="00B62291" w:rsidRDefault="00A417FF" w:rsidP="004F1FFA">
      <w:pPr>
        <w:spacing w:line="276" w:lineRule="auto"/>
        <w:ind w:left="284"/>
        <w:rPr>
          <w:b/>
          <w:noProof/>
        </w:rPr>
      </w:pPr>
      <w:r w:rsidRPr="00B62291">
        <w:rPr>
          <w:b/>
          <w:noProof/>
        </w:rPr>
        <w:t xml:space="preserve">K bodu 31 [§ 57a ods. 9] </w:t>
      </w:r>
    </w:p>
    <w:p w14:paraId="721C8424" w14:textId="77777777" w:rsidR="00A417FF" w:rsidRPr="00B62291" w:rsidRDefault="00A417FF" w:rsidP="004F1FFA">
      <w:pPr>
        <w:spacing w:line="276" w:lineRule="auto"/>
        <w:ind w:left="360" w:hanging="76"/>
        <w:jc w:val="both"/>
        <w:rPr>
          <w:b/>
          <w:i/>
          <w:noProof/>
        </w:rPr>
      </w:pPr>
      <w:r w:rsidRPr="00B62291">
        <w:rPr>
          <w:noProof/>
        </w:rPr>
        <w:t>Ide o transpozíciu článku 1(10)(b)(i) smernice (EÚ) 2024/790. Upresňuje sa doterajší text.</w:t>
      </w:r>
    </w:p>
    <w:p w14:paraId="4B0653CF" w14:textId="77777777" w:rsidR="00A417FF" w:rsidRPr="00B62291" w:rsidRDefault="00A417FF" w:rsidP="004F1FFA">
      <w:pPr>
        <w:spacing w:line="276" w:lineRule="auto"/>
        <w:ind w:left="284"/>
        <w:rPr>
          <w:b/>
          <w:noProof/>
        </w:rPr>
      </w:pPr>
    </w:p>
    <w:p w14:paraId="4CCA1A6B" w14:textId="77777777" w:rsidR="00A417FF" w:rsidRPr="00B62291" w:rsidRDefault="00A417FF" w:rsidP="004F1FFA">
      <w:pPr>
        <w:spacing w:line="276" w:lineRule="auto"/>
        <w:ind w:left="284"/>
        <w:rPr>
          <w:b/>
          <w:noProof/>
        </w:rPr>
      </w:pPr>
      <w:r w:rsidRPr="00B62291">
        <w:rPr>
          <w:b/>
          <w:noProof/>
        </w:rPr>
        <w:t xml:space="preserve">K bodu 32 [§ 57a ods. 9 pís. b] </w:t>
      </w:r>
    </w:p>
    <w:p w14:paraId="00645C22" w14:textId="77777777" w:rsidR="00A417FF" w:rsidRPr="00B62291" w:rsidRDefault="00A417FF" w:rsidP="004F1FFA">
      <w:pPr>
        <w:spacing w:line="276" w:lineRule="auto"/>
        <w:ind w:left="284"/>
        <w:jc w:val="both"/>
        <w:rPr>
          <w:noProof/>
        </w:rPr>
      </w:pPr>
      <w:r w:rsidRPr="00B62291">
        <w:rPr>
          <w:noProof/>
        </w:rPr>
        <w:t xml:space="preserve">Ide o transpozíciu článku 1(10)(b)(ii) smernice (EÚ) 2024/790. Upresňuje sa doterajšie znenie v zmysle, že toto ustanovenie sa má vzťahovať aj na pozície držané v derivátoch emisných kvót. </w:t>
      </w:r>
    </w:p>
    <w:p w14:paraId="252F2EFD" w14:textId="77777777" w:rsidR="00A417FF" w:rsidRPr="00B62291" w:rsidRDefault="00A417FF" w:rsidP="004F1FFA">
      <w:pPr>
        <w:spacing w:line="276" w:lineRule="auto"/>
        <w:ind w:left="284"/>
        <w:rPr>
          <w:b/>
          <w:noProof/>
        </w:rPr>
      </w:pPr>
    </w:p>
    <w:p w14:paraId="1E2A60F4" w14:textId="77777777" w:rsidR="00A417FF" w:rsidRPr="00B62291" w:rsidRDefault="00A417FF" w:rsidP="004F1FFA">
      <w:pPr>
        <w:spacing w:line="276" w:lineRule="auto"/>
        <w:ind w:left="284"/>
        <w:rPr>
          <w:b/>
          <w:noProof/>
        </w:rPr>
      </w:pPr>
      <w:r w:rsidRPr="00B62291">
        <w:rPr>
          <w:b/>
          <w:noProof/>
        </w:rPr>
        <w:t xml:space="preserve">K bodu 33 [§ 57b ods. 1] </w:t>
      </w:r>
    </w:p>
    <w:p w14:paraId="5AD6259D" w14:textId="77777777" w:rsidR="00A417FF" w:rsidRPr="00B62291" w:rsidRDefault="00A417FF" w:rsidP="00A417FF">
      <w:pPr>
        <w:ind w:left="284"/>
        <w:jc w:val="both"/>
        <w:rPr>
          <w:noProof/>
        </w:rPr>
      </w:pPr>
      <w:r w:rsidRPr="00B62291">
        <w:rPr>
          <w:noProof/>
        </w:rPr>
        <w:lastRenderedPageBreak/>
        <w:t xml:space="preserve">Ide o transpozíciu článku 1(11)(a)(i) smernice (EÚ) 2024/790. Upresňuje sa, že ustanovenie sa má vzťahovať na deriváty emisných kvót.  </w:t>
      </w:r>
    </w:p>
    <w:p w14:paraId="646DE1FB" w14:textId="77777777" w:rsidR="00A417FF" w:rsidRPr="00B62291" w:rsidRDefault="00A417FF" w:rsidP="00A417FF">
      <w:pPr>
        <w:ind w:left="284"/>
        <w:rPr>
          <w:b/>
          <w:noProof/>
        </w:rPr>
      </w:pPr>
    </w:p>
    <w:p w14:paraId="6683543D" w14:textId="77777777" w:rsidR="00A417FF" w:rsidRPr="00B62291" w:rsidRDefault="00A417FF" w:rsidP="00A417FF">
      <w:pPr>
        <w:ind w:left="284"/>
        <w:rPr>
          <w:b/>
          <w:noProof/>
        </w:rPr>
      </w:pPr>
      <w:r w:rsidRPr="00B62291">
        <w:rPr>
          <w:b/>
          <w:noProof/>
        </w:rPr>
        <w:t xml:space="preserve">K bodu 34 [§ 57b ods. 1 pís. a] </w:t>
      </w:r>
    </w:p>
    <w:p w14:paraId="5743A43E" w14:textId="77777777" w:rsidR="00A417FF" w:rsidRPr="00B62291" w:rsidRDefault="00A417FF" w:rsidP="004F1FFA">
      <w:pPr>
        <w:ind w:left="284"/>
        <w:jc w:val="both"/>
        <w:rPr>
          <w:noProof/>
        </w:rPr>
      </w:pPr>
      <w:r w:rsidRPr="00B62291">
        <w:rPr>
          <w:noProof/>
        </w:rPr>
        <w:t xml:space="preserve">Ide o transpozíciu článku 1(11)(a)(i) smernice (EÚ) 2024/790. Upresňuje sa frekvencia oznamovania správ o súhrnných pozíciách v komoditných derivátoch a derivátoch emisných kvót.            </w:t>
      </w:r>
    </w:p>
    <w:p w14:paraId="5900B092" w14:textId="77777777" w:rsidR="00A417FF" w:rsidRPr="00B62291" w:rsidRDefault="00A417FF" w:rsidP="004F1FFA">
      <w:pPr>
        <w:ind w:left="284"/>
        <w:rPr>
          <w:b/>
          <w:noProof/>
        </w:rPr>
      </w:pPr>
    </w:p>
    <w:p w14:paraId="0A82A6E9" w14:textId="77777777" w:rsidR="00A417FF" w:rsidRPr="00B62291" w:rsidRDefault="00A417FF" w:rsidP="004F1FFA">
      <w:pPr>
        <w:ind w:left="284"/>
        <w:rPr>
          <w:b/>
          <w:noProof/>
        </w:rPr>
      </w:pPr>
      <w:r w:rsidRPr="00B62291">
        <w:rPr>
          <w:b/>
          <w:noProof/>
        </w:rPr>
        <w:t xml:space="preserve">K bodu 35 [§ 57b ods. 2] </w:t>
      </w:r>
    </w:p>
    <w:p w14:paraId="5149F243" w14:textId="77777777" w:rsidR="00A417FF" w:rsidRPr="00B62291" w:rsidRDefault="00A417FF" w:rsidP="004F1FFA">
      <w:pPr>
        <w:ind w:left="284"/>
        <w:jc w:val="both"/>
        <w:rPr>
          <w:noProof/>
        </w:rPr>
      </w:pPr>
      <w:r w:rsidRPr="00B62291">
        <w:rPr>
          <w:noProof/>
        </w:rPr>
        <w:t xml:space="preserve">Ide o transpozíciu článku 1(11)(a)(ii) smernice (EÚ) 2024/790. Upresňuje sa rozsah derivátových nástrojov, ku ktorým sa oznamujú správy Národnej banke Slovenska a Európskemu orgánu pre cenné papiere a trhy.   </w:t>
      </w:r>
    </w:p>
    <w:p w14:paraId="1CDFE855" w14:textId="77777777" w:rsidR="00A417FF" w:rsidRPr="00B62291" w:rsidRDefault="00A417FF" w:rsidP="004F1FFA">
      <w:pPr>
        <w:spacing w:line="276" w:lineRule="auto"/>
        <w:ind w:left="284"/>
        <w:rPr>
          <w:b/>
          <w:noProof/>
        </w:rPr>
      </w:pPr>
    </w:p>
    <w:p w14:paraId="54E0BF3F" w14:textId="77777777" w:rsidR="00A417FF" w:rsidRPr="00B62291" w:rsidRDefault="00A417FF" w:rsidP="004F1FFA">
      <w:pPr>
        <w:spacing w:line="276" w:lineRule="auto"/>
        <w:ind w:left="284"/>
        <w:rPr>
          <w:b/>
          <w:noProof/>
        </w:rPr>
      </w:pPr>
      <w:r w:rsidRPr="00B62291">
        <w:rPr>
          <w:b/>
          <w:noProof/>
        </w:rPr>
        <w:t xml:space="preserve">K bodu 36 [§ 57b ods. 3] </w:t>
      </w:r>
    </w:p>
    <w:p w14:paraId="4D15C0D5" w14:textId="77777777" w:rsidR="00A417FF" w:rsidRPr="00B62291" w:rsidRDefault="00A417FF" w:rsidP="004F1FFA">
      <w:pPr>
        <w:spacing w:line="276" w:lineRule="auto"/>
        <w:ind w:left="284"/>
        <w:jc w:val="both"/>
        <w:rPr>
          <w:noProof/>
        </w:rPr>
      </w:pPr>
      <w:r w:rsidRPr="00B62291">
        <w:rPr>
          <w:noProof/>
        </w:rPr>
        <w:t xml:space="preserve">Ide o transpozíciu článku 1(11)(b) smernice (EÚ) 2024/790. Požaduje sa, aby obchodník s cennými papiermi poskytoval príslušnému orgánu dohľadu úplný zoznam svojich pozícií držaných v ekonomicky rovnocenných mimoburzových derivátových zmluvách. </w:t>
      </w:r>
    </w:p>
    <w:p w14:paraId="56938943" w14:textId="77777777" w:rsidR="00A417FF" w:rsidRPr="00B62291" w:rsidRDefault="00A417FF" w:rsidP="004F1FFA">
      <w:pPr>
        <w:spacing w:line="276" w:lineRule="auto"/>
        <w:ind w:left="284"/>
        <w:rPr>
          <w:b/>
          <w:noProof/>
        </w:rPr>
      </w:pPr>
    </w:p>
    <w:p w14:paraId="7505C007" w14:textId="77777777" w:rsidR="00A417FF" w:rsidRPr="00B62291" w:rsidRDefault="00A417FF" w:rsidP="004F1FFA">
      <w:pPr>
        <w:spacing w:line="276" w:lineRule="auto"/>
        <w:ind w:left="284"/>
        <w:rPr>
          <w:b/>
          <w:noProof/>
        </w:rPr>
      </w:pPr>
      <w:r w:rsidRPr="00B62291">
        <w:rPr>
          <w:b/>
          <w:noProof/>
        </w:rPr>
        <w:t xml:space="preserve">K bodu 37 [§ 57b ods. 5] </w:t>
      </w:r>
    </w:p>
    <w:p w14:paraId="78A4D3EF" w14:textId="77777777" w:rsidR="00A417FF" w:rsidRPr="00B62291" w:rsidRDefault="00A417FF" w:rsidP="004F1FFA">
      <w:pPr>
        <w:spacing w:line="276" w:lineRule="auto"/>
        <w:ind w:left="284"/>
        <w:jc w:val="both"/>
        <w:rPr>
          <w:noProof/>
        </w:rPr>
      </w:pPr>
      <w:r w:rsidRPr="00B62291">
        <w:rPr>
          <w:noProof/>
        </w:rPr>
        <w:t xml:space="preserve">Ide o transpozíciu článku 1(11)(c)(i) smernice (EÚ) 2024/790. Upresňuje sa doterajšie znenie. </w:t>
      </w:r>
    </w:p>
    <w:p w14:paraId="666380B7" w14:textId="77777777" w:rsidR="00A417FF" w:rsidRPr="00B62291" w:rsidRDefault="00A417FF" w:rsidP="004F1FFA">
      <w:pPr>
        <w:spacing w:line="276" w:lineRule="auto"/>
        <w:ind w:left="284"/>
        <w:rPr>
          <w:b/>
          <w:noProof/>
        </w:rPr>
      </w:pPr>
    </w:p>
    <w:p w14:paraId="124DE74B" w14:textId="77777777" w:rsidR="00A417FF" w:rsidRPr="00B62291" w:rsidRDefault="00A417FF" w:rsidP="004F1FFA">
      <w:pPr>
        <w:spacing w:line="276" w:lineRule="auto"/>
        <w:ind w:left="284"/>
        <w:rPr>
          <w:b/>
          <w:noProof/>
        </w:rPr>
      </w:pPr>
      <w:r w:rsidRPr="00B62291">
        <w:rPr>
          <w:b/>
          <w:noProof/>
        </w:rPr>
        <w:t xml:space="preserve">K bodu 38 [§ 57b ods. 5 pís. e] </w:t>
      </w:r>
    </w:p>
    <w:p w14:paraId="51AED08F" w14:textId="77777777" w:rsidR="00A417FF" w:rsidRPr="00B62291" w:rsidRDefault="00A417FF" w:rsidP="004F1FFA">
      <w:pPr>
        <w:spacing w:line="276" w:lineRule="auto"/>
        <w:ind w:left="284"/>
        <w:jc w:val="both"/>
        <w:rPr>
          <w:noProof/>
        </w:rPr>
      </w:pPr>
      <w:r w:rsidRPr="00B62291">
        <w:rPr>
          <w:noProof/>
        </w:rPr>
        <w:t xml:space="preserve">Ide o transpozíciu článku 1(11)(c)(ii) smernice (EÚ) 2024/790. Ustanovenie sa má vzťahovať len na deriváty emisných kvót. </w:t>
      </w:r>
    </w:p>
    <w:p w14:paraId="3A83CD26" w14:textId="77777777" w:rsidR="00A417FF" w:rsidRPr="00B62291" w:rsidRDefault="00A417FF" w:rsidP="004F1FFA">
      <w:pPr>
        <w:spacing w:line="276" w:lineRule="auto"/>
        <w:ind w:left="284"/>
        <w:rPr>
          <w:b/>
          <w:noProof/>
        </w:rPr>
      </w:pPr>
    </w:p>
    <w:p w14:paraId="6D62046B" w14:textId="77777777" w:rsidR="00A417FF" w:rsidRPr="00B62291" w:rsidRDefault="00A417FF" w:rsidP="004F1FFA">
      <w:pPr>
        <w:spacing w:line="276" w:lineRule="auto"/>
        <w:ind w:left="284"/>
        <w:rPr>
          <w:b/>
          <w:noProof/>
        </w:rPr>
      </w:pPr>
      <w:r w:rsidRPr="00B62291">
        <w:rPr>
          <w:b/>
          <w:noProof/>
        </w:rPr>
        <w:t xml:space="preserve">K bodu 39 [§ 57b ods. 8] </w:t>
      </w:r>
    </w:p>
    <w:p w14:paraId="64506000" w14:textId="77777777" w:rsidR="00A417FF" w:rsidRPr="00B62291" w:rsidRDefault="00A417FF" w:rsidP="004F1FFA">
      <w:pPr>
        <w:ind w:left="284"/>
        <w:jc w:val="both"/>
        <w:rPr>
          <w:noProof/>
        </w:rPr>
      </w:pPr>
      <w:r w:rsidRPr="00B62291">
        <w:rPr>
          <w:noProof/>
        </w:rPr>
        <w:t xml:space="preserve">Upresňuje sa podávanie správ. </w:t>
      </w:r>
      <w:r w:rsidRPr="00B62291">
        <w:rPr>
          <w:noProof/>
          <w:color w:val="000000"/>
        </w:rPr>
        <w:t>Čl. 8 nariadenia Európskeho parlamentu a Rady (EÚ) č. 1227/2011 z  25. októbra 2011 o integrite a transparentnosti veľkoobchodného trhu s energiou (Ú. v. EÚ L 326, 8.12.2011) v platnom znení sa vzťahuje iba na oznamovanie záznamov o transakciách na veľkoobchodných trhoch s energiou.</w:t>
      </w:r>
      <w:r w:rsidRPr="00B62291">
        <w:rPr>
          <w:noProof/>
        </w:rPr>
        <w:t xml:space="preserve"> </w:t>
      </w:r>
    </w:p>
    <w:p w14:paraId="7A7FC5D3" w14:textId="77777777" w:rsidR="00A417FF" w:rsidRPr="00B62291" w:rsidRDefault="00A417FF" w:rsidP="004F1FFA">
      <w:pPr>
        <w:ind w:left="284"/>
        <w:rPr>
          <w:b/>
          <w:noProof/>
        </w:rPr>
      </w:pPr>
    </w:p>
    <w:p w14:paraId="12D52A17" w14:textId="77777777" w:rsidR="00A417FF" w:rsidRPr="00B62291" w:rsidRDefault="00A417FF" w:rsidP="004F1FFA">
      <w:pPr>
        <w:ind w:left="284"/>
        <w:rPr>
          <w:b/>
          <w:noProof/>
        </w:rPr>
      </w:pPr>
      <w:r w:rsidRPr="00B62291">
        <w:rPr>
          <w:b/>
          <w:noProof/>
        </w:rPr>
        <w:t xml:space="preserve">K bodu 40 [§ 57c] </w:t>
      </w:r>
    </w:p>
    <w:p w14:paraId="16BC6057" w14:textId="77777777" w:rsidR="00A417FF" w:rsidRPr="00B62291" w:rsidRDefault="00A417FF" w:rsidP="004F1FFA">
      <w:pPr>
        <w:ind w:left="284"/>
        <w:jc w:val="both"/>
        <w:rPr>
          <w:noProof/>
        </w:rPr>
      </w:pPr>
      <w:r w:rsidRPr="00B62291">
        <w:rPr>
          <w:noProof/>
        </w:rPr>
        <w:t xml:space="preserve">Ide o transpozíciu článku 1(9) smernice (EÚ) 2024/790. Vypúšťa sa ustanovenie k synchronizácii obchodných hodín, ktoré bolo presunuté do Nariadenia (EÚ) č. 600/2014 v platnom znení. Ide tiež o legislatívno-technickú úpravu – vypustenie odkazu pod čiarou.  </w:t>
      </w:r>
    </w:p>
    <w:p w14:paraId="53C8B4FC" w14:textId="77777777" w:rsidR="00A417FF" w:rsidRPr="00B62291" w:rsidRDefault="00A417FF" w:rsidP="004F1FFA">
      <w:pPr>
        <w:spacing w:line="276" w:lineRule="auto"/>
        <w:ind w:left="284"/>
        <w:rPr>
          <w:b/>
          <w:noProof/>
        </w:rPr>
      </w:pPr>
    </w:p>
    <w:p w14:paraId="55D3F70B" w14:textId="77777777" w:rsidR="00A417FF" w:rsidRPr="00B62291" w:rsidRDefault="00A417FF" w:rsidP="004F1FFA">
      <w:pPr>
        <w:spacing w:line="276" w:lineRule="auto"/>
        <w:ind w:left="284"/>
        <w:rPr>
          <w:b/>
          <w:noProof/>
        </w:rPr>
      </w:pPr>
      <w:r w:rsidRPr="00B62291">
        <w:rPr>
          <w:b/>
          <w:noProof/>
        </w:rPr>
        <w:t xml:space="preserve">K bodu 41 [§ 65] </w:t>
      </w:r>
    </w:p>
    <w:p w14:paraId="3FB9567C" w14:textId="77777777" w:rsidR="00A417FF" w:rsidRPr="00B62291" w:rsidRDefault="00A417FF" w:rsidP="004F1FFA">
      <w:pPr>
        <w:spacing w:line="276" w:lineRule="auto"/>
        <w:ind w:left="284"/>
        <w:jc w:val="both"/>
        <w:rPr>
          <w:noProof/>
          <w:color w:val="000000"/>
        </w:rPr>
      </w:pPr>
      <w:r w:rsidRPr="00B62291">
        <w:rPr>
          <w:noProof/>
          <w:color w:val="000000"/>
        </w:rPr>
        <w:t xml:space="preserve">Vypúšťajú sa ustanovenia § 65 ods. 1 a 2 ZoB vzhľadom na to, že sú transpozíciou článku 18 a 19 smernice 2001/34/ES v platnom znení, ktorá sa zrušuje. Tieto ustanovenia sa stávajú v dôsledku straty platnosti smernice 2001/34/ES v platom znení nadbytočnými a ich existencia už dnes spôsobuje potenciálny nesúlad so znením čl. 4 ods. 1 a 2 Vykonávacieho nariadenia Komisie (EÚ) 2017/1005 z 15. júna 2017, ktorým sa stanovujú vykonávacie technické predpisy, pokiaľ ide o formát a načasovanie oznámení a zverejnenia pozastavenia a vylúčenia finančných nástrojov podľa smernice Európskeho parlamentu a Rady 2014/65/EÚ o trhoch s finančnými nástrojmi (Ú. v. EÚ L 153, 16.6.2017). </w:t>
      </w:r>
    </w:p>
    <w:p w14:paraId="4437A5B1" w14:textId="77777777" w:rsidR="00A417FF" w:rsidRPr="00B62291" w:rsidRDefault="00A417FF" w:rsidP="004F1FFA">
      <w:pPr>
        <w:spacing w:line="276" w:lineRule="auto"/>
        <w:ind w:left="284"/>
        <w:jc w:val="both"/>
        <w:rPr>
          <w:noProof/>
          <w:color w:val="000000"/>
        </w:rPr>
      </w:pPr>
      <w:r w:rsidRPr="00B62291">
        <w:rPr>
          <w:noProof/>
          <w:color w:val="000000"/>
        </w:rPr>
        <w:lastRenderedPageBreak/>
        <w:t>Primeraná úprava - vypustenie odkazu na vyššie uvedené ustanovenia § 65 ods. 1 a 2, nastáva  aj v § 65a a v § 38b ods. 2.</w:t>
      </w:r>
    </w:p>
    <w:p w14:paraId="25DC5E8E" w14:textId="77777777" w:rsidR="00A417FF" w:rsidRPr="00B62291" w:rsidRDefault="00A417FF" w:rsidP="00A417FF">
      <w:pPr>
        <w:ind w:left="284"/>
        <w:jc w:val="both"/>
        <w:rPr>
          <w:b/>
          <w:noProof/>
        </w:rPr>
      </w:pPr>
    </w:p>
    <w:p w14:paraId="12242C9B" w14:textId="77777777" w:rsidR="00A417FF" w:rsidRPr="00B62291" w:rsidRDefault="00A417FF" w:rsidP="00A417FF">
      <w:pPr>
        <w:ind w:left="284"/>
        <w:rPr>
          <w:b/>
          <w:noProof/>
        </w:rPr>
      </w:pPr>
      <w:r w:rsidRPr="00B62291">
        <w:rPr>
          <w:b/>
          <w:noProof/>
        </w:rPr>
        <w:t xml:space="preserve">K bodu 42 [§ 65a] </w:t>
      </w:r>
    </w:p>
    <w:p w14:paraId="10CFE092" w14:textId="77777777" w:rsidR="00A417FF" w:rsidRPr="00B62291" w:rsidRDefault="00A417FF" w:rsidP="00A417FF">
      <w:pPr>
        <w:ind w:left="284"/>
        <w:jc w:val="both"/>
        <w:rPr>
          <w:bCs/>
          <w:noProof/>
        </w:rPr>
      </w:pPr>
      <w:r w:rsidRPr="00B62291">
        <w:rPr>
          <w:bCs/>
          <w:noProof/>
        </w:rPr>
        <w:t>Legislatívno-technická pripomienka – úprava vnútorného odkazu s ohľadom na vypustenie § 65 ods. 1 a 2.</w:t>
      </w:r>
    </w:p>
    <w:p w14:paraId="11E7059A" w14:textId="77777777" w:rsidR="00A417FF" w:rsidRPr="00B62291" w:rsidRDefault="00A417FF" w:rsidP="00A417FF">
      <w:pPr>
        <w:ind w:left="284"/>
        <w:rPr>
          <w:b/>
          <w:noProof/>
        </w:rPr>
      </w:pPr>
    </w:p>
    <w:p w14:paraId="66CEA023" w14:textId="77777777" w:rsidR="00A417FF" w:rsidRPr="00B62291" w:rsidRDefault="00A417FF" w:rsidP="00A417FF">
      <w:pPr>
        <w:ind w:left="284"/>
        <w:rPr>
          <w:b/>
          <w:noProof/>
        </w:rPr>
      </w:pPr>
      <w:r w:rsidRPr="00B62291">
        <w:rPr>
          <w:b/>
          <w:noProof/>
        </w:rPr>
        <w:t xml:space="preserve">K bodu 43 [žiadosť] </w:t>
      </w:r>
    </w:p>
    <w:p w14:paraId="1FE24B97" w14:textId="77777777" w:rsidR="00A417FF" w:rsidRPr="00B62291" w:rsidRDefault="00A417FF" w:rsidP="00A417FF">
      <w:pPr>
        <w:ind w:left="284"/>
        <w:jc w:val="both"/>
        <w:rPr>
          <w:noProof/>
        </w:rPr>
      </w:pPr>
      <w:r w:rsidRPr="00B62291">
        <w:rPr>
          <w:noProof/>
        </w:rPr>
        <w:t xml:space="preserve">Upravuje sa doterajšie znenie zákona z dôvodu zrušenia smernice (EÚ) 2001/34/ES v platnom znení. Pojem „žiadosť o kótovanie“ sa už nebude používať, bude sa používať pojem „žiadosť o prijatie cenných papierov na trh kótovaných cenných papierov“.   </w:t>
      </w:r>
    </w:p>
    <w:p w14:paraId="477A9069" w14:textId="77777777" w:rsidR="00A417FF" w:rsidRPr="00B62291" w:rsidRDefault="00A417FF" w:rsidP="00A417FF">
      <w:pPr>
        <w:ind w:left="284"/>
        <w:rPr>
          <w:b/>
          <w:noProof/>
        </w:rPr>
      </w:pPr>
    </w:p>
    <w:p w14:paraId="4402DA98" w14:textId="77777777" w:rsidR="00A417FF" w:rsidRPr="00B62291" w:rsidRDefault="00A417FF" w:rsidP="00A417FF">
      <w:pPr>
        <w:ind w:left="284"/>
        <w:rPr>
          <w:b/>
          <w:noProof/>
        </w:rPr>
      </w:pPr>
      <w:r w:rsidRPr="00B62291">
        <w:rPr>
          <w:b/>
          <w:noProof/>
        </w:rPr>
        <w:t xml:space="preserve">K bodu 44 [vypustený bod 1 Prílohy] </w:t>
      </w:r>
    </w:p>
    <w:p w14:paraId="3C88D9E0" w14:textId="77777777" w:rsidR="00A417FF" w:rsidRPr="00B62291" w:rsidRDefault="00A417FF" w:rsidP="00A417FF">
      <w:pPr>
        <w:ind w:left="284"/>
        <w:jc w:val="both"/>
        <w:rPr>
          <w:noProof/>
        </w:rPr>
      </w:pPr>
      <w:r w:rsidRPr="00B62291">
        <w:rPr>
          <w:noProof/>
        </w:rPr>
        <w:t xml:space="preserve">Ide o legislatívno-technickú úpravu – vypustenie zrušenej smernice (EÚ) 2001/34/ES v platnom znení. </w:t>
      </w:r>
    </w:p>
    <w:p w14:paraId="691B4C5A" w14:textId="77777777" w:rsidR="00A417FF" w:rsidRPr="00B62291" w:rsidRDefault="00A417FF" w:rsidP="00A417FF">
      <w:pPr>
        <w:ind w:left="360" w:hanging="76"/>
        <w:jc w:val="both"/>
        <w:rPr>
          <w:b/>
          <w:noProof/>
        </w:rPr>
      </w:pPr>
    </w:p>
    <w:p w14:paraId="574CFAB3" w14:textId="77777777" w:rsidR="00A417FF" w:rsidRPr="00B62291" w:rsidRDefault="00A417FF" w:rsidP="00A417FF">
      <w:pPr>
        <w:ind w:left="360" w:hanging="76"/>
        <w:jc w:val="both"/>
        <w:rPr>
          <w:b/>
          <w:noProof/>
        </w:rPr>
      </w:pPr>
      <w:r w:rsidRPr="00B62291">
        <w:rPr>
          <w:b/>
          <w:noProof/>
        </w:rPr>
        <w:t>K bodu 45 [Príloha]</w:t>
      </w:r>
    </w:p>
    <w:p w14:paraId="3F3A9558" w14:textId="77777777" w:rsidR="00A417FF" w:rsidRPr="00B62291" w:rsidRDefault="00A417FF" w:rsidP="00A417FF">
      <w:pPr>
        <w:ind w:left="284"/>
        <w:rPr>
          <w:noProof/>
        </w:rPr>
      </w:pPr>
      <w:r w:rsidRPr="00B62291">
        <w:rPr>
          <w:noProof/>
        </w:rPr>
        <w:t>Dopĺňa sa transpozičná príloha k smernici (EÚ) 2024/790.</w:t>
      </w:r>
    </w:p>
    <w:p w14:paraId="45803586" w14:textId="77777777" w:rsidR="00A417FF" w:rsidRPr="00B62291" w:rsidRDefault="00A417FF" w:rsidP="00A417FF">
      <w:pPr>
        <w:ind w:left="284"/>
        <w:rPr>
          <w:b/>
          <w:bCs/>
          <w:noProof/>
        </w:rPr>
      </w:pPr>
    </w:p>
    <w:p w14:paraId="62922660" w14:textId="77777777" w:rsidR="00A417FF" w:rsidRPr="00B62291" w:rsidRDefault="00A417FF" w:rsidP="00A417FF">
      <w:pPr>
        <w:ind w:left="360" w:hanging="76"/>
        <w:jc w:val="both"/>
        <w:rPr>
          <w:b/>
          <w:noProof/>
        </w:rPr>
      </w:pPr>
      <w:r w:rsidRPr="00B62291">
        <w:rPr>
          <w:b/>
          <w:noProof/>
        </w:rPr>
        <w:t>K bodu 46 [Príloha]</w:t>
      </w:r>
    </w:p>
    <w:p w14:paraId="1BD722C5" w14:textId="77777777" w:rsidR="00A417FF" w:rsidRPr="00B62291" w:rsidRDefault="00A417FF" w:rsidP="00A417FF">
      <w:pPr>
        <w:ind w:left="284"/>
        <w:rPr>
          <w:b/>
          <w:bCs/>
          <w:noProof/>
        </w:rPr>
      </w:pPr>
      <w:r w:rsidRPr="00B62291">
        <w:rPr>
          <w:noProof/>
        </w:rPr>
        <w:t>Dopĺňa sa transpozičná príloha k smernici (EÚ) 2024/2811.</w:t>
      </w:r>
    </w:p>
    <w:p w14:paraId="275D96A4" w14:textId="77777777" w:rsidR="00A417FF" w:rsidRPr="00B62291" w:rsidRDefault="00A417FF" w:rsidP="00A417FF">
      <w:pPr>
        <w:ind w:left="284"/>
        <w:rPr>
          <w:b/>
          <w:bCs/>
          <w:noProof/>
        </w:rPr>
      </w:pPr>
    </w:p>
    <w:p w14:paraId="4C68D876" w14:textId="77777777" w:rsidR="00A417FF" w:rsidRPr="00B62291" w:rsidRDefault="00A417FF" w:rsidP="00A417FF">
      <w:pPr>
        <w:ind w:left="284"/>
        <w:rPr>
          <w:b/>
          <w:bCs/>
          <w:noProof/>
        </w:rPr>
      </w:pPr>
    </w:p>
    <w:p w14:paraId="6D44FA43" w14:textId="77777777" w:rsidR="00A417FF" w:rsidRPr="00B62291" w:rsidRDefault="00A417FF" w:rsidP="00A417FF">
      <w:pPr>
        <w:ind w:left="284"/>
        <w:rPr>
          <w:b/>
          <w:bCs/>
          <w:noProof/>
        </w:rPr>
      </w:pPr>
    </w:p>
    <w:p w14:paraId="0A41BC8D" w14:textId="77777777" w:rsidR="00A417FF" w:rsidRPr="00B62291" w:rsidRDefault="00A417FF" w:rsidP="00A417FF">
      <w:pPr>
        <w:ind w:left="284" w:hanging="284"/>
        <w:rPr>
          <w:b/>
          <w:bCs/>
          <w:noProof/>
        </w:rPr>
      </w:pPr>
      <w:r w:rsidRPr="00B62291">
        <w:rPr>
          <w:b/>
          <w:bCs/>
          <w:noProof/>
        </w:rPr>
        <w:t>Čl. III – Účinnosť</w:t>
      </w:r>
    </w:p>
    <w:p w14:paraId="16EB2965" w14:textId="77777777" w:rsidR="00A417FF" w:rsidRPr="00B62291" w:rsidRDefault="00A417FF" w:rsidP="00A417FF">
      <w:pPr>
        <w:ind w:left="284"/>
        <w:jc w:val="both"/>
        <w:rPr>
          <w:noProof/>
        </w:rPr>
      </w:pPr>
      <w:r w:rsidRPr="00B62291">
        <w:rPr>
          <w:noProof/>
        </w:rPr>
        <w:t xml:space="preserve">Tento zákon nadobúda </w:t>
      </w:r>
      <w:r w:rsidRPr="008E64D2">
        <w:rPr>
          <w:noProof/>
        </w:rPr>
        <w:t>účinnosť 1. novembra 2025</w:t>
      </w:r>
      <w:r w:rsidRPr="00B62291">
        <w:rPr>
          <w:noProof/>
        </w:rPr>
        <w:t xml:space="preserve">. </w:t>
      </w:r>
    </w:p>
    <w:p w14:paraId="569FB5B2" w14:textId="77777777" w:rsidR="00A417FF" w:rsidRPr="00B62291" w:rsidRDefault="00A417FF" w:rsidP="00A417FF">
      <w:pPr>
        <w:ind w:left="284"/>
        <w:jc w:val="both"/>
        <w:rPr>
          <w:noProof/>
        </w:rPr>
      </w:pPr>
      <w:r w:rsidRPr="00B62291">
        <w:rPr>
          <w:noProof/>
        </w:rPr>
        <w:t xml:space="preserve">Vybrané ustanovenia zákona nadobúdajú účinnosť 6. júna 2026 podľa článku 3 smernice (EÚ) 2024/2811, ktorý </w:t>
      </w:r>
      <w:r>
        <w:rPr>
          <w:noProof/>
        </w:rPr>
        <w:t>u</w:t>
      </w:r>
      <w:r w:rsidRPr="00B62291">
        <w:rPr>
          <w:noProof/>
        </w:rPr>
        <w:t xml:space="preserve">stanovil povinnosť členským štátom transponovať danú smernicu (EÚ) najneskôr do 5. júna 2026 a uplatňovať ju od 6. júna 2026. </w:t>
      </w:r>
    </w:p>
    <w:p w14:paraId="480A5BBC" w14:textId="77777777" w:rsidR="00A417FF" w:rsidRPr="00B62291" w:rsidRDefault="00A417FF" w:rsidP="00A417FF">
      <w:pPr>
        <w:ind w:left="284"/>
        <w:jc w:val="both"/>
        <w:rPr>
          <w:noProof/>
        </w:rPr>
      </w:pPr>
      <w:r w:rsidRPr="00B62291">
        <w:rPr>
          <w:noProof/>
        </w:rPr>
        <w:t>Ďalšie vybrané ustanovenia nadobúdajú účinnosť 25. júna 2026 podľa článku 4 smernice (EÚ) 2024/2994.</w:t>
      </w:r>
    </w:p>
    <w:p w14:paraId="506E0E9E" w14:textId="77777777" w:rsidR="00A417FF" w:rsidRDefault="00A417FF" w:rsidP="00A417FF">
      <w:pPr>
        <w:ind w:left="284"/>
        <w:jc w:val="both"/>
        <w:rPr>
          <w:noProof/>
          <w:color w:val="000000"/>
        </w:rPr>
      </w:pPr>
      <w:r w:rsidRPr="00B62291">
        <w:rPr>
          <w:noProof/>
          <w:color w:val="000000"/>
        </w:rPr>
        <w:t>S</w:t>
      </w:r>
      <w:r w:rsidRPr="003F1629">
        <w:rPr>
          <w:noProof/>
          <w:color w:val="000000"/>
        </w:rPr>
        <w:t>mernica 2001/34/ES sa zrušuje až s účinnosťou od 5. decembra 2026.</w:t>
      </w:r>
    </w:p>
    <w:p w14:paraId="29339CA4" w14:textId="77777777" w:rsidR="00A417FF" w:rsidRDefault="00A417FF" w:rsidP="00A417FF">
      <w:pPr>
        <w:ind w:left="284"/>
        <w:jc w:val="both"/>
        <w:rPr>
          <w:noProof/>
          <w:color w:val="000000"/>
        </w:rPr>
      </w:pPr>
    </w:p>
    <w:p w14:paraId="3C0CFFDE" w14:textId="77777777" w:rsidR="00A417FF" w:rsidRDefault="00A417FF" w:rsidP="00A417FF">
      <w:pPr>
        <w:pStyle w:val="Bezriadkovania"/>
        <w:jc w:val="both"/>
        <w:rPr>
          <w:rFonts w:ascii="Times New Roman" w:hAnsi="Times New Roman" w:cs="Times New Roman"/>
          <w:noProof/>
          <w:sz w:val="24"/>
          <w:szCs w:val="24"/>
          <w:lang w:val="sk-SK"/>
        </w:rPr>
      </w:pPr>
    </w:p>
    <w:p w14:paraId="59C0BBA4" w14:textId="77777777" w:rsidR="00A417FF" w:rsidRPr="00803DF8" w:rsidRDefault="00A417FF" w:rsidP="00A417FF">
      <w:pPr>
        <w:pStyle w:val="Bezriadkovania"/>
        <w:jc w:val="both"/>
        <w:rPr>
          <w:rFonts w:ascii="Times New Roman" w:hAnsi="Times New Roman" w:cs="Times New Roman"/>
          <w:noProof/>
          <w:sz w:val="24"/>
          <w:szCs w:val="24"/>
          <w:lang w:val="sk-SK"/>
        </w:rPr>
      </w:pPr>
      <w:r w:rsidRPr="00803DF8">
        <w:rPr>
          <w:rFonts w:ascii="Times New Roman" w:hAnsi="Times New Roman" w:cs="Times New Roman"/>
          <w:noProof/>
          <w:sz w:val="24"/>
          <w:szCs w:val="24"/>
          <w:lang w:val="sk-SK"/>
        </w:rPr>
        <w:t>V Bratislave dňa 4. júla 2025</w:t>
      </w:r>
    </w:p>
    <w:p w14:paraId="51EB742B" w14:textId="77777777" w:rsidR="00A417FF" w:rsidRPr="00803DF8" w:rsidRDefault="00A417FF" w:rsidP="00A417FF">
      <w:pPr>
        <w:pStyle w:val="Bezriadkovania"/>
        <w:jc w:val="both"/>
        <w:rPr>
          <w:rFonts w:ascii="Times New Roman" w:hAnsi="Times New Roman" w:cs="Times New Roman"/>
          <w:noProof/>
          <w:sz w:val="24"/>
          <w:szCs w:val="24"/>
          <w:lang w:val="sk-SK"/>
        </w:rPr>
      </w:pPr>
    </w:p>
    <w:p w14:paraId="50D47D8C" w14:textId="77777777" w:rsidR="00A417FF" w:rsidRPr="00803DF8" w:rsidRDefault="00A417FF" w:rsidP="00A417FF">
      <w:pPr>
        <w:pStyle w:val="Bezriadkovania"/>
        <w:jc w:val="both"/>
        <w:rPr>
          <w:rFonts w:ascii="Times New Roman" w:hAnsi="Times New Roman" w:cs="Times New Roman"/>
          <w:noProof/>
          <w:sz w:val="24"/>
          <w:szCs w:val="24"/>
          <w:lang w:val="sk-SK"/>
        </w:rPr>
      </w:pPr>
    </w:p>
    <w:p w14:paraId="02E13B3B" w14:textId="77777777" w:rsidR="00A417FF" w:rsidRPr="00803DF8" w:rsidRDefault="00A417FF" w:rsidP="00A417FF">
      <w:pPr>
        <w:pStyle w:val="Bezriadkovania"/>
        <w:jc w:val="both"/>
        <w:rPr>
          <w:rFonts w:ascii="Times New Roman" w:hAnsi="Times New Roman" w:cs="Times New Roman"/>
          <w:noProof/>
          <w:sz w:val="24"/>
          <w:szCs w:val="24"/>
          <w:lang w:val="sk-SK"/>
        </w:rPr>
      </w:pPr>
    </w:p>
    <w:p w14:paraId="15A9F1F8" w14:textId="77777777" w:rsidR="00A417FF" w:rsidRPr="00803DF8" w:rsidRDefault="00A417FF" w:rsidP="00A417FF">
      <w:pPr>
        <w:pStyle w:val="Bezriadkovania"/>
        <w:jc w:val="both"/>
        <w:rPr>
          <w:rFonts w:ascii="Times New Roman" w:hAnsi="Times New Roman" w:cs="Times New Roman"/>
          <w:noProof/>
          <w:sz w:val="24"/>
          <w:szCs w:val="24"/>
          <w:lang w:val="sk-SK"/>
        </w:rPr>
      </w:pPr>
    </w:p>
    <w:p w14:paraId="33B47F07" w14:textId="77777777" w:rsidR="00A417FF" w:rsidRPr="00803DF8" w:rsidRDefault="00A417FF" w:rsidP="00A417FF">
      <w:pPr>
        <w:pStyle w:val="Bezriadkovania"/>
        <w:jc w:val="center"/>
        <w:rPr>
          <w:rFonts w:ascii="Times New Roman" w:hAnsi="Times New Roman" w:cs="Times New Roman"/>
          <w:b/>
          <w:bCs/>
          <w:noProof/>
          <w:sz w:val="24"/>
          <w:szCs w:val="24"/>
          <w:lang w:val="sk-SK"/>
        </w:rPr>
      </w:pPr>
      <w:r w:rsidRPr="00803DF8">
        <w:rPr>
          <w:rFonts w:ascii="Times New Roman" w:hAnsi="Times New Roman" w:cs="Times New Roman"/>
          <w:b/>
          <w:bCs/>
          <w:noProof/>
          <w:sz w:val="24"/>
          <w:szCs w:val="24"/>
          <w:lang w:val="sk-SK"/>
        </w:rPr>
        <w:t>Robert Fico</w:t>
      </w:r>
      <w:r>
        <w:rPr>
          <w:rFonts w:ascii="Times New Roman" w:hAnsi="Times New Roman" w:cs="Times New Roman"/>
          <w:b/>
          <w:bCs/>
          <w:noProof/>
          <w:sz w:val="24"/>
          <w:szCs w:val="24"/>
          <w:lang w:val="sk-SK"/>
        </w:rPr>
        <w:t>, v. r.</w:t>
      </w:r>
    </w:p>
    <w:p w14:paraId="2E7A0869" w14:textId="77777777" w:rsidR="00A417FF" w:rsidRPr="00803DF8" w:rsidRDefault="00A417FF" w:rsidP="00A417FF">
      <w:pPr>
        <w:pStyle w:val="Bezriadkovania"/>
        <w:jc w:val="center"/>
        <w:rPr>
          <w:rFonts w:ascii="Times New Roman" w:hAnsi="Times New Roman" w:cs="Times New Roman"/>
          <w:noProof/>
          <w:sz w:val="24"/>
          <w:szCs w:val="24"/>
          <w:lang w:val="sk-SK"/>
        </w:rPr>
      </w:pPr>
      <w:r w:rsidRPr="00803DF8">
        <w:rPr>
          <w:rFonts w:ascii="Times New Roman" w:hAnsi="Times New Roman" w:cs="Times New Roman"/>
          <w:noProof/>
          <w:sz w:val="24"/>
          <w:szCs w:val="24"/>
          <w:lang w:val="sk-SK"/>
        </w:rPr>
        <w:t>predseda vlády Slovenskej republiky</w:t>
      </w:r>
    </w:p>
    <w:p w14:paraId="1AA167F5" w14:textId="77777777" w:rsidR="00A417FF" w:rsidRDefault="00A417FF" w:rsidP="00A417FF">
      <w:pPr>
        <w:pStyle w:val="Bezriadkovania"/>
        <w:jc w:val="center"/>
        <w:rPr>
          <w:rFonts w:ascii="Times New Roman" w:hAnsi="Times New Roman" w:cs="Times New Roman"/>
          <w:noProof/>
          <w:sz w:val="24"/>
          <w:szCs w:val="24"/>
          <w:lang w:val="sk-SK"/>
        </w:rPr>
      </w:pPr>
    </w:p>
    <w:p w14:paraId="3D1DE43E" w14:textId="77777777" w:rsidR="00A417FF" w:rsidRDefault="00A417FF" w:rsidP="00A417FF">
      <w:pPr>
        <w:pStyle w:val="Bezriadkovania"/>
        <w:jc w:val="center"/>
        <w:rPr>
          <w:rFonts w:ascii="Times New Roman" w:hAnsi="Times New Roman" w:cs="Times New Roman"/>
          <w:noProof/>
          <w:sz w:val="24"/>
          <w:szCs w:val="24"/>
          <w:lang w:val="sk-SK"/>
        </w:rPr>
      </w:pPr>
    </w:p>
    <w:p w14:paraId="3EC9E7E1" w14:textId="77777777" w:rsidR="00A417FF" w:rsidRPr="00803DF8" w:rsidRDefault="00A417FF" w:rsidP="00A417FF">
      <w:pPr>
        <w:pStyle w:val="Bezriadkovania"/>
        <w:jc w:val="center"/>
        <w:rPr>
          <w:rFonts w:ascii="Times New Roman" w:hAnsi="Times New Roman" w:cs="Times New Roman"/>
          <w:noProof/>
          <w:sz w:val="24"/>
          <w:szCs w:val="24"/>
          <w:lang w:val="sk-SK"/>
        </w:rPr>
      </w:pPr>
    </w:p>
    <w:p w14:paraId="62D175E8" w14:textId="77777777" w:rsidR="00A417FF" w:rsidRPr="00803DF8" w:rsidRDefault="00A417FF" w:rsidP="00A417FF">
      <w:pPr>
        <w:pStyle w:val="Bezriadkovania"/>
        <w:jc w:val="center"/>
        <w:rPr>
          <w:rFonts w:ascii="Times New Roman" w:hAnsi="Times New Roman" w:cs="Times New Roman"/>
          <w:noProof/>
          <w:sz w:val="24"/>
          <w:szCs w:val="24"/>
          <w:lang w:val="sk-SK"/>
        </w:rPr>
      </w:pPr>
    </w:p>
    <w:p w14:paraId="18A536F3" w14:textId="77777777" w:rsidR="00A417FF" w:rsidRPr="00803DF8" w:rsidRDefault="00A417FF" w:rsidP="00A417FF">
      <w:pPr>
        <w:pStyle w:val="Bezriadkovania"/>
        <w:jc w:val="center"/>
        <w:rPr>
          <w:rFonts w:ascii="Times New Roman" w:hAnsi="Times New Roman" w:cs="Times New Roman"/>
          <w:b/>
          <w:bCs/>
          <w:noProof/>
          <w:sz w:val="24"/>
          <w:szCs w:val="24"/>
          <w:lang w:val="sk-SK"/>
        </w:rPr>
      </w:pPr>
      <w:r w:rsidRPr="00803DF8">
        <w:rPr>
          <w:rFonts w:ascii="Times New Roman" w:hAnsi="Times New Roman" w:cs="Times New Roman"/>
          <w:b/>
          <w:bCs/>
          <w:noProof/>
          <w:sz w:val="24"/>
          <w:szCs w:val="24"/>
          <w:lang w:val="sk-SK"/>
        </w:rPr>
        <w:t>Ladislav Kamenický</w:t>
      </w:r>
      <w:r>
        <w:rPr>
          <w:rFonts w:ascii="Times New Roman" w:hAnsi="Times New Roman" w:cs="Times New Roman"/>
          <w:b/>
          <w:bCs/>
          <w:noProof/>
          <w:sz w:val="24"/>
          <w:szCs w:val="24"/>
          <w:lang w:val="sk-SK"/>
        </w:rPr>
        <w:t>, v. r.</w:t>
      </w:r>
    </w:p>
    <w:p w14:paraId="1539D0D0" w14:textId="77777777" w:rsidR="00A417FF" w:rsidRPr="003F1629" w:rsidRDefault="00A417FF" w:rsidP="00A417FF">
      <w:pPr>
        <w:pStyle w:val="Bezriadkovania"/>
        <w:jc w:val="center"/>
        <w:rPr>
          <w:rFonts w:ascii="Times New Roman" w:hAnsi="Times New Roman" w:cs="Times New Roman"/>
          <w:noProof/>
          <w:sz w:val="24"/>
          <w:szCs w:val="24"/>
        </w:rPr>
      </w:pPr>
      <w:r w:rsidRPr="00803DF8">
        <w:rPr>
          <w:rFonts w:ascii="Times New Roman" w:hAnsi="Times New Roman" w:cs="Times New Roman"/>
          <w:noProof/>
          <w:sz w:val="24"/>
          <w:szCs w:val="24"/>
          <w:lang w:val="sk-SK"/>
        </w:rPr>
        <w:t>minister financií Slovenskej republiky</w:t>
      </w:r>
      <w:r>
        <w:rPr>
          <w:rFonts w:ascii="Times New Roman" w:hAnsi="Times New Roman" w:cs="Times New Roman"/>
          <w:noProof/>
          <w:sz w:val="24"/>
          <w:szCs w:val="24"/>
          <w:lang w:val="sk-SK"/>
        </w:rPr>
        <w:t xml:space="preserve"> </w:t>
      </w:r>
    </w:p>
    <w:p w14:paraId="1161BEEE" w14:textId="77777777" w:rsidR="00A417FF" w:rsidRPr="00A417FF" w:rsidRDefault="00A417FF" w:rsidP="00A46F6A">
      <w:pPr>
        <w:jc w:val="both"/>
        <w:rPr>
          <w:lang w:val="en-GB"/>
        </w:rPr>
      </w:pPr>
    </w:p>
    <w:p w14:paraId="3C272DC1" w14:textId="77777777" w:rsidR="00A417FF" w:rsidRDefault="00A417FF" w:rsidP="00A46F6A">
      <w:pPr>
        <w:jc w:val="both"/>
      </w:pPr>
    </w:p>
    <w:sectPr w:rsidR="00A417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CC636CC"/>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C32E21"/>
    <w:multiLevelType w:val="hybridMultilevel"/>
    <w:tmpl w:val="44C49CCA"/>
    <w:lvl w:ilvl="0" w:tplc="712032CE">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31FD75BF"/>
    <w:multiLevelType w:val="hybridMultilevel"/>
    <w:tmpl w:val="80DCDF44"/>
    <w:lvl w:ilvl="0" w:tplc="5728EEB0">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3B515B8A"/>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66F5821"/>
    <w:multiLevelType w:val="hybridMultilevel"/>
    <w:tmpl w:val="357426E8"/>
    <w:lvl w:ilvl="0" w:tplc="CD2CCB2A">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419721261">
    <w:abstractNumId w:val="5"/>
  </w:num>
  <w:num w:numId="2" w16cid:durableId="711852719">
    <w:abstractNumId w:val="8"/>
  </w:num>
  <w:num w:numId="3" w16cid:durableId="750587697">
    <w:abstractNumId w:val="7"/>
  </w:num>
  <w:num w:numId="4" w16cid:durableId="1184054180">
    <w:abstractNumId w:val="3"/>
  </w:num>
  <w:num w:numId="5" w16cid:durableId="478230940">
    <w:abstractNumId w:val="2"/>
  </w:num>
  <w:num w:numId="6" w16cid:durableId="200753064">
    <w:abstractNumId w:val="0"/>
  </w:num>
  <w:num w:numId="7" w16cid:durableId="1015301501">
    <w:abstractNumId w:val="6"/>
  </w:num>
  <w:num w:numId="8" w16cid:durableId="985860575">
    <w:abstractNumId w:val="1"/>
  </w:num>
  <w:num w:numId="9" w16cid:durableId="134883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02"/>
    <w:rsid w:val="00057719"/>
    <w:rsid w:val="00062FC1"/>
    <w:rsid w:val="00063EB4"/>
    <w:rsid w:val="00081D66"/>
    <w:rsid w:val="0009646E"/>
    <w:rsid w:val="000C3BE2"/>
    <w:rsid w:val="000D6329"/>
    <w:rsid w:val="00140B57"/>
    <w:rsid w:val="00177D71"/>
    <w:rsid w:val="001E2661"/>
    <w:rsid w:val="002157D7"/>
    <w:rsid w:val="002374B9"/>
    <w:rsid w:val="002B51DD"/>
    <w:rsid w:val="00393201"/>
    <w:rsid w:val="00397A92"/>
    <w:rsid w:val="004268B0"/>
    <w:rsid w:val="004B1B4F"/>
    <w:rsid w:val="004F0BCB"/>
    <w:rsid w:val="004F1FFA"/>
    <w:rsid w:val="00530740"/>
    <w:rsid w:val="00533B53"/>
    <w:rsid w:val="0059388D"/>
    <w:rsid w:val="005A12E7"/>
    <w:rsid w:val="005F13E3"/>
    <w:rsid w:val="006128AE"/>
    <w:rsid w:val="006261AB"/>
    <w:rsid w:val="00650FF2"/>
    <w:rsid w:val="00674D02"/>
    <w:rsid w:val="006E0197"/>
    <w:rsid w:val="006E09C2"/>
    <w:rsid w:val="0074339B"/>
    <w:rsid w:val="007435A7"/>
    <w:rsid w:val="0077138C"/>
    <w:rsid w:val="00790946"/>
    <w:rsid w:val="00844ADD"/>
    <w:rsid w:val="00867B8E"/>
    <w:rsid w:val="008965ED"/>
    <w:rsid w:val="008E2E6B"/>
    <w:rsid w:val="009C6A7A"/>
    <w:rsid w:val="00A01CFD"/>
    <w:rsid w:val="00A35BB8"/>
    <w:rsid w:val="00A417FF"/>
    <w:rsid w:val="00A46F6A"/>
    <w:rsid w:val="00AF72B5"/>
    <w:rsid w:val="00C613A6"/>
    <w:rsid w:val="00C806F1"/>
    <w:rsid w:val="00D34954"/>
    <w:rsid w:val="00D84CF6"/>
    <w:rsid w:val="00DB01B1"/>
    <w:rsid w:val="00E75534"/>
    <w:rsid w:val="00E76D65"/>
    <w:rsid w:val="00EF23EE"/>
    <w:rsid w:val="00F17C33"/>
    <w:rsid w:val="00F74C77"/>
    <w:rsid w:val="00FD76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5C1E"/>
  <w15:chartTrackingRefBased/>
  <w15:docId w15:val="{A840F6BF-5F38-41BE-8A45-CAA4B4B2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74D0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09646E"/>
    <w:rPr>
      <w:sz w:val="16"/>
      <w:szCs w:val="16"/>
    </w:rPr>
  </w:style>
  <w:style w:type="paragraph" w:styleId="Textkomentra">
    <w:name w:val="annotation text"/>
    <w:basedOn w:val="Normlny"/>
    <w:link w:val="TextkomentraChar"/>
    <w:uiPriority w:val="99"/>
    <w:semiHidden/>
    <w:unhideWhenUsed/>
    <w:rsid w:val="0009646E"/>
    <w:rPr>
      <w:sz w:val="20"/>
      <w:szCs w:val="20"/>
    </w:rPr>
  </w:style>
  <w:style w:type="character" w:customStyle="1" w:styleId="TextkomentraChar">
    <w:name w:val="Text komentára Char"/>
    <w:basedOn w:val="Predvolenpsmoodseku"/>
    <w:link w:val="Textkomentra"/>
    <w:uiPriority w:val="99"/>
    <w:semiHidden/>
    <w:rsid w:val="0009646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9646E"/>
    <w:rPr>
      <w:b/>
      <w:bCs/>
    </w:rPr>
  </w:style>
  <w:style w:type="character" w:customStyle="1" w:styleId="PredmetkomentraChar">
    <w:name w:val="Predmet komentára Char"/>
    <w:basedOn w:val="TextkomentraChar"/>
    <w:link w:val="Predmetkomentra"/>
    <w:uiPriority w:val="99"/>
    <w:semiHidden/>
    <w:rsid w:val="0009646E"/>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09646E"/>
    <w:rPr>
      <w:rFonts w:ascii="Segoe UI" w:hAnsi="Segoe UI" w:cs="Segoe UI"/>
      <w:sz w:val="18"/>
      <w:szCs w:val="18"/>
    </w:rPr>
  </w:style>
  <w:style w:type="character" w:customStyle="1" w:styleId="TextbublinyChar">
    <w:name w:val="Text bubliny Char"/>
    <w:basedOn w:val="Predvolenpsmoodseku"/>
    <w:link w:val="Textbubliny"/>
    <w:uiPriority w:val="99"/>
    <w:semiHidden/>
    <w:rsid w:val="0009646E"/>
    <w:rPr>
      <w:rFonts w:ascii="Segoe UI" w:eastAsia="Times New Roman" w:hAnsi="Segoe UI" w:cs="Segoe UI"/>
      <w:sz w:val="18"/>
      <w:szCs w:val="18"/>
      <w:lang w:eastAsia="cs-CZ"/>
    </w:rPr>
  </w:style>
  <w:style w:type="paragraph" w:styleId="Odsekzoznamu">
    <w:name w:val="List Paragraph"/>
    <w:aliases w:val="Odstavec cíl se seznamem,Odstavec se seznamem1"/>
    <w:basedOn w:val="Normlny"/>
    <w:link w:val="OdsekzoznamuChar"/>
    <w:uiPriority w:val="34"/>
    <w:qFormat/>
    <w:rsid w:val="00A01CFD"/>
    <w:pPr>
      <w:spacing w:after="160" w:line="259" w:lineRule="auto"/>
      <w:ind w:left="720"/>
      <w:contextualSpacing/>
    </w:pPr>
    <w:rPr>
      <w:rFonts w:asciiTheme="minorHAnsi" w:eastAsiaTheme="minorHAnsi" w:hAnsiTheme="minorHAnsi" w:cstheme="minorBidi"/>
      <w:sz w:val="22"/>
      <w:szCs w:val="22"/>
      <w:lang w:eastAsia="en-US"/>
    </w:rPr>
  </w:style>
  <w:style w:type="paragraph" w:styleId="Normlnywebov">
    <w:name w:val="Normal (Web)"/>
    <w:basedOn w:val="Normlny"/>
    <w:uiPriority w:val="99"/>
    <w:unhideWhenUsed/>
    <w:rsid w:val="0059388D"/>
    <w:pPr>
      <w:spacing w:before="100" w:beforeAutospacing="1" w:after="100" w:afterAutospacing="1"/>
    </w:pPr>
    <w:rPr>
      <w:lang w:eastAsia="sk-SK"/>
    </w:rPr>
  </w:style>
  <w:style w:type="character" w:styleId="Zstupntext">
    <w:name w:val="Placeholder Text"/>
    <w:basedOn w:val="Predvolenpsmoodseku"/>
    <w:uiPriority w:val="99"/>
    <w:semiHidden/>
    <w:rsid w:val="009C6A7A"/>
    <w:rPr>
      <w:rFonts w:ascii="Times New Roman" w:hAnsi="Times New Roman" w:cs="Times New Roman"/>
      <w:color w:val="808080"/>
    </w:rPr>
  </w:style>
  <w:style w:type="table" w:customStyle="1" w:styleId="Mriekatabuky1">
    <w:name w:val="Mriežka tabuľky1"/>
    <w:basedOn w:val="Normlnatabuka"/>
    <w:next w:val="Mriekatabuky"/>
    <w:uiPriority w:val="59"/>
    <w:rsid w:val="00A4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17F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A417FF"/>
    <w:rPr>
      <w:color w:val="0563C1" w:themeColor="hyperlink"/>
      <w:u w:val="single"/>
    </w:rPr>
  </w:style>
  <w:style w:type="table" w:styleId="Mriekatabuky">
    <w:name w:val="Table Grid"/>
    <w:basedOn w:val="Normlnatabuka"/>
    <w:uiPriority w:val="39"/>
    <w:rsid w:val="00A4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8dispositif">
    <w:name w:val="c08dispositif"/>
    <w:basedOn w:val="Normlny"/>
    <w:rsid w:val="00A417FF"/>
    <w:pPr>
      <w:spacing w:before="100" w:beforeAutospacing="1" w:after="100" w:afterAutospacing="1"/>
    </w:pPr>
    <w:rPr>
      <w:lang w:eastAsia="sk-SK"/>
    </w:rPr>
  </w:style>
  <w:style w:type="character" w:customStyle="1" w:styleId="OdsekzoznamuChar">
    <w:name w:val="Odsek zoznamu Char"/>
    <w:aliases w:val="Odstavec cíl se seznamem Char,Odstavec se seznamem1 Char"/>
    <w:basedOn w:val="Predvolenpsmoodseku"/>
    <w:link w:val="Odsekzoznamu"/>
    <w:uiPriority w:val="34"/>
    <w:locked/>
    <w:rsid w:val="00A417FF"/>
  </w:style>
  <w:style w:type="paragraph" w:customStyle="1" w:styleId="c02alineaalta">
    <w:name w:val="c02alineaalta"/>
    <w:basedOn w:val="Normlny"/>
    <w:rsid w:val="00A417FF"/>
    <w:pPr>
      <w:spacing w:before="100" w:beforeAutospacing="1" w:after="100" w:afterAutospacing="1"/>
    </w:pPr>
    <w:rPr>
      <w:lang w:eastAsia="sk-SK"/>
    </w:rPr>
  </w:style>
  <w:style w:type="paragraph" w:customStyle="1" w:styleId="oj-doc-ti">
    <w:name w:val="oj-doc-ti"/>
    <w:basedOn w:val="Normlny"/>
    <w:rsid w:val="00A417FF"/>
    <w:pPr>
      <w:spacing w:before="100" w:beforeAutospacing="1" w:after="100" w:afterAutospacing="1"/>
    </w:pPr>
    <w:rPr>
      <w:lang w:eastAsia="sk-SK"/>
    </w:rPr>
  </w:style>
  <w:style w:type="character" w:styleId="Zvraznenie">
    <w:name w:val="Emphasis"/>
    <w:basedOn w:val="Predvolenpsmoodseku"/>
    <w:uiPriority w:val="20"/>
    <w:qFormat/>
    <w:rsid w:val="00A417FF"/>
    <w:rPr>
      <w:i/>
      <w:iCs/>
    </w:rPr>
  </w:style>
  <w:style w:type="paragraph" w:styleId="Bezriadkovania">
    <w:name w:val="No Spacing"/>
    <w:uiPriority w:val="1"/>
    <w:qFormat/>
    <w:rsid w:val="00A417FF"/>
    <w:pPr>
      <w:spacing w:after="0" w:line="240" w:lineRule="auto"/>
    </w:pPr>
    <w:rPr>
      <w:lang w:val="en-GB"/>
    </w:rPr>
  </w:style>
  <w:style w:type="character" w:customStyle="1" w:styleId="awspan">
    <w:name w:val="awspan"/>
    <w:basedOn w:val="Predvolenpsmoodseku"/>
    <w:rsid w:val="00A4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bs.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0DD08-D279-4FCE-8710-4263ED90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Pages>
  <Words>10464</Words>
  <Characters>59647</Characters>
  <Application>Microsoft Office Word</Application>
  <DocSecurity>0</DocSecurity>
  <Lines>497</Lines>
  <Paragraphs>139</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69972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Kassovic Jan</dc:creator>
  <cp:keywords/>
  <dc:description/>
  <cp:lastModifiedBy>Vlkolinsky Robert</cp:lastModifiedBy>
  <cp:revision>5</cp:revision>
  <cp:lastPrinted>2025-03-28T12:20:00Z</cp:lastPrinted>
  <dcterms:created xsi:type="dcterms:W3CDTF">2025-07-29T14:43:00Z</dcterms:created>
  <dcterms:modified xsi:type="dcterms:W3CDTF">2025-07-30T06:40:00Z</dcterms:modified>
</cp:coreProperties>
</file>