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DACF" w14:textId="0B45A9F1" w:rsidR="001D320E" w:rsidRPr="003B287D" w:rsidRDefault="001D320E" w:rsidP="00D52BCE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</w:pPr>
      <w:r w:rsidRPr="003B287D"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  <w:t>N Á R O D N</w:t>
      </w:r>
      <w:r w:rsidR="003B287D"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  <w:t xml:space="preserve"> </w:t>
      </w:r>
      <w:r w:rsidRPr="003B287D"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  <w:t>Á</w:t>
      </w:r>
      <w:r w:rsidR="00D52BCE"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  <w:t xml:space="preserve"> </w:t>
      </w:r>
      <w:r w:rsidRPr="003B287D"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  <w:t xml:space="preserve">   R A D A    S L O V E N S KE J    R E P U B L I K Y</w:t>
      </w:r>
    </w:p>
    <w:p w14:paraId="56A5CA9C" w14:textId="77777777" w:rsidR="001D320E" w:rsidRDefault="001D320E" w:rsidP="003B287D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hAnsi="Times New Roman" w:cs="Times New Roman"/>
          <w:noProof/>
          <w:sz w:val="24"/>
          <w:szCs w:val="24"/>
          <w:lang w:val="sk-SK"/>
        </w:rPr>
        <w:t>IX. volebné obdobie</w:t>
      </w:r>
    </w:p>
    <w:p w14:paraId="1C209B5E" w14:textId="77777777" w:rsidR="00D52BCE" w:rsidRDefault="00D52BCE" w:rsidP="003B287D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541CABF" w14:textId="77777777" w:rsidR="001D320E" w:rsidRDefault="001D320E" w:rsidP="003B287D">
      <w:pPr>
        <w:spacing w:after="0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51CD425" w14:textId="77777777" w:rsidR="001D320E" w:rsidRDefault="001D320E" w:rsidP="001D320E">
      <w:pPr>
        <w:jc w:val="center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7D1BF4C8" w14:textId="7E035798" w:rsidR="001D320E" w:rsidRPr="00D52BCE" w:rsidRDefault="001D320E" w:rsidP="001D320E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</w:pPr>
      <w:r w:rsidRPr="00D52BCE"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  <w:t>894</w:t>
      </w:r>
    </w:p>
    <w:p w14:paraId="6BF55558" w14:textId="77777777" w:rsidR="001D320E" w:rsidRDefault="001D320E" w:rsidP="00257858">
      <w:pPr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2018705C" w14:textId="3C47AE70" w:rsidR="001D320E" w:rsidRPr="001D320E" w:rsidRDefault="001D320E" w:rsidP="001D320E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</w:pPr>
      <w:r w:rsidRPr="001D320E"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  <w:t>VLÁDNY NÁVRH</w:t>
      </w:r>
    </w:p>
    <w:p w14:paraId="1DCD5FE8" w14:textId="77777777" w:rsidR="00F75161" w:rsidRPr="003B1F02" w:rsidRDefault="00F75161" w:rsidP="00A8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sk-SK" w:eastAsia="sk-SK"/>
        </w:rPr>
      </w:pPr>
    </w:p>
    <w:p w14:paraId="6AE500E6" w14:textId="77777777" w:rsidR="00F75161" w:rsidRPr="003B1F02" w:rsidRDefault="00F75161" w:rsidP="00A808C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6E606B8B" w14:textId="1DED40E6" w:rsidR="00F75161" w:rsidRPr="003B1F02" w:rsidRDefault="00F75161" w:rsidP="00A8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</w:pPr>
      <w:r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Z</w:t>
      </w:r>
      <w:r w:rsidR="001D32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ákon</w:t>
      </w:r>
    </w:p>
    <w:p w14:paraId="040A943C" w14:textId="77777777" w:rsidR="00F75161" w:rsidRPr="003B1F02" w:rsidRDefault="00F75161" w:rsidP="00A8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</w:pPr>
    </w:p>
    <w:p w14:paraId="24E56218" w14:textId="77777777" w:rsidR="00F75161" w:rsidRPr="003B1F02" w:rsidRDefault="00F75161" w:rsidP="00A808C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0EF0F136" w14:textId="6215FF1B" w:rsidR="00F75161" w:rsidRPr="003B1F02" w:rsidRDefault="00F75161" w:rsidP="00A8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</w:pPr>
      <w:r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z ... 202</w:t>
      </w:r>
      <w:r w:rsidR="00AC447E"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5</w:t>
      </w:r>
      <w:r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,</w:t>
      </w:r>
    </w:p>
    <w:p w14:paraId="55E8F0DA" w14:textId="77777777" w:rsidR="00BC0FA1" w:rsidRPr="003B1F02" w:rsidRDefault="00BC0FA1" w:rsidP="00A808C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39027099" w14:textId="77777777" w:rsidR="00BC0FA1" w:rsidRPr="003B1F02" w:rsidRDefault="00BC0FA1" w:rsidP="00A808C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6BFCB9AF" w14:textId="6794DF48" w:rsidR="001D320E" w:rsidRPr="003B1F02" w:rsidRDefault="00BC0FA1" w:rsidP="00D52BC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bookmarkStart w:id="0" w:name="_Hlk190869702"/>
      <w:r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k</w:t>
      </w:r>
      <w:r w:rsidR="00F75161"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torým sa mení a dopĺňa zákon č. 566/2001 Z. z. o cenných papieroch a investičných službách a o zmene a doplnení niektorých zákonov (zákon o cenných papieroch) v znení neskorších predpisov a ktorým sa men</w:t>
      </w:r>
      <w:r w:rsidR="00BB2874"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 xml:space="preserve">í </w:t>
      </w:r>
      <w:r w:rsidR="00F75161"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a dopĺňa zákon</w:t>
      </w:r>
      <w:r w:rsidR="00BB2874" w:rsidRPr="003B1F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 xml:space="preserve"> č. 429/2002 Z. z. o burze cenných papierov v znení neskorších predpisov</w:t>
      </w:r>
      <w:bookmarkEnd w:id="0"/>
    </w:p>
    <w:p w14:paraId="2FEE1986" w14:textId="77777777" w:rsidR="001D320E" w:rsidRDefault="001D320E" w:rsidP="00A808C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42948A3B" w14:textId="77777777" w:rsidR="001D320E" w:rsidRDefault="001D320E" w:rsidP="00A808C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0FD82095" w14:textId="77777777" w:rsidR="001D320E" w:rsidRDefault="001D320E" w:rsidP="00A808C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086FAB8C" w14:textId="77777777" w:rsidR="001D320E" w:rsidRDefault="001D320E" w:rsidP="00A808C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56251469" w14:textId="71669BB0" w:rsidR="00F75161" w:rsidRPr="003B1F02" w:rsidRDefault="00F75161" w:rsidP="00A808C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Národná rada Slovenskej republiky sa uzniesla na tomto zákone:</w:t>
      </w:r>
    </w:p>
    <w:p w14:paraId="678CE3B9" w14:textId="77777777" w:rsidR="00F75161" w:rsidRPr="003B1F02" w:rsidRDefault="00F75161" w:rsidP="00A808CA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k-SK"/>
        </w:rPr>
      </w:pPr>
    </w:p>
    <w:p w14:paraId="23091969" w14:textId="77777777" w:rsidR="00257858" w:rsidRPr="003B1F02" w:rsidRDefault="00257858" w:rsidP="00A808C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Čl. I</w:t>
      </w:r>
    </w:p>
    <w:p w14:paraId="2F208585" w14:textId="752A0442" w:rsidR="00257858" w:rsidRPr="003B1F02" w:rsidRDefault="00257858" w:rsidP="00A808C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566/2001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o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cenných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papieroch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a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investičných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službách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a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o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zmene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a</w:t>
      </w:r>
      <w:r w:rsidRPr="003B1F02">
        <w:rPr>
          <w:rFonts w:ascii="Times New Roman" w:eastAsia="Times New Roman" w:hAnsi="Times New Roman" w:cs="Times New Roman"/>
          <w:noProof/>
          <w:spacing w:val="1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doplnení niektorých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zákonov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(zákon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o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cenných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papieroch)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v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znení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291/2002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="00DC50C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                    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 510/2002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162/2003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594/2003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43/2004</w:t>
      </w:r>
      <w:r w:rsidR="00DC50C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                            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zákona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635/2004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747/2004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7/2005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="00DC50C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                               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266/2005 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336/2005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213/2006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644/2006</w:t>
      </w:r>
      <w:r w:rsidR="00DC50C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                   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 209/2007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659/2007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70/2008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="00DC50C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                      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552/2008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6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zákona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160/2009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186/2009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276/2009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,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 487/2009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492/2009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129/2010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505/2010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zákona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46/2011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130/2011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394/2011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520/2011 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440/2012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132/2013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="00DC50C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                                         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206/2013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 352/2013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 zákona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213/2014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371/2014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="00DC50CE"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                                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39/2015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zákona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117/2015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253/2015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323/2015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 359/2015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361/2015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375/2015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388/2015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zákona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389/2015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437/2015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="00DC50C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                                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91/2016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125/2016 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289/2016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292/2016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237/2017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 177/2018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373/2018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="00DC50C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                               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156/2019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211/2019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zákona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312/2020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340/2020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423/2020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44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 209/2021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310/2021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lastRenderedPageBreak/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454/2021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123/2022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zákona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151/2022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208/2022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zákona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309/2023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z., zákona</w:t>
      </w:r>
      <w:r w:rsidRPr="003B1F02">
        <w:rPr>
          <w:rFonts w:ascii="Times New Roman" w:eastAsia="Times New Roman" w:hAnsi="Times New Roman" w:cs="Times New Roman"/>
          <w:noProof/>
          <w:spacing w:val="38"/>
          <w:sz w:val="24"/>
          <w:szCs w:val="24"/>
          <w:lang w:val="sk-SK" w:eastAsia="sk-SK"/>
        </w:rPr>
        <w:t xml:space="preserve">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č. 315/2023 Z. z., zákona č. </w:t>
      </w:r>
      <w:r w:rsidR="00AC447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107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/2024</w:t>
      </w:r>
      <w:r w:rsidR="00AC447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Z. z., zákona č. 334/2024 Z. z.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a zákona č. .../202</w:t>
      </w:r>
      <w:r w:rsidR="00AC447E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5</w:t>
      </w:r>
      <w:r w:rsidR="007E69A3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Z. z.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sa mení a dopĺňa takto:</w:t>
      </w:r>
    </w:p>
    <w:p w14:paraId="0DAF17E3" w14:textId="77777777" w:rsidR="00257858" w:rsidRPr="003B1F02" w:rsidRDefault="00257858" w:rsidP="00A808CA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1340768" w14:textId="0BE4D40F" w:rsidR="00257858" w:rsidRPr="003B1F02" w:rsidRDefault="00257858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V § 7 ods</w:t>
      </w:r>
      <w:r w:rsidR="007E69A3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ek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12 znie: </w:t>
      </w:r>
    </w:p>
    <w:p w14:paraId="140CCD24" w14:textId="492B53CF" w:rsidR="00257858" w:rsidRPr="003B1F02" w:rsidRDefault="00257858" w:rsidP="008D52F3">
      <w:pPr>
        <w:pStyle w:val="Bezriadkovania"/>
        <w:ind w:left="360"/>
        <w:jc w:val="both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„(12) </w:t>
      </w:r>
      <w:r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Systematickým internalizátorom </w:t>
      </w:r>
      <w:r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je </w:t>
      </w:r>
      <w:r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obchodník s cennými papiermi</w:t>
      </w:r>
      <w:r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, ktorý </w:t>
      </w:r>
      <w:r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organizovane, často </w:t>
      </w:r>
      <w:r w:rsidR="00C42280"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a </w:t>
      </w:r>
      <w:r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systematicky </w:t>
      </w:r>
      <w:r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obchoduje na vlastný účet s kapitálovými </w:t>
      </w:r>
      <w:r w:rsidR="00C42280"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finančnými nástrojmi</w:t>
      </w:r>
      <w:r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 vykonávaním pokynov klientov mimo regulovaného trhu, mimo mnohostranného obchodného systému alebo mimo organizovaného obchodného systému bez toho, aby organizoval </w:t>
      </w:r>
      <w:r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mnohostranný </w:t>
      </w:r>
      <w:r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systém, alebo </w:t>
      </w:r>
      <w:r w:rsidR="006A5018"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obchodník s cennými papiermi,</w:t>
      </w:r>
      <w:r w:rsidR="006A5018"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ktorý sa </w:t>
      </w:r>
      <w:r w:rsidR="00007608"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dobrovoľne </w:t>
      </w:r>
      <w:r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rozhodne využívať  </w:t>
      </w:r>
      <w:r w:rsidR="00CF3657"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režim</w:t>
      </w:r>
      <w:r w:rsidRPr="003B1F0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 systematického internalizátora.“.</w:t>
      </w:r>
    </w:p>
    <w:p w14:paraId="4A26A5EF" w14:textId="77777777" w:rsidR="00257858" w:rsidRPr="003B1F02" w:rsidRDefault="00257858" w:rsidP="008D52F3">
      <w:pPr>
        <w:pStyle w:val="Bezriadkovania"/>
        <w:ind w:left="360"/>
        <w:jc w:val="both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50EC89D" w14:textId="47A05F0B" w:rsidR="008E5B53" w:rsidRPr="003B1F02" w:rsidRDefault="008E5B53" w:rsidP="008D52F3">
      <w:pPr>
        <w:pStyle w:val="Bezriadkovania"/>
        <w:numPr>
          <w:ilvl w:val="0"/>
          <w:numId w:val="1"/>
        </w:numPr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§ 7 sa dopĺňa </w:t>
      </w:r>
      <w:r w:rsidR="00C42280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odsek</w:t>
      </w:r>
      <w:r w:rsidR="007D644B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mi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32</w:t>
      </w:r>
      <w:r w:rsidR="007D644B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a 33</w:t>
      </w:r>
      <w:r w:rsidR="00C42280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,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ktor</w:t>
      </w:r>
      <w:r w:rsidR="007D644B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é znejú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:</w:t>
      </w:r>
    </w:p>
    <w:p w14:paraId="1C2D2856" w14:textId="40605310" w:rsidR="007D644B" w:rsidRPr="003B1F02" w:rsidRDefault="008E5B53" w:rsidP="008D52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bookmarkStart w:id="1" w:name="_Hlk197677792"/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„(3</w:t>
      </w:r>
      <w:r w:rsidR="00C42280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) </w:t>
      </w:r>
      <w:r w:rsidR="007D644B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Centrálnou protistranou je centrálna protistrana podľa osobitného predpisu</w:t>
      </w:r>
      <w:r w:rsidR="00AB39FD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</w:t>
      </w:r>
      <w:r w:rsidR="007D644B" w:rsidRPr="003B1F02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18k</w:t>
      </w:r>
      <w:r w:rsidR="007D644B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)</w:t>
      </w:r>
    </w:p>
    <w:bookmarkEnd w:id="1"/>
    <w:p w14:paraId="3A2CF0EC" w14:textId="5D875887" w:rsidR="008E5B53" w:rsidRPr="003B1F02" w:rsidRDefault="007D644B" w:rsidP="0066654F">
      <w:pPr>
        <w:spacing w:after="0" w:line="240" w:lineRule="auto"/>
        <w:ind w:left="360"/>
        <w:jc w:val="both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(33) </w:t>
      </w:r>
      <w:r w:rsidR="008E5B53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Kvalifikovanou centrálnou protistranou je kvalifikovaná centrálna protistrana podľa osobitného predpisu.</w:t>
      </w:r>
      <w:r w:rsidR="008E5B53" w:rsidRPr="003B1F02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18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l</w:t>
      </w:r>
      <w:r w:rsidR="008E5B53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)“.</w:t>
      </w:r>
    </w:p>
    <w:p w14:paraId="0FF2B0F0" w14:textId="77777777" w:rsidR="008E5B53" w:rsidRPr="003B1F02" w:rsidRDefault="008E5B53" w:rsidP="008D52F3">
      <w:pPr>
        <w:pStyle w:val="Bezriadkovania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BD2B8EA" w14:textId="450CA1C7" w:rsidR="008E5B53" w:rsidRPr="003B1F02" w:rsidRDefault="008E5B53" w:rsidP="008D52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Poznámk</w:t>
      </w:r>
      <w:r w:rsidR="008B0C42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y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pod čiarou k</w:t>
      </w:r>
      <w:r w:rsidR="008B0C42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 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odkaz</w:t>
      </w:r>
      <w:r w:rsidR="008B0C42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om 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18k</w:t>
      </w:r>
      <w:r w:rsidR="008B0C42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a 18l znejú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:</w:t>
      </w:r>
    </w:p>
    <w:p w14:paraId="63D13B7A" w14:textId="55017E73" w:rsidR="007D644B" w:rsidRPr="003B1F02" w:rsidRDefault="008E5B53" w:rsidP="0066654F">
      <w:pPr>
        <w:pStyle w:val="Bezriadkovania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bookmarkStart w:id="2" w:name="_Hlk193987842"/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„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18k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) </w:t>
      </w:r>
      <w:r w:rsidR="007D644B"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Čl. 2 bod 1 nariadenia Európskeho parlamentu a Rady (EÚ) č. 648/2012 zo 4. júla 2012 o mimoburzových derivátoch, centrálnych protistranách a archívoch obchodných údajov (Ú. v. EÚ L 201, 27.7.2012) v platnom znení.</w:t>
      </w:r>
    </w:p>
    <w:p w14:paraId="3710777B" w14:textId="0578316F" w:rsidR="008E5B53" w:rsidRPr="003B1F02" w:rsidRDefault="007D644B" w:rsidP="008D52F3">
      <w:pPr>
        <w:pStyle w:val="Bezriadkovania"/>
        <w:ind w:left="360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18l</w:t>
      </w: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) </w:t>
      </w:r>
      <w:r w:rsidR="008E5B53"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Čl. 4 ods. 1 </w:t>
      </w:r>
      <w:r w:rsidR="008E0147"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bod 88</w:t>
      </w:r>
      <w:r w:rsidR="008E5B53"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nariadenia (EÚ) č. </w:t>
      </w:r>
      <w:hyperlink r:id="rId8" w:tooltip="Nariadenie Európskeho parlamentu a Rady (EÚ) č. 575/2013 z  26. júna 2013 o prudenciálnych požiadavkách na úverové inštitúcie a investičné spoločnosti a o zmene nariadenia (EÚ) č. 648/2012 Text s významom pre EHP" w:history="1">
        <w:r w:rsidR="008E5B53" w:rsidRPr="003B1F02">
          <w:rPr>
            <w:rStyle w:val="Hypertextovprepojenie"/>
            <w:rFonts w:ascii="Times New Roman" w:hAnsi="Times New Roman" w:cs="Times New Roman"/>
            <w:noProof/>
            <w:color w:val="auto"/>
            <w:sz w:val="24"/>
            <w:szCs w:val="24"/>
            <w:u w:val="none"/>
            <w:shd w:val="clear" w:color="auto" w:fill="FFFFFF"/>
            <w:lang w:val="sk-SK"/>
          </w:rPr>
          <w:t>575/2013</w:t>
        </w:r>
      </w:hyperlink>
      <w:r w:rsidR="008E5B53"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 v platnom znení.“.</w:t>
      </w:r>
    </w:p>
    <w:bookmarkEnd w:id="2"/>
    <w:p w14:paraId="473B7A3F" w14:textId="77777777" w:rsidR="008E5B53" w:rsidRPr="003B1F02" w:rsidRDefault="008E5B53" w:rsidP="008D52F3">
      <w:pPr>
        <w:pStyle w:val="Bezriadkovania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931D7F9" w14:textId="1CB058C7" w:rsidR="00573315" w:rsidRPr="003B1F02" w:rsidRDefault="00573315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§ 8 sa dopĺňa písmenom aa), ktoré znie:</w:t>
      </w:r>
    </w:p>
    <w:p w14:paraId="2C4B77C3" w14:textId="21EE7F62" w:rsidR="00573315" w:rsidRPr="003B1F02" w:rsidRDefault="00573315" w:rsidP="00573315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3" w:name="_Hlk196460219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„aa) členským štátom štát Európskej únie alebo iný štát, ktorý je zmluvnou stranou Dohody o Európskom hospodárskom priestore.</w:t>
      </w:r>
      <w:r w:rsidR="00E773F1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“.</w:t>
      </w:r>
    </w:p>
    <w:bookmarkEnd w:id="3"/>
    <w:p w14:paraId="6624430F" w14:textId="77777777" w:rsidR="00573315" w:rsidRPr="003B1F02" w:rsidRDefault="00573315" w:rsidP="0057331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CACC921" w14:textId="769B26F1" w:rsidR="001239E6" w:rsidRPr="003B1F02" w:rsidRDefault="00257858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54 ods. 3 písm. d) </w:t>
      </w:r>
      <w:r w:rsidR="0091765A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druhý bod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1239E6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znie: </w:t>
      </w:r>
    </w:p>
    <w:p w14:paraId="1BACC225" w14:textId="68DA8FA0" w:rsidR="001239E6" w:rsidRPr="003B1F02" w:rsidRDefault="001239E6" w:rsidP="008D52F3">
      <w:pPr>
        <w:spacing w:after="0" w:line="240" w:lineRule="auto"/>
        <w:ind w:left="285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„2.</w:t>
      </w:r>
      <w:bookmarkStart w:id="4" w:name="paragraf-54.odsek-3.pismeno-d.bod-2.text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bookmarkStart w:id="5" w:name="_Hlk196460289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sú členmi alebo účastníkmi regulovaného trhu alebo sú členmi alebo účastníkmi mnohostranného obchodného systému okrem nefinančných subjektov, ktoré vykonávajú transakcie na obchodnom mieste, </w:t>
      </w:r>
      <w:r w:rsidR="0091765A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ak</w:t>
      </w:r>
      <w:r w:rsidR="00446FBD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tieto transakcie sú súčasťou </w:t>
      </w:r>
      <w:r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riadenia likvidity </w:t>
      </w:r>
      <w:r w:rsidR="008E0147" w:rsidRPr="003B1F0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alebo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je možné ich objektívne považovať za znižujúce riziká priamo súvisiace s obchodnou činnosťou alebo s podnikovým financovaním týchto nefinančných subjektov alebo ich skupín</w:t>
      </w:r>
      <w:bookmarkEnd w:id="5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,</w:t>
      </w:r>
      <w:r w:rsidR="0091050A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“.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bookmarkEnd w:id="4"/>
    </w:p>
    <w:p w14:paraId="749AEC1A" w14:textId="77777777" w:rsidR="00A6433D" w:rsidRPr="003B1F02" w:rsidRDefault="00A6433D" w:rsidP="008D52F3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CC4C6A5" w14:textId="28A2965A" w:rsidR="005F08B0" w:rsidRPr="003B1F02" w:rsidRDefault="00007211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</w:t>
      </w:r>
      <w:r w:rsidR="00A6433D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54 </w:t>
      </w:r>
      <w:r w:rsidR="005F08B0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odsek 7 znie: </w:t>
      </w:r>
    </w:p>
    <w:p w14:paraId="79FDA61E" w14:textId="2C58E361" w:rsidR="006F3DBB" w:rsidRPr="003B1F02" w:rsidRDefault="005B4E3D" w:rsidP="006F3DBB">
      <w:pPr>
        <w:spacing w:after="0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„(7) </w:t>
      </w:r>
      <w:bookmarkStart w:id="6" w:name="_Hlk196460317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Obchodník s cennými papiermi alebo pobočka zahraničného obchodníka s cennými papiermi môže vykonávať pre iné osoby iné činnosti ako investičné služby upravené týmto zákonom alebo osobitnými predpismi</w:t>
      </w:r>
      <w:r w:rsidRPr="003B1F0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50aa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  <w:r w:rsidR="006F3DBB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6F3DBB" w:rsidRPr="003B1F0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k-SK"/>
        </w:rPr>
        <w:t xml:space="preserve">ďalšie podnikateľské činnosti, ktoré súvisia so službami na finančnom trhu, alebo </w:t>
      </w:r>
      <w:r w:rsidR="006F3DBB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činnosti, ktoré priamo súvisia so správou vlastného majetku obchodníka s cennými papiermi</w:t>
      </w:r>
      <w:r w:rsidR="004A0BF1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 bezhotovostné obchody s peňažnými prostriedkami v cudzej mene</w:t>
      </w:r>
      <w:r w:rsidR="00A54254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, ak výkon ďalšej podnikateľskej činnosti nebráni riadnemu poskytovaniu  investičných služieb alebo účinnému výkonu dohľadu</w:t>
      </w:r>
      <w:r w:rsidR="004A0BF1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6F3DBB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Obchodník s cennými papiermi alebo pobočka zahraničného obchodníka s cennými papiermi sú povinní písomne oznámiť Národnej banke Slovenska zámer vykonávať ďalšiu podnikateľskú činnosť. Obchodník s cennými papiermi alebo pobočka zahraničného obchodníka s cennými papiermi sú povinní v oznámení podľa druhej vety uviesť</w:t>
      </w:r>
    </w:p>
    <w:p w14:paraId="12DABE58" w14:textId="77777777" w:rsidR="006F3DBB" w:rsidRPr="003B1F02" w:rsidRDefault="006F3DBB" w:rsidP="006F3DBB">
      <w:pPr>
        <w:spacing w:after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lastRenderedPageBreak/>
        <w:t>a) rozsah ďalšej podnikateľskej činnosti, ktorú obchodník s cennými papiermi alebo pobočka zahraničného obchodníka s cennými papiermi plánuje vykonávať,</w:t>
      </w:r>
    </w:p>
    <w:p w14:paraId="6CC4E9BE" w14:textId="77777777" w:rsidR="006F3DBB" w:rsidRPr="003B1F02" w:rsidRDefault="006F3DBB" w:rsidP="006F3DBB">
      <w:pPr>
        <w:spacing w:after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b) aktualizovaný plán obchodných činností, ktorý zohľadňuje ďalšiu podnikateľskú činnosť, najmä očakávané finančné údaje na individuálnom základe a konsolidovanom základe, </w:t>
      </w:r>
    </w:p>
    <w:p w14:paraId="59480B91" w14:textId="77777777" w:rsidR="006F3DBB" w:rsidRPr="003B1F02" w:rsidRDefault="006F3DBB" w:rsidP="006F3DBB">
      <w:pPr>
        <w:spacing w:after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c) predpokladané vplyvy ďalšej podnikateľskej činnosti na činnosť obchodníka s cennými papiermi alebo na činnosť pobočky zahraničného obchodníka s cennými papiermi, najmä z hľadiska vecného, personálneho a organizačného zabezpečenia tejto ďalšej podnikateľskej činnosti, </w:t>
      </w:r>
    </w:p>
    <w:p w14:paraId="3BF0A918" w14:textId="2D32120F" w:rsidR="006F3DBB" w:rsidRPr="003B1F02" w:rsidRDefault="006F3DBB" w:rsidP="006F3DBB">
      <w:pPr>
        <w:spacing w:after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d) návrhy vnútorných predpisov, ktoré zohľadňujú výkon ďalšej podnikateľskej činnosti, najmä vnútorných predpisov upravujúcich postupy pre riadenie rizík, vyhodnocovanie rizík a opatrenia na obmedzenie rizík, </w:t>
      </w:r>
    </w:p>
    <w:p w14:paraId="2EB8B670" w14:textId="628923BB" w:rsidR="005B4E3D" w:rsidRPr="003B1F02" w:rsidRDefault="006F3DBB" w:rsidP="006F3DBB">
      <w:pPr>
        <w:spacing w:after="0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e) analýzu jednotlivých typov krízových situácií pri vykonávaní ďalšej podnikateľskej činnosti, ktoré môžu mať negatívny dopad na riadne poskytovanie investičných služieb a postupy na riešenie takýchto situácií</w:t>
      </w:r>
      <w:bookmarkEnd w:id="6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5B4E3D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“. </w:t>
      </w:r>
    </w:p>
    <w:p w14:paraId="7F3BB476" w14:textId="77777777" w:rsidR="005B4E3D" w:rsidRPr="003B1F02" w:rsidRDefault="005B4E3D" w:rsidP="008D52F3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</w:pPr>
    </w:p>
    <w:p w14:paraId="3087018A" w14:textId="40DF3DAF" w:rsidR="005B4E3D" w:rsidRPr="003B1F02" w:rsidRDefault="005B4E3D" w:rsidP="008D52F3">
      <w:pPr>
        <w:spacing w:after="0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Poznámka pod čiarou </w:t>
      </w:r>
      <w:r w:rsidR="0091765A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k odkazu 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50aa znie: </w:t>
      </w:r>
    </w:p>
    <w:p w14:paraId="4652C98C" w14:textId="6C7BCB65" w:rsidR="005B4E3D" w:rsidRPr="003B1F02" w:rsidRDefault="005B4E3D" w:rsidP="008D52F3">
      <w:pPr>
        <w:spacing w:after="0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7" w:name="_Hlk193987884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r w:rsidRPr="003B1F0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50aa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bookmarkStart w:id="8" w:name="_Hlk196462286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Napríklad </w:t>
      </w:r>
      <w:r w:rsidR="003C61D2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nariadenie (EÚ)  č. 596/2014 v platnom znení, čl. 31 nariadenia (EÚ)</w:t>
      </w:r>
      <w:r w:rsid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                       </w:t>
      </w:r>
      <w:r w:rsidR="003C61D2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č. 600/2014 v platnom znení, </w:t>
      </w:r>
      <w:r w:rsidR="00FD4CE0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č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l. 2 ods. 1 písm. e) nariadenia (EÚ) 2020/1503 </w:t>
      </w:r>
      <w:r w:rsidR="00C03EBD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v platnom znení</w:t>
      </w:r>
      <w:r w:rsidR="003C61D2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</w:t>
      </w:r>
      <w:r w:rsidR="00233CE9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nariadenie Európskeho parlamentu a Rady (EÚ) 2023/1114 </w:t>
      </w:r>
      <w:r w:rsidR="00233CE9" w:rsidRP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>z 31. mája 2023 o</w:t>
      </w:r>
      <w:r w:rsidR="006679A0" w:rsidRP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> </w:t>
      </w:r>
      <w:r w:rsidR="00233CE9" w:rsidRP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>trhoch</w:t>
      </w:r>
      <w:r w:rsidR="006679A0" w:rsidRP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 xml:space="preserve"> </w:t>
      </w:r>
      <w:r w:rsid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 xml:space="preserve">                     </w:t>
      </w:r>
      <w:r w:rsidR="006679A0" w:rsidRP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 xml:space="preserve"> </w:t>
      </w:r>
      <w:r w:rsidR="00233CE9" w:rsidRP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 xml:space="preserve">s </w:t>
      </w:r>
      <w:proofErr w:type="spellStart"/>
      <w:r w:rsidR="00233CE9" w:rsidRP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>kryptoaktívami</w:t>
      </w:r>
      <w:proofErr w:type="spellEnd"/>
      <w:r w:rsidR="00233CE9" w:rsidRPr="003B1F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k-SK"/>
        </w:rPr>
        <w:t xml:space="preserve"> a o zmene nariadení (EÚ) č. 1093/2010 a (EÚ) č. 1095/2010 a smerníc 2013/36/EÚ a (EÚ) 2019/1937 (</w:t>
      </w:r>
      <w:r w:rsidR="00233CE9" w:rsidRPr="003B1F02">
        <w:rPr>
          <w:rStyle w:val="Zvraznenie"/>
          <w:rFonts w:ascii="Times New Roman" w:hAnsi="Times New Roman"/>
          <w:i w:val="0"/>
          <w:color w:val="333333"/>
          <w:sz w:val="24"/>
          <w:szCs w:val="24"/>
          <w:shd w:val="clear" w:color="auto" w:fill="FFFFFF"/>
          <w:lang w:val="sk-SK"/>
        </w:rPr>
        <w:t xml:space="preserve">Ú. v. EÚ L 150, 9.6.2023) </w:t>
      </w:r>
      <w:r w:rsidR="00233CE9" w:rsidRPr="003B1F02">
        <w:rPr>
          <w:rFonts w:ascii="Times New Roman" w:hAnsi="Times New Roman" w:cs="Times New Roman"/>
          <w:color w:val="000000"/>
          <w:sz w:val="24"/>
          <w:szCs w:val="24"/>
          <w:lang w:val="sk-SK"/>
        </w:rPr>
        <w:t>v platnom znení</w:t>
      </w:r>
      <w:r w:rsidR="00D464B9" w:rsidRPr="003B1F02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</w:t>
      </w:r>
      <w:r w:rsidR="003C61D2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zákon Národnej rady Slovenskej republiky č. 202/1995 Z. z. v znení neskorších predpisov, </w:t>
      </w:r>
      <w:r w:rsidR="00D464B9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zákon č. </w:t>
      </w:r>
      <w:r w:rsidR="00000000">
        <w:fldChar w:fldCharType="begin"/>
      </w:r>
      <w:r w:rsidR="00000000" w:rsidRPr="007440DE">
        <w:rPr>
          <w:lang w:val="sk-SK"/>
        </w:rPr>
        <w:instrText>HYPERLINK "https://www.slov-lex.sk/ezbierky-fe/pravne-predpisy/SK/ZZ/2009/186/" \o "Odkaz na predpis alebo ustanovenie"</w:instrText>
      </w:r>
      <w:r w:rsidR="00000000">
        <w:fldChar w:fldCharType="separate"/>
      </w:r>
      <w:r w:rsidR="00D464B9" w:rsidRPr="003B1F02">
        <w:rPr>
          <w:rStyle w:val="Hypertextovprepojenie"/>
          <w:rFonts w:ascii="Times New Roman" w:hAnsi="Times New Roman" w:cs="Times New Roman"/>
          <w:noProof/>
          <w:color w:val="auto"/>
          <w:sz w:val="24"/>
          <w:szCs w:val="24"/>
          <w:u w:val="none"/>
          <w:lang w:val="sk-SK"/>
        </w:rPr>
        <w:t>186/2009 Z. z.</w:t>
      </w:r>
      <w:r w:rsidR="00000000">
        <w:rPr>
          <w:rStyle w:val="Hypertextovprepojenie"/>
          <w:rFonts w:ascii="Times New Roman" w:hAnsi="Times New Roman" w:cs="Times New Roman"/>
          <w:noProof/>
          <w:color w:val="auto"/>
          <w:sz w:val="24"/>
          <w:szCs w:val="24"/>
          <w:u w:val="none"/>
          <w:lang w:val="sk-SK"/>
        </w:rPr>
        <w:fldChar w:fldCharType="end"/>
      </w:r>
      <w:r w:rsidR="00D464B9" w:rsidRPr="003B1F02">
        <w:rPr>
          <w:rStyle w:val="Hypertextovprepojenie"/>
          <w:rFonts w:ascii="Times New Roman" w:hAnsi="Times New Roman" w:cs="Times New Roman"/>
          <w:noProof/>
          <w:color w:val="auto"/>
          <w:sz w:val="24"/>
          <w:szCs w:val="24"/>
          <w:u w:val="none"/>
          <w:lang w:val="sk-SK"/>
        </w:rPr>
        <w:t xml:space="preserve"> v znení neskorších predpisov</w:t>
      </w:r>
      <w:r w:rsidR="00D464B9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, zákon č. </w:t>
      </w:r>
      <w:hyperlink r:id="rId9" w:tooltip="Odkaz na predpis alebo ustanovenie" w:history="1">
        <w:r w:rsidR="00D464B9" w:rsidRPr="003B1F02">
          <w:rPr>
            <w:rStyle w:val="Hypertextovprepojenie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sk-SK"/>
          </w:rPr>
          <w:t>492/2009 Z. z.</w:t>
        </w:r>
      </w:hyperlink>
      <w:r w:rsidR="00D464B9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 v znení neskorších predpisov</w:t>
      </w:r>
      <w:bookmarkEnd w:id="8"/>
      <w:r w:rsidR="00D464B9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“.</w:t>
      </w:r>
    </w:p>
    <w:bookmarkEnd w:id="7"/>
    <w:p w14:paraId="4F38D4AF" w14:textId="77777777" w:rsidR="0091765A" w:rsidRPr="003B1F02" w:rsidRDefault="0091765A" w:rsidP="008D52F3">
      <w:pPr>
        <w:spacing w:after="0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B2E9911" w14:textId="26C4BA44" w:rsidR="0091765A" w:rsidRPr="003B1F02" w:rsidRDefault="0091765A" w:rsidP="008D52F3">
      <w:pPr>
        <w:spacing w:after="0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Poznámky pod čiarou k odkazom 50aaa a 50aab sa vypúšťajú. </w:t>
      </w:r>
    </w:p>
    <w:p w14:paraId="710AE576" w14:textId="77777777" w:rsidR="005B4E3D" w:rsidRPr="003B1F02" w:rsidRDefault="005B4E3D" w:rsidP="008D52F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A11C565" w14:textId="5221DCA9" w:rsidR="005B4E3D" w:rsidRPr="003B1F02" w:rsidRDefault="005B4E3D" w:rsidP="008D52F3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54 sa </w:t>
      </w:r>
      <w:r w:rsidR="0091765A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dopĺňa 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odsek</w:t>
      </w:r>
      <w:r w:rsidR="006F3DBB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om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16, ktor</w:t>
      </w:r>
      <w:r w:rsidR="006F3DBB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ý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zn</w:t>
      </w:r>
      <w:r w:rsidR="006F3DBB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i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e:</w:t>
      </w:r>
    </w:p>
    <w:p w14:paraId="3ECD4E82" w14:textId="4CF69FAF" w:rsidR="005B4E3D" w:rsidRPr="003B1F02" w:rsidRDefault="005B4E3D" w:rsidP="008D52F3">
      <w:pPr>
        <w:spacing w:after="0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9" w:name="_Hlk196460408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„(1</w:t>
      </w:r>
      <w:r w:rsidR="00E00BC6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6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bookmarkStart w:id="10" w:name="_Hlk197347749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Národná banka Slovenska posúdi oznámenie podľa odseku </w:t>
      </w:r>
      <w:r w:rsidR="00E00BC6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7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  lehote 30 pracovných dní odo dňa jeho doručenia. Obchodník s cennými papiermi alebo pobočka zahraničného obchodníka s cennými papiermi sú oprávnení začať vykonávať ďalšiu podnikateľskú činnosť, len ak Národná banka Slovenska výkon ďalšej podnikateľskej činnosti </w:t>
      </w:r>
      <w:r w:rsidR="006F3DBB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v tejto lehote</w:t>
      </w:r>
      <w:r w:rsidR="00E00BC6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nezamietne. Ak výkon ďalšej podnikateľskej činnosti bráni riadnemu poskytovaniu investičných služieb alebo účinnému výkonu dohľadu, Národná banka Slovenska vydá rozhodnutie o</w:t>
      </w:r>
      <w:r w:rsidR="00007608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zamietnutí</w:t>
      </w:r>
      <w:r w:rsidR="00007608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výkonu ďalšej podnikateľskej činnosti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 konaní podľa osobitného predpisu</w:t>
      </w:r>
      <w:r w:rsidRPr="003B1F0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20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) a bez zbytočného odkladu ho doručí obchodníkovi s cennými papiermi alebo pobočke zahraničného obchodníka s cennými papiermi</w:t>
      </w:r>
      <w:bookmarkEnd w:id="10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.“.</w:t>
      </w:r>
    </w:p>
    <w:bookmarkEnd w:id="9"/>
    <w:p w14:paraId="5AB65B6A" w14:textId="77777777" w:rsidR="00FA79B7" w:rsidRPr="003B1F02" w:rsidRDefault="00FA79B7" w:rsidP="008D52F3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35C3904" w14:textId="6FB5235D" w:rsidR="005B4E3D" w:rsidRPr="003B1F02" w:rsidRDefault="005B4E3D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§</w:t>
      </w:r>
      <w:r w:rsidR="00AF6C1D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70</w:t>
      </w:r>
      <w:r w:rsidR="001E7938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sa</w:t>
      </w:r>
      <w:r w:rsidR="0091765A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50242E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dopĺňa </w:t>
      </w:r>
      <w:r w:rsidR="0091765A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odse</w:t>
      </w:r>
      <w:r w:rsidR="0050242E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kom 15, ktorý znie:</w:t>
      </w:r>
    </w:p>
    <w:p w14:paraId="1DC78F7C" w14:textId="3B9136F8" w:rsidR="00907D69" w:rsidRPr="003B1F02" w:rsidRDefault="005B4E3D" w:rsidP="00907D69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r w:rsidR="001E7938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(</w:t>
      </w:r>
      <w:r w:rsidR="0050242E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15</w:t>
      </w:r>
      <w:r w:rsidR="001E7938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bookmarkStart w:id="11" w:name="_Hlk196460465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Národná banka Slovenska žiadosť o udelenie predchádzajúceho súhlasu podľa odseku 1 zamietne, ak žiadateľ nesplní alebo nepreukáže splnenie niektorej z podmienok podľa odseku 2. Národná banka Slovenska žiadosť o udelenie predchádzajúceho súhlasu podľa odseku 1 zamietne, ak údaje a predložené doklady nie sú úplné, správne, pravdivé, pravé</w:t>
      </w:r>
      <w:r w:rsidR="006679A0"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 aktuálne</w:t>
      </w:r>
      <w:bookmarkEnd w:id="11"/>
      <w:r w:rsidRPr="003B1F02">
        <w:rPr>
          <w:rFonts w:ascii="Times New Roman" w:hAnsi="Times New Roman" w:cs="Times New Roman"/>
          <w:noProof/>
          <w:sz w:val="24"/>
          <w:szCs w:val="24"/>
          <w:lang w:val="sk-SK"/>
        </w:rPr>
        <w:t>.“.</w:t>
      </w:r>
    </w:p>
    <w:p w14:paraId="3B57C26A" w14:textId="77777777" w:rsidR="00907D69" w:rsidRPr="003B1F02" w:rsidRDefault="00907D69" w:rsidP="00907D69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197FB2E" w14:textId="2ED2CCB1" w:rsidR="001D3DCA" w:rsidRPr="003B1F02" w:rsidRDefault="001D3DCA" w:rsidP="00907D6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B1F02">
        <w:rPr>
          <w:rFonts w:ascii="Times New Roman" w:hAnsi="Times New Roman" w:cs="Times New Roman"/>
          <w:sz w:val="24"/>
          <w:szCs w:val="24"/>
          <w:lang w:val="sk-SK"/>
        </w:rPr>
        <w:lastRenderedPageBreak/>
        <w:t>V § 71 ods. 3 prvej vete sa na konci bodka nahrádza bodkočiarkou a pripájajú sa tieto slová: „</w:t>
      </w:r>
      <w:bookmarkStart w:id="12" w:name="_Hlk196460503"/>
      <w:r w:rsidRPr="003B1F02">
        <w:rPr>
          <w:rFonts w:ascii="Times New Roman" w:hAnsi="Times New Roman" w:cs="Times New Roman"/>
          <w:sz w:val="24"/>
          <w:szCs w:val="24"/>
          <w:lang w:val="sk-SK"/>
        </w:rPr>
        <w:t xml:space="preserve">obchodník s cennými papiermi je povinný mať </w:t>
      </w:r>
      <w:r w:rsidR="005479FB" w:rsidRPr="003B1F02">
        <w:rPr>
          <w:rFonts w:ascii="Times New Roman" w:hAnsi="Times New Roman" w:cs="Times New Roman"/>
          <w:sz w:val="24"/>
          <w:szCs w:val="24"/>
          <w:lang w:val="sk-SK"/>
        </w:rPr>
        <w:t xml:space="preserve">na tento účel </w:t>
      </w:r>
      <w:r w:rsidRPr="003B1F02">
        <w:rPr>
          <w:rFonts w:ascii="Times New Roman" w:hAnsi="Times New Roman" w:cs="Times New Roman"/>
          <w:sz w:val="24"/>
          <w:szCs w:val="24"/>
          <w:lang w:val="sk-SK"/>
        </w:rPr>
        <w:t>zavedené pravidlá oznamovania všetkých závažných rizík, všetkých politík riadenia rizík a všetky ich zmeny</w:t>
      </w:r>
      <w:bookmarkEnd w:id="12"/>
      <w:r w:rsidRPr="003B1F02">
        <w:rPr>
          <w:rFonts w:ascii="Times New Roman" w:hAnsi="Times New Roman" w:cs="Times New Roman"/>
          <w:sz w:val="24"/>
          <w:szCs w:val="24"/>
          <w:lang w:val="sk-SK"/>
        </w:rPr>
        <w:t>.“</w:t>
      </w:r>
      <w:r w:rsidR="006679A0" w:rsidRPr="003B1F02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DF6012D" w14:textId="77777777" w:rsidR="001D3DCA" w:rsidRPr="003B1F02" w:rsidRDefault="001D3DCA" w:rsidP="001D3DCA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k-SK"/>
        </w:rPr>
      </w:pPr>
    </w:p>
    <w:p w14:paraId="5CED4EA6" w14:textId="77777777" w:rsidR="000B7B96" w:rsidRPr="003B1F02" w:rsidRDefault="000B7B96" w:rsidP="001D3DC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V § 71c sa odsek 2 dopĺňa písmenom e), ktoré znie:</w:t>
      </w:r>
    </w:p>
    <w:p w14:paraId="16EF1518" w14:textId="77777777" w:rsidR="000B7B96" w:rsidRPr="00E70F1C" w:rsidRDefault="000B7B96" w:rsidP="001D3D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„</w:t>
      </w:r>
      <w:bookmarkStart w:id="13" w:name="_Hlk189486016"/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e) </w:t>
      </w:r>
      <w:bookmarkStart w:id="14" w:name="_Hlk196460596"/>
      <w:r w:rsidRPr="003B1F0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významných zdrojov a účinkov rizika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koncentrácie vyplývajúceho z expozícií voči centrálnym protistranám a akéhokoľvek významného vplyvu na vlastné zdroje</w:t>
      </w:r>
      <w:bookmarkEnd w:id="13"/>
      <w:bookmarkEnd w:id="14"/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.“. </w:t>
      </w:r>
    </w:p>
    <w:p w14:paraId="04BD89F0" w14:textId="77777777" w:rsidR="000B7B96" w:rsidRDefault="000B7B96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EC57F10" w14:textId="77777777" w:rsidR="008A2BBF" w:rsidRPr="00E70F1C" w:rsidRDefault="008A2BBF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DF2287F" w14:textId="77777777" w:rsidR="000B7B96" w:rsidRPr="00E70F1C" w:rsidRDefault="000B7B96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§ 71c sa dopĺňa odsekom 7, ktorý znie:</w:t>
      </w:r>
    </w:p>
    <w:p w14:paraId="0E087751" w14:textId="1B6B319D" w:rsidR="000B7B96" w:rsidRPr="00E70F1C" w:rsidRDefault="000B7B96" w:rsidP="008D52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„(7) </w:t>
      </w:r>
      <w:bookmarkStart w:id="15" w:name="_Hlk196460616"/>
      <w:r w:rsidR="00007608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Riadiaci orgán o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bchodník</w:t>
      </w:r>
      <w:r w:rsidR="00FD2FA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a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s cennými papiermi je povinný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na účel </w:t>
      </w:r>
      <w:r w:rsidR="008F59BB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odseku 2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písm</w:t>
      </w:r>
      <w:r w:rsidR="0091765A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 e) vypracovať osobitné plány a kvantifikovateľné ciele v súlade s požiadavkami </w:t>
      </w:r>
      <w:r w:rsidR="007E69A3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u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stanovenými osobitným predpisom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56ac</w:t>
      </w:r>
      <w:r w:rsidR="00CF3657" w:rsidRPr="00E70F1C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a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b</w:t>
      </w:r>
      <w:r w:rsidR="00CF3657" w:rsidRPr="00E70F1C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a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) na monitorovanie a riadenie rizika koncentrácie vyplývajúceho z expozícií voči centrálnym protistranám ponúkajúcim služby podstatného systémového významu pre Európsku úniu alebo jeden </w:t>
      </w:r>
      <w:r w:rsidR="007E69A3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členský štát alebo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viaceré členské štáty</w:t>
      </w:r>
      <w:bookmarkEnd w:id="15"/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.“.</w:t>
      </w:r>
    </w:p>
    <w:p w14:paraId="119B6EBA" w14:textId="77777777" w:rsidR="000B7B96" w:rsidRPr="00E70F1C" w:rsidRDefault="000B7B96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11393C8" w14:textId="77777777" w:rsidR="00B93788" w:rsidRPr="00E70F1C" w:rsidRDefault="00B93788" w:rsidP="008D52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Poznámka pod čiarou k odkazu 56acaba znie:</w:t>
      </w:r>
    </w:p>
    <w:p w14:paraId="3CA3F28C" w14:textId="6B40D7A4" w:rsidR="005F3931" w:rsidRPr="00E70F1C" w:rsidRDefault="00B93788" w:rsidP="005F3931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bookmarkStart w:id="16" w:name="_Hlk193987962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„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sk-SK"/>
        </w:rPr>
        <w:t>56acaba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) </w:t>
      </w:r>
      <w:bookmarkStart w:id="17" w:name="_Hlk196462378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Čl. 7a nariadenia</w:t>
      </w:r>
      <w:r w:rsidR="00054188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(EÚ) č. </w:t>
      </w:r>
      <w:hyperlink r:id="rId10" w:tooltip="Nariadenie Európskeho parlamentu a Rady (EÚ) č. 648/2012 zo 4. júla 2012 o mimoburzových derivátoch, centrálnych protistranách a archívoch obchodných údajov Text s významom pre EHP" w:history="1">
        <w:r w:rsidRPr="00E70F1C">
          <w:rPr>
            <w:rStyle w:val="Hypertextovprepojenie"/>
            <w:rFonts w:ascii="Times New Roman" w:hAnsi="Times New Roman" w:cs="Times New Roman"/>
            <w:noProof/>
            <w:color w:val="auto"/>
            <w:sz w:val="24"/>
            <w:szCs w:val="24"/>
            <w:u w:val="none"/>
            <w:shd w:val="clear" w:color="auto" w:fill="FFFFFF"/>
            <w:lang w:val="sk-SK"/>
          </w:rPr>
          <w:t>648/2012</w:t>
        </w:r>
      </w:hyperlink>
      <w:r w:rsidR="00054188" w:rsidRPr="00E70F1C">
        <w:rPr>
          <w:rStyle w:val="Hypertextovprepojenie"/>
          <w:rFonts w:ascii="Times New Roman" w:hAnsi="Times New Roman" w:cs="Times New Roman"/>
          <w:noProof/>
          <w:color w:val="auto"/>
          <w:sz w:val="24"/>
          <w:szCs w:val="24"/>
          <w:u w:val="none"/>
          <w:shd w:val="clear" w:color="auto" w:fill="FFFFFF"/>
          <w:lang w:val="sk-SK"/>
        </w:rPr>
        <w:t xml:space="preserve"> </w:t>
      </w:r>
      <w:r w:rsidR="00D464B9" w:rsidRPr="00E70F1C">
        <w:rPr>
          <w:rStyle w:val="Hypertextovprepojenie"/>
          <w:rFonts w:ascii="Times New Roman" w:hAnsi="Times New Roman" w:cs="Times New Roman"/>
          <w:noProof/>
          <w:color w:val="auto"/>
          <w:sz w:val="24"/>
          <w:szCs w:val="24"/>
          <w:u w:val="none"/>
          <w:shd w:val="clear" w:color="auto" w:fill="FFFFFF"/>
          <w:lang w:val="sk-SK"/>
        </w:rPr>
        <w:t>v pla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tnom znení</w:t>
      </w:r>
      <w:bookmarkEnd w:id="17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.“.</w:t>
      </w:r>
      <w:bookmarkEnd w:id="16"/>
    </w:p>
    <w:p w14:paraId="2DA92918" w14:textId="77777777" w:rsidR="005F3931" w:rsidRPr="00E70F1C" w:rsidRDefault="005F3931" w:rsidP="005F3931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61CC002E" w14:textId="48C05D55" w:rsidR="001D3DCA" w:rsidRPr="00E70F1C" w:rsidRDefault="001D3DCA" w:rsidP="002F2C3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sz w:val="24"/>
          <w:szCs w:val="24"/>
          <w:lang w:val="sk-SK"/>
        </w:rPr>
        <w:t>V § 71d odsek 2 znie:</w:t>
      </w:r>
    </w:p>
    <w:p w14:paraId="6A2FE210" w14:textId="19A93CE0" w:rsidR="001D3DCA" w:rsidRPr="00E70F1C" w:rsidRDefault="001D3DCA" w:rsidP="001D3DC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8" w:name="_Hlk196460653"/>
      <w:r w:rsidR="006679A0"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(2) </w:t>
      </w:r>
      <w:bookmarkStart w:id="19" w:name="_Hlk197347845"/>
      <w:r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Vrcholový manažment, a ak to určia stanovy, aj dozorná rada, sú povinní posudzovať, pravidelne skúmať a schvaľovať stratégie a politiky týkajúce sa ochoty obchodníka s cennými papiermi podstupovať riziká, opatrenia a postupy zavedené </w:t>
      </w:r>
      <w:r w:rsidRPr="00426267">
        <w:rPr>
          <w:rFonts w:ascii="Times New Roman" w:hAnsi="Times New Roman" w:cs="Times New Roman"/>
          <w:sz w:val="24"/>
          <w:szCs w:val="24"/>
          <w:lang w:val="sk-SK"/>
        </w:rPr>
        <w:t xml:space="preserve">s cieľom identifikovať, riadiť, monitorovať, </w:t>
      </w:r>
      <w:r w:rsidRPr="005F42F8">
        <w:rPr>
          <w:rFonts w:ascii="Times New Roman" w:hAnsi="Times New Roman" w:cs="Times New Roman"/>
          <w:sz w:val="24"/>
          <w:szCs w:val="24"/>
          <w:lang w:val="sk-SK"/>
        </w:rPr>
        <w:t xml:space="preserve">vykazovať a zmierňovať riziká, ktorým obchodník s cennými papiermi je alebo môže byť vystavený, </w:t>
      </w:r>
      <w:r w:rsidR="002864C3" w:rsidRPr="005F42F8">
        <w:rPr>
          <w:rFonts w:ascii="Times New Roman" w:hAnsi="Times New Roman" w:cs="Times New Roman"/>
          <w:lang w:val="sk-SK"/>
        </w:rPr>
        <w:t xml:space="preserve">alebo riziká, ktoré predstavuje alebo by mohol predstavovať pre iných, </w:t>
      </w:r>
      <w:r w:rsidRPr="005F42F8">
        <w:rPr>
          <w:rFonts w:ascii="Times New Roman" w:hAnsi="Times New Roman" w:cs="Times New Roman"/>
          <w:sz w:val="24"/>
          <w:szCs w:val="24"/>
          <w:lang w:val="sk-SK"/>
        </w:rPr>
        <w:t xml:space="preserve">vrátane rizika 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>koncentrácie vyplývajúceho z expozícií voči centrálnym protistranám, pričom sa zohľadňujú podmienky ustanovené osobitným predpisom,</w:t>
      </w:r>
      <w:r w:rsidRPr="00E70F1C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56acaba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>) vrátane rizík, ktoré vyplývajú z makroekonomického prostredia, v ktorom obchodník s cennými papiermi pôsobí vo vzťahu k hospodárskemu cyklu. Vrcholový manažment, a ak to určia stanovy, aj dozorná rada, sú povinní prijímať a pravidelne skúmať zásady odmeňovania. Správu o kontrole dodržiavania zásad odmeňovania je obchodník s cennými papiermi povinný predložiť Národnej banke Slovenska do 30. júna roka nasledujúceho po kalendárnom roku, za ktorý sa správa vyhotovuje</w:t>
      </w:r>
      <w:bookmarkEnd w:id="18"/>
      <w:bookmarkEnd w:id="19"/>
      <w:r w:rsidRPr="00E70F1C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7B7D9C76" w14:textId="10181BD0" w:rsidR="001D3DCA" w:rsidRPr="00E70F1C" w:rsidRDefault="001D3DCA" w:rsidP="001D3DCA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20" w:name="_Hlk196378949"/>
      <w:r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CE85FB8" w14:textId="1F26F357" w:rsidR="001D3DCA" w:rsidRPr="00E70F1C" w:rsidRDefault="001D3DCA" w:rsidP="002F2C3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V § 71da ods. 1 písm. j) </w:t>
      </w:r>
      <w:r w:rsidR="00D33756"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prvom 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>bode sa za slovo „odmeny“ vkladá čiarka a slová „</w:t>
      </w:r>
      <w:bookmarkStart w:id="21" w:name="_Hlk196460726"/>
      <w:r w:rsidRPr="00E70F1C">
        <w:rPr>
          <w:rFonts w:ascii="Times New Roman" w:hAnsi="Times New Roman" w:cs="Times New Roman"/>
          <w:sz w:val="24"/>
          <w:szCs w:val="24"/>
          <w:lang w:val="sk-SK"/>
        </w:rPr>
        <w:t>ktorá zohľadňuje odbornú spôsobilosť a zodpovednosť podľa pracovnej náplne v rámci organizácie a riadenia obchodníka s cennými papiermi</w:t>
      </w:r>
      <w:bookmarkEnd w:id="21"/>
      <w:r w:rsidRPr="00E70F1C">
        <w:rPr>
          <w:rFonts w:ascii="Times New Roman" w:hAnsi="Times New Roman" w:cs="Times New Roman"/>
          <w:sz w:val="24"/>
          <w:szCs w:val="24"/>
          <w:lang w:val="sk-SK"/>
        </w:rPr>
        <w:t>,“.</w:t>
      </w:r>
    </w:p>
    <w:p w14:paraId="58F29B00" w14:textId="77777777" w:rsidR="001D3DCA" w:rsidRPr="00E70F1C" w:rsidRDefault="001D3DCA" w:rsidP="001D3DC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9ACCB45" w14:textId="4CF8E4EB" w:rsidR="001D3DCA" w:rsidRPr="00E70F1C" w:rsidRDefault="001D3DCA" w:rsidP="002F2C3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V § 71da ods. 1 písm. j) </w:t>
      </w:r>
      <w:r w:rsidR="00D33756"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druhom 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>bode sa na konci pripája</w:t>
      </w:r>
      <w:r w:rsidR="00FC410B"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 čiarka a 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>tieto slová: „</w:t>
      </w:r>
      <w:bookmarkStart w:id="22" w:name="_Hlk196460753"/>
      <w:r w:rsidRPr="00E70F1C">
        <w:rPr>
          <w:rFonts w:ascii="Times New Roman" w:hAnsi="Times New Roman" w:cs="Times New Roman"/>
          <w:sz w:val="24"/>
          <w:szCs w:val="24"/>
          <w:lang w:val="sk-SK"/>
        </w:rPr>
        <w:t>ktorá zohľadňuje udržateľný výkon</w:t>
      </w:r>
      <w:r w:rsidR="00FC410B"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 osoby uvedenej v odseku 2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>, riziká a</w:t>
      </w:r>
      <w:r w:rsidR="00FC410B" w:rsidRPr="00E70F1C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>výkon</w:t>
      </w:r>
      <w:r w:rsidR="00FC410B"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 osoby uvedenej v odseku 2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 xml:space="preserve"> nad rámec požiadaviek na plnenie úloh určených podľa pracovnej náplne v rámci organizácie a riadenia obchodníka s cennými papiermi</w:t>
      </w:r>
      <w:bookmarkEnd w:id="22"/>
      <w:r w:rsidRPr="00E70F1C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0D6A8C96" w14:textId="77777777" w:rsidR="001D3DCA" w:rsidRPr="00E70F1C" w:rsidRDefault="001D3DCA" w:rsidP="001D3DC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bookmarkEnd w:id="20"/>
    <w:p w14:paraId="7AC1C7E8" w14:textId="55444692" w:rsidR="00AC609D" w:rsidRPr="00E70F1C" w:rsidRDefault="00E8701E" w:rsidP="008D52F3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lastRenderedPageBreak/>
        <w:t xml:space="preserve">V </w:t>
      </w:r>
      <w:r w:rsidR="00AC609D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73b odsek 18 znie:  </w:t>
      </w:r>
    </w:p>
    <w:p w14:paraId="10384ED6" w14:textId="01FAB0E4" w:rsidR="00AC609D" w:rsidRPr="00E70F1C" w:rsidRDefault="00AC609D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23" w:name="_Hlk189492306"/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„(18) </w:t>
      </w:r>
      <w:bookmarkStart w:id="24" w:name="_Hlk196460809"/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Poskytovanie investičného prieskumu tretími osobami obchodníkovi s cennými papiermi, ktorý poskytuje investičnú službu riadenie portfólia alebo iné investičné služby alebo vedľajšie služby klientom, sa považuje za plnenie povinností podľa odseku 1, ak</w:t>
      </w:r>
    </w:p>
    <w:p w14:paraId="5B35337E" w14:textId="09AFABDE" w:rsidR="00AC609D" w:rsidRPr="005F42F8" w:rsidRDefault="00AC609D" w:rsidP="008D52F3">
      <w:pPr>
        <w:spacing w:after="0" w:line="240" w:lineRule="auto"/>
        <w:ind w:left="643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a) medzi obchodníkom s 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cennými papiermi a treťou osobou, ktorá je poskytovateľom služieb </w:t>
      </w:r>
      <w:r w:rsidR="00B22FA4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podľa § 6 ods. 1 písm. b)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</w:t>
      </w:r>
      <w:r w:rsidR="005F4BFE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služb</w:t>
      </w:r>
      <w:r w:rsidR="005F4BFE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y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investičného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prieskumu, sa uzavrela dohoda, v ktorej sa 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určuje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metodika odmeňovania vrátane </w:t>
      </w:r>
      <w:r w:rsidR="00E8701E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uvedenia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ako sa zohľadňujú celkové náklady na investičný prieskum pri 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určovaní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celkových poplatkov za investičné služby,</w:t>
      </w:r>
    </w:p>
    <w:p w14:paraId="23055B1E" w14:textId="1D39FE8B" w:rsidR="00AC609D" w:rsidRPr="005F42F8" w:rsidRDefault="00AC609D" w:rsidP="008D52F3">
      <w:pPr>
        <w:spacing w:after="0" w:line="240" w:lineRule="auto"/>
        <w:ind w:left="643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b) obchodník s cennými papiermi informuje svojho klienta o tom, či si zvolil spoločnú 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platbu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alebo samostatnú platbu za služby </w:t>
      </w:r>
      <w:r w:rsidR="00B22FA4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podľa § 6 ods. 1 písm. b)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 za služb</w:t>
      </w:r>
      <w:r w:rsidR="00DD505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investičného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prieskum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a sprístupní mu svoju politiku týkajúcu sa platieb za služby </w:t>
      </w:r>
      <w:r w:rsidR="00B22FA4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podľa § 6 ods. 1 písm. b)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 za služb</w:t>
      </w:r>
      <w:r w:rsidR="00DD505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investičného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prieskum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vrátane informácií, ktoré sa môžu poskytnúť v závislosti od </w:t>
      </w:r>
      <w:r w:rsidR="008E3939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spôsobu platby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</w:t>
      </w:r>
      <w:r w:rsidR="008E3939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ktorý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si obchodník s cennými papiermi zvolil, a</w:t>
      </w:r>
      <w:r w:rsidR="0091765A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 pri </w:t>
      </w:r>
      <w:r w:rsidR="006221EA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uplatňovan</w:t>
      </w:r>
      <w:r w:rsidR="0091765A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í</w:t>
      </w:r>
      <w:r w:rsidR="006221EA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spoločn</w:t>
      </w:r>
      <w:r w:rsidR="008E3939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ej </w:t>
      </w:r>
      <w:r w:rsidR="006221EA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plat</w:t>
      </w:r>
      <w:r w:rsidR="008E3939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by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informáci</w:t>
      </w:r>
      <w:r w:rsidR="006221EA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e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o tom, ako obchodník s cennými papiermi </w:t>
      </w:r>
      <w:r w:rsidR="006E7146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zabraňuje konfliktu záujmov alebo ho riadi podľa § 71l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pri uplatňovaní spoločn</w:t>
      </w:r>
      <w:r w:rsidR="008E3939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ej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platb</w:t>
      </w:r>
      <w:r w:rsidR="008E3939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y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za služby </w:t>
      </w:r>
      <w:r w:rsidR="00B22FA4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podľa § 6 ods. 1 písm. b)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 za služb</w:t>
      </w:r>
      <w:r w:rsidR="00DD505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investičného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prieskum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,</w:t>
      </w:r>
    </w:p>
    <w:p w14:paraId="1F85486B" w14:textId="77777777" w:rsidR="00AC609D" w:rsidRPr="005F42F8" w:rsidRDefault="00AC609D" w:rsidP="008D52F3">
      <w:pPr>
        <w:spacing w:after="0" w:line="240" w:lineRule="auto"/>
        <w:ind w:left="643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c) obchodník s cennými papiermi každoročne posudzuje kvalitu, použiteľnosť a hodnotu použitého investičného prieskumu, ako aj schopnosť použitého investičného  prieskumu prispieť k lepším investičným rozhodnutiam,</w:t>
      </w:r>
    </w:p>
    <w:p w14:paraId="57380564" w14:textId="3309C301" w:rsidR="00AC609D" w:rsidRPr="00E70F1C" w:rsidRDefault="00AC609D" w:rsidP="008D52F3">
      <w:pPr>
        <w:spacing w:after="0" w:line="240" w:lineRule="auto"/>
        <w:ind w:left="643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d) obchodník s cennými papiermi </w:t>
      </w:r>
      <w:r w:rsidR="008E3939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si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zvolí samostatnú platbu za služby </w:t>
      </w:r>
      <w:r w:rsidR="00B22FA4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podľa § 6 ods. 1 písm. b)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 za služ</w:t>
      </w:r>
      <w:r w:rsidR="00DD505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bu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investičného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prieskum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vykonávan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é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treťou osobou, poskytovanie investičného prieskumu treťou osob</w:t>
      </w:r>
      <w:r w:rsidR="00B9378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o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u obchodníkovi 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 cennými papiermi </w:t>
      </w:r>
      <w:r w:rsidR="008E3939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sa 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prijíma ako protihodnota za ktorúkoľvek z týchto platieb:</w:t>
      </w:r>
    </w:p>
    <w:p w14:paraId="6AD98F04" w14:textId="77777777" w:rsidR="00B93788" w:rsidRPr="00E70F1C" w:rsidRDefault="00AC609D" w:rsidP="008D52F3">
      <w:pPr>
        <w:pStyle w:val="Odsekzoznamu"/>
        <w:numPr>
          <w:ilvl w:val="0"/>
          <w:numId w:val="20"/>
        </w:numPr>
        <w:spacing w:after="0" w:line="240" w:lineRule="auto"/>
        <w:ind w:left="100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priame platby zo strany obchodníka s cennými papiermi z jeho vlastných zdrojov,</w:t>
      </w:r>
      <w:r w:rsidR="00B93788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2CDD31D3" w14:textId="6CFED4D5" w:rsidR="00B93788" w:rsidRPr="00E70F1C" w:rsidRDefault="00B93788" w:rsidP="008D52F3">
      <w:pPr>
        <w:pStyle w:val="Odsekzoznamu"/>
        <w:numPr>
          <w:ilvl w:val="0"/>
          <w:numId w:val="20"/>
        </w:numPr>
        <w:spacing w:after="0" w:line="240" w:lineRule="auto"/>
        <w:ind w:left="100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p</w:t>
      </w: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latby z účtu na prieskumy, ktorý kontroluje obchodník s cennými papiermi</w:t>
      </w:r>
      <w:bookmarkEnd w:id="24"/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.“.</w:t>
      </w:r>
    </w:p>
    <w:p w14:paraId="2A9B84FE" w14:textId="77777777" w:rsidR="00B93788" w:rsidRPr="00E70F1C" w:rsidRDefault="00B93788" w:rsidP="008D52F3">
      <w:p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bookmarkEnd w:id="23"/>
    <w:p w14:paraId="2BE7A53C" w14:textId="0E538B96" w:rsidR="00AC609D" w:rsidRPr="00E70F1C" w:rsidRDefault="00AC609D" w:rsidP="008D52F3">
      <w:pPr>
        <w:pStyle w:val="Odsekzoznamu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§ 73b sa dopĺňa odsekmi 23 až 3</w:t>
      </w:r>
      <w:r w:rsidR="00C261FD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1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ktoré znejú: </w:t>
      </w:r>
    </w:p>
    <w:p w14:paraId="70BABC6C" w14:textId="31F31C16" w:rsidR="00AC609D" w:rsidRPr="00E70F1C" w:rsidRDefault="00AC609D" w:rsidP="008D52F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25" w:name="_Hlk196460862"/>
      <w:bookmarkStart w:id="26" w:name="_Hlk189492339"/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„(23) </w:t>
      </w:r>
      <w:bookmarkStart w:id="27" w:name="_Hlk192778089"/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Investičný prieskum vypracovaný obchodníkom s cennými papiermi alebo treťou osobou a používaný obchodníkom s cennými papiermi, jeho klientmi alebo potenciálnymi klientmi alebo distribuovaný tomuto obchodníkovi s cennými papiermi, jeho klientom alebo potenciálnym klientom, musí byť spravodlivý, jasný a nezavádzajúci. Investičný prieskum musí byť jasne identifikovateľný </w:t>
      </w:r>
      <w:r w:rsidR="00426267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názvom alebo iným podobným označením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="00FD2FAF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 spĺňať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po</w:t>
      </w:r>
      <w:r w:rsidR="0091765A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žiadavky</w:t>
      </w:r>
      <w:r w:rsidRPr="005F42F8">
        <w:rPr>
          <w:rFonts w:ascii="Times New Roman" w:hAnsi="Times New Roman" w:cs="Times New Roman"/>
          <w:b/>
          <w:i/>
          <w:noProof/>
          <w:sz w:val="24"/>
          <w:szCs w:val="24"/>
          <w:lang w:val="sk-SK"/>
        </w:rPr>
        <w:t xml:space="preserve">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ustanovené oso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bitným predpisom,</w:t>
      </w:r>
      <w:r w:rsidRPr="00E70F1C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58hfb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) ktoré sa vzťahujú na investičný prieskum.</w:t>
      </w:r>
    </w:p>
    <w:p w14:paraId="779BEAFD" w14:textId="4C2902F0" w:rsidR="003E7F7E" w:rsidRPr="005F42F8" w:rsidRDefault="003E7F7E" w:rsidP="008D52F3">
      <w:pPr>
        <w:tabs>
          <w:tab w:val="left" w:pos="993"/>
        </w:tabs>
        <w:spacing w:after="0" w:line="240" w:lineRule="auto"/>
        <w:ind w:left="993" w:hanging="567"/>
        <w:jc w:val="both"/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(24)  Obchodník s cennými papiermi poskytujúci investičnú službu riadenie portfólia alebo iné investičné služby alebo vedľajšie služby označí investičný prieskum, ktorý distribuuje klientom alebo potenciálnym klientom a ktorý úplne alebo čiastočne platí emitent, ako prieskum sponzorovaný emitentom, len ak bol vypracovaný v súlade s kódexom správania Európskej únie pre prieskum sponzorovaný emitentom </w:t>
      </w:r>
      <w:r w:rsidR="00C06711" w:rsidRPr="005F42F8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zverejneným na webovom sídle Európskeho orgánu dohľadu (Európskeho orgánu pre cenné papiere a trhy)</w:t>
      </w:r>
      <w:r w:rsidRPr="005F42F8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. </w:t>
      </w:r>
    </w:p>
    <w:p w14:paraId="11F86A67" w14:textId="58CE5E9D" w:rsidR="00AD32B4" w:rsidRPr="00E70F1C" w:rsidRDefault="003E7F7E" w:rsidP="008D52F3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(25) </w:t>
      </w:r>
      <w:r w:rsidR="00AD32B4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Obchodník s cennými papiermi, ktorý vypracúva alebo distribuuje prieskum sponzorovaný emitentom, musí mať zavedené organizačné opatrenia  na uistenie, že takýto prieskum </w:t>
      </w:r>
      <w:r w:rsidR="00907D69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sa </w:t>
      </w:r>
      <w:r w:rsidR="00AD32B4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vypracoval v súlade s kódexom správania Európskej únie pre prieskum sponzorovaný emitentom a tento prieskum je v súlade s odsekmi 23, 24 a 28.</w:t>
      </w:r>
    </w:p>
    <w:p w14:paraId="3392EA17" w14:textId="24CD6AAC" w:rsidR="003E7F7E" w:rsidRPr="00E70F1C" w:rsidRDefault="00AD32B4" w:rsidP="008D52F3">
      <w:pPr>
        <w:tabs>
          <w:tab w:val="left" w:pos="993"/>
        </w:tabs>
        <w:spacing w:after="0" w:line="240" w:lineRule="auto"/>
        <w:ind w:left="993" w:hanging="567"/>
        <w:jc w:val="both"/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(26) </w:t>
      </w:r>
      <w:r w:rsid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50242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Ak má </w:t>
      </w:r>
      <w:r w:rsidR="003E7F7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emitent</w:t>
      </w:r>
      <w:r w:rsidR="0050242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vypracov</w:t>
      </w:r>
      <w:r w:rsidR="00907D69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a</w:t>
      </w:r>
      <w:r w:rsidR="0050242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ný prieskum sponzorovaný emitentom podľa odseku 24, takýto prieskum p</w:t>
      </w:r>
      <w:r w:rsidR="003E7F7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redlož</w:t>
      </w:r>
      <w:r w:rsidR="0050242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í</w:t>
      </w:r>
      <w:r w:rsidR="003E7F7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Národnej banke Slovenska ako orgánu zberu údajov.</w:t>
      </w:r>
      <w:r w:rsidR="003E7F7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58hab</w:t>
      </w:r>
      <w:r w:rsidR="003E7F7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)</w:t>
      </w:r>
    </w:p>
    <w:p w14:paraId="34B621BC" w14:textId="33B92734" w:rsidR="003E7F7E" w:rsidRPr="00E70F1C" w:rsidRDefault="003E7F7E" w:rsidP="008D52F3">
      <w:pPr>
        <w:tabs>
          <w:tab w:val="left" w:pos="993"/>
        </w:tabs>
        <w:spacing w:after="0" w:line="240" w:lineRule="auto"/>
        <w:ind w:left="993" w:hanging="567"/>
        <w:jc w:val="both"/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lastRenderedPageBreak/>
        <w:t>(2</w:t>
      </w:r>
      <w:r w:rsidR="00AD32B4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7</w:t>
      </w: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)  Pri predkladaní informácií podľa odseku 2</w:t>
      </w:r>
      <w:r w:rsidR="00AD32B4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6</w:t>
      </w: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Národnej banke Slovenska ako orgánu zberu údajov emitent zabezpečí, aby k nim boli priložené metaúdaje </w:t>
      </w:r>
      <w:r w:rsidR="00B63A3F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preukazujúce</w:t>
      </w: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, že informácie sú v súlade s kódexom správania Európskej únie pre prieskum sponzorovaný emitentom. Informácie podľa odseku 2</w:t>
      </w:r>
      <w:r w:rsidR="00AD32B4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6</w:t>
      </w: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nie sú regulovanými informáciami podľa osobitného predpisu</w:t>
      </w:r>
      <w:r w:rsidR="0050242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58hac</w:t>
      </w: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) ani investičným prieskumom podľa tohto zákona, a nepodliehajú rovnak</w:t>
      </w:r>
      <w:r w:rsidR="00E8701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ému dohľadu, </w:t>
      </w: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ak</w:t>
      </w:r>
      <w:r w:rsidR="00E8701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ý</w:t>
      </w:r>
      <w:r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sa vzťahuje na regulovanú informáciu alebo investičný prieskum. </w:t>
      </w:r>
    </w:p>
    <w:p w14:paraId="3348F984" w14:textId="6436C917" w:rsidR="00AC609D" w:rsidRPr="00E70F1C" w:rsidRDefault="00AC609D" w:rsidP="008D52F3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(2</w:t>
      </w:r>
      <w:r w:rsidR="00AD32B4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8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r w:rsidR="003B1F0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V investičnom prieskume, ktorý je označený ako prieskum sponzorovaný emitentom, sa musí na jeho titulnej strane jasne a zreteľne uviesť, že bol vypracovaný v súlade s kódexom správania </w:t>
      </w:r>
      <w:r w:rsidR="00B93788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Európskej únie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pre prieskum sponzorovaný emitentom. Každé iné prieskumné materiály, ktoré emitent úplne alebo čiastočne zaplatil, ale ktoré neboli vypracované v súlade s kódexom správania </w:t>
      </w:r>
      <w:r w:rsidR="00B93788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Európskej únie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pre prieskum sponzorovaný emitentom, sa označujú ako marketingová komunikácia.</w:t>
      </w:r>
    </w:p>
    <w:p w14:paraId="11991E5D" w14:textId="0DA8DA17" w:rsidR="00AC609D" w:rsidRPr="005F42F8" w:rsidRDefault="00AC609D" w:rsidP="00AD32B4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(2</w:t>
      </w:r>
      <w:r w:rsidR="006E7146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9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  <w:r w:rsidR="000B7B96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 </w:t>
      </w:r>
      <w:r w:rsidR="006A501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Za investičný prieskum sa nepovažujú komentáre k obchodovaniu ani iné </w:t>
      </w:r>
      <w:r w:rsidR="0066440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súvisiace </w:t>
      </w:r>
      <w:r w:rsidR="006A501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obchodné poradenské služby, ktoré sú </w:t>
      </w:r>
      <w:r w:rsidR="00C807F3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vzájomne </w:t>
      </w:r>
      <w:r w:rsidR="0066440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prepojené</w:t>
      </w:r>
      <w:r w:rsidR="006A501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s vykonaním transakcie s finančnými nástrojmi. </w:t>
      </w:r>
    </w:p>
    <w:p w14:paraId="3A2E8E5B" w14:textId="33348457" w:rsidR="00AC609D" w:rsidRPr="00E70F1C" w:rsidRDefault="00AC609D" w:rsidP="008D52F3">
      <w:pPr>
        <w:pStyle w:val="oj-normal"/>
        <w:shd w:val="clear" w:color="auto" w:fill="FFFFFF"/>
        <w:tabs>
          <w:tab w:val="left" w:pos="993"/>
        </w:tabs>
        <w:spacing w:before="0" w:beforeAutospacing="0" w:after="0" w:afterAutospacing="0"/>
        <w:ind w:left="993" w:hanging="567"/>
        <w:jc w:val="both"/>
        <w:rPr>
          <w:noProof/>
        </w:rPr>
      </w:pPr>
      <w:r w:rsidRPr="00E70F1C">
        <w:rPr>
          <w:noProof/>
        </w:rPr>
        <w:t>(</w:t>
      </w:r>
      <w:r w:rsidR="006E7146" w:rsidRPr="00E70F1C">
        <w:rPr>
          <w:noProof/>
        </w:rPr>
        <w:t>30</w:t>
      </w:r>
      <w:r w:rsidRPr="00E70F1C">
        <w:rPr>
          <w:noProof/>
        </w:rPr>
        <w:t xml:space="preserve">) </w:t>
      </w:r>
      <w:r w:rsidR="000B7B96" w:rsidRPr="00E70F1C">
        <w:rPr>
          <w:noProof/>
        </w:rPr>
        <w:t xml:space="preserve"> </w:t>
      </w:r>
      <w:r w:rsidRPr="00E70F1C">
        <w:rPr>
          <w:noProof/>
        </w:rPr>
        <w:t xml:space="preserve">Ak obchodník s cennými papiermi dostáva investičný prieskum od poskytovateľa investičného  prieskumu, ktorý nie je zapojený do služieb </w:t>
      </w:r>
      <w:r w:rsidR="00B22FA4" w:rsidRPr="00E70F1C">
        <w:rPr>
          <w:noProof/>
        </w:rPr>
        <w:t xml:space="preserve">podľa § 6 ods. 1 písm. b)  </w:t>
      </w:r>
      <w:r w:rsidRPr="00E70F1C">
        <w:rPr>
          <w:noProof/>
        </w:rPr>
        <w:t xml:space="preserve">a nie je súčasťou skupiny, ktorá zahŕňa obchodníka s cennými papiermi, ktorý poskytuje služby </w:t>
      </w:r>
      <w:r w:rsidR="006239BE" w:rsidRPr="00E70F1C">
        <w:rPr>
          <w:noProof/>
        </w:rPr>
        <w:t xml:space="preserve">podľa 6 ods. 1 písm. </w:t>
      </w:r>
      <w:r w:rsidR="00432C89" w:rsidRPr="00E70F1C">
        <w:rPr>
          <w:noProof/>
        </w:rPr>
        <w:t>a</w:t>
      </w:r>
      <w:r w:rsidR="006239BE" w:rsidRPr="00E70F1C">
        <w:rPr>
          <w:noProof/>
        </w:rPr>
        <w:t>)</w:t>
      </w:r>
      <w:r w:rsidRPr="00E70F1C">
        <w:rPr>
          <w:noProof/>
        </w:rPr>
        <w:t xml:space="preserve"> alebo </w:t>
      </w:r>
      <w:r w:rsidR="00432C89" w:rsidRPr="00E70F1C">
        <w:rPr>
          <w:noProof/>
        </w:rPr>
        <w:t>písm. b)</w:t>
      </w:r>
      <w:r w:rsidRPr="00E70F1C">
        <w:rPr>
          <w:noProof/>
        </w:rPr>
        <w:t>, poskytovanie takého</w:t>
      </w:r>
      <w:r w:rsidR="00E025AF" w:rsidRPr="00E70F1C">
        <w:rPr>
          <w:noProof/>
        </w:rPr>
        <w:t>to</w:t>
      </w:r>
      <w:r w:rsidRPr="00E70F1C">
        <w:rPr>
          <w:noProof/>
          <w:color w:val="0070C0"/>
        </w:rPr>
        <w:t xml:space="preserve"> </w:t>
      </w:r>
      <w:r w:rsidRPr="00E70F1C">
        <w:rPr>
          <w:noProof/>
        </w:rPr>
        <w:t>investičného prieskumu obchodníkovi s cennými papiermi sa považuje za splnenie povinností podľa odseku 1</w:t>
      </w:r>
      <w:r w:rsidR="006E7146" w:rsidRPr="00E70F1C">
        <w:rPr>
          <w:noProof/>
        </w:rPr>
        <w:t xml:space="preserve">, pričom </w:t>
      </w:r>
      <w:r w:rsidRPr="00E70F1C">
        <w:rPr>
          <w:noProof/>
        </w:rPr>
        <w:t>obchodník s cennými papiermi</w:t>
      </w:r>
      <w:r w:rsidR="006E7146" w:rsidRPr="00E70F1C">
        <w:rPr>
          <w:noProof/>
        </w:rPr>
        <w:t xml:space="preserve"> musí</w:t>
      </w:r>
      <w:r w:rsidRPr="00E70F1C">
        <w:rPr>
          <w:noProof/>
        </w:rPr>
        <w:t xml:space="preserve"> spĺňať požiadavku podľa </w:t>
      </w:r>
      <w:r w:rsidR="00032C08" w:rsidRPr="00E70F1C">
        <w:rPr>
          <w:noProof/>
        </w:rPr>
        <w:t>odseku 1</w:t>
      </w:r>
      <w:r w:rsidR="00432C89" w:rsidRPr="00E70F1C">
        <w:rPr>
          <w:noProof/>
        </w:rPr>
        <w:t>8</w:t>
      </w:r>
      <w:r w:rsidRPr="00E70F1C">
        <w:rPr>
          <w:noProof/>
        </w:rPr>
        <w:t xml:space="preserve"> písm</w:t>
      </w:r>
      <w:r w:rsidR="00E8701E" w:rsidRPr="00E70F1C">
        <w:rPr>
          <w:noProof/>
        </w:rPr>
        <w:t xml:space="preserve">. </w:t>
      </w:r>
      <w:r w:rsidRPr="00E70F1C">
        <w:rPr>
          <w:noProof/>
        </w:rPr>
        <w:t>c).</w:t>
      </w:r>
    </w:p>
    <w:p w14:paraId="19AF4F7E" w14:textId="2CA11B34" w:rsidR="00A33978" w:rsidRPr="00E70F1C" w:rsidRDefault="00AC609D" w:rsidP="008D52F3">
      <w:pPr>
        <w:pStyle w:val="oj-normal"/>
        <w:shd w:val="clear" w:color="auto" w:fill="FFFFFF"/>
        <w:tabs>
          <w:tab w:val="left" w:pos="993"/>
        </w:tabs>
        <w:spacing w:before="0" w:beforeAutospacing="0" w:after="0" w:afterAutospacing="0"/>
        <w:ind w:left="993" w:hanging="567"/>
        <w:jc w:val="both"/>
        <w:rPr>
          <w:noProof/>
        </w:rPr>
      </w:pPr>
      <w:r w:rsidRPr="00E70F1C">
        <w:rPr>
          <w:noProof/>
        </w:rPr>
        <w:t>(3</w:t>
      </w:r>
      <w:r w:rsidR="006E7146" w:rsidRPr="00E70F1C">
        <w:rPr>
          <w:noProof/>
        </w:rPr>
        <w:t>1</w:t>
      </w:r>
      <w:r w:rsidRPr="00E70F1C">
        <w:rPr>
          <w:noProof/>
        </w:rPr>
        <w:t xml:space="preserve">) </w:t>
      </w:r>
      <w:r w:rsidR="000B7B96" w:rsidRPr="00E70F1C">
        <w:rPr>
          <w:noProof/>
        </w:rPr>
        <w:t xml:space="preserve"> </w:t>
      </w:r>
      <w:r w:rsidRPr="00E70F1C">
        <w:rPr>
          <w:noProof/>
        </w:rPr>
        <w:t xml:space="preserve">Obchodník s cennými papiermi je povinný viesť záznamy o celkových nákladoch, ktoré </w:t>
      </w:r>
      <w:r w:rsidR="00FA79B7" w:rsidRPr="00E70F1C">
        <w:rPr>
          <w:noProof/>
        </w:rPr>
        <w:t>vznikli v súvislosti s</w:t>
      </w:r>
      <w:r w:rsidRPr="00E70F1C">
        <w:rPr>
          <w:noProof/>
        </w:rPr>
        <w:t xml:space="preserve"> investičn</w:t>
      </w:r>
      <w:r w:rsidR="00FA79B7" w:rsidRPr="00E70F1C">
        <w:rPr>
          <w:noProof/>
        </w:rPr>
        <w:t>ým</w:t>
      </w:r>
      <w:r w:rsidRPr="00E70F1C">
        <w:rPr>
          <w:noProof/>
        </w:rPr>
        <w:t xml:space="preserve"> prieskum</w:t>
      </w:r>
      <w:r w:rsidR="00FA79B7" w:rsidRPr="00E70F1C">
        <w:rPr>
          <w:noProof/>
        </w:rPr>
        <w:t>om</w:t>
      </w:r>
      <w:r w:rsidRPr="00E70F1C">
        <w:rPr>
          <w:noProof/>
        </w:rPr>
        <w:t xml:space="preserve"> vypracovan</w:t>
      </w:r>
      <w:r w:rsidR="00FA79B7" w:rsidRPr="00E70F1C">
        <w:rPr>
          <w:noProof/>
        </w:rPr>
        <w:t>ým</w:t>
      </w:r>
      <w:r w:rsidRPr="00E70F1C">
        <w:rPr>
          <w:noProof/>
        </w:rPr>
        <w:t xml:space="preserve"> treťou osobou, ktorý mu bol poskytnutý, ak sú mu tieto náklady známe. Obchodník s cennými papiermi takéto informácie každoročne sprístupní jeho klientom na požiadanie.</w:t>
      </w:r>
      <w:r w:rsidR="006E7146" w:rsidRPr="00E70F1C">
        <w:rPr>
          <w:noProof/>
        </w:rPr>
        <w:t>“.</w:t>
      </w:r>
    </w:p>
    <w:bookmarkEnd w:id="25"/>
    <w:p w14:paraId="27181838" w14:textId="0153FBCD" w:rsidR="00AC609D" w:rsidRPr="00E70F1C" w:rsidRDefault="00A33978" w:rsidP="008D52F3">
      <w:pPr>
        <w:pStyle w:val="oj-normal"/>
        <w:shd w:val="clear" w:color="auto" w:fill="FFFFFF"/>
        <w:tabs>
          <w:tab w:val="left" w:pos="993"/>
        </w:tabs>
        <w:spacing w:before="0" w:beforeAutospacing="0" w:after="0" w:afterAutospacing="0"/>
        <w:ind w:left="993" w:hanging="567"/>
        <w:jc w:val="both"/>
        <w:rPr>
          <w:noProof/>
        </w:rPr>
      </w:pPr>
      <w:r w:rsidRPr="00E70F1C">
        <w:rPr>
          <w:noProof/>
        </w:rPr>
        <w:t xml:space="preserve"> </w:t>
      </w:r>
      <w:bookmarkEnd w:id="27"/>
    </w:p>
    <w:bookmarkEnd w:id="26"/>
    <w:p w14:paraId="2DD85254" w14:textId="3DC47724" w:rsidR="003E7F7E" w:rsidRPr="00E70F1C" w:rsidRDefault="00A33978" w:rsidP="008D52F3">
      <w:pPr>
        <w:pStyle w:val="Bezriadkovania"/>
        <w:ind w:left="993"/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3E7F7E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Poznámk</w:t>
      </w:r>
      <w:r w:rsidR="009F7A66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y</w:t>
      </w:r>
      <w:r w:rsidR="003E7F7E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pod čiarou k odkaz</w:t>
      </w:r>
      <w:r w:rsidR="009F7A66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om</w:t>
      </w:r>
      <w:r w:rsidR="003E7F7E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58hab</w:t>
      </w:r>
      <w:r w:rsidR="009F7A66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a 58hac</w:t>
      </w:r>
      <w:r w:rsidR="003E7F7E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zn</w:t>
      </w:r>
      <w:r w:rsidR="009F7A66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ejú</w:t>
      </w:r>
      <w:r w:rsidR="003E7F7E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:</w:t>
      </w:r>
      <w:r w:rsidR="003E7F7E" w:rsidRPr="00E70F1C">
        <w:rPr>
          <w:rStyle w:val="y2iqfc"/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</w:t>
      </w:r>
    </w:p>
    <w:p w14:paraId="62E04426" w14:textId="7F13D8E3" w:rsidR="00DC50CE" w:rsidRPr="00E70F1C" w:rsidRDefault="00DC50CE" w:rsidP="008D52F3">
      <w:pPr>
        <w:pStyle w:val="Bezriadkovania"/>
        <w:ind w:left="99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28" w:name="_Hlk193988007"/>
      <w:r w:rsidRPr="00E70F1C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„</w:t>
      </w:r>
      <w:bookmarkStart w:id="29" w:name="_Hlk192778347"/>
      <w:r w:rsidRPr="00E70F1C">
        <w:rPr>
          <w:rStyle w:val="y2iqfc"/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58h</w:t>
      </w:r>
      <w:r w:rsidR="007E69A3" w:rsidRPr="00E70F1C">
        <w:rPr>
          <w:rStyle w:val="y2iqfc"/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ab</w:t>
      </w:r>
      <w:r w:rsidRPr="00E70F1C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) Čl. 2 ods. 2 nariadenia Európskeho parlamentu a Rady (EÚ) 2023/2859 z 13. decembra 2023, ktorým sa </w:t>
      </w:r>
      <w:r w:rsidR="00233CE9" w:rsidRPr="00E70F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k-SK"/>
        </w:rPr>
        <w:t>zriaďuje jednotné európske miesto prístupu, ktoré poskytuje centralizovaný prístup</w:t>
      </w:r>
      <w:r w:rsidR="00233CE9" w:rsidRPr="00E70F1C">
        <w:rPr>
          <w:rStyle w:val="Odkaznakomentr"/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E70F1C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k verejne dostupným informáciám týkajúcim sa finančných služieb, kapitálových trhov a udržateľnosti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(Ú. v. EÚ L, 2023/2859, 20. 12. 2023) v platnom znení</w:t>
      </w:r>
      <w:r w:rsidR="00233CE9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.</w:t>
      </w:r>
      <w:bookmarkEnd w:id="29"/>
    </w:p>
    <w:p w14:paraId="42646B8E" w14:textId="651B0EC2" w:rsidR="00DC50CE" w:rsidRPr="00E70F1C" w:rsidRDefault="0050242E" w:rsidP="008D52F3">
      <w:pPr>
        <w:pStyle w:val="Bezriadkovania"/>
        <w:ind w:left="99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58hac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r w:rsidR="006239BE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§ 45 zákona č. 429/2002 Z. z. v znení neskorších predpisov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9F7A66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“.</w:t>
      </w:r>
    </w:p>
    <w:bookmarkEnd w:id="28"/>
    <w:p w14:paraId="71C086EB" w14:textId="77777777" w:rsidR="0050242E" w:rsidRPr="00E70F1C" w:rsidRDefault="0050242E" w:rsidP="008D52F3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F003079" w14:textId="341CD6D7" w:rsidR="004F684A" w:rsidRPr="00E70F1C" w:rsidRDefault="004F684A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V § 73o sa vypúšťa odsek</w:t>
      </w:r>
      <w:r w:rsidR="00073B7A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3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</w:p>
    <w:p w14:paraId="15504D4E" w14:textId="77777777" w:rsidR="004F684A" w:rsidRPr="00E70F1C" w:rsidRDefault="004F684A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Doterajšie odseky 4 a 5 sa označujú ako odseky 3 a 4.    </w:t>
      </w:r>
    </w:p>
    <w:p w14:paraId="65C6999E" w14:textId="77777777" w:rsidR="004F684A" w:rsidRPr="00E70F1C" w:rsidRDefault="004F684A" w:rsidP="008D52F3">
      <w:pPr>
        <w:spacing w:after="0" w:line="240" w:lineRule="auto"/>
        <w:ind w:firstLine="708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B81BFAF" w14:textId="34BA052B" w:rsidR="00257858" w:rsidRPr="00E70F1C" w:rsidRDefault="00257858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V § 73o ods</w:t>
      </w:r>
      <w:r w:rsidR="00073B7A"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ek</w:t>
      </w: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3 znie:</w:t>
      </w:r>
    </w:p>
    <w:p w14:paraId="7BA36E8B" w14:textId="7B61007B" w:rsidR="00257858" w:rsidRPr="00E70F1C" w:rsidRDefault="00257858" w:rsidP="008D52F3">
      <w:pPr>
        <w:spacing w:after="0" w:line="240" w:lineRule="auto"/>
        <w:ind w:left="360"/>
        <w:jc w:val="both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„(3) </w:t>
      </w:r>
      <w:bookmarkStart w:id="30" w:name="_Hlk193986807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Pri finančných nástrojoch, ktoré podliehajú obchodovacej povinnosti podľa osobitného predpisu,</w:t>
      </w:r>
      <w:r w:rsidR="00000000">
        <w:fldChar w:fldCharType="begin"/>
      </w:r>
      <w:r w:rsidR="00000000" w:rsidRPr="007440DE">
        <w:rPr>
          <w:lang w:val="sk-SK"/>
        </w:rPr>
        <w:instrText>HYPERLINK "https://www.zakonypreludi.sk/zz/2001-566" \l "f2705393"</w:instrText>
      </w:r>
      <w:r w:rsidR="00000000">
        <w:fldChar w:fldCharType="separate"/>
      </w:r>
      <w:r w:rsidRPr="00E70F1C">
        <w:rPr>
          <w:rStyle w:val="Hypertextovprepojenie"/>
          <w:rFonts w:ascii="Times New Roman" w:hAnsi="Times New Roman" w:cs="Times New Roman"/>
          <w:bCs/>
          <w:noProof/>
          <w:color w:val="auto"/>
          <w:sz w:val="24"/>
          <w:szCs w:val="24"/>
          <w:u w:val="none"/>
          <w:shd w:val="clear" w:color="auto" w:fill="FFFFFF"/>
          <w:vertAlign w:val="superscript"/>
          <w:lang w:val="sk-SK"/>
        </w:rPr>
        <w:t>58hf</w:t>
      </w:r>
      <w:r w:rsidRPr="00E70F1C">
        <w:rPr>
          <w:rStyle w:val="Hypertextovprepojenie"/>
          <w:rFonts w:ascii="Times New Roman" w:hAnsi="Times New Roman" w:cs="Times New Roman"/>
          <w:bCs/>
          <w:noProof/>
          <w:color w:val="auto"/>
          <w:sz w:val="24"/>
          <w:szCs w:val="24"/>
          <w:u w:val="none"/>
          <w:shd w:val="clear" w:color="auto" w:fill="FFFFFF"/>
          <w:lang w:val="sk-SK"/>
        </w:rPr>
        <w:t>)</w:t>
      </w:r>
      <w:r w:rsidR="00000000">
        <w:rPr>
          <w:rStyle w:val="Hypertextovprepojenie"/>
          <w:rFonts w:ascii="Times New Roman" w:hAnsi="Times New Roman" w:cs="Times New Roman"/>
          <w:bCs/>
          <w:noProof/>
          <w:color w:val="auto"/>
          <w:sz w:val="24"/>
          <w:szCs w:val="24"/>
          <w:u w:val="none"/>
          <w:shd w:val="clear" w:color="auto" w:fill="FFFFFF"/>
          <w:lang w:val="sk-SK"/>
        </w:rPr>
        <w:fldChar w:fldCharType="end"/>
      </w:r>
      <w:r w:rsidRPr="00E70F1C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 je obchodník s cennými papiermi po vykonaní pokynu v mene klienta povinný informovať klienta o mieste, kde bol pokyn vykonaný</w:t>
      </w:r>
      <w:bookmarkEnd w:id="30"/>
      <w:r w:rsidRPr="00E70F1C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.“.</w:t>
      </w:r>
    </w:p>
    <w:p w14:paraId="4304E36E" w14:textId="77777777" w:rsidR="00073B7A" w:rsidRPr="00E70F1C" w:rsidRDefault="00073B7A" w:rsidP="008D52F3">
      <w:pPr>
        <w:spacing w:after="0" w:line="240" w:lineRule="auto"/>
        <w:ind w:left="360"/>
        <w:jc w:val="both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6E18603" w14:textId="132AE31F" w:rsidR="00073B7A" w:rsidRPr="00E70F1C" w:rsidRDefault="00073B7A" w:rsidP="008D52F3">
      <w:pPr>
        <w:spacing w:after="0" w:line="240" w:lineRule="auto"/>
        <w:ind w:left="360"/>
        <w:jc w:val="both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Poznámka pod čiarou k odkazu 58hea sa vypúšťa.</w:t>
      </w:r>
    </w:p>
    <w:p w14:paraId="47D4BFC2" w14:textId="77777777" w:rsidR="00257858" w:rsidRPr="00E70F1C" w:rsidRDefault="00257858" w:rsidP="008D52F3">
      <w:pPr>
        <w:spacing w:after="0" w:line="240" w:lineRule="auto"/>
        <w:ind w:firstLine="708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7CD59A8" w14:textId="77777777" w:rsidR="00257858" w:rsidRPr="00E70F1C" w:rsidRDefault="00257858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>V § 73p odsek 5 znie:</w:t>
      </w:r>
    </w:p>
    <w:p w14:paraId="0119D9BF" w14:textId="1DF5120D" w:rsidR="00DD6A1B" w:rsidRPr="00E70F1C" w:rsidRDefault="00257858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„(5) </w:t>
      </w:r>
      <w:bookmarkStart w:id="31" w:name="_Hlk193986841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Obchodník s cennými papiermi, ktorý vykonáva pokyny klientov, je povinný monitorovať účinnosť svojich opatrení na vykonávanie pokynov a stratégie vykonávania pokynov na účel identifikácie a v</w:t>
      </w:r>
      <w:r w:rsidR="00FA79B7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 relevantných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prípadoch nápravy akýchkoľvek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lastRenderedPageBreak/>
        <w:t>nedostatkov</w:t>
      </w:r>
      <w:r w:rsidR="00FD2FA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. Obchodník s cennými papiermi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je povinný</w:t>
      </w:r>
      <w:r w:rsidR="00FD2FA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najmä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pravidelne vyhodnocovať</w:t>
      </w:r>
      <w:r w:rsidR="00FD2FA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,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či miesta výkonu </w:t>
      </w:r>
      <w:r w:rsidR="00B63A3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pokynov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zahrnuté do stratégie vykonávania pokynov umožňujú získať najlepší možný výsledok pre klienta a</w:t>
      </w:r>
      <w:r w:rsidR="00AD32B4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lebo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či je potrebné urobiť zmeny svojich opatrení na vykonávanie pokynov. Obchodník s cennými papiermi je povinný oznamovať klientom, s ktorými má </w:t>
      </w:r>
      <w:r w:rsidR="00B63A3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pretrvávajúci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klientsky vzťah, všetky podstatné zmeny svojich opatrení na vykonávanie pokynov alebo stratégie vykonávania pokyn</w:t>
      </w:r>
      <w:r w:rsidR="00B63A3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ov</w:t>
      </w:r>
      <w:bookmarkEnd w:id="31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.“.</w:t>
      </w:r>
    </w:p>
    <w:p w14:paraId="373B3249" w14:textId="77777777" w:rsidR="002034F1" w:rsidRPr="00E70F1C" w:rsidRDefault="002034F1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59A480BF" w14:textId="349475E3" w:rsidR="00073B7A" w:rsidRPr="00E70F1C" w:rsidRDefault="00073B7A" w:rsidP="008D52F3">
      <w:pPr>
        <w:spacing w:after="0" w:line="240" w:lineRule="auto"/>
        <w:ind w:left="360"/>
        <w:jc w:val="both"/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</w:pPr>
      <w:r w:rsidRPr="00E70F1C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Poznámka pod čiarou k odkazu 58hfc sa vypúšťa.</w:t>
      </w:r>
    </w:p>
    <w:p w14:paraId="7C20DB0E" w14:textId="77777777" w:rsidR="00073B7A" w:rsidRPr="00E70F1C" w:rsidRDefault="00073B7A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229CF01F" w14:textId="6642C686" w:rsidR="00580096" w:rsidRPr="00E70F1C" w:rsidRDefault="00580096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V § 74e ods. 1 </w:t>
      </w:r>
      <w:r w:rsidR="00B63A3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úvodnej vete </w:t>
      </w:r>
      <w:r w:rsidR="00641DB2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a § 74g ods. 1 úvodnej vete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sa slová „až 17“ nahrádzajú slovami „až 18“</w:t>
      </w:r>
      <w:r w:rsidR="00641DB2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.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</w:p>
    <w:p w14:paraId="7467B54B" w14:textId="77777777" w:rsidR="00580096" w:rsidRPr="00E70F1C" w:rsidRDefault="00580096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0E0B07E3" w14:textId="7089F972" w:rsidR="00580096" w:rsidRPr="00E70F1C" w:rsidRDefault="00580096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V § 74</w:t>
      </w:r>
      <w:r w:rsidR="00641DB2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e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  <w:r w:rsidR="00E025AF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ods. 1 </w:t>
      </w:r>
      <w:r w:rsidR="00641DB2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písm. d) sa slová „12 až 16“ nahrádzajú slovami „13 až 17“.</w:t>
      </w:r>
    </w:p>
    <w:p w14:paraId="08DB1319" w14:textId="77777777" w:rsidR="002E2F34" w:rsidRPr="00E70F1C" w:rsidRDefault="002E2F34" w:rsidP="005F3931">
      <w:pPr>
        <w:pStyle w:val="Odsekzoznamu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51697ED0" w14:textId="521949A5" w:rsidR="005F3931" w:rsidRPr="00E70F1C" w:rsidRDefault="005F3931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§ 77 sa dopĺňa odsekom 10, ktorý znie:</w:t>
      </w:r>
    </w:p>
    <w:p w14:paraId="33B5455D" w14:textId="77777777" w:rsidR="002E2F34" w:rsidRPr="00E70F1C" w:rsidRDefault="005F3931" w:rsidP="008D52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bookmarkStart w:id="32" w:name="_Hlk196461121"/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„(10) </w:t>
      </w:r>
      <w:bookmarkStart w:id="33" w:name="_Hlk197928519"/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Osoba ovládajúca skupinu s úzkymi väzbami, do ktorej patrí obchodník s cennými papiermi je povinná zostaviť a predložiť Národnej banke Slovenska na jej žiadosť v určenej lehote konsolidovanú účtovnú závierku overenú audítorom</w:t>
      </w:r>
      <w:bookmarkEnd w:id="33"/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.".</w:t>
      </w:r>
    </w:p>
    <w:p w14:paraId="1F055FCA" w14:textId="4C32CEAD" w:rsidR="00580096" w:rsidRPr="00E70F1C" w:rsidRDefault="00580096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bookmarkEnd w:id="32"/>
    <w:p w14:paraId="7676447F" w14:textId="2F2D681E" w:rsidR="007D644B" w:rsidRPr="00E35089" w:rsidRDefault="007D644B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3508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V § 99 ods. 19 písm. c) sa </w:t>
      </w:r>
      <w:r w:rsidR="0066654F" w:rsidRPr="00E3508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nad slovom </w:t>
      </w:r>
      <w:r w:rsidRPr="00E3508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„</w:t>
      </w:r>
      <w:r w:rsidR="0066654F" w:rsidRPr="00E3508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protistrana“</w:t>
      </w:r>
      <w:r w:rsidRPr="00E3508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vypúšťa odkaz 89r.</w:t>
      </w:r>
    </w:p>
    <w:p w14:paraId="7CC589E5" w14:textId="77777777" w:rsidR="007D644B" w:rsidRPr="00E35089" w:rsidRDefault="007D644B" w:rsidP="007D64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0789DBAE" w14:textId="7A466315" w:rsidR="007D644B" w:rsidRPr="00E35089" w:rsidRDefault="007D644B" w:rsidP="007D644B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3508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Poznámka pod čiarou k odkazu 89r sa vypúšťa.</w:t>
      </w:r>
    </w:p>
    <w:p w14:paraId="4FA2F5D5" w14:textId="41482395" w:rsidR="007D644B" w:rsidRPr="00E70F1C" w:rsidRDefault="007D644B" w:rsidP="007D64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</w:p>
    <w:p w14:paraId="05AFD0D0" w14:textId="195E3EFC" w:rsidR="005B431E" w:rsidRPr="00E70F1C" w:rsidRDefault="005B431E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V § 120 ods. 2 sa slová „</w:t>
      </w:r>
      <w:bookmarkStart w:id="34" w:name="_Hlk197928623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ak celková hodnota každej takejto ponuky v Európskej únii vypočítaná za obdobie 12 mesiacov je nižšia ako 1 000 000 eur“ nahrádzajú slovami „</w:t>
      </w:r>
      <w:bookmarkStart w:id="35" w:name="_Hlk192778448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ak je celková súhrnná protihodnota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sk-SK"/>
        </w:rPr>
        <w:t>102aba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) </w:t>
      </w:r>
      <w:r w:rsidR="00054188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v Európskej únii </w:t>
      </w:r>
      <w:r w:rsidR="005479FB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za ponúkané cenné papiere 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nižšia ako 5 000 000 </w:t>
      </w:r>
      <w:r w:rsidR="00E8701E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eur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na emitenta alebo </w:t>
      </w:r>
      <w:r w:rsidR="009F7A66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vyhlasovateľa verejnej ponuky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vypočítaná za obdobie 12 mesiacov</w:t>
      </w:r>
      <w:bookmarkEnd w:id="34"/>
      <w:bookmarkEnd w:id="35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“.</w:t>
      </w:r>
    </w:p>
    <w:p w14:paraId="0BF5196B" w14:textId="77777777" w:rsidR="00F66959" w:rsidRPr="00E70F1C" w:rsidRDefault="00F66959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44EA697E" w14:textId="2A6BFDD2" w:rsidR="005B431E" w:rsidRPr="00E70F1C" w:rsidRDefault="005B431E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Poznámka pod čiarou k odkazu 102aba znie:</w:t>
      </w:r>
    </w:p>
    <w:p w14:paraId="6FDDEDDF" w14:textId="1BA65313" w:rsidR="005B431E" w:rsidRPr="00E70F1C" w:rsidRDefault="005B431E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bookmarkStart w:id="36" w:name="_Hlk193988088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„</w:t>
      </w:r>
      <w:bookmarkStart w:id="37" w:name="_Hlk192778486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sk-SK"/>
        </w:rPr>
        <w:t>102aba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) </w:t>
      </w:r>
      <w:bookmarkStart w:id="38" w:name="_Hlk193988081"/>
      <w:r w:rsidR="00E8701E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Č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l. 3 ods. 2c</w:t>
      </w:r>
      <w:r w:rsidR="00233CE9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nariadenia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(EÚ) 2017/1129 v platnom znení.</w:t>
      </w:r>
      <w:r w:rsidR="00E8701E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“.</w:t>
      </w:r>
      <w:bookmarkEnd w:id="38"/>
    </w:p>
    <w:bookmarkEnd w:id="36"/>
    <w:bookmarkEnd w:id="37"/>
    <w:p w14:paraId="4F48882C" w14:textId="77777777" w:rsidR="005B431E" w:rsidRPr="00E70F1C" w:rsidRDefault="005B431E" w:rsidP="008D52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val="sk-SK"/>
        </w:rPr>
      </w:pPr>
    </w:p>
    <w:p w14:paraId="724C1882" w14:textId="77777777" w:rsidR="00093566" w:rsidRPr="00E70F1C" w:rsidRDefault="00093566" w:rsidP="00F91FF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§ 120 sa za odsek 2 vkladá nový odsek 3, ktorý znie: </w:t>
      </w:r>
    </w:p>
    <w:p w14:paraId="2373BCC9" w14:textId="5276199C" w:rsidR="00093566" w:rsidRPr="00E70F1C" w:rsidRDefault="00093566" w:rsidP="0009356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val="sk-SK"/>
        </w:rPr>
      </w:pPr>
      <w:bookmarkStart w:id="39" w:name="_Hlk196461221"/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„(3) </w:t>
      </w:r>
      <w:bookmarkStart w:id="40" w:name="_Hlk197348199"/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Ak sa na verejnú ponuku </w:t>
      </w:r>
      <w:r w:rsidR="00B335BB"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cenných papierov 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nevzťahuje povinnosť zverejniť prospekt podľa odseku 2, emitent alebo vyhlasovateľ verejnej ponuky</w:t>
      </w:r>
      <w:r w:rsidR="00B335BB"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cenných papierov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je povinný predložiť Národnej banke Slovenska a sprístupniť verejnosti podľa osobitného predpisu</w:t>
      </w:r>
      <w:r w:rsidRPr="00E70F1C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>102abb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) dokument vypracovaný podľa osobitného predpisu</w:t>
      </w:r>
      <w:bookmarkEnd w:id="40"/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E70F1C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>102abc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)“.</w:t>
      </w:r>
    </w:p>
    <w:bookmarkEnd w:id="39"/>
    <w:p w14:paraId="6D134232" w14:textId="48C0BA4C" w:rsidR="00093566" w:rsidRPr="00E70F1C" w:rsidRDefault="00093566" w:rsidP="000935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70479598" w14:textId="6C7FF098" w:rsidR="00093566" w:rsidRPr="00E70F1C" w:rsidRDefault="00093566" w:rsidP="000935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Poznámky pod čiarou k odkazom 102abb a 102abc znejú: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br/>
      </w:r>
      <w:bookmarkStart w:id="41" w:name="_Hlk196462665"/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„</w:t>
      </w:r>
      <w:r w:rsidRPr="00E70F1C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>102abb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) Čl. 21 ods. 2 nariadenia (EÚ) 2017/1129</w:t>
      </w:r>
      <w:r w:rsidR="00C03EBD"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 platnom znení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br/>
      </w:r>
      <w:bookmarkStart w:id="42" w:name="_Hlk196462649"/>
      <w:bookmarkEnd w:id="41"/>
      <w:r w:rsidRPr="00E70F1C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>102abc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) Čl. 7 ods. 3 až 10 a 12 nariadenia (EÚ) 2017/1129</w:t>
      </w:r>
      <w:r w:rsidR="00C03EBD"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 platnom znení</w:t>
      </w: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.“.</w:t>
      </w:r>
    </w:p>
    <w:bookmarkEnd w:id="42"/>
    <w:p w14:paraId="3C2DCE79" w14:textId="77777777" w:rsidR="002B4B71" w:rsidRPr="00E70F1C" w:rsidRDefault="002B4B71" w:rsidP="002B4B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1ECD7DD6" w14:textId="24B7D9DE" w:rsidR="002B4B71" w:rsidRPr="00E70F1C" w:rsidRDefault="002B4B71" w:rsidP="002B4B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E70F1C">
        <w:rPr>
          <w:rFonts w:ascii="Times New Roman" w:eastAsia="Times New Roman" w:hAnsi="Times New Roman" w:cs="Times New Roman"/>
          <w:sz w:val="24"/>
          <w:szCs w:val="24"/>
          <w:lang w:val="sk-SK"/>
        </w:rPr>
        <w:t>Doterajšie odseky 3 až 7 sa označujú ako odseky 4 až 8.</w:t>
      </w:r>
    </w:p>
    <w:p w14:paraId="05023312" w14:textId="77777777" w:rsidR="00E025AF" w:rsidRPr="00E70F1C" w:rsidRDefault="00E025AF" w:rsidP="002B4B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54545EF" w14:textId="77777777" w:rsidR="00E025AF" w:rsidRPr="00E70F1C" w:rsidRDefault="00E025AF" w:rsidP="00E025A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Poznámka pod čiarou k odkazu 102ad znie:</w:t>
      </w:r>
    </w:p>
    <w:p w14:paraId="6D98BA89" w14:textId="77777777" w:rsidR="00E025AF" w:rsidRPr="00E70F1C" w:rsidRDefault="00E025AF" w:rsidP="00E025AF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„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val="sk-SK"/>
        </w:rPr>
        <w:t>102ad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) Čl. 7 nariadenia (EÚ) 2017/1129 v platnom znení.“.</w:t>
      </w:r>
    </w:p>
    <w:p w14:paraId="4C61387C" w14:textId="77777777" w:rsidR="002B4B71" w:rsidRPr="00E70F1C" w:rsidRDefault="002B4B71" w:rsidP="002B4B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786EC4FE" w14:textId="77777777" w:rsidR="005B431E" w:rsidRPr="00E70F1C" w:rsidRDefault="005B431E" w:rsidP="008D52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§ 132t sa dopĺňa odsekom 4, ktorý znie:</w:t>
      </w:r>
    </w:p>
    <w:p w14:paraId="4C883A49" w14:textId="0914598E" w:rsidR="005B431E" w:rsidRPr="00E70F1C" w:rsidRDefault="005B431E" w:rsidP="00C64464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bookmarkStart w:id="43" w:name="_Hlk192778556"/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lastRenderedPageBreak/>
        <w:t>„(4) Poskytovateľ služieb hromadného financovania je povinný do štyroch mesiacov po uplynutí účtovného obdobia uložiť do verejnej časti registra účtovných závierok účtovnú závierku overenú audítorom.</w:t>
      </w:r>
      <w:r w:rsidR="00565254"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“.</w:t>
      </w:r>
      <w:r w:rsidRPr="00E70F1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</w:p>
    <w:bookmarkEnd w:id="43"/>
    <w:p w14:paraId="141DB0AC" w14:textId="77777777" w:rsidR="001E7938" w:rsidRPr="00E70F1C" w:rsidRDefault="001E7938" w:rsidP="00C644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val="sk-SK"/>
        </w:rPr>
      </w:pPr>
    </w:p>
    <w:p w14:paraId="4F2370A9" w14:textId="506C6232" w:rsidR="00C64464" w:rsidRPr="00E70F1C" w:rsidRDefault="00C64464" w:rsidP="00F91FF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44" w:name="_Hlk196379380"/>
      <w:r w:rsidRPr="00E70F1C">
        <w:rPr>
          <w:rFonts w:ascii="Times New Roman" w:hAnsi="Times New Roman" w:cs="Times New Roman"/>
          <w:sz w:val="24"/>
          <w:szCs w:val="24"/>
          <w:lang w:val="sk-SK"/>
        </w:rPr>
        <w:t>V § 135 ods. 2 sa na konci pripája táto veta: „</w:t>
      </w:r>
      <w:bookmarkStart w:id="45" w:name="_Hlk196461347"/>
      <w:r w:rsidRPr="00E70F1C">
        <w:rPr>
          <w:rFonts w:ascii="Times New Roman" w:hAnsi="Times New Roman" w:cs="Times New Roman"/>
          <w:sz w:val="24"/>
          <w:szCs w:val="24"/>
          <w:lang w:val="sk-SK"/>
        </w:rPr>
        <w:t>Národná banka Slovenska pri výkone dohľadu zohľadňuje možný vplyv svojich rozhodnutí na stabilitu finančného systému v iných členských štátoch, ako aj v Európskej únii ako celku, a to najmä v kritických situáciách podľa § 140</w:t>
      </w:r>
      <w:bookmarkEnd w:id="45"/>
      <w:r w:rsidRPr="00E70F1C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14115298" w14:textId="77777777" w:rsidR="00C64464" w:rsidRPr="00E70F1C" w:rsidRDefault="00C64464" w:rsidP="00C6446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87583AB" w14:textId="5D7EAB61" w:rsidR="00C64464" w:rsidRPr="00E70F1C" w:rsidRDefault="00C64464" w:rsidP="00F91FF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70F1C">
        <w:rPr>
          <w:rFonts w:ascii="Times New Roman" w:hAnsi="Times New Roman" w:cs="Times New Roman"/>
          <w:sz w:val="24"/>
          <w:szCs w:val="24"/>
          <w:lang w:val="sk-SK"/>
        </w:rPr>
        <w:t>V poznámke pod čiarou k odkazu 110fa sa na konci pripája táto citácia: „</w:t>
      </w:r>
      <w:bookmarkStart w:id="46" w:name="_Hlk196462735"/>
      <w:r w:rsidR="0058699F" w:rsidRPr="00E70F1C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E70F1C">
        <w:rPr>
          <w:rFonts w:ascii="Times New Roman" w:hAnsi="Times New Roman" w:cs="Times New Roman"/>
          <w:sz w:val="24"/>
          <w:szCs w:val="24"/>
          <w:lang w:val="sk-SK"/>
        </w:rPr>
        <w:t>ariadenie (EÚ) č. 1092/2010 v platnom znení</w:t>
      </w:r>
      <w:bookmarkEnd w:id="46"/>
      <w:r w:rsidRPr="00E70F1C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bookmarkEnd w:id="44"/>
    <w:p w14:paraId="1D3681EF" w14:textId="77777777" w:rsidR="00C64464" w:rsidRPr="00E70F1C" w:rsidRDefault="00C64464" w:rsidP="00C644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val="sk-SK"/>
        </w:rPr>
      </w:pPr>
    </w:p>
    <w:p w14:paraId="59840613" w14:textId="6A2D528D" w:rsidR="002034F1" w:rsidRPr="00E70F1C" w:rsidRDefault="002034F1" w:rsidP="00C644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V § 135 sa za odsek 8 vkladá nový odsek 9, ktorý znie</w:t>
      </w:r>
      <w:r w:rsidR="00B63A3F"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:</w:t>
      </w:r>
    </w:p>
    <w:p w14:paraId="03E8F674" w14:textId="1ABABDE9" w:rsidR="002034F1" w:rsidRPr="008A2BBF" w:rsidRDefault="002034F1" w:rsidP="008A2B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</w:pPr>
      <w:bookmarkStart w:id="47" w:name="_Hlk192778585"/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„(9) </w:t>
      </w:r>
      <w:bookmarkStart w:id="48" w:name="_Hlk196461397"/>
      <w:r w:rsidRPr="00E70F1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Národná banka Slovenska posudzuje a monitoruje vývoj postupov obchodníka s cennými 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papiermi, ktoré sa týkajú riadenia jeho rizika koncentrácie vyplývajúceho z expozícií voči centrálnym protistranám, vrátane plánov vypracovaných v súlade s § 71c ods. 2 písm</w:t>
      </w:r>
      <w:r w:rsidR="007E2823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e), ako aj pokrok dosiahnutý prispôsobovaní</w:t>
      </w:r>
      <w:r w:rsidR="00FD2FAF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m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jeho obchodných modelov požiadavkám ustanovený</w:t>
      </w:r>
      <w:r w:rsidR="00D3192C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m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osobitným predpisom</w:t>
      </w:r>
      <w:bookmarkEnd w:id="48"/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56ac</w:t>
      </w:r>
      <w:r w:rsidR="001C61E1" w:rsidRPr="008A2BBF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a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b</w:t>
      </w:r>
      <w:r w:rsidR="001C61E1" w:rsidRPr="008A2BBF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a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)“.</w:t>
      </w:r>
    </w:p>
    <w:bookmarkEnd w:id="47"/>
    <w:p w14:paraId="773C54BC" w14:textId="77777777" w:rsidR="002034F1" w:rsidRPr="008A2BBF" w:rsidRDefault="002034F1" w:rsidP="008A2B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17C1A4E6" w14:textId="3AC44622" w:rsidR="002034F1" w:rsidRPr="008A2BBF" w:rsidRDefault="001C61E1" w:rsidP="008A2B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Doterajšie o</w:t>
      </w:r>
      <w:r w:rsidR="002034F1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dseky 9 až 18 sa označujú ako odseky 10 až 19.</w:t>
      </w:r>
    </w:p>
    <w:p w14:paraId="6B299916" w14:textId="77777777" w:rsidR="002034F1" w:rsidRPr="008A2BBF" w:rsidRDefault="002034F1" w:rsidP="008A2BBF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49FFE722" w14:textId="214AD42A" w:rsidR="00C64464" w:rsidRPr="008A2BBF" w:rsidRDefault="00C64464" w:rsidP="008A2B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49" w:name="_Hlk196379889"/>
      <w:r w:rsidRPr="008A2BBF">
        <w:rPr>
          <w:rFonts w:ascii="Times New Roman" w:hAnsi="Times New Roman" w:cs="Times New Roman"/>
          <w:sz w:val="24"/>
          <w:szCs w:val="24"/>
          <w:lang w:val="sk-SK"/>
        </w:rPr>
        <w:t>V § 135 ods. 1</w:t>
      </w:r>
      <w:r w:rsidR="0061016C" w:rsidRPr="008A2BBF">
        <w:rPr>
          <w:rFonts w:ascii="Times New Roman" w:hAnsi="Times New Roman" w:cs="Times New Roman"/>
          <w:sz w:val="24"/>
          <w:szCs w:val="24"/>
          <w:lang w:val="sk-SK"/>
        </w:rPr>
        <w:t>2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 sa za slovo „najmä“ vkladajú slová „</w:t>
      </w:r>
      <w:bookmarkStart w:id="50" w:name="_Hlk196461621"/>
      <w:r w:rsidRPr="008A2BBF">
        <w:rPr>
          <w:rFonts w:ascii="Times New Roman" w:hAnsi="Times New Roman" w:cs="Times New Roman"/>
          <w:sz w:val="24"/>
          <w:szCs w:val="24"/>
          <w:lang w:val="sk-SK"/>
        </w:rPr>
        <w:t>na zmeny v obchodnej činnosti a na uplatňovanie uvedených interných modelov</w:t>
      </w:r>
      <w:bookmarkEnd w:id="50"/>
      <w:r w:rsidR="00231520"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59B10475" w14:textId="77777777" w:rsidR="00F91FFF" w:rsidRPr="008A2BBF" w:rsidRDefault="00F91FFF" w:rsidP="008A2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BF788EA" w14:textId="00A1D9C3" w:rsidR="00C64464" w:rsidRPr="008A2BBF" w:rsidRDefault="00C64464" w:rsidP="008A2B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V § 135 ods. </w:t>
      </w:r>
      <w:r w:rsidR="0061016C" w:rsidRPr="008A2BBF">
        <w:rPr>
          <w:rFonts w:ascii="Times New Roman" w:hAnsi="Times New Roman" w:cs="Times New Roman"/>
          <w:sz w:val="24"/>
          <w:szCs w:val="24"/>
          <w:lang w:val="sk-SK"/>
        </w:rPr>
        <w:t>14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 sa slovo „môže“ nahrádza slovom „odoberie“</w:t>
      </w:r>
      <w:r w:rsidR="001B3ECD"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>vypúšťa sa slovo „odobrať“</w:t>
      </w:r>
      <w:r w:rsidR="001B3ECD"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 a slovo „uložiť“ sa nahrádza slovom „uloží“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ADBE311" w14:textId="77777777" w:rsidR="00F91FFF" w:rsidRPr="008A2BBF" w:rsidRDefault="00F91FFF" w:rsidP="008A2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bookmarkEnd w:id="49"/>
    <w:p w14:paraId="0D4E0F71" w14:textId="3FBC808C" w:rsidR="00580096" w:rsidRPr="008A2BBF" w:rsidRDefault="00580096" w:rsidP="008A2B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V § 135 ods. 17 sa slová „odseku 15“ nahrádzajú slovami „odseku 16“.</w:t>
      </w:r>
    </w:p>
    <w:p w14:paraId="33A90ED6" w14:textId="77777777" w:rsidR="00580096" w:rsidRPr="008A2BBF" w:rsidRDefault="00580096" w:rsidP="008A2BBF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6EC335B4" w14:textId="12CFB2B1" w:rsidR="00C64464" w:rsidRPr="008A2BBF" w:rsidRDefault="00C64464" w:rsidP="008A2B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51" w:name="_Hlk196379936"/>
      <w:r w:rsidRPr="008A2BBF">
        <w:rPr>
          <w:rFonts w:ascii="Times New Roman" w:hAnsi="Times New Roman" w:cs="Times New Roman"/>
          <w:sz w:val="24"/>
          <w:szCs w:val="24"/>
          <w:lang w:val="sk-SK"/>
        </w:rPr>
        <w:t>V § 135 ods. 1</w:t>
      </w:r>
      <w:r w:rsidR="0061016C" w:rsidRPr="008A2BBF">
        <w:rPr>
          <w:rFonts w:ascii="Times New Roman" w:hAnsi="Times New Roman" w:cs="Times New Roman"/>
          <w:sz w:val="24"/>
          <w:szCs w:val="24"/>
          <w:lang w:val="sk-SK"/>
        </w:rPr>
        <w:t>7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 písm. d) sa za slovo „údaje“ vkladajú slová „</w:t>
      </w:r>
      <w:bookmarkStart w:id="52" w:name="_Hlk196461534"/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o rozhodujúcich ukazovateľoch v oblasti </w:t>
      </w:r>
      <w:proofErr w:type="spellStart"/>
      <w:r w:rsidRPr="008A2BBF">
        <w:rPr>
          <w:rFonts w:ascii="Times New Roman" w:hAnsi="Times New Roman" w:cs="Times New Roman"/>
          <w:sz w:val="24"/>
          <w:szCs w:val="24"/>
          <w:lang w:val="sk-SK"/>
        </w:rPr>
        <w:t>prudenciálnych</w:t>
      </w:r>
      <w:proofErr w:type="spellEnd"/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 požiadaviek na obchodníka s cennými papiermi podľa tohto zákona a osobitného predpisu</w:t>
      </w:r>
      <w:r w:rsidRPr="008A2BBF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50cb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>) a súhrnné štatistické údaje</w:t>
      </w:r>
      <w:bookmarkEnd w:id="52"/>
      <w:r w:rsidRPr="008A2BBF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bookmarkEnd w:id="51"/>
    <w:p w14:paraId="28195449" w14:textId="77777777" w:rsidR="00C64464" w:rsidRPr="008A2BBF" w:rsidRDefault="00C64464" w:rsidP="008A2BBF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738E63A6" w14:textId="4E7F50B1" w:rsidR="00580096" w:rsidRPr="008A2BBF" w:rsidRDefault="00580096" w:rsidP="008A2B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V § 135 ods. 19 sa slová „odseku 17“ nahrádzajú slovami „odseku 18“.</w:t>
      </w:r>
    </w:p>
    <w:p w14:paraId="077D324D" w14:textId="77777777" w:rsidR="00B63A3F" w:rsidRPr="008A2BBF" w:rsidRDefault="00B63A3F" w:rsidP="008A2BB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2700F57D" w14:textId="77777777" w:rsidR="00AF6C1D" w:rsidRPr="008A2BBF" w:rsidRDefault="00AF6C1D" w:rsidP="008A2BB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135  sa dopĺňa odsekom 20, ktorý znie: </w:t>
      </w:r>
    </w:p>
    <w:p w14:paraId="6AD67B0C" w14:textId="77777777" w:rsidR="00AF6C1D" w:rsidRPr="008A2BBF" w:rsidRDefault="00AF6C1D" w:rsidP="008A2BBF">
      <w:pPr>
        <w:pStyle w:val="oj-normal"/>
        <w:shd w:val="clear" w:color="auto" w:fill="FFFFFF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noProof/>
        </w:rPr>
      </w:pPr>
      <w:bookmarkStart w:id="53" w:name="_Hlk192778906"/>
      <w:r w:rsidRPr="008A2BBF">
        <w:rPr>
          <w:noProof/>
        </w:rPr>
        <w:t xml:space="preserve">„(20) </w:t>
      </w:r>
      <w:bookmarkStart w:id="54" w:name="_Hlk196461564"/>
      <w:r w:rsidRPr="008A2BBF">
        <w:rPr>
          <w:noProof/>
        </w:rPr>
        <w:t>Národná banka  Slovenska môže</w:t>
      </w:r>
    </w:p>
    <w:p w14:paraId="413B75DE" w14:textId="551333DD" w:rsidR="00AF6C1D" w:rsidRPr="008A2BBF" w:rsidRDefault="00AF6C1D" w:rsidP="008A2BBF">
      <w:pPr>
        <w:pStyle w:val="oj-normal"/>
        <w:shd w:val="clear" w:color="auto" w:fill="FFFFFF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noProof/>
        </w:rPr>
      </w:pPr>
      <w:r w:rsidRPr="008A2BBF">
        <w:rPr>
          <w:noProof/>
        </w:rPr>
        <w:t xml:space="preserve"> a) prijať všetky potrebné opatrenia na overenie, či obchodník s cennými papiermi má zavedené organizačné opatrenia s cieľom zabezpečiť, aby prieskum sponzorovaný emitentom, ktorý vypracúva alebo distribuuje, bol v súlade s kódexom správania Európskej únie pre prieskum sponzorovaný emitentom,</w:t>
      </w:r>
    </w:p>
    <w:p w14:paraId="21259EE4" w14:textId="77777777" w:rsidR="00AF6C1D" w:rsidRPr="008A2BBF" w:rsidRDefault="00AF6C1D" w:rsidP="008A2BBF">
      <w:pPr>
        <w:pStyle w:val="oj-normal"/>
        <w:shd w:val="clear" w:color="auto" w:fill="FFFFFF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noProof/>
        </w:rPr>
      </w:pPr>
      <w:r w:rsidRPr="008A2BBF">
        <w:rPr>
          <w:noProof/>
        </w:rPr>
        <w:t>b)</w:t>
      </w:r>
      <w:r w:rsidRPr="008A2BBF">
        <w:rPr>
          <w:noProof/>
        </w:rPr>
        <w:tab/>
        <w:t xml:space="preserve"> pozastaviť distribúciu každého prieskumu sponzorovaného emitentom, ktorý nie je vypracovaný v súlade s kódexom správania Európskej únie pre prieskum sponzorovaný emitentom, vykonávanú obchodníkom s cennými papiermi,</w:t>
      </w:r>
    </w:p>
    <w:p w14:paraId="3B4D511E" w14:textId="4AB7B627" w:rsidR="00AF6C1D" w:rsidRPr="008A2BBF" w:rsidRDefault="00AF6C1D" w:rsidP="008A2BBF">
      <w:pPr>
        <w:pStyle w:val="oj-normal"/>
        <w:shd w:val="clear" w:color="auto" w:fill="FFFFFF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noProof/>
        </w:rPr>
      </w:pPr>
      <w:r w:rsidRPr="008A2BBF">
        <w:rPr>
          <w:noProof/>
        </w:rPr>
        <w:t>c)</w:t>
      </w:r>
      <w:r w:rsidRPr="008A2BBF">
        <w:rPr>
          <w:noProof/>
        </w:rPr>
        <w:tab/>
        <w:t xml:space="preserve">vydávať varovania s cieľom informovať verejnosť o tom, že prieskum nie je vypracovaný v súlade s kódexom správania Európskej únie pre prieskum sponzorovaný emitentom, ak  investičný prieskum označený ako prieskum sponzorovaný emitentom a distribuovaný </w:t>
      </w:r>
      <w:r w:rsidRPr="008A2BBF">
        <w:rPr>
          <w:noProof/>
        </w:rPr>
        <w:lastRenderedPageBreak/>
        <w:t>obchodníkom s cennými papiermi nie je vypracovaný v súlade s kódexom správania Európskej únie pre prieskum sponzorovaný emitentom</w:t>
      </w:r>
      <w:bookmarkEnd w:id="54"/>
      <w:r w:rsidRPr="008A2BBF">
        <w:rPr>
          <w:noProof/>
        </w:rPr>
        <w:t>.“.</w:t>
      </w:r>
    </w:p>
    <w:bookmarkEnd w:id="53"/>
    <w:p w14:paraId="771572ED" w14:textId="77777777" w:rsidR="00580096" w:rsidRPr="008A2BBF" w:rsidRDefault="00580096" w:rsidP="008A2BBF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115C7CCA" w14:textId="3E65961F" w:rsidR="00580096" w:rsidRPr="008A2BBF" w:rsidRDefault="00580096" w:rsidP="008A2B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V § 135a ods. 19 písm. a) sa </w:t>
      </w:r>
      <w:r w:rsidR="001E0B59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slová</w:t>
      </w:r>
      <w:r w:rsidR="00231520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  <w:r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„</w:t>
      </w:r>
      <w:r w:rsidR="001E0B59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až </w:t>
      </w:r>
      <w:r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11“ nahrádza</w:t>
      </w:r>
      <w:r w:rsidR="001E0B59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jú</w:t>
      </w:r>
      <w:r w:rsidR="00231520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  <w:r w:rsidR="001E0B59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slovami</w:t>
      </w:r>
      <w:r w:rsidR="00231520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  <w:r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„</w:t>
      </w:r>
      <w:r w:rsidR="001E0B59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až </w:t>
      </w:r>
      <w:r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12“. </w:t>
      </w:r>
    </w:p>
    <w:p w14:paraId="1DB41025" w14:textId="77777777" w:rsidR="00580096" w:rsidRPr="008A2BBF" w:rsidRDefault="00580096" w:rsidP="008A2BBF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</w:p>
    <w:p w14:paraId="50997B72" w14:textId="513BA57B" w:rsidR="00C64464" w:rsidRPr="008A2BBF" w:rsidRDefault="00C64464" w:rsidP="008A2B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55" w:name="_Hlk196380034"/>
      <w:r w:rsidRPr="008A2BBF">
        <w:rPr>
          <w:rFonts w:ascii="Times New Roman" w:hAnsi="Times New Roman" w:cs="Times New Roman"/>
          <w:sz w:val="24"/>
          <w:szCs w:val="24"/>
          <w:lang w:val="sk-SK"/>
        </w:rPr>
        <w:t>V § 141 ods. 1 sa slovo „zriadi“ nahrádza slovami „</w:t>
      </w:r>
      <w:bookmarkStart w:id="56" w:name="_Hlk196461794"/>
      <w:r w:rsidRPr="008A2BBF">
        <w:rPr>
          <w:rFonts w:ascii="Times New Roman" w:hAnsi="Times New Roman" w:cs="Times New Roman"/>
          <w:sz w:val="24"/>
          <w:szCs w:val="24"/>
          <w:lang w:val="sk-SK"/>
        </w:rPr>
        <w:t>môže zriadiť</w:t>
      </w:r>
      <w:bookmarkEnd w:id="56"/>
      <w:r w:rsidRPr="008A2BBF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76BBFBA8" w14:textId="77777777" w:rsidR="00F86910" w:rsidRPr="008A2BBF" w:rsidRDefault="00F86910" w:rsidP="008A2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60A85C9" w14:textId="712CDBB0" w:rsidR="00C64464" w:rsidRPr="008A2BBF" w:rsidRDefault="00C64464" w:rsidP="008A2B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sz w:val="24"/>
          <w:szCs w:val="24"/>
          <w:lang w:val="sk-SK"/>
        </w:rPr>
        <w:t>V § 142 ods. 2 sa za slovo „obrátiť“ vkladajú slová „</w:t>
      </w:r>
      <w:bookmarkStart w:id="57" w:name="_Hlk196461826"/>
      <w:r w:rsidRPr="008A2BBF">
        <w:rPr>
          <w:rFonts w:ascii="Times New Roman" w:hAnsi="Times New Roman" w:cs="Times New Roman"/>
          <w:sz w:val="24"/>
          <w:szCs w:val="24"/>
          <w:lang w:val="sk-SK"/>
        </w:rPr>
        <w:t>podľa osobitného predpisu</w:t>
      </w:r>
      <w:r w:rsidRPr="008A2BBF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110l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)“ </w:t>
      </w:r>
      <w:bookmarkEnd w:id="57"/>
      <w:r w:rsidRPr="008A2BBF">
        <w:rPr>
          <w:rFonts w:ascii="Times New Roman" w:hAnsi="Times New Roman" w:cs="Times New Roman"/>
          <w:sz w:val="24"/>
          <w:szCs w:val="24"/>
          <w:lang w:val="sk-SK"/>
        </w:rPr>
        <w:t>a za slovo „neboli“ sa vkladá slovo „</w:t>
      </w:r>
      <w:bookmarkStart w:id="58" w:name="_Hlk196461865"/>
      <w:r w:rsidRPr="008A2BBF">
        <w:rPr>
          <w:rFonts w:ascii="Times New Roman" w:hAnsi="Times New Roman" w:cs="Times New Roman"/>
          <w:sz w:val="24"/>
          <w:szCs w:val="24"/>
          <w:lang w:val="sk-SK"/>
        </w:rPr>
        <w:t>bezodkladne</w:t>
      </w:r>
      <w:bookmarkEnd w:id="58"/>
      <w:r w:rsidRPr="008A2BBF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62600E41" w14:textId="77777777" w:rsidR="00F86910" w:rsidRPr="008A2BBF" w:rsidRDefault="00F86910" w:rsidP="008A2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bookmarkEnd w:id="55"/>
    <w:p w14:paraId="49536A30" w14:textId="2C42389C" w:rsidR="00C3277E" w:rsidRPr="008A2BBF" w:rsidRDefault="00DD6A1B" w:rsidP="008A2B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V § 144 ods. 1 úvodnej vete sa za slová „</w:t>
      </w:r>
      <w:r w:rsidR="00D3192C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a 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9</w:t>
      </w:r>
      <w:r w:rsidR="006A1E02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,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“ vkladajú slová „</w:t>
      </w:r>
      <w:bookmarkStart w:id="59" w:name="_Hlk189485751"/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v nedodržiavaní podmienok podľa § 71c, § 135, </w:t>
      </w:r>
      <w:r w:rsidR="00D945ED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tohto paragrafu a § 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157</w:t>
      </w:r>
      <w:bookmarkEnd w:id="59"/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“.  </w:t>
      </w:r>
    </w:p>
    <w:p w14:paraId="60D6CAC1" w14:textId="26DB6236" w:rsidR="00DD6A1B" w:rsidRPr="008A2BBF" w:rsidRDefault="00DD6A1B" w:rsidP="008A2B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</w:t>
      </w:r>
    </w:p>
    <w:p w14:paraId="76AB5B52" w14:textId="77777777" w:rsidR="00C3277E" w:rsidRPr="008A2BBF" w:rsidRDefault="00C3277E" w:rsidP="008A2B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sz w:val="24"/>
          <w:szCs w:val="24"/>
          <w:lang w:val="sk-SK"/>
        </w:rPr>
        <w:t>V § 144 ods. 1 písm. p) sa slová „celkových odmien vyplatených osobám“ nahrádzajú slovami „</w:t>
      </w:r>
      <w:bookmarkStart w:id="60" w:name="_Hlk196462082"/>
      <w:r w:rsidRPr="008A2BBF">
        <w:rPr>
          <w:rFonts w:ascii="Times New Roman" w:hAnsi="Times New Roman" w:cs="Times New Roman"/>
          <w:sz w:val="24"/>
          <w:szCs w:val="24"/>
          <w:lang w:val="sk-SK"/>
        </w:rPr>
        <w:t>čistých príjmov osôb</w:t>
      </w:r>
      <w:bookmarkEnd w:id="60"/>
      <w:r w:rsidRPr="008A2BBF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2B2D2CD3" w14:textId="77777777" w:rsidR="00DD6A1B" w:rsidRPr="008A2BBF" w:rsidRDefault="00DD6A1B" w:rsidP="008A2BB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 w:eastAsia="sk-SK"/>
        </w:rPr>
      </w:pPr>
    </w:p>
    <w:p w14:paraId="29C200B2" w14:textId="1E4742AE" w:rsidR="00DD6A1B" w:rsidRPr="008A2BBF" w:rsidRDefault="00DD6A1B" w:rsidP="008A2B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V § 144 </w:t>
      </w:r>
      <w:r w:rsidR="00E41871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sa 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ods</w:t>
      </w:r>
      <w:r w:rsidR="00E41871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ek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1 </w:t>
      </w:r>
      <w:r w:rsidR="00E41871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dopĺňa 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písmeno</w:t>
      </w:r>
      <w:r w:rsidR="00E41871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m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ah), ktoré znie:</w:t>
      </w:r>
    </w:p>
    <w:p w14:paraId="12A187A1" w14:textId="0BF087D5" w:rsidR="00DD6A1B" w:rsidRPr="008A2BBF" w:rsidRDefault="00DD6A1B" w:rsidP="008A2BBF">
      <w:pPr>
        <w:spacing w:after="0" w:line="240" w:lineRule="auto"/>
        <w:ind w:left="426" w:hanging="14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bookmarkStart w:id="61" w:name="_Hlk193987462"/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„</w:t>
      </w:r>
      <w:bookmarkStart w:id="62" w:name="_Hlk189485773"/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ah) </w:t>
      </w:r>
      <w:bookmarkStart w:id="63" w:name="_Hlk192778651"/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uložiť obchodníkovi s cennými papiermi povinnosť znížiť expozície voči centrálnej protistrane alebo opätovne preskupiť expozície na všetkých svojich zúčtovacích účtoch v súlade s osobitným predpisom,</w:t>
      </w:r>
      <w:r w:rsidR="006D5210" w:rsidRPr="008A2BBF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k-SK" w:eastAsia="sk-SK"/>
        </w:rPr>
        <w:t>56acaba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) ak podľa Národnej banky Slovenska existuje nadmerné riziko koncentrácie vyplývajúce z expozícií voči tejto centrálnej protistrane</w:t>
      </w:r>
      <w:bookmarkEnd w:id="63"/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.“.</w:t>
      </w:r>
      <w:bookmarkEnd w:id="62"/>
    </w:p>
    <w:p w14:paraId="7AE81904" w14:textId="77777777" w:rsidR="00C64464" w:rsidRPr="008A2BBF" w:rsidRDefault="00C64464" w:rsidP="008A2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64" w:name="_Hlk196379631"/>
      <w:bookmarkEnd w:id="61"/>
    </w:p>
    <w:p w14:paraId="60D1A76C" w14:textId="1E002AC7" w:rsidR="00C64464" w:rsidRPr="008A2BBF" w:rsidRDefault="00332F04" w:rsidP="008A2B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C64464"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§ 144 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sa </w:t>
      </w:r>
      <w:r w:rsidR="00C64464" w:rsidRPr="008A2BBF">
        <w:rPr>
          <w:rFonts w:ascii="Times New Roman" w:hAnsi="Times New Roman" w:cs="Times New Roman"/>
          <w:sz w:val="24"/>
          <w:szCs w:val="24"/>
          <w:lang w:val="sk-SK"/>
        </w:rPr>
        <w:t>ods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>ek</w:t>
      </w:r>
      <w:r w:rsidR="00C64464"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 35 dopĺňa písmenom i), ktoré znie:</w:t>
      </w:r>
    </w:p>
    <w:p w14:paraId="6610C634" w14:textId="77777777" w:rsidR="00C64464" w:rsidRPr="008A2BBF" w:rsidRDefault="00C64464" w:rsidP="008A2B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65" w:name="_Hlk196462138"/>
      <w:r w:rsidRPr="008A2BBF">
        <w:rPr>
          <w:rFonts w:ascii="Times New Roman" w:hAnsi="Times New Roman" w:cs="Times New Roman"/>
          <w:sz w:val="24"/>
          <w:szCs w:val="24"/>
          <w:lang w:val="sk-SK"/>
        </w:rPr>
        <w:t>„i) akékoľvek potenciálne systémové dôsledky porušenia.“.</w:t>
      </w:r>
    </w:p>
    <w:bookmarkEnd w:id="65"/>
    <w:p w14:paraId="76C4E608" w14:textId="77777777" w:rsidR="00C64464" w:rsidRPr="008A2BBF" w:rsidRDefault="00C64464" w:rsidP="008A2B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4568E82" w14:textId="5B5BC0CE" w:rsidR="00C64464" w:rsidRPr="008A2BBF" w:rsidRDefault="00C64464" w:rsidP="008A2BB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sz w:val="24"/>
          <w:szCs w:val="24"/>
          <w:lang w:val="sk-SK"/>
        </w:rPr>
        <w:t>V § 157 ods. 1 sa za slovo „zohľadnení“ vklad</w:t>
      </w:r>
      <w:r w:rsidR="00332F04" w:rsidRPr="008A2BBF">
        <w:rPr>
          <w:rFonts w:ascii="Times New Roman" w:hAnsi="Times New Roman" w:cs="Times New Roman"/>
          <w:sz w:val="24"/>
          <w:szCs w:val="24"/>
          <w:lang w:val="sk-SK"/>
        </w:rPr>
        <w:t>ajú</w:t>
      </w:r>
      <w:r w:rsidRPr="008A2BBF">
        <w:rPr>
          <w:rFonts w:ascii="Times New Roman" w:hAnsi="Times New Roman" w:cs="Times New Roman"/>
          <w:sz w:val="24"/>
          <w:szCs w:val="24"/>
          <w:lang w:val="sk-SK"/>
        </w:rPr>
        <w:t xml:space="preserve"> slová „</w:t>
      </w:r>
      <w:bookmarkStart w:id="66" w:name="_Hlk197348532"/>
      <w:r w:rsidRPr="008A2BBF">
        <w:rPr>
          <w:rFonts w:ascii="Times New Roman" w:hAnsi="Times New Roman" w:cs="Times New Roman"/>
          <w:sz w:val="24"/>
          <w:szCs w:val="24"/>
          <w:lang w:val="sk-SK"/>
        </w:rPr>
        <w:t>životaschopnosti a</w:t>
      </w:r>
      <w:bookmarkEnd w:id="66"/>
      <w:r w:rsidRPr="008A2BBF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bookmarkEnd w:id="64"/>
    <w:p w14:paraId="61B02BF9" w14:textId="77777777" w:rsidR="00C64464" w:rsidRPr="008A2BBF" w:rsidRDefault="00C64464" w:rsidP="008A2BBF">
      <w:pPr>
        <w:pStyle w:val="Bezriadkovania"/>
        <w:ind w:firstLine="708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29C9E9E5" w14:textId="31992E9E" w:rsidR="007E69A3" w:rsidRPr="008A2BBF" w:rsidRDefault="007E69A3" w:rsidP="008A2BB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V </w:t>
      </w:r>
      <w:r w:rsidR="00E8701E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pr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ílohe sa vypúšťa tretí bod</w:t>
      </w:r>
      <w:r w:rsidR="00E8701E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</w:t>
      </w:r>
    </w:p>
    <w:p w14:paraId="2F1A82E1" w14:textId="77777777" w:rsidR="007E69A3" w:rsidRPr="008A2BBF" w:rsidRDefault="007E69A3" w:rsidP="008A2BBF">
      <w:pPr>
        <w:pStyle w:val="oj-normal"/>
        <w:shd w:val="clear" w:color="auto" w:fill="FFFFFF"/>
        <w:spacing w:before="0" w:beforeAutospacing="0" w:after="0" w:afterAutospacing="0"/>
        <w:ind w:left="360"/>
        <w:jc w:val="both"/>
        <w:rPr>
          <w:noProof/>
          <w:shd w:val="clear" w:color="auto" w:fill="FFFFFF"/>
        </w:rPr>
      </w:pPr>
    </w:p>
    <w:p w14:paraId="271BB64D" w14:textId="3EFE77E6" w:rsidR="007E69A3" w:rsidRPr="008A2BBF" w:rsidRDefault="00E8701E" w:rsidP="008A2BBF">
      <w:pPr>
        <w:pStyle w:val="oj-normal"/>
        <w:shd w:val="clear" w:color="auto" w:fill="FFFFFF"/>
        <w:spacing w:before="0" w:beforeAutospacing="0" w:after="0" w:afterAutospacing="0"/>
        <w:ind w:left="360"/>
        <w:jc w:val="both"/>
        <w:rPr>
          <w:noProof/>
          <w:shd w:val="clear" w:color="auto" w:fill="FFFFFF"/>
        </w:rPr>
      </w:pPr>
      <w:r w:rsidRPr="008A2BBF">
        <w:rPr>
          <w:noProof/>
          <w:shd w:val="clear" w:color="auto" w:fill="FFFFFF"/>
        </w:rPr>
        <w:t>Doterajšie</w:t>
      </w:r>
      <w:r w:rsidR="007E69A3" w:rsidRPr="008A2BBF">
        <w:rPr>
          <w:noProof/>
          <w:shd w:val="clear" w:color="auto" w:fill="FFFFFF"/>
        </w:rPr>
        <w:t xml:space="preserve"> body 4 až 3</w:t>
      </w:r>
      <w:r w:rsidR="00FA2EFC" w:rsidRPr="008A2BBF">
        <w:rPr>
          <w:noProof/>
          <w:shd w:val="clear" w:color="auto" w:fill="FFFFFF"/>
        </w:rPr>
        <w:t>3</w:t>
      </w:r>
      <w:r w:rsidR="007E69A3" w:rsidRPr="008A2BBF">
        <w:rPr>
          <w:noProof/>
          <w:shd w:val="clear" w:color="auto" w:fill="FFFFFF"/>
        </w:rPr>
        <w:t xml:space="preserve"> sa označujú ako body 3 až </w:t>
      </w:r>
      <w:r w:rsidR="00FA2EFC" w:rsidRPr="008A2BBF">
        <w:rPr>
          <w:noProof/>
          <w:shd w:val="clear" w:color="auto" w:fill="FFFFFF"/>
        </w:rPr>
        <w:t>32</w:t>
      </w:r>
      <w:r w:rsidR="007E69A3" w:rsidRPr="008A2BBF">
        <w:rPr>
          <w:noProof/>
          <w:shd w:val="clear" w:color="auto" w:fill="FFFFFF"/>
        </w:rPr>
        <w:t xml:space="preserve">. </w:t>
      </w:r>
    </w:p>
    <w:p w14:paraId="444F1AF4" w14:textId="77777777" w:rsidR="007E69A3" w:rsidRPr="008A2BBF" w:rsidRDefault="007E69A3" w:rsidP="008A2BB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60D4C2B" w14:textId="27A74885" w:rsidR="00A06B4A" w:rsidRPr="008A2BBF" w:rsidRDefault="00A06B4A" w:rsidP="008A2BB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Príloha sa dopĺňa tridsiatym</w:t>
      </w:r>
      <w:r w:rsidR="00FA2EFC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prvým</w:t>
      </w:r>
      <w:r w:rsidR="0088253C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bodom, ktor</w:t>
      </w:r>
      <w:r w:rsidR="00AD32B4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ý znie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:</w:t>
      </w:r>
    </w:p>
    <w:p w14:paraId="66BC5C05" w14:textId="2BEBBB45" w:rsidR="007E2823" w:rsidRPr="008A2BBF" w:rsidRDefault="00A06B4A" w:rsidP="008A2BB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</w:pPr>
      <w:bookmarkStart w:id="67" w:name="_Hlk192778956"/>
      <w:r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„3</w:t>
      </w:r>
      <w:r w:rsidR="00FA2EFC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1</w:t>
      </w:r>
      <w:r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. Smernica Európskeho </w:t>
      </w:r>
      <w:r w:rsidR="00E41871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p</w:t>
      </w:r>
      <w:r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arlamentu a Rady 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(EÚ) 2024/790 z 28. februára 2024, ktorou sa mení smernica 2014/65/EÚ o trhoch s finančnými nástrojmi</w:t>
      </w:r>
      <w:r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 (Ú. v. EÚ L, </w:t>
      </w:r>
      <w:r w:rsidR="00055D9A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2024/790, </w:t>
      </w:r>
      <w:r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8.3.2024).</w:t>
      </w:r>
      <w:r w:rsidR="00AD32B4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“.</w:t>
      </w:r>
      <w:r w:rsidR="007E2823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 </w:t>
      </w:r>
    </w:p>
    <w:p w14:paraId="46413FD3" w14:textId="77777777" w:rsidR="00AD32B4" w:rsidRPr="008A2BBF" w:rsidRDefault="00AD32B4" w:rsidP="008A2BB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</w:pPr>
    </w:p>
    <w:p w14:paraId="66F5A2F6" w14:textId="2B7D268D" w:rsidR="00AD32B4" w:rsidRPr="008A2BBF" w:rsidRDefault="00AD32B4" w:rsidP="008A2BB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Príloha sa dopĺňa tridsiatym</w:t>
      </w:r>
      <w:r w:rsidR="00FA2EFC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druhým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bodom, ktorý znie:</w:t>
      </w:r>
    </w:p>
    <w:p w14:paraId="172FBFE7" w14:textId="6422D1B1" w:rsidR="00A06B4A" w:rsidRPr="008A2BBF" w:rsidRDefault="00AD32B4" w:rsidP="008A2BBF">
      <w:pPr>
        <w:shd w:val="clear" w:color="auto" w:fill="FFFFFF"/>
        <w:spacing w:after="0" w:line="240" w:lineRule="auto"/>
        <w:ind w:left="360"/>
        <w:jc w:val="both"/>
        <w:rPr>
          <w:rStyle w:val="Zvraznenie"/>
          <w:rFonts w:ascii="Times New Roman" w:hAnsi="Times New Roman"/>
          <w:i w:val="0"/>
          <w:noProof/>
          <w:sz w:val="24"/>
          <w:szCs w:val="24"/>
          <w:shd w:val="clear" w:color="auto" w:fill="FFFFFF"/>
          <w:lang w:val="sk-SK"/>
        </w:rPr>
      </w:pPr>
      <w:r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„3</w:t>
      </w:r>
      <w:r w:rsidR="00FA2EFC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2</w:t>
      </w:r>
      <w:r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. </w:t>
      </w:r>
      <w:r w:rsidR="007E2823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Smernica Európskeho parlamentu a Rady </w:t>
      </w:r>
      <w:r w:rsidR="007E2823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(EÚ) 2024/2811 </w:t>
      </w:r>
      <w:r w:rsidR="007E2823" w:rsidRPr="008A2BBF">
        <w:rPr>
          <w:rFonts w:ascii="Times New Roman" w:hAnsi="Times New Roman" w:cs="Times New Roman"/>
          <w:bCs/>
          <w:noProof/>
          <w:sz w:val="24"/>
          <w:szCs w:val="24"/>
          <w:lang w:val="sk-SK"/>
        </w:rPr>
        <w:t xml:space="preserve">z 23. októbra 2024, ktorou sa mení smernica 2014/65/EÚ s cieľom zatraktívniť verejné kapitálové trhy v Únii pre spoločnosti a uľahčiť malým a stredným podnikom prístup ku kapitálu a ktorou sa zrušuje smernica 2001/34/ES </w:t>
      </w:r>
      <w:r w:rsidR="007E2823" w:rsidRPr="008A2BB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(</w:t>
      </w:r>
      <w:r w:rsidR="007E2823" w:rsidRPr="008A2BBF">
        <w:rPr>
          <w:rStyle w:val="Zvraznenie"/>
          <w:rFonts w:ascii="Times New Roman" w:hAnsi="Times New Roman"/>
          <w:i w:val="0"/>
          <w:noProof/>
          <w:sz w:val="24"/>
          <w:szCs w:val="24"/>
          <w:shd w:val="clear" w:color="auto" w:fill="FFFFFF"/>
          <w:lang w:val="sk-SK"/>
        </w:rPr>
        <w:t>Ú. v. EÚ L, 2024/2811, 14.11.2024).</w:t>
      </w:r>
      <w:r w:rsidRPr="008A2BBF">
        <w:rPr>
          <w:rStyle w:val="Zvraznenie"/>
          <w:rFonts w:ascii="Times New Roman" w:hAnsi="Times New Roman"/>
          <w:i w:val="0"/>
          <w:noProof/>
          <w:sz w:val="24"/>
          <w:szCs w:val="24"/>
          <w:shd w:val="clear" w:color="auto" w:fill="FFFFFF"/>
          <w:lang w:val="sk-SK"/>
        </w:rPr>
        <w:t>“.</w:t>
      </w:r>
    </w:p>
    <w:p w14:paraId="6E1749A5" w14:textId="77777777" w:rsidR="00AD32B4" w:rsidRPr="008A2BBF" w:rsidRDefault="00AD32B4" w:rsidP="008A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</w:pPr>
    </w:p>
    <w:p w14:paraId="70DC2954" w14:textId="6A23E0D2" w:rsidR="00AD32B4" w:rsidRPr="008A2BBF" w:rsidRDefault="00AD32B4" w:rsidP="008A2BB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Príloha sa dopĺňa tridsiatym</w:t>
      </w:r>
      <w:r w:rsidR="00FA2EFC"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tretím</w:t>
      </w:r>
      <w:r w:rsidRPr="008A2BBF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bodom, ktorý znie:</w:t>
      </w:r>
    </w:p>
    <w:p w14:paraId="1DE1AFD3" w14:textId="05C4D568" w:rsidR="00257858" w:rsidRPr="008A2BBF" w:rsidRDefault="006679A0" w:rsidP="008A2B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</w:pPr>
      <w:bookmarkStart w:id="68" w:name="_Hlk189485677"/>
      <w:r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„</w:t>
      </w:r>
      <w:r w:rsidR="00DD6A1B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3</w:t>
      </w:r>
      <w:r w:rsidR="00FA2EFC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3</w:t>
      </w:r>
      <w:r w:rsidR="00DD6A1B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. Smernica Európskeho </w:t>
      </w:r>
      <w:r w:rsidR="00E41871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p</w:t>
      </w:r>
      <w:r w:rsidR="00DD6A1B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 xml:space="preserve">arlamentu a Rady </w:t>
      </w:r>
      <w:r w:rsidR="00DD6A1B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(EÚ) </w:t>
      </w:r>
      <w:r w:rsidR="00DD6A1B" w:rsidRPr="008A2BBF">
        <w:rPr>
          <w:rFonts w:ascii="Times New Roman" w:hAnsi="Times New Roman" w:cs="Times New Roman"/>
          <w:bCs/>
          <w:noProof/>
          <w:sz w:val="24"/>
          <w:szCs w:val="24"/>
          <w:lang w:val="sk-SK"/>
        </w:rPr>
        <w:t>2024/2994</w:t>
      </w:r>
      <w:r w:rsidR="00055D9A" w:rsidRPr="008A2BBF">
        <w:rPr>
          <w:rFonts w:ascii="Times New Roman" w:hAnsi="Times New Roman" w:cs="Times New Roman"/>
          <w:bCs/>
          <w:noProof/>
          <w:sz w:val="24"/>
          <w:szCs w:val="24"/>
          <w:lang w:val="sk-SK"/>
        </w:rPr>
        <w:t xml:space="preserve"> z 27. novembra 2024</w:t>
      </w:r>
      <w:r w:rsidR="00DD6A1B" w:rsidRPr="008A2BBF">
        <w:rPr>
          <w:rFonts w:ascii="Times New Roman" w:hAnsi="Times New Roman" w:cs="Times New Roman"/>
          <w:bCs/>
          <w:noProof/>
          <w:sz w:val="24"/>
          <w:szCs w:val="24"/>
          <w:lang w:val="sk-SK"/>
        </w:rPr>
        <w:t>, ktorou sa menia smernice 2009/65/ES, 2013/36/EÚ a (EÚ) 2019/2034, pokiaľ ide o zaobchádzanie s rizikom koncentrácie vyplývajúcim z expozícií voči centrálnym protistranám a s rizikom protistrany pri centrálne zúčtovávaných transakciách s derivátmi</w:t>
      </w:r>
      <w:r w:rsidR="00DD6A1B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DD6A1B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(Ú. v. EÚ L, 2024/2994, 4.12.2024).</w:t>
      </w:r>
      <w:r w:rsidR="007E2823" w:rsidRPr="008A2BBF">
        <w:rPr>
          <w:rFonts w:ascii="Times New Roman" w:eastAsia="Times New Roman" w:hAnsi="Times New Roman" w:cs="Times New Roman"/>
          <w:iCs/>
          <w:noProof/>
          <w:sz w:val="24"/>
          <w:szCs w:val="24"/>
          <w:lang w:val="sk-SK" w:eastAsia="sk-SK"/>
        </w:rPr>
        <w:t>“.</w:t>
      </w:r>
    </w:p>
    <w:bookmarkEnd w:id="67"/>
    <w:p w14:paraId="50417817" w14:textId="06BA5612" w:rsidR="00AC609D" w:rsidRPr="008A2BBF" w:rsidRDefault="00AC609D" w:rsidP="008A2BBF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0E42E51" w14:textId="77777777" w:rsidR="006679A0" w:rsidRPr="008A2BBF" w:rsidRDefault="006679A0" w:rsidP="008A2BBF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E6D4DB3" w14:textId="77777777" w:rsidR="0036445B" w:rsidRPr="008A2BBF" w:rsidRDefault="0036445B" w:rsidP="008A2BBF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bookmarkEnd w:id="68"/>
    <w:p w14:paraId="62948D34" w14:textId="77777777" w:rsidR="00A06B4A" w:rsidRPr="008A2BBF" w:rsidRDefault="00A06B4A" w:rsidP="008A2B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Čl. II</w:t>
      </w:r>
    </w:p>
    <w:p w14:paraId="77F9E6A5" w14:textId="4A689738" w:rsidR="00A06B4A" w:rsidRPr="008A2BBF" w:rsidRDefault="00A06B4A" w:rsidP="008A2BBF">
      <w:pPr>
        <w:spacing w:after="0" w:line="240" w:lineRule="auto"/>
        <w:jc w:val="both"/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429/2002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o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burze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cenných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papierov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v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znení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594/2003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="008E5B53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                       </w:t>
      </w:r>
      <w:r w:rsidRPr="008A2BBF">
        <w:rPr>
          <w:rStyle w:val="awspan"/>
          <w:rFonts w:ascii="Times New Roman" w:hAnsi="Times New Roman" w:cs="Times New Roman"/>
          <w:noProof/>
          <w:spacing w:val="2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 43/2004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635/2004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747/2004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336/2005</w:t>
      </w:r>
      <w:r w:rsidR="008E5B53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                          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 zákona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209/2007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8/2008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297/2008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="008E5B53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                                  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-1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552/2008 Z.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487/2009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520/2011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547/2011</w:t>
      </w:r>
      <w:r w:rsidR="008E5B53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                          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9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="008E5B53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 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 352/2013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206/2014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388/2015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91/2016</w:t>
      </w:r>
      <w:r w:rsidR="008E5B53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16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 zákona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125/2016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292/2016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237/2017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44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 177/2018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  zákona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373/2018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="008E5B53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340/2020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209/2021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5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 zákona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310/2021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zákona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208/2022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z., zákona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č.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309/2023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Z.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z., </w:t>
      </w:r>
      <w:r w:rsidR="00AC447E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zákona č. 105/2024 Z. z., zákona č. 107/2024 Z. z., zákona č. 334/2024 Z. z.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a zákona č. .../202</w:t>
      </w:r>
      <w:r w:rsidR="00AC447E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5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055D9A"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 xml:space="preserve">Z. z.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sa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mení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Pr="008A2BBF">
        <w:rPr>
          <w:rStyle w:val="awspan"/>
          <w:rFonts w:ascii="Times New Roman" w:hAnsi="Times New Roman" w:cs="Times New Roman"/>
          <w:noProof/>
          <w:spacing w:val="-3"/>
          <w:sz w:val="24"/>
          <w:szCs w:val="24"/>
          <w:lang w:val="sk-SK"/>
        </w:rPr>
        <w:t xml:space="preserve"> </w:t>
      </w:r>
      <w:r w:rsidRPr="008A2BBF">
        <w:rPr>
          <w:rStyle w:val="awspan"/>
          <w:rFonts w:ascii="Times New Roman" w:hAnsi="Times New Roman" w:cs="Times New Roman"/>
          <w:noProof/>
          <w:sz w:val="24"/>
          <w:szCs w:val="24"/>
          <w:lang w:val="sk-SK"/>
        </w:rPr>
        <w:t>dopĺňa takto:</w:t>
      </w:r>
    </w:p>
    <w:p w14:paraId="49123137" w14:textId="77777777" w:rsidR="00A06B4A" w:rsidRPr="008A2BBF" w:rsidRDefault="00A06B4A" w:rsidP="008A2BB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1AF345F" w14:textId="5C99FDBE" w:rsidR="00A233D4" w:rsidRPr="008A2BBF" w:rsidRDefault="00A233D4" w:rsidP="008A2BBF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3 ods. 3 písmeno x) znie: </w:t>
      </w:r>
    </w:p>
    <w:p w14:paraId="0978D291" w14:textId="3D5BD038" w:rsidR="00A233D4" w:rsidRPr="008A2BBF" w:rsidRDefault="00A233D4" w:rsidP="008A2BBF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„x) mnohostranným systémom mnohostranný systém podľa osobitného predpisu,</w:t>
      </w:r>
      <w:r w:rsidRPr="008A2BBF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11ca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)“.</w:t>
      </w:r>
    </w:p>
    <w:p w14:paraId="17D96695" w14:textId="77777777" w:rsidR="00A233D4" w:rsidRPr="008A2BBF" w:rsidRDefault="00A233D4" w:rsidP="008A2BBF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7B32C509" w14:textId="07DBD725" w:rsidR="00A233D4" w:rsidRPr="008A2BBF" w:rsidRDefault="00A233D4" w:rsidP="008A2BBF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Poznámka pod čiarou k odkazu 11ca znie: </w:t>
      </w:r>
    </w:p>
    <w:p w14:paraId="65BDEB98" w14:textId="2278FC67" w:rsidR="00A233D4" w:rsidRPr="008A2BBF" w:rsidRDefault="00A233D4" w:rsidP="008A2BBF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r w:rsidRPr="008A2BBF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11ca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Čl. 2 ods. 1 bod 11 nariadenia Európskeho parlamentu a Rady (EÚ) č. 600/2014 </w:t>
      </w:r>
      <w:r w:rsidR="006679A0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                             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z 15. mája 2014 o trhoch s finančnými nástrojmi, ktorým sa mení nariadenie (EÚ)</w:t>
      </w:r>
      <w:r w:rsidR="006679A0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                             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č. 648/2012 (Ú. v. EÚ L 173, 12. 6. 2014) v platnom znení.“. 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ab/>
      </w:r>
    </w:p>
    <w:p w14:paraId="44655713" w14:textId="77777777" w:rsidR="00A233D4" w:rsidRPr="008A2BBF" w:rsidRDefault="00A233D4" w:rsidP="008A2BB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972F945" w14:textId="1E256321" w:rsidR="00257858" w:rsidRPr="008A2BBF" w:rsidRDefault="00257858" w:rsidP="008A2BBF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14 </w:t>
      </w:r>
      <w:r w:rsidR="009F60A9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sa 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odsek 5 dopĺňa písmenami h) a i), ktoré znejú: </w:t>
      </w:r>
    </w:p>
    <w:p w14:paraId="5AD1A920" w14:textId="1496BBF7" w:rsidR="00257858" w:rsidRPr="008A2BBF" w:rsidRDefault="00257858" w:rsidP="008A2BBF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„h) </w:t>
      </w:r>
      <w:bookmarkStart w:id="69" w:name="_Hlk196463139"/>
      <w:r w:rsidR="00925B6E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vhodné 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opatrenia na zabezpečenie spĺňania noriem kvality údajov </w:t>
      </w:r>
      <w:r w:rsidR="00A233D4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 regulovanom trhu 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podľa osobitného predpisu,</w:t>
      </w:r>
      <w:r w:rsidR="009F60A9" w:rsidRPr="008A2BBF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22a</w:t>
      </w:r>
      <w:r w:rsidR="00500A0F" w:rsidRPr="008A2BBF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b</w:t>
      </w: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 </w:t>
      </w:r>
    </w:p>
    <w:p w14:paraId="38522165" w14:textId="4019466B" w:rsidR="00257858" w:rsidRPr="00380C82" w:rsidRDefault="006679A0" w:rsidP="008A2BBF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 </w:t>
      </w:r>
      <w:r w:rsidR="00257858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i) </w:t>
      </w:r>
      <w:r w:rsidR="00DC2A08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vhodné opatrenia </w:t>
      </w:r>
      <w:r w:rsidR="00A233D4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 cieľom zabezpečiť </w:t>
      </w:r>
      <w:r w:rsidR="00F3206C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obchodovanie </w:t>
      </w:r>
      <w:r w:rsidR="00A233D4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aspoň troch </w:t>
      </w:r>
      <w:r w:rsidR="00AB42B1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skutočne</w:t>
      </w:r>
      <w:r w:rsidR="00F86910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A233D4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>aktívnych členov alebo používateľov</w:t>
      </w:r>
      <w:r w:rsidR="00F3206C" w:rsidRPr="008A2BB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na</w:t>
      </w:r>
      <w:r w:rsidR="00F3206C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regulovanom trhu</w:t>
      </w:r>
      <w:r w:rsidR="00A233D4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</w:t>
      </w:r>
      <w:r w:rsidR="0025785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 ktorých každý má možnosť vstupovať do interakcie s ostatnými členmi alebo používateľmi, </w:t>
      </w:r>
      <w:r w:rsidR="00055D9A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ak</w:t>
      </w:r>
      <w:r w:rsidR="0025785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ide</w:t>
      </w:r>
      <w:r w:rsidR="0043381E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25785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 tvorbu cien</w:t>
      </w:r>
      <w:bookmarkEnd w:id="69"/>
      <w:r w:rsidR="0025785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.“.</w:t>
      </w:r>
    </w:p>
    <w:p w14:paraId="41D7E154" w14:textId="77777777" w:rsidR="00257858" w:rsidRPr="00380C82" w:rsidRDefault="00257858" w:rsidP="00523825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1EC31DA" w14:textId="6DC63112" w:rsidR="00257858" w:rsidRPr="00380C82" w:rsidRDefault="00257858" w:rsidP="00523825">
      <w:pPr>
        <w:spacing w:after="0" w:line="240" w:lineRule="auto"/>
        <w:ind w:left="426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Poznámka pod čiarou k odkazu </w:t>
      </w:r>
      <w:r w:rsidR="009F60A9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22a</w:t>
      </w:r>
      <w:r w:rsidR="00500A0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b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znie:</w:t>
      </w:r>
    </w:p>
    <w:p w14:paraId="2D4145F9" w14:textId="122D1328" w:rsidR="00257858" w:rsidRPr="006679A0" w:rsidRDefault="00257858" w:rsidP="00523825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bookmarkStart w:id="70" w:name="_Hlk194053746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r w:rsidR="009F60A9" w:rsidRPr="00380C8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22a</w:t>
      </w:r>
      <w:r w:rsidR="00500A0F" w:rsidRPr="00380C8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b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Čl. 22b </w:t>
      </w:r>
      <w:r w:rsidRPr="006679A0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nariadenia (EÚ) č. </w:t>
      </w:r>
      <w:r w:rsidR="00000000">
        <w:fldChar w:fldCharType="begin"/>
      </w:r>
      <w:r w:rsidR="00000000" w:rsidRPr="007440DE">
        <w:rPr>
          <w:lang w:val="sk-SK"/>
        </w:rPr>
        <w:instrText>HYPERLINK "http://www.epi.sk/eurlex-rule/32014R0600.htm" \o "Nariadenie Európskeho parlamentu a Rady (EÚ) č. 600/2014 z  15. mája 2014 o trhoch s finančnými nástrojmi, ktorým sa mení nariadenie (EÚ) č. 648/2012 Text s významom pre EHP"</w:instrText>
      </w:r>
      <w:r w:rsidR="00000000">
        <w:fldChar w:fldCharType="separate"/>
      </w:r>
      <w:r w:rsidRPr="006679A0">
        <w:rPr>
          <w:rStyle w:val="Hypertextovprepojenie"/>
          <w:rFonts w:ascii="Times New Roman" w:hAnsi="Times New Roman" w:cs="Times New Roman"/>
          <w:noProof/>
          <w:color w:val="auto"/>
          <w:sz w:val="24"/>
          <w:szCs w:val="24"/>
          <w:u w:val="none"/>
          <w:shd w:val="clear" w:color="auto" w:fill="FFFFFF"/>
          <w:lang w:val="sk-SK"/>
        </w:rPr>
        <w:t>600/2014</w:t>
      </w:r>
      <w:r w:rsidR="00000000">
        <w:rPr>
          <w:rStyle w:val="Hypertextovprepojenie"/>
          <w:rFonts w:ascii="Times New Roman" w:hAnsi="Times New Roman" w:cs="Times New Roman"/>
          <w:noProof/>
          <w:color w:val="auto"/>
          <w:sz w:val="24"/>
          <w:szCs w:val="24"/>
          <w:u w:val="none"/>
          <w:shd w:val="clear" w:color="auto" w:fill="FFFFFF"/>
          <w:lang w:val="sk-SK"/>
        </w:rPr>
        <w:fldChar w:fldCharType="end"/>
      </w:r>
      <w:r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 platnom znení</w:t>
      </w:r>
      <w:r w:rsidRPr="006679A0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.“.</w:t>
      </w:r>
    </w:p>
    <w:bookmarkEnd w:id="70"/>
    <w:p w14:paraId="288B9E68" w14:textId="77777777" w:rsidR="00523825" w:rsidRPr="006679A0" w:rsidRDefault="00523825" w:rsidP="005238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4B19942" w14:textId="44A892A4" w:rsidR="00523825" w:rsidRPr="006679A0" w:rsidRDefault="00523825" w:rsidP="00F86910">
      <w:pPr>
        <w:pStyle w:val="Odsekzoznamu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679A0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872AF4" w:rsidRPr="006679A0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6679A0">
        <w:rPr>
          <w:rFonts w:ascii="Times New Roman" w:hAnsi="Times New Roman" w:cs="Times New Roman"/>
          <w:sz w:val="24"/>
          <w:szCs w:val="24"/>
          <w:lang w:val="sk-SK"/>
        </w:rPr>
        <w:t>nadpis</w:t>
      </w:r>
      <w:r w:rsidR="00872AF4" w:rsidRPr="006679A0">
        <w:rPr>
          <w:rFonts w:ascii="Times New Roman" w:hAnsi="Times New Roman" w:cs="Times New Roman"/>
          <w:sz w:val="24"/>
          <w:szCs w:val="24"/>
          <w:lang w:val="sk-SK"/>
        </w:rPr>
        <w:t xml:space="preserve">e štvrtej časti a v nadpise </w:t>
      </w:r>
      <w:r w:rsidR="000A161F">
        <w:rPr>
          <w:rFonts w:ascii="Times New Roman" w:hAnsi="Times New Roman" w:cs="Times New Roman"/>
          <w:sz w:val="24"/>
          <w:szCs w:val="24"/>
          <w:lang w:val="sk-SK"/>
        </w:rPr>
        <w:t>h</w:t>
      </w:r>
      <w:r w:rsidR="00FD2FAF" w:rsidRPr="006679A0">
        <w:rPr>
          <w:rFonts w:ascii="Times New Roman" w:hAnsi="Times New Roman" w:cs="Times New Roman"/>
          <w:sz w:val="24"/>
          <w:szCs w:val="24"/>
          <w:lang w:val="sk-SK"/>
        </w:rPr>
        <w:t>lavy I</w:t>
      </w:r>
      <w:r w:rsidRPr="006679A0">
        <w:rPr>
          <w:rFonts w:ascii="Times New Roman" w:hAnsi="Times New Roman" w:cs="Times New Roman"/>
          <w:sz w:val="24"/>
          <w:szCs w:val="24"/>
          <w:lang w:val="sk-SK"/>
        </w:rPr>
        <w:t xml:space="preserve"> sa slová „kótovaných cenných papierov“ nahrádzajú slovami „cenných papierov prijatých na trh kótovaných cenných papierov“.  </w:t>
      </w:r>
    </w:p>
    <w:p w14:paraId="7352BED1" w14:textId="77777777" w:rsidR="00523825" w:rsidRPr="006679A0" w:rsidRDefault="00523825" w:rsidP="00523825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0C2EB7B" w14:textId="3BA06B1E" w:rsidR="00872AF4" w:rsidRPr="006679A0" w:rsidRDefault="00F66F17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25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ods</w:t>
      </w:r>
      <w:r w:rsidR="00872AF4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ek</w:t>
      </w:r>
      <w:r w:rsidR="000A161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y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1</w:t>
      </w:r>
      <w:r w:rsidR="000A161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 2 znejú</w:t>
      </w:r>
      <w:r w:rsidR="00E8701E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:</w:t>
      </w:r>
      <w:r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49BC7421" w14:textId="6638A507" w:rsidR="00F66F17" w:rsidRPr="00E35089" w:rsidRDefault="00F66F17" w:rsidP="00E35089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r w:rsidR="00872AF4"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(1) </w:t>
      </w:r>
      <w:bookmarkStart w:id="71" w:name="_Hlk196463197"/>
      <w:r w:rsidR="00523825"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Burza organizuje </w:t>
      </w:r>
      <w:r w:rsidR="00D467F6"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>obchodovanie</w:t>
      </w:r>
      <w:r w:rsidR="00523825"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na </w:t>
      </w:r>
      <w:r w:rsidR="00A233D4"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regulovanom </w:t>
      </w:r>
      <w:r w:rsidR="00523825"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>trhu</w:t>
      </w:r>
      <w:r w:rsidR="00A233D4" w:rsidRPr="006679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bookmarkStart w:id="72" w:name="_Hlk197678271"/>
      <w:r w:rsidR="00A233D4" w:rsidRPr="00E35089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Regulovaný trh </w:t>
      </w:r>
      <w:r w:rsidR="0066654F" w:rsidRPr="00E35089">
        <w:rPr>
          <w:rFonts w:ascii="Times New Roman" w:hAnsi="Times New Roman" w:cs="Times New Roman"/>
          <w:noProof/>
          <w:sz w:val="24"/>
          <w:szCs w:val="24"/>
          <w:lang w:val="sk-SK"/>
        </w:rPr>
        <w:t>tvorí regulovaný voľný trh a</w:t>
      </w:r>
      <w:r w:rsidR="00225499" w:rsidRPr="00E35089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 aj </w:t>
      </w:r>
      <w:r w:rsidR="0066654F" w:rsidRPr="00E35089">
        <w:rPr>
          <w:rFonts w:ascii="Times New Roman" w:hAnsi="Times New Roman" w:cs="Times New Roman"/>
          <w:noProof/>
          <w:sz w:val="24"/>
          <w:szCs w:val="24"/>
          <w:lang w:val="sk-SK"/>
        </w:rPr>
        <w:t>trh kótovaných cenných papierov</w:t>
      </w:r>
      <w:r w:rsidR="00225499" w:rsidRPr="00E35089">
        <w:rPr>
          <w:rFonts w:ascii="Times New Roman" w:hAnsi="Times New Roman" w:cs="Times New Roman"/>
          <w:noProof/>
          <w:sz w:val="24"/>
          <w:szCs w:val="24"/>
          <w:lang w:val="sk-SK"/>
        </w:rPr>
        <w:t>, ak burza takýto trh organizuje</w:t>
      </w:r>
      <w:r w:rsidR="0066654F" w:rsidRPr="00E35089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Regulovaný voľný trh a trh kótovaných cenných papierov môžu mať viac segmentov uvedených v burzových pravidlách. </w:t>
      </w:r>
      <w:bookmarkEnd w:id="71"/>
      <w:bookmarkEnd w:id="72"/>
    </w:p>
    <w:p w14:paraId="08AF69C0" w14:textId="143A2B87" w:rsidR="002207B0" w:rsidRPr="00C115FC" w:rsidRDefault="002207B0" w:rsidP="00E35089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E35089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(2) </w:t>
      </w:r>
      <w:bookmarkStart w:id="73" w:name="_Hlk196463230"/>
      <w:r w:rsidRPr="00E35089">
        <w:rPr>
          <w:rFonts w:ascii="Times New Roman" w:hAnsi="Times New Roman" w:cs="Times New Roman"/>
          <w:noProof/>
          <w:sz w:val="24"/>
          <w:szCs w:val="24"/>
          <w:lang w:val="sk-SK"/>
        </w:rPr>
        <w:t>Regulovaný voľný trh burzy je regulovaným trhom burzy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, na ktorom prijaté cenné papiere a ich emitenti spĺňajú podmienky na prijatie podľa § 29 a 29a. Trh kótovaných cenných papierov je regulovaným trhom burzy, na ktorom prijaté cenné papiere a ich emitenti spĺňajú podmienky na prijatie podľa § 29 až 32</w:t>
      </w:r>
      <w:bookmarkEnd w:id="73"/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.“.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ab/>
      </w:r>
    </w:p>
    <w:p w14:paraId="12BADCC4" w14:textId="77777777" w:rsidR="002207B0" w:rsidRPr="00C115FC" w:rsidRDefault="002207B0" w:rsidP="002207B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72B5CB91" w14:textId="5738821E" w:rsidR="00C33DF4" w:rsidRPr="005F42F8" w:rsidRDefault="00C33DF4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V § 25 ods. 3 a 5 sa slová „osobitného zákona</w:t>
      </w:r>
      <w:r w:rsidR="00DD5058" w:rsidRPr="005F42F8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39</w:t>
      </w:r>
      <w:r w:rsidR="00DD505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“ nahrádzajú slovami „osobitných predpisov</w:t>
      </w:r>
      <w:r w:rsidR="00DD5058" w:rsidRPr="005F42F8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39</w:t>
      </w:r>
      <w:r w:rsidR="00DD5058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“</w:t>
      </w:r>
      <w:r w:rsidR="00A16304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6F16929E" w14:textId="37E1F661" w:rsidR="00C33DF4" w:rsidRPr="00C33DF4" w:rsidRDefault="00C33DF4" w:rsidP="00C33DF4">
      <w:pPr>
        <w:spacing w:after="0" w:line="240" w:lineRule="auto"/>
        <w:jc w:val="both"/>
        <w:rPr>
          <w:rFonts w:ascii="Times New Roman" w:hAnsi="Times New Roman" w:cs="Times New Roman"/>
          <w:noProof/>
          <w:color w:val="0070C0"/>
          <w:sz w:val="24"/>
          <w:szCs w:val="24"/>
          <w:lang w:val="sk-SK"/>
        </w:rPr>
      </w:pPr>
      <w:r w:rsidRPr="00C33DF4">
        <w:rPr>
          <w:rFonts w:ascii="Times New Roman" w:hAnsi="Times New Roman" w:cs="Times New Roman"/>
          <w:noProof/>
          <w:color w:val="0070C0"/>
          <w:sz w:val="24"/>
          <w:szCs w:val="24"/>
          <w:lang w:val="sk-SK"/>
        </w:rPr>
        <w:t xml:space="preserve">  </w:t>
      </w:r>
    </w:p>
    <w:p w14:paraId="0C80D6AD" w14:textId="14449174" w:rsidR="002207B0" w:rsidRPr="00A16304" w:rsidRDefault="002207B0" w:rsidP="00A16304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A16304">
        <w:rPr>
          <w:rFonts w:ascii="Times New Roman" w:hAnsi="Times New Roman" w:cs="Times New Roman"/>
          <w:noProof/>
          <w:sz w:val="24"/>
          <w:szCs w:val="24"/>
          <w:lang w:val="sk-SK"/>
        </w:rPr>
        <w:t>Poznámka pod čiarou k odkazu 39 znie:</w:t>
      </w:r>
    </w:p>
    <w:p w14:paraId="45B85F73" w14:textId="428DCE86" w:rsidR="002207B0" w:rsidRPr="00C115FC" w:rsidRDefault="002207B0" w:rsidP="002207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C115FC">
        <w:rPr>
          <w:rFonts w:ascii="Times New Roman" w:eastAsia="Times New Roman" w:hAnsi="Times New Roman" w:cs="Times New Roman"/>
          <w:bCs/>
          <w:noProof/>
          <w:sz w:val="24"/>
          <w:szCs w:val="24"/>
          <w:lang w:val="sk-SK" w:eastAsia="sk-SK"/>
        </w:rPr>
        <w:lastRenderedPageBreak/>
        <w:t>„</w:t>
      </w:r>
      <w:r w:rsidRPr="00C115FC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val="sk-SK" w:eastAsia="sk-SK"/>
        </w:rPr>
        <w:t>39</w:t>
      </w:r>
      <w:r w:rsidRPr="00C115FC">
        <w:rPr>
          <w:rFonts w:ascii="Times New Roman" w:eastAsia="Times New Roman" w:hAnsi="Times New Roman" w:cs="Times New Roman"/>
          <w:bCs/>
          <w:noProof/>
          <w:sz w:val="24"/>
          <w:szCs w:val="24"/>
          <w:lang w:val="sk-SK" w:eastAsia="sk-SK"/>
        </w:rPr>
        <w:t xml:space="preserve">) </w:t>
      </w:r>
      <w:bookmarkStart w:id="74" w:name="_Hlk194053781"/>
      <w:bookmarkStart w:id="75" w:name="_Hlk196464211"/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Napríklad delegované nariadenie Komisie (EÚ) </w:t>
      </w:r>
      <w:r w:rsidR="00000000">
        <w:fldChar w:fldCharType="begin"/>
      </w:r>
      <w:r w:rsidR="00000000" w:rsidRPr="007440DE">
        <w:rPr>
          <w:lang w:val="sk-SK"/>
        </w:rPr>
        <w:instrText>HYPERLINK "http://eur-lex.europa.eu/legal-content/SK/TXT/HTML/?uri=CELEX%3A32017R0568&amp;qid=1508229881335&amp;from=SK" \o "Delegované nariadenie Komisie (EÚ) 2017/568 z 24. mája 2016, ktorým sa dopĺňa smernica Európskeho parlamentu a Rady 2014/65/EÚ, pokiaľ ide o regulačné technické predpisy pre prijatie finančných nástrojov na obchodovanie na regulovaných trhoch (Text s významom "</w:instrText>
      </w:r>
      <w:r w:rsidR="00000000">
        <w:fldChar w:fldCharType="separate"/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2017/568</w:t>
      </w:r>
      <w:r w:rsidR="0000000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fldChar w:fldCharType="end"/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 z 24. mája 2016, ktorým sa dopĺňa smernica Európskeho parlamentu a Rady </w:t>
      </w:r>
      <w:r w:rsidR="00000000">
        <w:fldChar w:fldCharType="begin"/>
      </w:r>
      <w:r w:rsidR="00000000" w:rsidRPr="007440DE">
        <w:rPr>
          <w:lang w:val="sk-SK"/>
        </w:rPr>
        <w:instrText>HYPERLINK "http://www.epi.sk/eurlex-rule/32014L0065.htm" \o "Smernica Európskeho parlamentu a Rady 2014/65/EÚ z  15. mája 2014 o trhoch s finančnými nástrojmi, ktorou sa mení smernica 2002/92/ES a smernica 2011/61/EÚ Text s významom pre EHP"</w:instrText>
      </w:r>
      <w:r w:rsidR="00000000">
        <w:fldChar w:fldCharType="separate"/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2014/65/EÚ</w:t>
      </w:r>
      <w:r w:rsidR="0000000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fldChar w:fldCharType="end"/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, pokiaľ ide o regulačné technické predpisy pre prijatie finančných nástrojov na obchodovanie na regulovaných trhoch (Ú. v. EÚ L 87, 31. 3. 2017), nariadenie (EÚ) č. </w:t>
      </w:r>
      <w:r w:rsidR="00000000">
        <w:fldChar w:fldCharType="begin"/>
      </w:r>
      <w:r w:rsidR="00000000" w:rsidRPr="007440DE">
        <w:rPr>
          <w:lang w:val="sk-SK"/>
        </w:rPr>
        <w:instrText>HYPERLINK "http://www.epi.sk/eurlex-rule/32014R0600.htm" \o "Nariadenie Európskeho parlamentu a Rady (EÚ) č. 600/2014 z  15. mája 2014 o trhoch s finančnými nástrojmi, ktorým sa mení nariadenie (EÚ) č. 648/2012 Text s významom pre EHP"</w:instrText>
      </w:r>
      <w:r w:rsidR="00000000">
        <w:fldChar w:fldCharType="separate"/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600/2014</w:t>
      </w:r>
      <w:r w:rsidR="0000000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fldChar w:fldCharType="end"/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 v platnom znení</w:t>
      </w:r>
      <w:bookmarkEnd w:id="74"/>
      <w:r w:rsidR="00054188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, zákon č. 530/1990 Zb. o dlhopisoch v znení neskorších predpisov, zákon č. 566/2001 Z. z. v znení neskorších predpisov</w:t>
      </w:r>
      <w:bookmarkEnd w:id="75"/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“</w:t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</w:t>
      </w:r>
    </w:p>
    <w:p w14:paraId="2A063E63" w14:textId="77777777" w:rsidR="00F66F17" w:rsidRPr="00C115FC" w:rsidRDefault="00F66F17" w:rsidP="00523825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F1D028C" w14:textId="3629A36B" w:rsidR="00257858" w:rsidRPr="00C115FC" w:rsidRDefault="00257858" w:rsidP="007F38B3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25 sa dopĺňa odsekom </w:t>
      </w:r>
      <w:r w:rsidR="00717092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8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ktorý znie: </w:t>
      </w:r>
    </w:p>
    <w:p w14:paraId="36F76D22" w14:textId="1A62D533" w:rsidR="00257858" w:rsidRPr="00380C82" w:rsidRDefault="00257858" w:rsidP="008A2BBF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76" w:name="_Hlk193896548"/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„(</w:t>
      </w:r>
      <w:r w:rsidR="00717092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8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bookmarkStart w:id="77" w:name="_Hlk196463343"/>
      <w:r w:rsidR="001C62B5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Ak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ide o akcie s</w:t>
      </w:r>
      <w:r w:rsidR="00621D1E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 kódom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ISIN vydaným  mimo Európskeho hospodárskeho priestoru, alebo</w:t>
      </w:r>
      <w:r w:rsidR="0043381E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621D1E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ak ide </w:t>
      </w:r>
      <w:r w:rsidR="001C62B5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akcie, ktoré majú </w:t>
      </w:r>
      <w:r w:rsidR="00621D1E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kód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ISIN vydaný v rámci Európskeho hospodárskeho priestoru a s ktorými sa obchoduje na obchodnom mieste v nečlenskom štáte v</w:t>
      </w:r>
      <w:r w:rsidR="00A62913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mene</w:t>
      </w:r>
      <w:r w:rsidR="00A62913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tohto nečlenského štátu</w:t>
      </w:r>
      <w:r w:rsidR="00667AFC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alebo v mene, ktorá nie je menou </w:t>
      </w:r>
      <w:r w:rsidR="00621D1E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používanou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 rámci Európskeho hospodárskeho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priestoru,</w:t>
      </w:r>
      <w:r w:rsidR="00C77D00" w:rsidRPr="00380C8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40a</w:t>
      </w:r>
      <w:r w:rsidR="00C77D0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pre ktoré sa obchodné miesto, ktoré je najvýznamnejším trhom z hľadiska likvidity,</w:t>
      </w:r>
      <w:r w:rsidR="009E0E82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nachádza v nečlenskom štáte, môže regulovaný trh </w:t>
      </w:r>
      <w:r w:rsidR="00055D9A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určiť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rovnakú veľkosť tiku, aká sa uplatňuje na obchodnom mieste</w:t>
      </w:r>
      <w:r w:rsidR="00621D1E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, ktoré je najvýznamnejším trhom z hľadiska likvidity</w:t>
      </w:r>
      <w:bookmarkEnd w:id="77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.“.</w:t>
      </w:r>
    </w:p>
    <w:bookmarkEnd w:id="76"/>
    <w:p w14:paraId="4D2274A3" w14:textId="77777777" w:rsidR="00257858" w:rsidRPr="00380C82" w:rsidRDefault="00257858" w:rsidP="00627296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DE16F66" w14:textId="6CC790A9" w:rsidR="00257858" w:rsidRPr="00380C82" w:rsidRDefault="00257858" w:rsidP="008A2BBF">
      <w:pPr>
        <w:spacing w:after="0" w:line="240" w:lineRule="auto"/>
        <w:ind w:left="426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Poznámka pod čiarou k odkazu </w:t>
      </w:r>
      <w:r w:rsidR="009F60A9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40a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znie:</w:t>
      </w:r>
    </w:p>
    <w:p w14:paraId="0C7B8243" w14:textId="036EA220" w:rsidR="00257858" w:rsidRPr="00380C82" w:rsidRDefault="00257858" w:rsidP="008A2BBF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</w:pPr>
      <w:bookmarkStart w:id="78" w:name="_Hlk194053813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r w:rsidR="009F60A9" w:rsidRPr="00380C8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40a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Čl. </w:t>
      </w:r>
      <w:r w:rsidRPr="00380C8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23 ods. 1 písm. a) nariadenia (EÚ) č. 600/2014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v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platnom znení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.“.</w:t>
      </w:r>
    </w:p>
    <w:bookmarkEnd w:id="78"/>
    <w:p w14:paraId="0893CA9C" w14:textId="77777777" w:rsidR="00D467F6" w:rsidRPr="00380C82" w:rsidRDefault="00D467F6" w:rsidP="00D467F6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9862A78" w14:textId="3E7962B6" w:rsidR="00C77D00" w:rsidRPr="00380C82" w:rsidRDefault="003D75FB" w:rsidP="00212B22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C77D0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V § 26 ods. 2 sa vypúšťajú slová „(ďalej len „žiadosť o kótovanie“)“.</w:t>
      </w:r>
    </w:p>
    <w:p w14:paraId="3B18260B" w14:textId="77777777" w:rsidR="00C77D00" w:rsidRPr="00C77D00" w:rsidRDefault="00C77D00" w:rsidP="00C77D00">
      <w:pPr>
        <w:pStyle w:val="Odsekzoznamu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F5BA9B1" w14:textId="070442DF" w:rsidR="00212B22" w:rsidRPr="00C115FC" w:rsidRDefault="00212B22" w:rsidP="00212B22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Poznámka pod čiarou k odkazu 39a znie:</w:t>
      </w:r>
    </w:p>
    <w:p w14:paraId="3A89C644" w14:textId="77777777" w:rsidR="00212B22" w:rsidRPr="00C115FC" w:rsidRDefault="00212B22" w:rsidP="00212B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C115FC">
        <w:rPr>
          <w:rFonts w:ascii="Times New Roman" w:eastAsia="Times New Roman" w:hAnsi="Times New Roman" w:cs="Times New Roman"/>
          <w:bCs/>
          <w:noProof/>
          <w:sz w:val="24"/>
          <w:szCs w:val="24"/>
          <w:lang w:val="sk-SK" w:eastAsia="sk-SK"/>
        </w:rPr>
        <w:t>„</w:t>
      </w:r>
      <w:r w:rsidRPr="00C115FC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val="sk-SK" w:eastAsia="sk-SK"/>
        </w:rPr>
        <w:t>39a</w:t>
      </w:r>
      <w:r w:rsidRPr="00C115FC">
        <w:rPr>
          <w:rFonts w:ascii="Times New Roman" w:eastAsia="Times New Roman" w:hAnsi="Times New Roman" w:cs="Times New Roman"/>
          <w:bCs/>
          <w:noProof/>
          <w:sz w:val="24"/>
          <w:szCs w:val="24"/>
          <w:lang w:val="sk-SK" w:eastAsia="sk-SK"/>
        </w:rPr>
        <w:t xml:space="preserve">) </w:t>
      </w:r>
      <w:bookmarkStart w:id="79" w:name="_Hlk196464257"/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§ 7 ods. 26 zákona č. 566/2001 Z. z. v znení neskorších predpisov</w:t>
      </w:r>
      <w:bookmarkEnd w:id="79"/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.“.</w:t>
      </w:r>
    </w:p>
    <w:p w14:paraId="1D0F2374" w14:textId="5287E5CF" w:rsidR="00F77C47" w:rsidRPr="00C115FC" w:rsidRDefault="00F77C47" w:rsidP="003D75FB">
      <w:pPr>
        <w:spacing w:after="0" w:line="278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0696943" w14:textId="1ABB0EE3" w:rsidR="008202B4" w:rsidRPr="00C115FC" w:rsidRDefault="008202B4" w:rsidP="00F86910">
      <w:pPr>
        <w:pStyle w:val="Odsekzoznamu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V § 26 ods</w:t>
      </w:r>
      <w:r w:rsidR="00C77D0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5 sa vypúšťajú slová „a žiadosť o prijatie cenného papiera na regulovaný voľný trh“.</w:t>
      </w:r>
    </w:p>
    <w:p w14:paraId="66F7F1E0" w14:textId="77777777" w:rsidR="008202B4" w:rsidRPr="00C115FC" w:rsidRDefault="008202B4" w:rsidP="008202B4">
      <w:pPr>
        <w:pStyle w:val="Odsekzoznamu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2C5FAD05" w14:textId="772D72AE" w:rsidR="009D3A61" w:rsidRPr="00C115FC" w:rsidRDefault="004670E0" w:rsidP="00F86910">
      <w:pPr>
        <w:pStyle w:val="Odsekzoznamu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</w:t>
      </w:r>
      <w:r w:rsidR="0091740C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§ 2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6 ods. </w:t>
      </w:r>
      <w:r w:rsidR="00A0018A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6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sa slová</w:t>
      </w:r>
      <w:r w:rsidR="002562AC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„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aj § 33</w:t>
      </w:r>
      <w:r w:rsidR="002562AC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“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nahrádzajú slovami </w:t>
      </w:r>
      <w:r w:rsidR="002562AC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bookmarkStart w:id="80" w:name="_Hlk193896947"/>
      <w:r w:rsidR="00A0018A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aj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koordinácia viacerých búrz</w:t>
      </w:r>
      <w:bookmarkEnd w:id="80"/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“ a slová „</w:t>
      </w:r>
      <w:r w:rsidR="00A0018A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postup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podľa § 33“ sa nahrádzajú slovami „</w:t>
      </w:r>
      <w:r w:rsidRPr="00B24DED">
        <w:rPr>
          <w:rFonts w:ascii="Times New Roman" w:hAnsi="Times New Roman" w:cs="Times New Roman"/>
          <w:noProof/>
          <w:sz w:val="24"/>
          <w:szCs w:val="24"/>
          <w:lang w:val="sk-SK"/>
        </w:rPr>
        <w:t>koordináci</w:t>
      </w:r>
      <w:r w:rsidR="00C77D00" w:rsidRPr="00B24DED">
        <w:rPr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Pr="00B24DED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via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cerých búrz“.</w:t>
      </w:r>
    </w:p>
    <w:p w14:paraId="35523E27" w14:textId="402FFC2A" w:rsidR="002207B0" w:rsidRPr="00C115FC" w:rsidRDefault="002207B0" w:rsidP="008202B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ab/>
      </w:r>
    </w:p>
    <w:p w14:paraId="24A2E7C1" w14:textId="6E8D063A" w:rsidR="00D245DD" w:rsidRPr="00380C82" w:rsidRDefault="00D245DD" w:rsidP="00B24DED">
      <w:pPr>
        <w:pStyle w:val="Bezriadkovania"/>
        <w:numPr>
          <w:ilvl w:val="0"/>
          <w:numId w:val="72"/>
        </w:numPr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V § 26 ods</w:t>
      </w:r>
      <w:r w:rsidR="00C77D0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10 sa slová „v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celoštátnej tlači uverejňujúcej burzové správy“ nahrádzajú  slovami „na svojom webovom sídle“.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ab/>
      </w:r>
    </w:p>
    <w:p w14:paraId="0B4CC69C" w14:textId="77777777" w:rsidR="00947640" w:rsidRPr="00380C82" w:rsidRDefault="00947640" w:rsidP="00947640">
      <w:pPr>
        <w:pStyle w:val="Odsekzoznamu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1A8B029" w14:textId="4BAA2C7C" w:rsidR="00A0018A" w:rsidRPr="00C115FC" w:rsidRDefault="009E0E82" w:rsidP="00F86910">
      <w:pPr>
        <w:pStyle w:val="Odsekzoznamu"/>
        <w:numPr>
          <w:ilvl w:val="0"/>
          <w:numId w:val="72"/>
        </w:numPr>
        <w:spacing w:after="0" w:line="278" w:lineRule="auto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V § 29 ods</w:t>
      </w:r>
      <w:r w:rsidR="00A0018A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1</w:t>
      </w:r>
      <w:r w:rsidR="00A0018A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písm</w:t>
      </w:r>
      <w:r w:rsidR="00C77D0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r w:rsidR="00A0018A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g) sa za slovo „zákon“ vkladajú</w:t>
      </w:r>
      <w:r w:rsidR="00A0018A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slová „alebo osobitný predpis</w:t>
      </w:r>
      <w:r w:rsidR="00A0018A" w:rsidRPr="00C115FC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47a</w:t>
      </w:r>
      <w:r w:rsidR="00A0018A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)“.</w:t>
      </w:r>
    </w:p>
    <w:p w14:paraId="0B3126E8" w14:textId="77777777" w:rsidR="00EF5625" w:rsidRPr="00380C82" w:rsidRDefault="00EF5625" w:rsidP="00627296">
      <w:pPr>
        <w:spacing w:after="0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2956BFB" w14:textId="68107FE8" w:rsidR="00A0018A" w:rsidRPr="00380C82" w:rsidRDefault="00A0018A" w:rsidP="00627296">
      <w:pPr>
        <w:spacing w:after="0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Poznámka pod čiarou k odkazu 47a znie:</w:t>
      </w:r>
    </w:p>
    <w:p w14:paraId="34400921" w14:textId="1AC091F3" w:rsidR="00A0018A" w:rsidRPr="00380C82" w:rsidRDefault="00A0018A" w:rsidP="00627296">
      <w:pPr>
        <w:spacing w:after="0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81" w:name="_Hlk196464315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r w:rsidRPr="00380C8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47a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proofErr w:type="spellStart"/>
      <w:r w:rsidRPr="00380C82">
        <w:rPr>
          <w:rFonts w:ascii="Times New Roman" w:eastAsia="Times New Roman" w:hAnsi="Times New Roman" w:cs="Times New Roman"/>
          <w:sz w:val="24"/>
          <w:szCs w:val="24"/>
        </w:rPr>
        <w:t>Čl</w:t>
      </w:r>
      <w:proofErr w:type="spellEnd"/>
      <w:r w:rsidRPr="00380C82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380C82">
        <w:rPr>
          <w:rFonts w:ascii="Times New Roman" w:eastAsia="Times New Roman" w:hAnsi="Times New Roman" w:cs="Times New Roman"/>
          <w:sz w:val="24"/>
          <w:szCs w:val="24"/>
        </w:rPr>
        <w:t>nariadenia</w:t>
      </w:r>
      <w:proofErr w:type="spellEnd"/>
      <w:r w:rsidRPr="00380C82">
        <w:rPr>
          <w:rFonts w:ascii="Times New Roman" w:eastAsia="Times New Roman" w:hAnsi="Times New Roman" w:cs="Times New Roman"/>
          <w:sz w:val="24"/>
          <w:szCs w:val="24"/>
        </w:rPr>
        <w:t xml:space="preserve"> (EÚ) 2017/1129 v </w:t>
      </w:r>
      <w:proofErr w:type="spellStart"/>
      <w:r w:rsidRPr="00380C82">
        <w:rPr>
          <w:rFonts w:ascii="Times New Roman" w:eastAsia="Times New Roman" w:hAnsi="Times New Roman" w:cs="Times New Roman"/>
          <w:sz w:val="24"/>
          <w:szCs w:val="24"/>
        </w:rPr>
        <w:t>platnom</w:t>
      </w:r>
      <w:proofErr w:type="spellEnd"/>
      <w:r w:rsidRPr="00380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0C82">
        <w:rPr>
          <w:rFonts w:ascii="Times New Roman" w:eastAsia="Times New Roman" w:hAnsi="Times New Roman" w:cs="Times New Roman"/>
          <w:sz w:val="24"/>
          <w:szCs w:val="24"/>
        </w:rPr>
        <w:t>znení</w:t>
      </w:r>
      <w:proofErr w:type="spellEnd"/>
      <w:r w:rsidRPr="00380C82">
        <w:rPr>
          <w:rFonts w:ascii="Times New Roman" w:eastAsia="Times New Roman" w:hAnsi="Times New Roman" w:cs="Times New Roman"/>
          <w:sz w:val="24"/>
          <w:szCs w:val="24"/>
        </w:rPr>
        <w:t>.”.</w:t>
      </w:r>
    </w:p>
    <w:bookmarkEnd w:id="81"/>
    <w:p w14:paraId="3BC4BBFA" w14:textId="77777777" w:rsidR="004D07F8" w:rsidRPr="00380C82" w:rsidRDefault="004D07F8" w:rsidP="00627296">
      <w:pPr>
        <w:spacing w:after="0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20A1A496" w14:textId="20DACAC2" w:rsidR="004D07F8" w:rsidRPr="00380C82" w:rsidRDefault="004D07F8" w:rsidP="004D07F8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V § 29 ods. 1 písm</w:t>
      </w:r>
      <w:r w:rsidR="0058699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i) </w:t>
      </w:r>
      <w:r w:rsidR="0058699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sa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 konci </w:t>
      </w:r>
      <w:r w:rsidR="0058699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pripájajú tieto slová: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„ani pre fondy s premenlivým základným imaním“.</w:t>
      </w:r>
    </w:p>
    <w:p w14:paraId="21AB4C69" w14:textId="7A90D0A8" w:rsidR="004D07F8" w:rsidRPr="004D07F8" w:rsidRDefault="004D07F8" w:rsidP="004D07F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4D07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4F8BCD1B" w14:textId="056C2A9C" w:rsidR="00947640" w:rsidRPr="00C115FC" w:rsidRDefault="00947640" w:rsidP="00F86910">
      <w:pPr>
        <w:pStyle w:val="Odsekzoznamu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V § 29 ods. 4 sa slová „podľa § 33“ nahrádzajú slovami „koordinácie viacerých búrz“.</w:t>
      </w:r>
    </w:p>
    <w:p w14:paraId="4A7F6CC2" w14:textId="77777777" w:rsidR="00947640" w:rsidRPr="00C115FC" w:rsidRDefault="00947640" w:rsidP="0094764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4BB4F5D" w14:textId="569750E7" w:rsidR="0089595A" w:rsidRPr="00C115FC" w:rsidRDefault="00D245DD" w:rsidP="00F86910">
      <w:pPr>
        <w:pStyle w:val="Odsekzoznamu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Za </w:t>
      </w:r>
      <w:r w:rsidR="006106E1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29 sa vkladá § 29a, ktorý vrátane</w:t>
      </w:r>
      <w:r w:rsidR="006106E1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nadpisu </w:t>
      </w:r>
      <w:r w:rsidR="0089595A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znie:</w:t>
      </w:r>
    </w:p>
    <w:p w14:paraId="00E09475" w14:textId="6FDAA50A" w:rsidR="0089595A" w:rsidRPr="00C115FC" w:rsidRDefault="0089595A" w:rsidP="0062729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„§ </w:t>
      </w:r>
      <w:r w:rsidR="00D245DD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29a</w:t>
      </w:r>
    </w:p>
    <w:p w14:paraId="42AC05AD" w14:textId="77777777" w:rsidR="0089595A" w:rsidRPr="00C115FC" w:rsidRDefault="0089595A" w:rsidP="0062729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</w:pPr>
      <w:bookmarkStart w:id="82" w:name="_Hlk193897133"/>
      <w:r w:rsidRPr="00C115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k-SK" w:eastAsia="sk-SK"/>
        </w:rPr>
        <w:t>Osobitné podmienky pre prijatie akcií na obchodovanie</w:t>
      </w:r>
    </w:p>
    <w:p w14:paraId="5C628807" w14:textId="014C5926" w:rsidR="0089595A" w:rsidRPr="00C115FC" w:rsidRDefault="0089595A" w:rsidP="00A808CA">
      <w:pPr>
        <w:pStyle w:val="oj-normal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noProof/>
        </w:rPr>
      </w:pPr>
      <w:bookmarkStart w:id="83" w:name="_Hlk196463461"/>
      <w:r w:rsidRPr="00C115FC">
        <w:rPr>
          <w:noProof/>
        </w:rPr>
        <w:lastRenderedPageBreak/>
        <w:t xml:space="preserve">Burza je povinná požadovať, aby predpokladaná trhová kapitalizácia emitenta, pre akcie ktorého sa žiada o prijatie na obchodovanie, alebo ak to nie je možné posúdiť, </w:t>
      </w:r>
      <w:r w:rsidR="00F716C2" w:rsidRPr="00C115FC">
        <w:rPr>
          <w:noProof/>
        </w:rPr>
        <w:t>vlastné imanie</w:t>
      </w:r>
      <w:r w:rsidRPr="00C115FC">
        <w:rPr>
          <w:noProof/>
        </w:rPr>
        <w:t xml:space="preserve"> tohto emitenta vrátane zisku a straty za posledné účtovné obdobie, </w:t>
      </w:r>
      <w:r w:rsidR="00667AFC" w:rsidRPr="00C115FC">
        <w:rPr>
          <w:noProof/>
        </w:rPr>
        <w:t>bol</w:t>
      </w:r>
      <w:r w:rsidR="00450209" w:rsidRPr="00C115FC">
        <w:rPr>
          <w:noProof/>
        </w:rPr>
        <w:t>a</w:t>
      </w:r>
      <w:r w:rsidRPr="00C115FC">
        <w:rPr>
          <w:noProof/>
        </w:rPr>
        <w:t xml:space="preserve"> najmenej 1 000 000 </w:t>
      </w:r>
      <w:r w:rsidR="00DC50CE" w:rsidRPr="00C115FC">
        <w:rPr>
          <w:noProof/>
        </w:rPr>
        <w:t>eur</w:t>
      </w:r>
      <w:r w:rsidR="00A2460A" w:rsidRPr="00C115FC">
        <w:rPr>
          <w:noProof/>
        </w:rPr>
        <w:t xml:space="preserve"> alebo ekvivalent</w:t>
      </w:r>
      <w:r w:rsidR="00450209" w:rsidRPr="00C115FC">
        <w:rPr>
          <w:noProof/>
        </w:rPr>
        <w:t xml:space="preserve"> tejto</w:t>
      </w:r>
      <w:r w:rsidR="00A2460A" w:rsidRPr="00C115FC">
        <w:rPr>
          <w:noProof/>
        </w:rPr>
        <w:t xml:space="preserve"> sum</w:t>
      </w:r>
      <w:r w:rsidR="00450209" w:rsidRPr="00C115FC">
        <w:rPr>
          <w:noProof/>
        </w:rPr>
        <w:t>y</w:t>
      </w:r>
      <w:r w:rsidR="00A2460A" w:rsidRPr="00C115FC">
        <w:rPr>
          <w:noProof/>
        </w:rPr>
        <w:t xml:space="preserve"> v</w:t>
      </w:r>
      <w:r w:rsidR="003F7D7B" w:rsidRPr="00C115FC">
        <w:rPr>
          <w:noProof/>
        </w:rPr>
        <w:t> </w:t>
      </w:r>
      <w:r w:rsidR="00A2460A" w:rsidRPr="00C115FC">
        <w:rPr>
          <w:noProof/>
        </w:rPr>
        <w:t>mene inej ako euro</w:t>
      </w:r>
      <w:r w:rsidRPr="00C115FC">
        <w:rPr>
          <w:noProof/>
        </w:rPr>
        <w:t>.</w:t>
      </w:r>
    </w:p>
    <w:p w14:paraId="14A8B138" w14:textId="662E37DD" w:rsidR="003F7D7B" w:rsidRPr="00380C82" w:rsidRDefault="003F7D7B" w:rsidP="00A808CA">
      <w:pPr>
        <w:pStyle w:val="oj-normal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noProof/>
        </w:rPr>
      </w:pPr>
      <w:r w:rsidRPr="00C115FC">
        <w:rPr>
          <w:noProof/>
        </w:rPr>
        <w:t xml:space="preserve">Ak v dôsledku </w:t>
      </w:r>
      <w:r w:rsidRPr="00380C82">
        <w:rPr>
          <w:noProof/>
        </w:rPr>
        <w:t>úpravy ekvivalentnej sumy v mene inej ako euro trhová kapitalizácia vyjadrená v </w:t>
      </w:r>
      <w:r w:rsidR="009F7A66" w:rsidRPr="00380C82">
        <w:rPr>
          <w:noProof/>
        </w:rPr>
        <w:t>inej</w:t>
      </w:r>
      <w:r w:rsidRPr="00380C82">
        <w:rPr>
          <w:noProof/>
        </w:rPr>
        <w:t xml:space="preserve"> mene zostane počas jedného roka najmenej o 10 % vyššia alebo najmenej o 10 % nižšia než 1 000 000 eur, </w:t>
      </w:r>
      <w:r w:rsidR="00523825" w:rsidRPr="00380C82">
        <w:rPr>
          <w:noProof/>
        </w:rPr>
        <w:t>trhová kapitalizácia sa primerane upraví</w:t>
      </w:r>
      <w:r w:rsidRPr="00380C82">
        <w:rPr>
          <w:noProof/>
        </w:rPr>
        <w:t xml:space="preserve"> tak, aby bol</w:t>
      </w:r>
      <w:r w:rsidR="00523825" w:rsidRPr="00380C82">
        <w:rPr>
          <w:noProof/>
        </w:rPr>
        <w:t>a</w:t>
      </w:r>
      <w:r w:rsidRPr="00380C82">
        <w:rPr>
          <w:noProof/>
        </w:rPr>
        <w:t xml:space="preserve"> v súlade s odsekom 1.        </w:t>
      </w:r>
    </w:p>
    <w:p w14:paraId="4B09531A" w14:textId="30A9CDD6" w:rsidR="0089595A" w:rsidRPr="00380C82" w:rsidRDefault="001A3CF2" w:rsidP="00A808CA">
      <w:pPr>
        <w:pStyle w:val="oj-normal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noProof/>
        </w:rPr>
      </w:pPr>
      <w:bookmarkStart w:id="84" w:name="_Hlk197349186"/>
      <w:r w:rsidRPr="00380C82">
        <w:rPr>
          <w:noProof/>
        </w:rPr>
        <w:t>N</w:t>
      </w:r>
      <w:r w:rsidR="0089595A" w:rsidRPr="00380C82">
        <w:rPr>
          <w:noProof/>
        </w:rPr>
        <w:t>a prijatie akcií na obchodovanie, ktoré sú zastupiteľné akciami už prijatými na obchodovanie</w:t>
      </w:r>
      <w:r w:rsidRPr="00380C82">
        <w:rPr>
          <w:noProof/>
        </w:rPr>
        <w:t>, sa nevzťahuje odsek 1</w:t>
      </w:r>
      <w:bookmarkEnd w:id="84"/>
      <w:r w:rsidR="0089595A" w:rsidRPr="00380C82">
        <w:rPr>
          <w:noProof/>
        </w:rPr>
        <w:t>.</w:t>
      </w:r>
    </w:p>
    <w:p w14:paraId="3FC5EF20" w14:textId="1A703821" w:rsidR="0089595A" w:rsidRPr="00380C82" w:rsidRDefault="0089595A" w:rsidP="00A808CA">
      <w:pPr>
        <w:pStyle w:val="oj-normal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noProof/>
        </w:rPr>
      </w:pPr>
      <w:r w:rsidRPr="00380C82">
        <w:rPr>
          <w:noProof/>
        </w:rPr>
        <w:t xml:space="preserve">Burza je povinná požadovať, aby aspoň 10 % upísaného základného imania, ktoré predstavuje </w:t>
      </w:r>
      <w:r w:rsidR="004E3EC0" w:rsidRPr="00380C82">
        <w:rPr>
          <w:noProof/>
        </w:rPr>
        <w:t>trieda</w:t>
      </w:r>
      <w:r w:rsidRPr="00380C82">
        <w:rPr>
          <w:noProof/>
        </w:rPr>
        <w:t xml:space="preserve"> akcií, ktorej sa týka žiadosť o prijatie </w:t>
      </w:r>
      <w:r w:rsidR="001A3CF2" w:rsidRPr="00380C82">
        <w:rPr>
          <w:noProof/>
        </w:rPr>
        <w:t xml:space="preserve">akcií </w:t>
      </w:r>
      <w:r w:rsidRPr="00380C82">
        <w:rPr>
          <w:noProof/>
        </w:rPr>
        <w:t>na obchodovanie, bolo v čase prijatia na obchodovanie v držbe verejnosti.</w:t>
      </w:r>
    </w:p>
    <w:p w14:paraId="4D4AB0E3" w14:textId="0434C6C3" w:rsidR="00DC50CE" w:rsidRPr="00380C82" w:rsidRDefault="001A3CF2" w:rsidP="00A808CA">
      <w:pPr>
        <w:pStyle w:val="oj-normal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noProof/>
        </w:rPr>
      </w:pPr>
      <w:r w:rsidRPr="00380C82">
        <w:rPr>
          <w:noProof/>
        </w:rPr>
        <w:t>B</w:t>
      </w:r>
      <w:r w:rsidR="00DC50CE" w:rsidRPr="00380C82">
        <w:rPr>
          <w:noProof/>
        </w:rPr>
        <w:t>urza môže</w:t>
      </w:r>
      <w:r w:rsidR="0058699F" w:rsidRPr="00380C82">
        <w:rPr>
          <w:noProof/>
        </w:rPr>
        <w:t>,</w:t>
      </w:r>
      <w:r w:rsidRPr="00380C82">
        <w:rPr>
          <w:noProof/>
        </w:rPr>
        <w:t xml:space="preserve"> inak ako je ustanovené v odseku 4</w:t>
      </w:r>
      <w:r w:rsidR="0058699F" w:rsidRPr="00380C82">
        <w:rPr>
          <w:noProof/>
        </w:rPr>
        <w:t>,</w:t>
      </w:r>
      <w:r w:rsidRPr="00380C82">
        <w:rPr>
          <w:noProof/>
        </w:rPr>
        <w:t xml:space="preserve"> </w:t>
      </w:r>
      <w:r w:rsidR="00DC50CE" w:rsidRPr="00380C82">
        <w:rPr>
          <w:noProof/>
        </w:rPr>
        <w:t xml:space="preserve"> </w:t>
      </w:r>
      <w:r w:rsidR="00055D9A" w:rsidRPr="00380C82">
        <w:rPr>
          <w:noProof/>
        </w:rPr>
        <w:t>určiť</w:t>
      </w:r>
      <w:r w:rsidR="00DC50CE" w:rsidRPr="00380C82">
        <w:rPr>
          <w:noProof/>
        </w:rPr>
        <w:t xml:space="preserve"> pre žiadosť o prijatie akcií na obchodovanie v čase prijatia</w:t>
      </w:r>
      <w:r w:rsidR="00C62C3C" w:rsidRPr="00380C82">
        <w:rPr>
          <w:noProof/>
        </w:rPr>
        <w:t xml:space="preserve"> na obchodovanie</w:t>
      </w:r>
      <w:r w:rsidR="00DC50CE" w:rsidRPr="00380C82">
        <w:rPr>
          <w:noProof/>
        </w:rPr>
        <w:t xml:space="preserve"> aspoň jednu z týchto požiadaviek:</w:t>
      </w:r>
    </w:p>
    <w:p w14:paraId="4570CB88" w14:textId="3DC21AE6" w:rsidR="00DC50CE" w:rsidRPr="00380C82" w:rsidRDefault="00DC50CE" w:rsidP="00A808CA">
      <w:pPr>
        <w:pStyle w:val="oj-normal"/>
        <w:shd w:val="clear" w:color="auto" w:fill="FFFFFF"/>
        <w:spacing w:before="0" w:beforeAutospacing="0" w:after="0" w:afterAutospacing="0"/>
        <w:ind w:left="1133" w:hanging="425"/>
        <w:jc w:val="both"/>
        <w:rPr>
          <w:noProof/>
        </w:rPr>
      </w:pPr>
      <w:r w:rsidRPr="00380C82">
        <w:rPr>
          <w:noProof/>
        </w:rPr>
        <w:t>a)</w:t>
      </w:r>
      <w:r w:rsidRPr="00380C82">
        <w:rPr>
          <w:noProof/>
        </w:rPr>
        <w:tab/>
        <w:t>verejnosť má v držbe dostatočný počet akcií</w:t>
      </w:r>
      <w:r w:rsidR="00100C17" w:rsidRPr="00380C82">
        <w:rPr>
          <w:noProof/>
        </w:rPr>
        <w:t>,</w:t>
      </w:r>
    </w:p>
    <w:p w14:paraId="133CFCCC" w14:textId="32ED7FBA" w:rsidR="00DC50CE" w:rsidRPr="00380C82" w:rsidRDefault="00DC50CE" w:rsidP="00A808CA">
      <w:pPr>
        <w:pStyle w:val="oj-normal"/>
        <w:shd w:val="clear" w:color="auto" w:fill="FFFFFF"/>
        <w:spacing w:before="0" w:beforeAutospacing="0" w:after="0" w:afterAutospacing="0"/>
        <w:ind w:left="1133" w:hanging="425"/>
        <w:jc w:val="both"/>
        <w:rPr>
          <w:noProof/>
        </w:rPr>
      </w:pPr>
      <w:r w:rsidRPr="00380C82">
        <w:rPr>
          <w:noProof/>
        </w:rPr>
        <w:t>b)</w:t>
      </w:r>
      <w:r w:rsidRPr="00380C82">
        <w:rPr>
          <w:noProof/>
        </w:rPr>
        <w:tab/>
        <w:t>akcie sú v držbe dostatočného počtu akcionárov</w:t>
      </w:r>
      <w:r w:rsidR="00100C17" w:rsidRPr="00380C82">
        <w:rPr>
          <w:noProof/>
        </w:rPr>
        <w:t>,</w:t>
      </w:r>
    </w:p>
    <w:p w14:paraId="487FF81A" w14:textId="77777777" w:rsidR="00DC50CE" w:rsidRPr="00C115FC" w:rsidRDefault="00DC50CE" w:rsidP="00A808CA">
      <w:pPr>
        <w:pStyle w:val="oj-normal"/>
        <w:shd w:val="clear" w:color="auto" w:fill="FFFFFF"/>
        <w:spacing w:before="0" w:beforeAutospacing="0" w:after="0" w:afterAutospacing="0"/>
        <w:ind w:left="1133" w:hanging="425"/>
        <w:jc w:val="both"/>
        <w:rPr>
          <w:noProof/>
        </w:rPr>
      </w:pPr>
      <w:r w:rsidRPr="00C115FC">
        <w:rPr>
          <w:noProof/>
        </w:rPr>
        <w:t>c)</w:t>
      </w:r>
      <w:r w:rsidRPr="00C115FC">
        <w:rPr>
          <w:noProof/>
        </w:rPr>
        <w:tab/>
        <w:t xml:space="preserve"> trhová hodnota akcií v držbe verejnosti predstavuje dostatočnú úroveň upísaného základného imania v príslušnej triede akcií.</w:t>
      </w:r>
    </w:p>
    <w:p w14:paraId="4E68120A" w14:textId="22659D1A" w:rsidR="0089595A" w:rsidRPr="00380C82" w:rsidRDefault="0089595A" w:rsidP="00A808CA">
      <w:pPr>
        <w:pStyle w:val="oj-normal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noProof/>
        </w:rPr>
      </w:pPr>
      <w:r w:rsidRPr="00C115FC">
        <w:rPr>
          <w:noProof/>
        </w:rPr>
        <w:t xml:space="preserve">Ak sa žiada o prijatie na obchodovanie pre akcie, ktoré sú </w:t>
      </w:r>
      <w:r w:rsidRPr="00380C82">
        <w:rPr>
          <w:noProof/>
        </w:rPr>
        <w:t xml:space="preserve">zastupiteľné akciami už prijatými na obchodovanie, burza posúdi s cieľom splniť požiadavku </w:t>
      </w:r>
      <w:r w:rsidR="00AA3CF7" w:rsidRPr="00380C82">
        <w:rPr>
          <w:noProof/>
        </w:rPr>
        <w:t>podľa</w:t>
      </w:r>
      <w:r w:rsidRPr="00380C82">
        <w:rPr>
          <w:noProof/>
        </w:rPr>
        <w:t> odseku </w:t>
      </w:r>
      <w:r w:rsidR="00D245DD" w:rsidRPr="00380C82">
        <w:rPr>
          <w:noProof/>
        </w:rPr>
        <w:t>4</w:t>
      </w:r>
      <w:r w:rsidRPr="00380C82">
        <w:rPr>
          <w:noProof/>
        </w:rPr>
        <w:t>, či bol medzi verejnosťou distribuovaný dostatočný počet akcií vo vzťahu ku všetkým vydaným akciám, a nielen vo vzťahu k akciám, ktoré sú zastupiteľné akciami už prijatými na obchodovanie</w:t>
      </w:r>
      <w:bookmarkEnd w:id="83"/>
      <w:r w:rsidRPr="00380C82">
        <w:rPr>
          <w:noProof/>
        </w:rPr>
        <w:t>.“.</w:t>
      </w:r>
    </w:p>
    <w:bookmarkEnd w:id="82"/>
    <w:p w14:paraId="032605DB" w14:textId="77777777" w:rsidR="0089595A" w:rsidRPr="00380C82" w:rsidRDefault="0089595A" w:rsidP="00A808CA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sk-SK"/>
        </w:rPr>
      </w:pPr>
    </w:p>
    <w:p w14:paraId="143D28DB" w14:textId="595C93BD" w:rsidR="00591194" w:rsidRPr="0066654F" w:rsidRDefault="00591194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 § 30 ods. 1 písm</w:t>
      </w:r>
      <w:r w:rsidR="00C62C3C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r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c) sa </w:t>
      </w:r>
      <w:r w:rsidR="00C62C3C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slová</w:t>
      </w:r>
      <w:r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„25</w:t>
      </w:r>
      <w:r w:rsidR="00C62C3C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%</w:t>
      </w:r>
      <w:r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“ nahrádza</w:t>
      </w:r>
      <w:r w:rsidR="00C62C3C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jú slovami </w:t>
      </w:r>
      <w:r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„20</w:t>
      </w:r>
      <w:r w:rsidR="00C62C3C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%</w:t>
      </w:r>
      <w:r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“.</w:t>
      </w:r>
    </w:p>
    <w:p w14:paraId="164CF318" w14:textId="73D6D884" w:rsidR="00591194" w:rsidRPr="0066654F" w:rsidRDefault="00591194" w:rsidP="0059119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sk-SK"/>
        </w:rPr>
      </w:pPr>
      <w:r w:rsidRPr="0066654F">
        <w:rPr>
          <w:rFonts w:ascii="Times New Roman" w:hAnsi="Times New Roman" w:cs="Times New Roman"/>
          <w:noProof/>
          <w:sz w:val="24"/>
          <w:szCs w:val="24"/>
          <w:u w:val="single"/>
          <w:lang w:val="sk-SK"/>
        </w:rPr>
        <w:t xml:space="preserve"> </w:t>
      </w:r>
    </w:p>
    <w:p w14:paraId="34521C0D" w14:textId="0C658901" w:rsidR="0066654F" w:rsidRPr="00BA47A0" w:rsidRDefault="00B75BF0" w:rsidP="007471B6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>V § 32 ods. 2 sa slová</w:t>
      </w:r>
      <w:r w:rsidR="0066654F"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„</w:t>
      </w:r>
      <w:r w:rsidR="0066654F" w:rsidRPr="00BA47A0">
        <w:rPr>
          <w:rFonts w:ascii="Times New Roman" w:hAnsi="Times New Roman" w:cs="Times New Roman"/>
          <w:sz w:val="24"/>
          <w:szCs w:val="24"/>
          <w:lang w:val="sk-SK"/>
        </w:rPr>
        <w:t>žiadosť o kótovanie cenných papierov“ nahrádzajú slovami „cenný papier na trh kótovaných cenných papierov“.</w:t>
      </w:r>
    </w:p>
    <w:p w14:paraId="3A083150" w14:textId="77777777" w:rsidR="0066654F" w:rsidRPr="0066654F" w:rsidRDefault="0066654F" w:rsidP="00B75BF0">
      <w:pPr>
        <w:pStyle w:val="Odsekzoznamu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997D10D" w14:textId="794D47DD" w:rsidR="00C437BA" w:rsidRPr="0066654F" w:rsidRDefault="00613831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sk-SK"/>
        </w:rPr>
      </w:pPr>
      <w:r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§ 33</w:t>
      </w:r>
      <w:r w:rsidR="005228D3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vrátane nadpisu nad § 33 </w:t>
      </w:r>
      <w:r w:rsidR="00C437BA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sa vypúšťa. </w:t>
      </w:r>
    </w:p>
    <w:p w14:paraId="5C725817" w14:textId="77777777" w:rsidR="00B75233" w:rsidRPr="0066654F" w:rsidRDefault="00B75233" w:rsidP="00B752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4D69130" w14:textId="4ACF9F5E" w:rsidR="00EF5625" w:rsidRPr="00380C82" w:rsidRDefault="00947640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</w:t>
      </w:r>
      <w:r w:rsidR="00EF5625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§ 37d ods</w:t>
      </w:r>
      <w:r w:rsidR="00551750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EF5625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2 </w:t>
      </w:r>
      <w:r w:rsidR="00F81D77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sa slová „kótovanie</w:t>
      </w:r>
      <w:r w:rsidR="00C2572F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týchto akcií</w:t>
      </w:r>
      <w:r w:rsidR="00F81D77" w:rsidRPr="0066654F">
        <w:rPr>
          <w:rFonts w:ascii="Times New Roman" w:hAnsi="Times New Roman" w:cs="Times New Roman"/>
          <w:noProof/>
          <w:sz w:val="24"/>
          <w:szCs w:val="24"/>
          <w:lang w:val="sk-SK"/>
        </w:rPr>
        <w:t>“ nahrádzajú slovami „</w:t>
      </w:r>
      <w:r w:rsidR="00F81D77" w:rsidRPr="0066654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prijatie týchto akcií</w:t>
      </w:r>
      <w:r w:rsidR="00F81D77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na trh kótovaných cenných papierov”. </w:t>
      </w:r>
    </w:p>
    <w:p w14:paraId="369E9587" w14:textId="77777777" w:rsidR="00EF5625" w:rsidRPr="00380C82" w:rsidRDefault="00EF5625" w:rsidP="00EF5625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29154A9" w14:textId="2E3E9C28" w:rsidR="00EF5625" w:rsidRPr="00380C82" w:rsidRDefault="00947640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</w:t>
      </w:r>
      <w:r w:rsidR="00EF5625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§ 37d ods</w:t>
      </w:r>
      <w:r w:rsidR="00C62C3C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r w:rsidR="00A7781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4</w:t>
      </w:r>
      <w:r w:rsidR="00EF5625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A7781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sa slová „Emitent kótovaných cenných papierov“ nahrádzajú slovami „</w:t>
      </w:r>
      <w:bookmarkStart w:id="85" w:name="_Hlk194888749"/>
      <w:r w:rsidR="00A77817" w:rsidRPr="00380C82">
        <w:rPr>
          <w:rFonts w:ascii="Times New Roman" w:hAnsi="Times New Roman" w:cs="Times New Roman"/>
          <w:sz w:val="24"/>
          <w:szCs w:val="24"/>
          <w:lang w:val="sk-SK"/>
        </w:rPr>
        <w:t xml:space="preserve">Emitent </w:t>
      </w:r>
      <w:r w:rsidR="00A77817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cenných papierov prijatých na trh kótovaných cenných papierov</w:t>
      </w:r>
      <w:bookmarkEnd w:id="85"/>
      <w:r w:rsidR="00A77817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“.</w:t>
      </w:r>
    </w:p>
    <w:p w14:paraId="205AD8F5" w14:textId="77777777" w:rsidR="00EF5625" w:rsidRPr="00380C82" w:rsidRDefault="00EF5625" w:rsidP="00EF5625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3FF339B" w14:textId="4201C0C1" w:rsidR="000701A1" w:rsidRPr="00BA47A0" w:rsidRDefault="000701A1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>V § 38a ods. 1 sa čiarka nahrádza slovami „vo výnimočných situáciách alebo“.</w:t>
      </w:r>
      <w:r w:rsidR="00225499"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     </w:t>
      </w:r>
    </w:p>
    <w:p w14:paraId="506BA497" w14:textId="77777777" w:rsidR="000701A1" w:rsidRPr="000701A1" w:rsidRDefault="000701A1" w:rsidP="000701A1">
      <w:pPr>
        <w:pStyle w:val="Odsekzoznamu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A9D1580" w14:textId="3C214920" w:rsidR="00257858" w:rsidRPr="00380C82" w:rsidRDefault="00257858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38a </w:t>
      </w:r>
      <w:r w:rsidR="0045053C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ods. 2 </w:t>
      </w:r>
      <w:r w:rsidR="002E7D75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druhej vete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sa za slov</w:t>
      </w:r>
      <w:r w:rsidR="00AC49A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á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„</w:t>
      </w:r>
      <w:r w:rsidR="00AC49A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zastavenie </w:t>
      </w:r>
      <w:r w:rsidR="0041659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obchodovania</w:t>
      </w:r>
      <w:r w:rsidR="0045053C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“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vkladajú slová „</w:t>
      </w:r>
      <w:bookmarkStart w:id="86" w:name="_Hlk193897443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alebo obmedzenie</w:t>
      </w:r>
      <w:bookmarkEnd w:id="86"/>
      <w:r w:rsidR="0041659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obchodovania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“.</w:t>
      </w:r>
    </w:p>
    <w:p w14:paraId="1D29C947" w14:textId="77777777" w:rsidR="00B75BF0" w:rsidRPr="00B75BF0" w:rsidRDefault="00B75BF0" w:rsidP="00B75BF0">
      <w:pPr>
        <w:pStyle w:val="Odsekzoznamu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74EA73F" w14:textId="1D0AE589" w:rsidR="00257858" w:rsidRPr="00380C82" w:rsidRDefault="00257858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38a sa dopĺňa odsekmi </w:t>
      </w:r>
      <w:r w:rsidR="00100C1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5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 </w:t>
      </w:r>
      <w:r w:rsidR="00100C1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6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ktoré znejú:   </w:t>
      </w:r>
    </w:p>
    <w:p w14:paraId="6F72C3E5" w14:textId="1255A29E" w:rsidR="00257858" w:rsidRPr="00380C82" w:rsidRDefault="00257858" w:rsidP="00A808CA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87" w:name="_Hlk193897507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„(</w:t>
      </w:r>
      <w:r w:rsidR="00100C1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5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bookmarkStart w:id="88" w:name="_Hlk196463569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Burza je povinná na svojom webovom sídle zverejniť informácie o okolnostiach, ktoré viedli k zastaveniu </w:t>
      </w:r>
      <w:r w:rsidR="00C2572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obchodovania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alebo obmedzeniu obchodovania na regulovanom trhu a o zásadách </w:t>
      </w:r>
      <w:r w:rsidR="00100C1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urče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nia hlavných technických parametrov, ktoré sa na zastavenie </w:t>
      </w:r>
      <w:r w:rsidR="00100C1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obchodovania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alebo obmedzenie obchodovania použili.</w:t>
      </w:r>
    </w:p>
    <w:p w14:paraId="20D2283F" w14:textId="722553C0" w:rsidR="00257858" w:rsidRPr="00380C82" w:rsidRDefault="00257858" w:rsidP="00A808CA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(</w:t>
      </w:r>
      <w:r w:rsidR="00100C1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6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Ak burza nezastaví </w:t>
      </w:r>
      <w:r w:rsidR="00AA3CF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obchodovanie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alebo neobmedzí obchodovanie na regulovanom trhu podľa </w:t>
      </w:r>
      <w:r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>odseku</w:t>
      </w:r>
      <w:r w:rsidR="00100C17"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B75BF0"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>1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napriek skutočnosti, že významný pohyb ceny finančného nástroja alebo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lastRenderedPageBreak/>
        <w:t xml:space="preserve">súvisiacich finančných nástrojov viedol k narušeniu podmienok obchodovania na jednom </w:t>
      </w:r>
      <w:r w:rsidR="003E758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regulovanom </w:t>
      </w:r>
      <w:r w:rsidR="00AA3CF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trhu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alebo </w:t>
      </w:r>
      <w:r w:rsidR="000D5AF5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viacerých </w:t>
      </w:r>
      <w:r w:rsidR="003E758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regulovaných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trhoch, Národná banka Slovenska môže prijať vhodné opatrenia na obnovenie normálneho fungovania </w:t>
      </w:r>
      <w:r w:rsidR="003E758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regulovaných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trhov vrátane využitia právomocí dohľadu uvedených v § 63</w:t>
      </w:r>
      <w:bookmarkEnd w:id="88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0F69F5" w:rsidRPr="00380C8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“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           </w:t>
      </w:r>
    </w:p>
    <w:bookmarkEnd w:id="87"/>
    <w:p w14:paraId="3645610C" w14:textId="77777777" w:rsidR="00947640" w:rsidRPr="00380C82" w:rsidRDefault="00947640" w:rsidP="00FA27D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12F6D1E" w14:textId="6C2460A0" w:rsidR="00A77817" w:rsidRPr="00380C82" w:rsidRDefault="00A77817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38b sa vypúšťa </w:t>
      </w:r>
      <w:r w:rsidR="00AC49A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odsek 2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</w:p>
    <w:p w14:paraId="4C9237FD" w14:textId="77777777" w:rsidR="00A77817" w:rsidRPr="00380C82" w:rsidRDefault="00A77817" w:rsidP="00A7781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6C6A0CD" w14:textId="0128845A" w:rsidR="00A77817" w:rsidRPr="00380C82" w:rsidRDefault="00A77817" w:rsidP="00A77817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Doterajší odsek 3 sa označuje ako odsek 2.   </w:t>
      </w:r>
    </w:p>
    <w:p w14:paraId="649556A9" w14:textId="23A33E4D" w:rsidR="00EF5625" w:rsidRPr="00380C82" w:rsidRDefault="00EF5625" w:rsidP="00EF56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279E145" w14:textId="32A47753" w:rsidR="00FF23EB" w:rsidRPr="00380C82" w:rsidRDefault="00C437BA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FF23EB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52 </w:t>
      </w:r>
      <w:r w:rsidR="0067503D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sa dopĺňa odsekom </w:t>
      </w:r>
      <w:r w:rsidR="00FF23EB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9</w:t>
      </w:r>
      <w:r w:rsidR="0067503D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ktorý </w:t>
      </w:r>
      <w:r w:rsidR="00FF23EB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znie: </w:t>
      </w:r>
    </w:p>
    <w:p w14:paraId="18C3B710" w14:textId="2DB65A3D" w:rsidR="00FF23EB" w:rsidRPr="00380C82" w:rsidRDefault="00FF23EB" w:rsidP="00A808CA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89" w:name="_Hlk193897559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„(9) </w:t>
      </w:r>
      <w:bookmarkStart w:id="90" w:name="_Hlk196463620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Burza a </w:t>
      </w:r>
      <w:r w:rsidR="009439B4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ob</w:t>
      </w:r>
      <w:r w:rsidRPr="00380C8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chodník s cennými papiermi organizujúci mnohostranný obchodný systém alebo organizovaný obchodný systém sú povinní zaviesť opatrenia na zabezpečenie spĺňania  noriem kvality údajov podľa osobitného predpisu</w:t>
      </w:r>
      <w:bookmarkEnd w:id="90"/>
      <w:r w:rsidRPr="00380C8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AA3CF7" w:rsidRPr="00380C82">
        <w:rPr>
          <w:rStyle w:val="y2iqfc"/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22a</w:t>
      </w:r>
      <w:r w:rsidR="00500A0F" w:rsidRPr="00380C82">
        <w:rPr>
          <w:rStyle w:val="y2iqfc"/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b</w:t>
      </w:r>
      <w:r w:rsidRPr="00380C8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 xml:space="preserve">)“.   </w:t>
      </w:r>
    </w:p>
    <w:bookmarkEnd w:id="89"/>
    <w:p w14:paraId="4F0065DA" w14:textId="266C93B5" w:rsidR="0089595A" w:rsidRPr="00380C82" w:rsidRDefault="0089595A" w:rsidP="00A808CA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97B8C0B" w14:textId="33AB74C4" w:rsidR="0089595A" w:rsidRPr="00380C82" w:rsidRDefault="0089595A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V § 56 ods. 1 sa za slovo „systému“ vkladajú slová „alebo jeho segmentu“ a</w:t>
      </w:r>
      <w:r w:rsidR="003E758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 na konci sa pripájajú tieto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slová</w:t>
      </w:r>
      <w:r w:rsidR="003E758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: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„podľa </w:t>
      </w:r>
      <w:r w:rsidR="003D75FB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tohto paragrafu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“. </w:t>
      </w:r>
    </w:p>
    <w:p w14:paraId="396302BB" w14:textId="70B6F1BA" w:rsidR="0089595A" w:rsidRPr="00380C82" w:rsidRDefault="0089595A" w:rsidP="00A808CA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1D1AE7C" w14:textId="4F27EAB5" w:rsidR="0089595A" w:rsidRPr="00380C82" w:rsidRDefault="003E7586" w:rsidP="00F86910">
      <w:pPr>
        <w:pStyle w:val="Odsekzoznamu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</w:t>
      </w:r>
      <w:r w:rsidR="0089595A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56 odsek 2 znie: </w:t>
      </w:r>
    </w:p>
    <w:p w14:paraId="4597821D" w14:textId="77777777" w:rsidR="000E3D7E" w:rsidRPr="00380C82" w:rsidRDefault="0089595A" w:rsidP="00A80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„(2) </w:t>
      </w:r>
      <w:bookmarkStart w:id="91" w:name="_Hlk196463666"/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Národná banka Slovenska zaregistruje mnohostranný obchodný systém alebo jeho segment ako rastový trh podľa odseku 1 na základe žiadosti burzy organizujúcej mnohostranný obchodný systém, ak sú splnené požiadavky podľa odseku 3 </w:t>
      </w:r>
      <w:r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alebo v súvislosti so segmentom 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mnohostranného obchodného systému</w:t>
      </w:r>
      <w:r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sú splnené po</w:t>
      </w:r>
      <w:r w:rsidR="003E7586"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žiadavky</w:t>
      </w:r>
      <w:r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</w:t>
      </w:r>
      <w:r w:rsidR="003E7586"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podľa</w:t>
      </w:r>
      <w:r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 odseku 4</w:t>
      </w:r>
      <w:bookmarkEnd w:id="91"/>
      <w:r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.“. </w:t>
      </w:r>
    </w:p>
    <w:p w14:paraId="7D0E3584" w14:textId="77777777" w:rsidR="000E3D7E" w:rsidRPr="00380C82" w:rsidRDefault="000E3D7E" w:rsidP="00A80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5EC9A967" w14:textId="503EA659" w:rsidR="0089595A" w:rsidRPr="00380C82" w:rsidRDefault="003E7586" w:rsidP="0067503D">
      <w:p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P</w:t>
      </w:r>
      <w:r w:rsidR="0089595A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oznámka pod čiarou k odkazu 66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sa vypúšťa</w:t>
      </w:r>
      <w:r w:rsidR="0089595A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</w:p>
    <w:p w14:paraId="0C682149" w14:textId="7B42A55A" w:rsidR="0089595A" w:rsidRPr="00380C82" w:rsidRDefault="0089595A" w:rsidP="00A808CA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1D29A0E" w14:textId="22C31AFC" w:rsidR="0089595A" w:rsidRPr="00380C82" w:rsidRDefault="0089595A" w:rsidP="00F86910">
      <w:pPr>
        <w:pStyle w:val="oj-normal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noProof/>
        </w:rPr>
      </w:pPr>
      <w:r w:rsidRPr="00380C82">
        <w:rPr>
          <w:noProof/>
        </w:rPr>
        <w:t xml:space="preserve">V § 56 sa za odsek 3 vkladá </w:t>
      </w:r>
      <w:r w:rsidR="00AA3CF7" w:rsidRPr="00380C82">
        <w:rPr>
          <w:noProof/>
        </w:rPr>
        <w:t xml:space="preserve">nový </w:t>
      </w:r>
      <w:r w:rsidRPr="00380C82">
        <w:rPr>
          <w:noProof/>
        </w:rPr>
        <w:t xml:space="preserve">odsek 4, ktorý znie: </w:t>
      </w:r>
    </w:p>
    <w:p w14:paraId="61BFEF1E" w14:textId="3CCA0F6E" w:rsidR="00B75233" w:rsidRPr="00380C82" w:rsidRDefault="0089595A" w:rsidP="00B75233">
      <w:pPr>
        <w:spacing w:before="120"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bookmarkStart w:id="92" w:name="_Hlk193897690"/>
      <w:r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„(4) </w:t>
      </w:r>
      <w:bookmarkStart w:id="93" w:name="_Hlk194053344"/>
      <w:r w:rsidR="00AC49AF"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</w:t>
      </w:r>
      <w:proofErr w:type="spellStart"/>
      <w:r w:rsidR="00AC49AF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ríslušný</w:t>
      </w:r>
      <w:proofErr w:type="spellEnd"/>
      <w:r w:rsidR="00AC49AF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segment mnohostranného obchodného systému musí mať zavedené účinné pravidlá, systémy a postupy, ktorými sa zabezpečuje splnenie požiadaviek podľa odseku 3 a týchto požiadaviek</w:t>
      </w:r>
      <w:r w:rsidR="00B75233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:</w:t>
      </w:r>
    </w:p>
    <w:p w14:paraId="1B453F25" w14:textId="7132953B" w:rsidR="00B75233" w:rsidRPr="00380C82" w:rsidRDefault="00B75233" w:rsidP="00B75233">
      <w:pPr>
        <w:spacing w:before="120" w:after="0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a)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ab/>
        <w:t xml:space="preserve">segment mnohostranného obchodného systému zaregistrovaný ako rastový trh je jasne oddelený od ostatných segmentov trhu </w:t>
      </w:r>
      <w:r w:rsidR="0086132D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organizovaných 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burzou prevádzkujúc</w:t>
      </w:r>
      <w:r w:rsidR="0086132D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ou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mnohostranný obchodný systém </w:t>
      </w:r>
      <w:r w:rsidR="005A5756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a odlišuje sa 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názvom, súborom pravidiel, marketingovou stratégiou a  zverejňovaním, ako aj osobitným pridelením identifikačného kódu segmentu trhu zaregistrovanému ako rastový trh,</w:t>
      </w:r>
    </w:p>
    <w:p w14:paraId="4A9441D6" w14:textId="7E58CD04" w:rsidR="00B75233" w:rsidRPr="00380C82" w:rsidRDefault="00B75233" w:rsidP="00B75233">
      <w:pPr>
        <w:spacing w:before="120" w:after="0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b)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ab/>
        <w:t xml:space="preserve">transakcie uskutočnené v </w:t>
      </w:r>
      <w:r w:rsidR="00AC49AF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príslušnom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segmente rastového trhu sú jasne odlíšené od iných trhových činností v rámci iných segmentov mnohostranného obchodného systému</w:t>
      </w:r>
      <w:r w:rsidR="00AC49AF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,</w:t>
      </w:r>
      <w:r w:rsidR="00C2572F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</w:p>
    <w:p w14:paraId="79032B15" w14:textId="29134DC4" w:rsidR="0089595A" w:rsidRPr="00380C82" w:rsidRDefault="00B75233" w:rsidP="00B7523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c)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ab/>
        <w:t xml:space="preserve">na žiadosť Národnej banky Slovenska poskytne mnohostranný obchodný systém komplexný zoznam </w:t>
      </w:r>
      <w:r w:rsidR="00F60C82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finančných 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nástrojov prijatých na obchodovanie na pr</w:t>
      </w:r>
      <w:r w:rsidR="00AC49AF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íslušnom 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segmente rastového trhu, ako aj všetky </w:t>
      </w:r>
      <w:r w:rsidR="005A5756"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požadované 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informácie o fungovaní segmentu rastového trhu</w:t>
      </w:r>
      <w:bookmarkEnd w:id="93"/>
      <w:r w:rsidR="0089595A" w:rsidRPr="00380C82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.“.</w:t>
      </w:r>
    </w:p>
    <w:bookmarkEnd w:id="92"/>
    <w:p w14:paraId="59296455" w14:textId="77777777" w:rsidR="00DC50CE" w:rsidRPr="00380C82" w:rsidRDefault="00DC50CE" w:rsidP="00A808C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998C43C" w14:textId="2E359888" w:rsidR="0089595A" w:rsidRPr="00380C82" w:rsidRDefault="0089595A" w:rsidP="00A808CA">
      <w:pPr>
        <w:spacing w:after="0" w:line="240" w:lineRule="auto"/>
        <w:ind w:left="643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Doterajšie odseky 4 až 8 sa označujú ako odseky 5 až 9.</w:t>
      </w:r>
    </w:p>
    <w:p w14:paraId="44ACF229" w14:textId="77777777" w:rsidR="0089595A" w:rsidRPr="00380C82" w:rsidRDefault="0089595A" w:rsidP="00A808CA">
      <w:pPr>
        <w:spacing w:after="0" w:line="240" w:lineRule="auto"/>
        <w:ind w:left="284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24CE44C" w14:textId="77777777" w:rsidR="00AA4188" w:rsidRPr="00380C82" w:rsidRDefault="00AA4188" w:rsidP="00F86910">
      <w:pPr>
        <w:pStyle w:val="Odsekzoznamu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56 odseky 5 až 9 znejú:      </w:t>
      </w:r>
    </w:p>
    <w:p w14:paraId="4ADF0263" w14:textId="0847BA06" w:rsidR="00AA4188" w:rsidRPr="00380C82" w:rsidRDefault="00AA4188" w:rsidP="00B062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94" w:name="_Hlk193897813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lastRenderedPageBreak/>
        <w:t>„(5</w:t>
      </w:r>
      <w:bookmarkStart w:id="95" w:name="_Hlk196463745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) </w:t>
      </w:r>
      <w:bookmarkStart w:id="96" w:name="_Hlk194053382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Národná banka Slovenska žiadosť o registráciu podľa odseku 1 zamietne, ak žiadateľ nespĺňa niektorú z požiadaviek podľa odseku 3 alebo</w:t>
      </w:r>
      <w:r w:rsidR="00AA3CF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odseku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4.  </w:t>
      </w:r>
    </w:p>
    <w:p w14:paraId="7D5F0324" w14:textId="1E8ABC62" w:rsidR="00AA4188" w:rsidRPr="00380C82" w:rsidRDefault="00AA4188" w:rsidP="00B062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(6) </w:t>
      </w:r>
      <w:r w:rsidR="00B06281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Požiadavkami </w:t>
      </w:r>
      <w:r w:rsidR="00AA3CF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podľa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odsek</w:t>
      </w:r>
      <w:r w:rsidR="00AA3CF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ov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3 a 4 pre rastový trh nie sú dotknuté iné povinnosti podľa tohto zákona alebo podľa osobitného predpisu</w:t>
      </w:r>
      <w:r w:rsidRPr="00380C82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3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) pre burzu, ktoré sa týkajú organizovania mnohostranného obchodného systému. Burza organizujúca mnohostranný obchodný systém môže zaviesť aj ďalšie požiadavky</w:t>
      </w:r>
      <w:r w:rsidR="005A575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, ktoré sa týkajú organizovania mnohostranného obchodného systému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</w:p>
    <w:p w14:paraId="7C0DB97D" w14:textId="4B69C243" w:rsidR="00AA4188" w:rsidRPr="00380C82" w:rsidRDefault="00AA4188" w:rsidP="00B062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(7) </w:t>
      </w:r>
      <w:r w:rsidR="00B06281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Národná banka Slovenska zruší registráciu mnohostranného obchodného systému alebo jeho segmentu ako rastového trhu, ak</w:t>
      </w:r>
    </w:p>
    <w:p w14:paraId="3983B779" w14:textId="387242A1" w:rsidR="00AA4188" w:rsidRPr="00380C82" w:rsidRDefault="00AA4188" w:rsidP="00B06281">
      <w:pPr>
        <w:spacing w:after="0"/>
        <w:ind w:left="1276" w:hanging="425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a) burza organizujúca rastový trh alebo jeho segment o to požiada</w:t>
      </w:r>
      <w:r w:rsidR="00C2572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alebo</w:t>
      </w:r>
    </w:p>
    <w:p w14:paraId="7B460388" w14:textId="2F191EB4" w:rsidR="00AA4188" w:rsidRPr="00380C82" w:rsidRDefault="00AA4188" w:rsidP="00B06281">
      <w:pPr>
        <w:spacing w:after="0"/>
        <w:ind w:left="1134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b) 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po</w:t>
      </w:r>
      <w:r w:rsidR="00AA3CF7"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žiadavky podľa 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odseku 3 alebo</w:t>
      </w:r>
      <w:r w:rsidR="00AA3CF7"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odseku 4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  <w:r w:rsidR="00F60C82"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týkajúce sa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mnohostrann</w:t>
      </w:r>
      <w:r w:rsidR="00F60C82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ého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obchodn</w:t>
      </w:r>
      <w:r w:rsidR="00F60C82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ého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systém</w:t>
      </w:r>
      <w:r w:rsidR="00F60C82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u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alebo jeho segment</w:t>
      </w:r>
      <w:r w:rsidR="00F60C82"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u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  <w:r w:rsidR="00F60C82"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sa 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prestali dodržiavať.</w:t>
      </w:r>
    </w:p>
    <w:p w14:paraId="21FF28AA" w14:textId="339580C4" w:rsidR="00AA4188" w:rsidRPr="00380C82" w:rsidRDefault="00AA4188" w:rsidP="00B06281">
      <w:pPr>
        <w:spacing w:after="0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(8) Národná banka Slovenska bezodkladne oznámi Európskemu orgánu dohľadu (Európskemu orgánu pre cenné papiere a trhy) registráciu mnohostranného obchodného systému </w:t>
      </w:r>
      <w:r w:rsidR="0027299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alebo jeho segmentu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ako rastového trhu alebo jej zrušenie.</w:t>
      </w:r>
    </w:p>
    <w:p w14:paraId="0FE78949" w14:textId="334E5138" w:rsidR="00AA4188" w:rsidRPr="00380C82" w:rsidRDefault="00AA4188" w:rsidP="00B06281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(9) </w:t>
      </w:r>
      <w:r w:rsidR="00B06281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 finančným nástrojom emitenta, ktorý je prijatý na obchodovanie na jednom rastovom trhu, sa môže obchodovať aj na inom obchodnom mieste, len ak bol emitent o tejto skutočnosti informovaný a nenamietal, pričom však emitent nepodlieha žiadnym informačným povinnostiam, ak ide o riadenie a správu spoločnosti alebo akékoľvek zverejňovanie informácií v súvislosti s týmto iným rastovým trhom. 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Ak iné obchodné miesto nie je rastovým trhom, emitent je informovaný o každej povinnosti, ktorá sa na neho vzťah</w:t>
      </w:r>
      <w:r w:rsidR="00AA3CF7"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uje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, týkajúcej sa správy a riadenia spoločností alebo prvotného, priebežného alebo ad hoc zverejňovania informácií v súvislosti s týmto iným obchodným miestom</w:t>
      </w:r>
      <w:bookmarkEnd w:id="95"/>
      <w:bookmarkEnd w:id="96"/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.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“.</w:t>
      </w:r>
    </w:p>
    <w:bookmarkEnd w:id="94"/>
    <w:p w14:paraId="1AF9D029" w14:textId="77777777" w:rsidR="0067503D" w:rsidRPr="00380C82" w:rsidRDefault="0067503D" w:rsidP="00861C4F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02F09AC" w14:textId="0E9972DE" w:rsidR="002711B7" w:rsidRPr="00380C82" w:rsidRDefault="002711B7" w:rsidP="00B0030A">
      <w:pPr>
        <w:spacing w:after="0" w:line="240" w:lineRule="auto"/>
        <w:ind w:left="426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Poznámka pod čiarou k odkazu 66e sa vypúšťa.</w:t>
      </w:r>
    </w:p>
    <w:p w14:paraId="2FC6E070" w14:textId="77777777" w:rsidR="00767157" w:rsidRPr="00380C82" w:rsidRDefault="00767157" w:rsidP="002711B7">
      <w:pPr>
        <w:spacing w:after="0" w:line="240" w:lineRule="auto"/>
        <w:ind w:left="567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88B0B6E" w14:textId="2D2D20B0" w:rsidR="00257858" w:rsidRPr="00380C82" w:rsidRDefault="00AA3CF7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Nadpis </w:t>
      </w:r>
      <w:r w:rsidR="0025785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§ 57a znie</w:t>
      </w:r>
      <w:r w:rsidR="00540194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:</w:t>
      </w:r>
      <w:r w:rsidR="003D69E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„</w:t>
      </w:r>
      <w:bookmarkStart w:id="97" w:name="_Hlk196463857"/>
      <w:r w:rsidR="00257858" w:rsidRPr="00380C82">
        <w:rPr>
          <w:rStyle w:val="y2iqfc"/>
          <w:rFonts w:ascii="Times New Roman" w:hAnsi="Times New Roman" w:cs="Times New Roman"/>
          <w:bCs/>
          <w:noProof/>
          <w:sz w:val="24"/>
          <w:szCs w:val="24"/>
          <w:lang w:val="sk-SK"/>
        </w:rPr>
        <w:t xml:space="preserve">Obmedzenia pozícií v komoditných derivátoch </w:t>
      </w:r>
      <w:bookmarkStart w:id="98" w:name="_Hlk193897869"/>
      <w:r w:rsidR="00257858" w:rsidRPr="00380C82">
        <w:rPr>
          <w:rStyle w:val="y2iqfc"/>
          <w:rFonts w:ascii="Times New Roman" w:hAnsi="Times New Roman" w:cs="Times New Roman"/>
          <w:bCs/>
          <w:noProof/>
          <w:sz w:val="24"/>
          <w:szCs w:val="24"/>
          <w:lang w:val="sk-SK"/>
        </w:rPr>
        <w:t>a mechanizmy kontroly nad riadením pozícií v komoditných derivátoch a v derivátoch emisných kvót</w:t>
      </w:r>
      <w:bookmarkEnd w:id="97"/>
      <w:bookmarkEnd w:id="98"/>
      <w:r w:rsidR="00257858" w:rsidRPr="00380C8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“.</w:t>
      </w:r>
    </w:p>
    <w:p w14:paraId="394273AC" w14:textId="77777777" w:rsidR="00257858" w:rsidRPr="00380C82" w:rsidRDefault="00257858" w:rsidP="00861C4F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sk-SK"/>
        </w:rPr>
      </w:pPr>
    </w:p>
    <w:p w14:paraId="455C58DD" w14:textId="74618D43" w:rsidR="00257858" w:rsidRPr="00C115FC" w:rsidRDefault="00257858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57a ods. </w:t>
      </w:r>
      <w:r w:rsidR="00861C4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9</w:t>
      </w:r>
      <w:r w:rsidR="00E5223E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úvodná veta znie</w:t>
      </w:r>
      <w:r w:rsidR="00E5223E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: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02C9E5CA" w14:textId="6D3CF694" w:rsidR="00C32418" w:rsidRPr="00C115FC" w:rsidRDefault="00C32418" w:rsidP="00861C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„</w:t>
      </w:r>
      <w:bookmarkStart w:id="99" w:name="_Hlk193897890"/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Burza alebo obchodník s cennými papiermi organizujúci obchodné miesto, na ktorom sa obchoduje s komoditnými derivátmi alebo derivátmi emisných kvót, sú povinní uplatňovať mechanizmy kontroly nad riadením pozícií, </w:t>
      </w:r>
      <w:r w:rsidR="00ED0971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ktoré </w:t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zahŕňa</w:t>
      </w:r>
      <w:r w:rsidR="00ED0971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jú</w:t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aj právomoci obchodného miesta, pričom sú oprávnení</w:t>
      </w:r>
      <w:bookmarkEnd w:id="99"/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“.</w:t>
      </w:r>
    </w:p>
    <w:p w14:paraId="16811F26" w14:textId="77777777" w:rsidR="00C11592" w:rsidRPr="00C115FC" w:rsidRDefault="00C11592" w:rsidP="00861C4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7294A116" w14:textId="236A1552" w:rsidR="00257858" w:rsidRPr="00C115FC" w:rsidRDefault="00257858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57a ods. </w:t>
      </w:r>
      <w:r w:rsidR="00861C4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9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písm</w:t>
      </w:r>
      <w:r w:rsidR="003D69E7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b) sa za slov</w:t>
      </w:r>
      <w:r w:rsidR="009F4147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o „</w:t>
      </w:r>
      <w:r w:rsidR="00E45F23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pozíciách</w:t>
      </w:r>
      <w:r w:rsidR="009F4147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“ </w:t>
      </w:r>
      <w:r w:rsidR="00E45F23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vkladajú slová</w:t>
      </w:r>
      <w:r w:rsidR="009F4147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„</w:t>
      </w:r>
      <w:bookmarkStart w:id="100" w:name="_Hlk194053523"/>
      <w:r w:rsidR="009F4147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vrátane prípadných po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zícií držaných v derivátoch emisných kvót alebo</w:t>
      </w:r>
      <w:bookmarkEnd w:id="100"/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“. </w:t>
      </w:r>
    </w:p>
    <w:p w14:paraId="4AF4C73F" w14:textId="77777777" w:rsidR="00257858" w:rsidRPr="00C115FC" w:rsidRDefault="00257858" w:rsidP="00861C4F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sk-SK"/>
        </w:rPr>
      </w:pPr>
    </w:p>
    <w:p w14:paraId="2B8C9846" w14:textId="7120FBCC" w:rsidR="00A06B4A" w:rsidRPr="00C115FC" w:rsidRDefault="00A06B4A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V § 57b ods. 1 úvodnej vete sa slov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á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 „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emisnými kvótami alebo s ich derivátmi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“ 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nahrádzajú slovami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„</w:t>
      </w:r>
      <w:r w:rsidRPr="00C115F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derivátmi  emisných kvót”. </w:t>
      </w:r>
    </w:p>
    <w:p w14:paraId="4BBA8DD8" w14:textId="77777777" w:rsidR="00842120" w:rsidRPr="00C115FC" w:rsidRDefault="00842120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EE07E32" w14:textId="77777777" w:rsidR="00842120" w:rsidRPr="00C115FC" w:rsidRDefault="00842120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57b ods. 1 písmeno a) znie: </w:t>
      </w:r>
      <w:r w:rsidRPr="00C115F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</w:t>
      </w:r>
    </w:p>
    <w:p w14:paraId="15561F21" w14:textId="0482B03B" w:rsidR="00842120" w:rsidRPr="00C115FC" w:rsidRDefault="00842120" w:rsidP="00861C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bookmarkStart w:id="101" w:name="_Hlk193897930"/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„a) </w:t>
      </w:r>
      <w:bookmarkStart w:id="102" w:name="_Hlk196463962"/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zverejňovať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, ak ide o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23F4FC19" w14:textId="7075E6E4" w:rsidR="00842120" w:rsidRPr="00C115FC" w:rsidRDefault="00842120" w:rsidP="00540194">
      <w:pPr>
        <w:pStyle w:val="Odsekzoznamu"/>
        <w:numPr>
          <w:ilvl w:val="0"/>
          <w:numId w:val="4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obchodné miesta, na ktorých sa obchoduje s opciami, dve týždenné správy, z ktorých jedna nezahŕňa opcie, so súhrnnými pozíciami držanými jednotlivými kategóriami osôb 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pri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rôznych komoditných deriváto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ch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alebo deriváto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ch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emisných kvót, s ktorými sa obchoduje na </w:t>
      </w:r>
      <w:r w:rsidR="005A5756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tomto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obchodnom mieste, v ktorých sa uvedie počet dlhých 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pozícií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a krátkych pozícií podľa týchto kategórií</w:t>
      </w:r>
      <w:r w:rsidR="005A5756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osôb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ich zmeny od predchádzajúcej správy,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lastRenderedPageBreak/>
        <w:t>percentuálny podiel celkových otvorených záujmov za každú kategóriu</w:t>
      </w:r>
      <w:r w:rsidR="00767C4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767C40" w:rsidRPr="00B24DED">
        <w:rPr>
          <w:rFonts w:ascii="Times New Roman" w:hAnsi="Times New Roman" w:cs="Times New Roman"/>
          <w:noProof/>
          <w:sz w:val="24"/>
          <w:szCs w:val="24"/>
          <w:lang w:val="sk-SK"/>
        </w:rPr>
        <w:t>osôb</w:t>
      </w:r>
      <w:r w:rsidRPr="00B24DED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a počet osôb držiacich pozíciu v každej kategórii v súlade s odsekom 5</w:t>
      </w:r>
      <w:r w:rsidR="007F7AED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,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08780D06" w14:textId="3F108D19" w:rsidR="00842120" w:rsidRPr="00380C82" w:rsidRDefault="00842120" w:rsidP="00540194">
      <w:pPr>
        <w:pStyle w:val="Odsekzoznamu"/>
        <w:numPr>
          <w:ilvl w:val="0"/>
          <w:numId w:val="4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obchodné miesta, na ktorých sa neobchoduje s opciami, týždennú správu </w:t>
      </w:r>
      <w:bookmarkStart w:id="103" w:name="_Hlk197349520"/>
      <w:r w:rsidR="00767C4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obsahujúcu</w:t>
      </w:r>
      <w:r w:rsidR="00B4523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540194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údaj</w:t>
      </w:r>
      <w:r w:rsidR="00767C4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e</w:t>
      </w:r>
      <w:r w:rsidR="00540194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u</w:t>
      </w:r>
      <w:r w:rsidR="00B4523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stanoven</w:t>
      </w:r>
      <w:r w:rsidR="00767C4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é</w:t>
      </w:r>
      <w:r w:rsidR="00B4523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bookmarkEnd w:id="103"/>
      <w:r w:rsidR="00B4523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v</w:t>
      </w:r>
      <w:r w:rsidR="005A575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 prvom </w:t>
      </w:r>
      <w:r w:rsidR="00B45230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bode</w:t>
      </w:r>
      <w:bookmarkEnd w:id="102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,“.</w:t>
      </w:r>
    </w:p>
    <w:bookmarkEnd w:id="101"/>
    <w:p w14:paraId="00984CAA" w14:textId="77777777" w:rsidR="00257858" w:rsidRPr="00380C82" w:rsidRDefault="00257858" w:rsidP="00861C4F">
      <w:pPr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sk-SK"/>
        </w:rPr>
      </w:pPr>
    </w:p>
    <w:p w14:paraId="6DC1D30C" w14:textId="7A88D15D" w:rsidR="00A06B4A" w:rsidRPr="00380C82" w:rsidRDefault="00A06B4A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57b ods. </w:t>
      </w:r>
      <w:r w:rsidR="006D63C8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2 sa na konci </w:t>
      </w:r>
      <w:r w:rsidR="003D69E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pripája táto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veta: „</w:t>
      </w:r>
      <w:bookmarkStart w:id="104" w:name="_Hlk196464004"/>
      <w:bookmarkStart w:id="105" w:name="_Hlk193897974"/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Burza alebo obchodník s cennými papiermi organizujúci obchodné miesto, na ktorom sa obchoduje s komoditnými derivátmi alebo </w:t>
      </w:r>
      <w:r w:rsidR="00706C51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derivátmi emisných kvót, sú povinní oznamovať správy uvedené v</w:t>
      </w:r>
      <w:r w:rsidR="007F7AED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 odseku 1 </w:t>
      </w:r>
      <w:r w:rsidR="009509C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písm</w:t>
      </w:r>
      <w:r w:rsidR="007F7AED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9509CF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a) prvom bode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Národnej banke Slovenska a Európskemu orgánu dohľadu (Európskemu orgánu pre cenné papiere a trhy</w:t>
      </w:r>
      <w:bookmarkEnd w:id="104"/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)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Pr="00380C82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“.</w:t>
      </w:r>
      <w:bookmarkEnd w:id="105"/>
    </w:p>
    <w:p w14:paraId="3FCA6387" w14:textId="77777777" w:rsidR="00A06B4A" w:rsidRPr="00380C82" w:rsidRDefault="00A06B4A" w:rsidP="00861C4F">
      <w:p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52591446" w14:textId="150C42CD" w:rsidR="00A06B4A" w:rsidRPr="00380C82" w:rsidRDefault="00A06B4A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V § 57b ods</w:t>
      </w:r>
      <w:r w:rsidR="003D69E7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ek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3 znie: </w:t>
      </w:r>
    </w:p>
    <w:p w14:paraId="3E6BA04A" w14:textId="5D891084" w:rsidR="00A06B4A" w:rsidRPr="005F42F8" w:rsidRDefault="00A06B4A" w:rsidP="00861C4F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„(3)</w:t>
      </w:r>
      <w:r w:rsidR="009439B4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bookmarkStart w:id="106" w:name="_Hlk196464026"/>
      <w:bookmarkStart w:id="107" w:name="_Hlk193897993"/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Obchodník s cennými papiermi obchodujúci s komoditnými derivátmi alebo s</w:t>
      </w:r>
      <w:r w:rsidR="0086496B"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 </w:t>
      </w:r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derivátmi emisných kvót mimo obchodného miesta je povinný poskytovať úplný zoznam svojich pozícií držaných v ekonomicky rovnocenných mimoburzových derivátových zmluvách, ako aj pozícií svojich klientov a klientov svojich klientov až po konečného klienta minimálne každý deň v súlade s osobitným predpisom</w:t>
      </w:r>
      <w:hyperlink r:id="rId11" w:anchor="f4739364" w:history="1">
        <w:r w:rsidRPr="00380C82">
          <w:rPr>
            <w:rStyle w:val="Hypertextovprepojenie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  <w:shd w:val="clear" w:color="auto" w:fill="FFFFFF"/>
            <w:vertAlign w:val="superscript"/>
            <w:lang w:val="sk-SK"/>
          </w:rPr>
          <w:t>68a</w:t>
        </w:r>
        <w:r w:rsidRPr="00380C82">
          <w:rPr>
            <w:rStyle w:val="Hypertextovprepojenie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  <w:shd w:val="clear" w:color="auto" w:fill="FFFFFF"/>
            <w:lang w:val="sk-SK"/>
          </w:rPr>
          <w:t>)</w:t>
        </w:r>
      </w:hyperlink>
      <w:r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 a v príslušných </w:t>
      </w:r>
      <w:r w:rsidR="00767C40" w:rsidRPr="00380C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situáciách </w:t>
      </w:r>
      <w:r w:rsidR="00767C40" w:rsidRPr="005F42F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v</w:t>
      </w:r>
      <w:r w:rsidRPr="005F42F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 súlade s osobitným 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predpisom</w:t>
      </w:r>
      <w:r w:rsidRPr="005F42F8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68a</w:t>
      </w:r>
      <w:r w:rsidR="00767C40" w:rsidRPr="005F42F8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a</w:t>
      </w:r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  <w:r w:rsidRPr="005F42F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 centrálnemu orgánu dohľadu uvedenému v § 57a ods. 8</w:t>
      </w:r>
      <w:bookmarkEnd w:id="106"/>
      <w:r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Pr="005F42F8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“.</w:t>
      </w:r>
    </w:p>
    <w:bookmarkEnd w:id="107"/>
    <w:p w14:paraId="41F10F13" w14:textId="77777777" w:rsidR="00A06B4A" w:rsidRPr="005F42F8" w:rsidRDefault="00A06B4A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5E87B45E" w14:textId="7732A6A5" w:rsidR="003B24E7" w:rsidRPr="005F42F8" w:rsidRDefault="003B24E7" w:rsidP="003B24E7">
      <w:pPr>
        <w:pStyle w:val="Bezriadkovani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Poznámk</w:t>
      </w:r>
      <w:r w:rsidR="00945993"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pod čiarou k</w:t>
      </w:r>
      <w:r w:rsidR="00945993"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  <w:r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odkaz</w:t>
      </w:r>
      <w:r w:rsidR="00945993"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om 68a a</w:t>
      </w:r>
      <w:r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68a</w:t>
      </w:r>
      <w:r w:rsidR="00767C40"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zn</w:t>
      </w:r>
      <w:r w:rsidR="00945993"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ejú</w:t>
      </w:r>
      <w:r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</w:p>
    <w:p w14:paraId="0708B8FF" w14:textId="1A3B8FA1" w:rsidR="00945993" w:rsidRPr="005F42F8" w:rsidRDefault="003B24E7" w:rsidP="003B24E7">
      <w:pPr>
        <w:pStyle w:val="Bezriadkovani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bookmarkStart w:id="108" w:name="_Hlk196464380"/>
      <w:r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>„</w:t>
      </w:r>
      <w:r w:rsidR="00945993" w:rsidRPr="005F42F8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>68a</w:t>
      </w:r>
      <w:r w:rsidR="00945993"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) Čl. 26 nariadenia (EÚ) č. 600/2014 v platnom znení. </w:t>
      </w:r>
    </w:p>
    <w:p w14:paraId="19E1449D" w14:textId="5984484A" w:rsidR="003B24E7" w:rsidRPr="00380C82" w:rsidRDefault="003B24E7" w:rsidP="003B24E7">
      <w:pPr>
        <w:pStyle w:val="Bezriadkovania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5F42F8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>68a</w:t>
      </w:r>
      <w:r w:rsidR="00767C40" w:rsidRPr="005F42F8">
        <w:rPr>
          <w:rFonts w:ascii="Times New Roman" w:eastAsia="Times New Roman" w:hAnsi="Times New Roman" w:cs="Times New Roman"/>
          <w:sz w:val="24"/>
          <w:szCs w:val="24"/>
          <w:vertAlign w:val="superscript"/>
          <w:lang w:val="sk-SK"/>
        </w:rPr>
        <w:t>a</w:t>
      </w:r>
      <w:r w:rsidRPr="005F42F8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) Čl. 8 </w:t>
      </w:r>
      <w:r w:rsidRPr="00380C82">
        <w:rPr>
          <w:rFonts w:ascii="Times New Roman" w:eastAsia="Times New Roman" w:hAnsi="Times New Roman" w:cs="Times New Roman"/>
          <w:sz w:val="24"/>
          <w:szCs w:val="24"/>
          <w:lang w:val="sk-SK"/>
        </w:rPr>
        <w:t>nariadenia Európskeho parlamentu a Rady (EÚ) č. 1227/2011 z 25. októbra 2011 o integrite a transparentnosti veľkoobchodného trhu s energiou (Ú. v. EÚ L 326, 8.12. 2011) v platnom znení.“.</w:t>
      </w:r>
      <w:r w:rsidR="0094599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     </w:t>
      </w:r>
    </w:p>
    <w:bookmarkEnd w:id="108"/>
    <w:p w14:paraId="37FA469A" w14:textId="77777777" w:rsidR="003B24E7" w:rsidRPr="00C115FC" w:rsidRDefault="003B24E7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57DC1DB9" w14:textId="36510DCB" w:rsidR="00A06B4A" w:rsidRPr="00C115FC" w:rsidRDefault="00A06B4A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57b ods. 5 </w:t>
      </w:r>
      <w:r w:rsidR="00A50C5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úvodnej vete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sa </w:t>
      </w:r>
      <w:r w:rsidR="009439B4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za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slová „</w:t>
      </w:r>
      <w:r w:rsidR="009509CF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písm. </w:t>
      </w:r>
      <w:r w:rsidR="009439B4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a) podľa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“</w:t>
      </w:r>
      <w:r w:rsidR="009439B4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vkladá slovo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„povahy“</w:t>
      </w:r>
      <w:r w:rsidRPr="00C115FC">
        <w:rPr>
          <w:rStyle w:val="y2iqfc"/>
          <w:rFonts w:ascii="Times New Roman" w:hAnsi="Times New Roman" w:cs="Times New Roman"/>
          <w:noProof/>
          <w:sz w:val="24"/>
          <w:szCs w:val="24"/>
          <w:lang w:val="sk-SK"/>
        </w:rPr>
        <w:t>.</w:t>
      </w:r>
    </w:p>
    <w:p w14:paraId="326D2989" w14:textId="77777777" w:rsidR="00A06B4A" w:rsidRPr="00C115FC" w:rsidRDefault="00A06B4A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20DF32C1" w14:textId="77777777" w:rsidR="00A06B4A" w:rsidRPr="00C115FC" w:rsidRDefault="00A06B4A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V § 57b ods. 5 písmeno e) znie: </w:t>
      </w:r>
    </w:p>
    <w:p w14:paraId="2DAAE29E" w14:textId="77777777" w:rsidR="00A06B4A" w:rsidRPr="00C115FC" w:rsidRDefault="00A06B4A" w:rsidP="00861C4F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„e) </w:t>
      </w:r>
      <w:bookmarkStart w:id="109" w:name="_Hlk193957877"/>
      <w:r w:rsidRPr="00C115F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 xml:space="preserve">prevádzkovatelia, ktorí sú povinní dodržiavať ustanovenia osobitného </w:t>
      </w:r>
      <w:r w:rsidRPr="00B4130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predpisu,</w:t>
      </w:r>
      <w:hyperlink r:id="rId12" w:anchor="f4739365" w:history="1">
        <w:r w:rsidRPr="00B4130F">
          <w:rPr>
            <w:rStyle w:val="Hypertextovprepojenie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  <w:shd w:val="clear" w:color="auto" w:fill="FFFFFF"/>
            <w:vertAlign w:val="superscript"/>
            <w:lang w:val="sk-SK"/>
          </w:rPr>
          <w:t>68b</w:t>
        </w:r>
        <w:r w:rsidRPr="00B4130F">
          <w:rPr>
            <w:rStyle w:val="Hypertextovprepojenie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  <w:shd w:val="clear" w:color="auto" w:fill="FFFFFF"/>
            <w:lang w:val="sk-SK"/>
          </w:rPr>
          <w:t>)</w:t>
        </w:r>
      </w:hyperlink>
      <w:r w:rsidR="00F36DD2" w:rsidRPr="00B4130F">
        <w:rPr>
          <w:rStyle w:val="Hypertextovprepojenie"/>
          <w:rFonts w:ascii="Times New Roman" w:hAnsi="Times New Roman" w:cs="Times New Roman"/>
          <w:bCs/>
          <w:noProof/>
          <w:color w:val="auto"/>
          <w:sz w:val="24"/>
          <w:szCs w:val="24"/>
          <w:u w:val="none"/>
          <w:shd w:val="clear" w:color="auto" w:fill="FFFFFF"/>
          <w:lang w:val="sk-SK"/>
        </w:rPr>
        <w:t xml:space="preserve"> </w:t>
      </w:r>
      <w:r w:rsidRPr="00B4130F">
        <w:rPr>
          <w:rStyle w:val="Hypertextovprepojenie"/>
          <w:rFonts w:ascii="Times New Roman" w:hAnsi="Times New Roman" w:cs="Times New Roman"/>
          <w:bCs/>
          <w:noProof/>
          <w:color w:val="auto"/>
          <w:sz w:val="24"/>
          <w:szCs w:val="24"/>
          <w:u w:val="none"/>
          <w:shd w:val="clear" w:color="auto" w:fill="FFFFFF"/>
          <w:lang w:val="sk-SK"/>
        </w:rPr>
        <w:t>pri</w:t>
      </w:r>
      <w:r w:rsidRPr="00C115FC">
        <w:rPr>
          <w:rStyle w:val="Hypertextovprepojenie"/>
          <w:rFonts w:ascii="Times New Roman" w:hAnsi="Times New Roman" w:cs="Times New Roman"/>
          <w:bCs/>
          <w:noProof/>
          <w:color w:val="auto"/>
          <w:sz w:val="24"/>
          <w:szCs w:val="24"/>
          <w:u w:val="none"/>
          <w:shd w:val="clear" w:color="auto" w:fill="FFFFFF"/>
          <w:lang w:val="sk-SK"/>
        </w:rPr>
        <w:t xml:space="preserve"> derivátoch emisných kvót</w:t>
      </w:r>
      <w:bookmarkEnd w:id="109"/>
      <w:r w:rsidRPr="00C115F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.“.</w:t>
      </w:r>
    </w:p>
    <w:p w14:paraId="0FC48C56" w14:textId="77777777" w:rsidR="00A06B4A" w:rsidRPr="00C115FC" w:rsidRDefault="00A06B4A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AEFC11E" w14:textId="09A3ABEE" w:rsidR="00D125E5" w:rsidRPr="00C115FC" w:rsidRDefault="00D125E5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§ 57b sa dopĺňa odsekom 8, ktorý znie:</w:t>
      </w:r>
    </w:p>
    <w:p w14:paraId="49FE28E2" w14:textId="7E1A09DE" w:rsidR="00D125E5" w:rsidRPr="00246C36" w:rsidRDefault="00D125E5" w:rsidP="00D125E5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110" w:name="_Hlk196440638"/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„(8) </w:t>
      </w:r>
      <w:r w:rsidRPr="00246C36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Podávaním správ podľa odseku 1 písm. a) nie sú dotknuté povinnosti podľa osobitného </w:t>
      </w:r>
      <w:r w:rsidR="00F11CA5" w:rsidRPr="00246C36">
        <w:rPr>
          <w:rFonts w:ascii="Times New Roman" w:hAnsi="Times New Roman" w:cs="Times New Roman"/>
          <w:noProof/>
          <w:sz w:val="24"/>
          <w:szCs w:val="24"/>
          <w:lang w:val="sk-SK"/>
        </w:rPr>
        <w:t>predpisu</w:t>
      </w:r>
      <w:r w:rsidRPr="00246C36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Pr="00246C36">
        <w:rPr>
          <w:rFonts w:ascii="Times New Roman" w:hAnsi="Times New Roman" w:cs="Times New Roman"/>
          <w:noProof/>
          <w:sz w:val="24"/>
          <w:szCs w:val="24"/>
          <w:vertAlign w:val="superscript"/>
          <w:lang w:val="sk-SK"/>
        </w:rPr>
        <w:t>68b</w:t>
      </w:r>
      <w:r w:rsidRPr="00246C36">
        <w:rPr>
          <w:rFonts w:ascii="Times New Roman" w:hAnsi="Times New Roman" w:cs="Times New Roman"/>
          <w:noProof/>
          <w:sz w:val="24"/>
          <w:szCs w:val="24"/>
          <w:lang w:val="sk-SK"/>
        </w:rPr>
        <w:t>)“.</w:t>
      </w:r>
    </w:p>
    <w:bookmarkEnd w:id="110"/>
    <w:p w14:paraId="66C37AC2" w14:textId="1AD3CA22" w:rsidR="00D125E5" w:rsidRPr="00BA2E44" w:rsidRDefault="00D125E5" w:rsidP="00D125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BA2E44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1C60CCE8" w14:textId="01384534" w:rsidR="00C610A2" w:rsidRPr="00C115FC" w:rsidRDefault="00257858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§ 57c sa vypúšťa</w:t>
      </w:r>
      <w:r w:rsidR="003D69E7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</w:p>
    <w:p w14:paraId="7A5AC363" w14:textId="77777777" w:rsidR="00C610A2" w:rsidRPr="00C115FC" w:rsidRDefault="00C610A2" w:rsidP="00C610A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24876EB" w14:textId="48A19841" w:rsidR="00257858" w:rsidRPr="00C115FC" w:rsidRDefault="003D69E7" w:rsidP="00C610A2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Poznámka pod čiarou k odkazu 69a sa vypúšťa</w:t>
      </w:r>
      <w:r w:rsidR="00257858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</w:p>
    <w:p w14:paraId="3DF50600" w14:textId="2037180B" w:rsidR="00591194" w:rsidRPr="00C115FC" w:rsidRDefault="00591194" w:rsidP="00591194">
      <w:pPr>
        <w:spacing w:after="0" w:line="240" w:lineRule="auto"/>
        <w:jc w:val="both"/>
        <w:rPr>
          <w:rFonts w:ascii="Times New Roman" w:hAnsi="Times New Roman" w:cs="Times New Roman"/>
          <w:strike/>
          <w:noProof/>
          <w:sz w:val="24"/>
          <w:szCs w:val="24"/>
          <w:lang w:val="sk-SK"/>
        </w:rPr>
      </w:pPr>
    </w:p>
    <w:p w14:paraId="7CA22A1F" w14:textId="77777777" w:rsidR="00591194" w:rsidRPr="00C115FC" w:rsidRDefault="00591194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V § 65 sa vypúšťajú odseky 1 a 2.</w:t>
      </w:r>
    </w:p>
    <w:p w14:paraId="7436D614" w14:textId="77777777" w:rsidR="00591194" w:rsidRPr="00C115FC" w:rsidRDefault="00591194" w:rsidP="0059119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76BFAFFA" w14:textId="77777777" w:rsidR="00591194" w:rsidRPr="00C115FC" w:rsidRDefault="00591194" w:rsidP="00591194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Doterajšie odseky 3 a 4 sa označujú ako odseky 1 a 2.</w:t>
      </w:r>
    </w:p>
    <w:p w14:paraId="46AC7A80" w14:textId="77777777" w:rsidR="00A77817" w:rsidRPr="00C115FC" w:rsidRDefault="00A77817" w:rsidP="00591194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64FEF191" w14:textId="3D3BD94D" w:rsidR="00A77817" w:rsidRPr="00C115FC" w:rsidRDefault="00A77817" w:rsidP="00F86910">
      <w:pPr>
        <w:pStyle w:val="Odsekzoznamu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V § 65a sa vypúšťajú slová „okrem § 65 ods. 1 a 2“.</w:t>
      </w:r>
    </w:p>
    <w:p w14:paraId="23862710" w14:textId="77777777" w:rsidR="00A77817" w:rsidRPr="00C115FC" w:rsidRDefault="00A77817" w:rsidP="00A7781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59C6446A" w14:textId="566D3EB5" w:rsidR="00D467F6" w:rsidRPr="00C115FC" w:rsidRDefault="00D467F6" w:rsidP="00F86910">
      <w:pPr>
        <w:pStyle w:val="Odsekzoznamu"/>
        <w:numPr>
          <w:ilvl w:val="0"/>
          <w:numId w:val="7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noProof/>
          <w:sz w:val="24"/>
          <w:szCs w:val="24"/>
          <w:lang w:val="sk-SK" w:eastAsia="sk-SK"/>
        </w:rPr>
      </w:pP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Slová „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žiadosť o kótovanie“ vo všetkých tvaroch sa v celom texte zákona </w:t>
      </w:r>
      <w:r w:rsidR="009C75F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>okrem § 26 ods. 2</w:t>
      </w:r>
      <w:r w:rsidR="00B75BF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, </w:t>
      </w:r>
      <w:r w:rsidR="00B75BF0"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§ 32 ods. 2 </w:t>
      </w:r>
      <w:r w:rsidR="00B75BF0">
        <w:rPr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="009C75F6"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§ 37d ods. 2 </w:t>
      </w:r>
      <w:r w:rsidRPr="00380C8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nahrádzajú slovami „žiadosť o prijatie cenných papierov na trh kótovaných cenných papierov“ v príslušnom </w:t>
      </w:r>
      <w:r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>tvare.</w:t>
      </w:r>
    </w:p>
    <w:p w14:paraId="263B85C7" w14:textId="77777777" w:rsidR="00D467F6" w:rsidRPr="00C115FC" w:rsidRDefault="00D467F6" w:rsidP="00D467F6">
      <w:pPr>
        <w:pStyle w:val="Odsekzoznamu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62716E26" w14:textId="1060AB6E" w:rsidR="00AA4188" w:rsidRPr="00C115FC" w:rsidRDefault="00AA4188" w:rsidP="00F86910">
      <w:pPr>
        <w:pStyle w:val="Odsekzoznamu"/>
        <w:numPr>
          <w:ilvl w:val="0"/>
          <w:numId w:val="7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noProof/>
          <w:sz w:val="24"/>
          <w:szCs w:val="24"/>
          <w:lang w:val="sk-SK" w:eastAsia="sk-SK"/>
        </w:rPr>
      </w:pP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lastRenderedPageBreak/>
        <w:t>V </w:t>
      </w:r>
      <w:r w:rsidR="003D69E7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</w:t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rílohe sa vypúšťa </w:t>
      </w:r>
      <w:r w:rsidR="00EB3486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prvý bod</w:t>
      </w:r>
      <w:r w:rsidR="003D69E7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. </w:t>
      </w:r>
      <w:r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</w:t>
      </w:r>
    </w:p>
    <w:p w14:paraId="7EC9563D" w14:textId="77777777" w:rsidR="00513466" w:rsidRPr="00C115FC" w:rsidRDefault="00513466" w:rsidP="00861C4F">
      <w:pPr>
        <w:pStyle w:val="oj-normal"/>
        <w:shd w:val="clear" w:color="auto" w:fill="FFFFFF"/>
        <w:spacing w:before="0" w:beforeAutospacing="0" w:after="0" w:afterAutospacing="0"/>
        <w:ind w:left="360"/>
        <w:jc w:val="both"/>
        <w:rPr>
          <w:noProof/>
          <w:shd w:val="clear" w:color="auto" w:fill="FFFFFF"/>
        </w:rPr>
      </w:pPr>
    </w:p>
    <w:p w14:paraId="5204EC59" w14:textId="3B32FAF8" w:rsidR="00AA4188" w:rsidRPr="00BA47A0" w:rsidRDefault="003D69E7" w:rsidP="00861C4F">
      <w:pPr>
        <w:pStyle w:val="oj-normal"/>
        <w:shd w:val="clear" w:color="auto" w:fill="FFFFFF"/>
        <w:spacing w:before="0" w:beforeAutospacing="0" w:after="0" w:afterAutospacing="0"/>
        <w:ind w:left="360"/>
        <w:jc w:val="both"/>
        <w:rPr>
          <w:noProof/>
          <w:shd w:val="clear" w:color="auto" w:fill="FFFFFF"/>
        </w:rPr>
      </w:pPr>
      <w:r w:rsidRPr="00C115FC">
        <w:rPr>
          <w:noProof/>
          <w:shd w:val="clear" w:color="auto" w:fill="FFFFFF"/>
        </w:rPr>
        <w:t>Doterajšie</w:t>
      </w:r>
      <w:r w:rsidR="00AA4188" w:rsidRPr="00C115FC">
        <w:rPr>
          <w:noProof/>
          <w:shd w:val="clear" w:color="auto" w:fill="FFFFFF"/>
        </w:rPr>
        <w:t xml:space="preserve"> body </w:t>
      </w:r>
      <w:r w:rsidRPr="00BA47A0">
        <w:rPr>
          <w:noProof/>
          <w:shd w:val="clear" w:color="auto" w:fill="FFFFFF"/>
        </w:rPr>
        <w:t>2</w:t>
      </w:r>
      <w:r w:rsidR="00AA4188" w:rsidRPr="00BA47A0">
        <w:rPr>
          <w:noProof/>
          <w:shd w:val="clear" w:color="auto" w:fill="FFFFFF"/>
        </w:rPr>
        <w:t xml:space="preserve"> až 1</w:t>
      </w:r>
      <w:r w:rsidR="00762AEC" w:rsidRPr="00BA47A0">
        <w:rPr>
          <w:noProof/>
          <w:shd w:val="clear" w:color="auto" w:fill="FFFFFF"/>
        </w:rPr>
        <w:t>3</w:t>
      </w:r>
      <w:r w:rsidR="00AA4188" w:rsidRPr="00BA47A0">
        <w:rPr>
          <w:noProof/>
          <w:shd w:val="clear" w:color="auto" w:fill="FFFFFF"/>
        </w:rPr>
        <w:t xml:space="preserve"> sa označujú ako body </w:t>
      </w:r>
      <w:r w:rsidRPr="00BA47A0">
        <w:rPr>
          <w:noProof/>
          <w:shd w:val="clear" w:color="auto" w:fill="FFFFFF"/>
        </w:rPr>
        <w:t>1</w:t>
      </w:r>
      <w:r w:rsidR="00AA4188" w:rsidRPr="00BA47A0">
        <w:rPr>
          <w:noProof/>
          <w:shd w:val="clear" w:color="auto" w:fill="FFFFFF"/>
        </w:rPr>
        <w:t xml:space="preserve"> až 1</w:t>
      </w:r>
      <w:r w:rsidR="00762AEC" w:rsidRPr="00BA47A0">
        <w:rPr>
          <w:noProof/>
          <w:shd w:val="clear" w:color="auto" w:fill="FFFFFF"/>
        </w:rPr>
        <w:t>2</w:t>
      </w:r>
      <w:r w:rsidR="00AA4188" w:rsidRPr="00BA47A0">
        <w:rPr>
          <w:noProof/>
          <w:shd w:val="clear" w:color="auto" w:fill="FFFFFF"/>
        </w:rPr>
        <w:t xml:space="preserve">. </w:t>
      </w:r>
    </w:p>
    <w:p w14:paraId="18A859CE" w14:textId="77777777" w:rsidR="00513466" w:rsidRPr="00BA47A0" w:rsidRDefault="00513466" w:rsidP="00861C4F">
      <w:pPr>
        <w:pStyle w:val="oj-normal"/>
        <w:shd w:val="clear" w:color="auto" w:fill="FFFFFF"/>
        <w:spacing w:before="0" w:beforeAutospacing="0" w:after="0" w:afterAutospacing="0"/>
        <w:ind w:left="360"/>
        <w:jc w:val="both"/>
        <w:rPr>
          <w:noProof/>
        </w:rPr>
      </w:pPr>
    </w:p>
    <w:p w14:paraId="1AE4C8C1" w14:textId="194FF3A6" w:rsidR="00A06B4A" w:rsidRPr="00BA47A0" w:rsidRDefault="00A06B4A" w:rsidP="00F86910">
      <w:pPr>
        <w:pStyle w:val="Odsekzoznamu"/>
        <w:numPr>
          <w:ilvl w:val="0"/>
          <w:numId w:val="7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Príloha sa dopĺňa </w:t>
      </w:r>
      <w:r w:rsidR="00762AEC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dvanástym</w:t>
      </w:r>
      <w:r w:rsidR="00AA4188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</w:t>
      </w:r>
      <w:r w:rsidR="003D69E7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bodom</w:t>
      </w: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, ktor</w:t>
      </w:r>
      <w:r w:rsidR="00A77817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ý</w:t>
      </w: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zn</w:t>
      </w:r>
      <w:r w:rsidR="00A77817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ie</w:t>
      </w: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:</w:t>
      </w:r>
    </w:p>
    <w:p w14:paraId="55F66256" w14:textId="797C65DF" w:rsidR="00A06B4A" w:rsidRPr="00BA47A0" w:rsidRDefault="00A06B4A" w:rsidP="00861C4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bookmarkStart w:id="111" w:name="_Hlk193958162"/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„</w:t>
      </w:r>
      <w:r w:rsidR="00762AEC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12</w:t>
      </w: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. Smernica Európskeho </w:t>
      </w:r>
      <w:r w:rsidR="003D69E7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</w:t>
      </w: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arlamentu a Rady </w:t>
      </w:r>
      <w:r w:rsidRPr="00BA47A0">
        <w:rPr>
          <w:rFonts w:ascii="Times New Roman" w:hAnsi="Times New Roman" w:cs="Times New Roman"/>
          <w:noProof/>
          <w:sz w:val="24"/>
          <w:szCs w:val="24"/>
          <w:lang w:val="sk-SK"/>
        </w:rPr>
        <w:t>(EÚ) 2024/790 z 28. februára 2024, ktorou sa mení smernica 2014/65/EÚ o trhoch s finančnými nástrojmi</w:t>
      </w: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(Ú. v. EÚ L, </w:t>
      </w:r>
      <w:r w:rsidR="003D69E7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2024/790, </w:t>
      </w: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8.3.2024).</w:t>
      </w:r>
      <w:r w:rsidR="00A77817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“.</w:t>
      </w:r>
    </w:p>
    <w:p w14:paraId="38FB371E" w14:textId="77777777" w:rsidR="00A77817" w:rsidRPr="00BA47A0" w:rsidRDefault="00A77817" w:rsidP="00861C4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</w:p>
    <w:p w14:paraId="431CD414" w14:textId="33AF1D93" w:rsidR="00A77817" w:rsidRPr="00BA47A0" w:rsidRDefault="00A77817" w:rsidP="00F86910">
      <w:pPr>
        <w:pStyle w:val="Odsekzoznamu"/>
        <w:numPr>
          <w:ilvl w:val="0"/>
          <w:numId w:val="7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Príloha sa dopĺňa </w:t>
      </w:r>
      <w:r w:rsidR="00762AEC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trinástym</w:t>
      </w: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bodom, ktorý znie:</w:t>
      </w:r>
    </w:p>
    <w:p w14:paraId="6F3EEE64" w14:textId="415C7EF9" w:rsidR="00AA4188" w:rsidRPr="00C115FC" w:rsidRDefault="00A77817" w:rsidP="00861C4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</w:pPr>
      <w:r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„</w:t>
      </w:r>
      <w:r w:rsidR="00AA4188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1</w:t>
      </w:r>
      <w:r w:rsidR="00762AEC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3</w:t>
      </w:r>
      <w:r w:rsidR="00AA4188" w:rsidRPr="00BA47A0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. Smernica Európskeho</w:t>
      </w:r>
      <w:r w:rsidR="00AA4188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 </w:t>
      </w:r>
      <w:r w:rsidR="003D69E7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p</w:t>
      </w:r>
      <w:r w:rsidR="00AA4188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 xml:space="preserve">arlamentu a Rady </w:t>
      </w:r>
      <w:r w:rsidR="00AA4188" w:rsidRPr="00C115FC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(EÚ) 2024/2811  </w:t>
      </w:r>
      <w:r w:rsidR="00AA4188" w:rsidRPr="00C115FC">
        <w:rPr>
          <w:rFonts w:ascii="Times New Roman" w:hAnsi="Times New Roman" w:cs="Times New Roman"/>
          <w:bCs/>
          <w:noProof/>
          <w:sz w:val="24"/>
          <w:szCs w:val="24"/>
          <w:lang w:val="sk-SK"/>
        </w:rPr>
        <w:t xml:space="preserve">z 23. októbra 2024, ktorou sa mení smernica 2014/65/EÚ s cieľom zatraktívniť verejné kapitálové trhy v Únii pre spoločnosti a uľahčiť malým a stredným podnikom prístup ku kapitálu a ktorou sa zrušuje smernica 2001/34/ES </w:t>
      </w:r>
      <w:r w:rsidR="00AA4188" w:rsidRPr="00C115F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k-SK"/>
        </w:rPr>
        <w:t>(</w:t>
      </w:r>
      <w:r w:rsidR="00AA4188" w:rsidRPr="00C115FC">
        <w:rPr>
          <w:rStyle w:val="Zvraznenie"/>
          <w:rFonts w:ascii="Times New Roman" w:hAnsi="Times New Roman"/>
          <w:i w:val="0"/>
          <w:noProof/>
          <w:sz w:val="24"/>
          <w:szCs w:val="24"/>
          <w:shd w:val="clear" w:color="auto" w:fill="FFFFFF"/>
          <w:lang w:val="sk-SK"/>
        </w:rPr>
        <w:t>Ú. v. EÚ L, 2024/2811, 14.11.2024</w:t>
      </w:r>
      <w:r w:rsidR="00AA4188" w:rsidRPr="00C115FC"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t>).“.</w:t>
      </w:r>
    </w:p>
    <w:bookmarkEnd w:id="111"/>
    <w:p w14:paraId="68276F5B" w14:textId="77777777" w:rsidR="00257858" w:rsidRPr="00374B4F" w:rsidRDefault="00257858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ACB71F1" w14:textId="77777777" w:rsidR="0045053C" w:rsidRDefault="0045053C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41CC6915" w14:textId="77777777" w:rsidR="00B0030A" w:rsidRDefault="00B0030A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85ED1B1" w14:textId="77777777" w:rsidR="00B0030A" w:rsidRPr="00374B4F" w:rsidRDefault="00B0030A" w:rsidP="00861C4F">
      <w:pPr>
        <w:pStyle w:val="Bezriadkovania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003FE832" w14:textId="2EBB84CE" w:rsidR="00B0030A" w:rsidRPr="00374B4F" w:rsidRDefault="00A06B4A" w:rsidP="00EB3486">
      <w:pPr>
        <w:pStyle w:val="Bezriadkovania"/>
        <w:jc w:val="center"/>
        <w:rPr>
          <w:rFonts w:ascii="Times New Roman" w:hAnsi="Times New Roman" w:cs="Times New Roman"/>
          <w:noProof/>
          <w:sz w:val="24"/>
          <w:szCs w:val="24"/>
          <w:lang w:val="sk-SK"/>
        </w:rPr>
      </w:pPr>
      <w:r w:rsidRPr="00374B4F">
        <w:rPr>
          <w:rFonts w:ascii="Times New Roman" w:hAnsi="Times New Roman" w:cs="Times New Roman"/>
          <w:noProof/>
          <w:sz w:val="24"/>
          <w:szCs w:val="24"/>
          <w:lang w:val="sk-SK"/>
        </w:rPr>
        <w:t>Čl. III</w:t>
      </w:r>
    </w:p>
    <w:p w14:paraId="546DAD22" w14:textId="097A158E" w:rsidR="00A06B4A" w:rsidRDefault="00344A81" w:rsidP="000D2C10">
      <w:pPr>
        <w:pStyle w:val="Bezriadkovania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  <w:bookmarkStart w:id="112" w:name="_Hlk197339964"/>
      <w:r w:rsidRPr="00A80C72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Tento zákon nadobúda účinnosť </w:t>
      </w:r>
      <w:r w:rsidR="000F64C4" w:rsidRPr="005F42F8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1. novembra 2025 </w:t>
      </w:r>
      <w:r w:rsidRPr="00A80C72">
        <w:rPr>
          <w:rFonts w:ascii="Times New Roman" w:hAnsi="Times New Roman" w:cs="Times New Roman"/>
          <w:noProof/>
          <w:sz w:val="24"/>
          <w:szCs w:val="24"/>
          <w:lang w:val="sk-SK"/>
        </w:rPr>
        <w:t>okrem čl. I bodov 19, 20, 23 až 25, 29, 32, 34, 36, 39 a 41, ktoré  nadobúdajú účinnosť 5. júna 2026, čl. I bodov 14, 15, 35 a 46 a čl. II bodov 3 až 5, 7 až 20, 24, 26 až 29, 41 až 43 a 46, ktoré nadobúdajú účinnosť 6. júna 2026 a čl. I bodov 2, 9 až 11, 22 a 47, ktoré nadobúdajú účinnosť 25. júna 2026  a čl. I bodu 44 a čl. II bodu 44, ktoré nadobúdajú účinnosť 5. decembra 2026</w:t>
      </w:r>
      <w:r w:rsidR="00255C94" w:rsidRPr="00D07C0D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bookmarkEnd w:id="112"/>
    </w:p>
    <w:p w14:paraId="4F27810C" w14:textId="77777777" w:rsidR="00B44B8F" w:rsidRDefault="00B44B8F" w:rsidP="000D2C10">
      <w:pPr>
        <w:pStyle w:val="Bezriadkovania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1DFAC1BD" w14:textId="77777777" w:rsidR="00BF5603" w:rsidRDefault="00BF5603" w:rsidP="000D2C10">
      <w:pPr>
        <w:pStyle w:val="Bezriadkovania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p w14:paraId="3CD67DE0" w14:textId="77777777" w:rsidR="00BF5603" w:rsidRDefault="00BF5603" w:rsidP="000D2C10">
      <w:pPr>
        <w:pStyle w:val="Bezriadkovania"/>
        <w:jc w:val="both"/>
        <w:rPr>
          <w:rFonts w:ascii="Times New Roman" w:hAnsi="Times New Roman" w:cs="Times New Roman"/>
          <w:noProof/>
          <w:sz w:val="24"/>
          <w:szCs w:val="24"/>
          <w:lang w:val="sk-SK"/>
        </w:rPr>
      </w:pPr>
    </w:p>
    <w:sectPr w:rsidR="00BF560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8A61" w14:textId="77777777" w:rsidR="000932F5" w:rsidRDefault="000932F5" w:rsidP="00345576">
      <w:pPr>
        <w:spacing w:after="0" w:line="240" w:lineRule="auto"/>
      </w:pPr>
      <w:r>
        <w:separator/>
      </w:r>
    </w:p>
  </w:endnote>
  <w:endnote w:type="continuationSeparator" w:id="0">
    <w:p w14:paraId="468FADB9" w14:textId="77777777" w:rsidR="000932F5" w:rsidRDefault="000932F5" w:rsidP="0034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496904"/>
      <w:docPartObj>
        <w:docPartGallery w:val="Page Numbers (Bottom of Page)"/>
        <w:docPartUnique/>
      </w:docPartObj>
    </w:sdtPr>
    <w:sdtContent>
      <w:p w14:paraId="1398812D" w14:textId="27F4705D" w:rsidR="00345576" w:rsidRDefault="0034557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C32B5D4" w14:textId="77777777" w:rsidR="00345576" w:rsidRDefault="003455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6138" w14:textId="77777777" w:rsidR="000932F5" w:rsidRDefault="000932F5" w:rsidP="00345576">
      <w:pPr>
        <w:spacing w:after="0" w:line="240" w:lineRule="auto"/>
      </w:pPr>
      <w:r>
        <w:separator/>
      </w:r>
    </w:p>
  </w:footnote>
  <w:footnote w:type="continuationSeparator" w:id="0">
    <w:p w14:paraId="164D93EA" w14:textId="77777777" w:rsidR="000932F5" w:rsidRDefault="000932F5" w:rsidP="0034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9B7"/>
    <w:multiLevelType w:val="hybridMultilevel"/>
    <w:tmpl w:val="3370E0DC"/>
    <w:lvl w:ilvl="0" w:tplc="808AB95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1478D2"/>
    <w:multiLevelType w:val="hybridMultilevel"/>
    <w:tmpl w:val="A5260C6A"/>
    <w:lvl w:ilvl="0" w:tplc="808AB95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2987"/>
    <w:multiLevelType w:val="hybridMultilevel"/>
    <w:tmpl w:val="F9667F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200D"/>
    <w:multiLevelType w:val="hybridMultilevel"/>
    <w:tmpl w:val="9E4E7E64"/>
    <w:lvl w:ilvl="0" w:tplc="041B000F">
      <w:start w:val="1"/>
      <w:numFmt w:val="decimal"/>
      <w:lvlText w:val="%1."/>
      <w:lvlJc w:val="left"/>
      <w:pPr>
        <w:ind w:left="1647" w:hanging="360"/>
      </w:p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4380B8D"/>
    <w:multiLevelType w:val="hybridMultilevel"/>
    <w:tmpl w:val="B45EED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2A7B61"/>
    <w:multiLevelType w:val="hybridMultilevel"/>
    <w:tmpl w:val="3B882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65B00"/>
    <w:multiLevelType w:val="hybridMultilevel"/>
    <w:tmpl w:val="A192CD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417ED"/>
    <w:multiLevelType w:val="hybridMultilevel"/>
    <w:tmpl w:val="487E8D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FD6191"/>
    <w:multiLevelType w:val="hybridMultilevel"/>
    <w:tmpl w:val="ECA4D16E"/>
    <w:lvl w:ilvl="0" w:tplc="A148C40C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42BD1"/>
    <w:multiLevelType w:val="hybridMultilevel"/>
    <w:tmpl w:val="78B05716"/>
    <w:lvl w:ilvl="0" w:tplc="07CEB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B2D33"/>
    <w:multiLevelType w:val="hybridMultilevel"/>
    <w:tmpl w:val="65280CD0"/>
    <w:lvl w:ilvl="0" w:tplc="F9AA9E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3A72CE"/>
    <w:multiLevelType w:val="hybridMultilevel"/>
    <w:tmpl w:val="1194A23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F266110"/>
    <w:multiLevelType w:val="hybridMultilevel"/>
    <w:tmpl w:val="DB8AEA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103C0"/>
    <w:multiLevelType w:val="hybridMultilevel"/>
    <w:tmpl w:val="F0E2BD0A"/>
    <w:lvl w:ilvl="0" w:tplc="07CEB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B651EF"/>
    <w:multiLevelType w:val="hybridMultilevel"/>
    <w:tmpl w:val="07269C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57415"/>
    <w:multiLevelType w:val="hybridMultilevel"/>
    <w:tmpl w:val="0D70E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04908"/>
    <w:multiLevelType w:val="hybridMultilevel"/>
    <w:tmpl w:val="932C7F2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6B4EF5"/>
    <w:multiLevelType w:val="hybridMultilevel"/>
    <w:tmpl w:val="7378307C"/>
    <w:lvl w:ilvl="0" w:tplc="8E04DBC6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D66581"/>
    <w:multiLevelType w:val="hybridMultilevel"/>
    <w:tmpl w:val="B49097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D62BCB"/>
    <w:multiLevelType w:val="hybridMultilevel"/>
    <w:tmpl w:val="758E2564"/>
    <w:lvl w:ilvl="0" w:tplc="F9AA9E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82681B"/>
    <w:multiLevelType w:val="hybridMultilevel"/>
    <w:tmpl w:val="69A41A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F4979"/>
    <w:multiLevelType w:val="hybridMultilevel"/>
    <w:tmpl w:val="CB82CC3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4C23D5"/>
    <w:multiLevelType w:val="hybridMultilevel"/>
    <w:tmpl w:val="99B0797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EB7239"/>
    <w:multiLevelType w:val="hybridMultilevel"/>
    <w:tmpl w:val="A6629174"/>
    <w:lvl w:ilvl="0" w:tplc="2D2ECAC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F27DA"/>
    <w:multiLevelType w:val="hybridMultilevel"/>
    <w:tmpl w:val="BD8A107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6C482B"/>
    <w:multiLevelType w:val="hybridMultilevel"/>
    <w:tmpl w:val="A6D0EA56"/>
    <w:lvl w:ilvl="0" w:tplc="07CEB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82B1C"/>
    <w:multiLevelType w:val="hybridMultilevel"/>
    <w:tmpl w:val="1A4402C4"/>
    <w:lvl w:ilvl="0" w:tplc="A148C40C">
      <w:start w:val="4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CB023A8"/>
    <w:multiLevelType w:val="hybridMultilevel"/>
    <w:tmpl w:val="5292FAA6"/>
    <w:lvl w:ilvl="0" w:tplc="C0D065DE">
      <w:start w:val="1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B91879"/>
    <w:multiLevelType w:val="hybridMultilevel"/>
    <w:tmpl w:val="0D281858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F951B1E"/>
    <w:multiLevelType w:val="hybridMultilevel"/>
    <w:tmpl w:val="FF4CA350"/>
    <w:lvl w:ilvl="0" w:tplc="81FE511C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650DDA"/>
    <w:multiLevelType w:val="hybridMultilevel"/>
    <w:tmpl w:val="FF0E69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4071D"/>
    <w:multiLevelType w:val="hybridMultilevel"/>
    <w:tmpl w:val="0D70E9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562D78"/>
    <w:multiLevelType w:val="hybridMultilevel"/>
    <w:tmpl w:val="2C9E0FAA"/>
    <w:lvl w:ilvl="0" w:tplc="6DAAB5B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892177"/>
    <w:multiLevelType w:val="hybridMultilevel"/>
    <w:tmpl w:val="D4FEC52A"/>
    <w:lvl w:ilvl="0" w:tplc="853E1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4AB50AB"/>
    <w:multiLevelType w:val="hybridMultilevel"/>
    <w:tmpl w:val="E5324556"/>
    <w:lvl w:ilvl="0" w:tplc="A148C40C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643A38"/>
    <w:multiLevelType w:val="hybridMultilevel"/>
    <w:tmpl w:val="8B68BF62"/>
    <w:lvl w:ilvl="0" w:tplc="CD467F5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D7A236E"/>
    <w:multiLevelType w:val="hybridMultilevel"/>
    <w:tmpl w:val="4A88C1C8"/>
    <w:lvl w:ilvl="0" w:tplc="3E360D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674827"/>
    <w:multiLevelType w:val="hybridMultilevel"/>
    <w:tmpl w:val="82767C20"/>
    <w:lvl w:ilvl="0" w:tplc="3E360D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DF4732"/>
    <w:multiLevelType w:val="hybridMultilevel"/>
    <w:tmpl w:val="122441CA"/>
    <w:lvl w:ilvl="0" w:tplc="A148C40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30E1F8E"/>
    <w:multiLevelType w:val="hybridMultilevel"/>
    <w:tmpl w:val="83FCD85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37A6815"/>
    <w:multiLevelType w:val="hybridMultilevel"/>
    <w:tmpl w:val="6116F9EC"/>
    <w:lvl w:ilvl="0" w:tplc="3E360D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603FC"/>
    <w:multiLevelType w:val="hybridMultilevel"/>
    <w:tmpl w:val="1EF6338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C076EFC"/>
    <w:multiLevelType w:val="hybridMultilevel"/>
    <w:tmpl w:val="181078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30339D"/>
    <w:multiLevelType w:val="hybridMultilevel"/>
    <w:tmpl w:val="57805892"/>
    <w:lvl w:ilvl="0" w:tplc="BE543E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285CD2"/>
    <w:multiLevelType w:val="hybridMultilevel"/>
    <w:tmpl w:val="45E25F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56267AF"/>
    <w:multiLevelType w:val="hybridMultilevel"/>
    <w:tmpl w:val="D79E73CE"/>
    <w:lvl w:ilvl="0" w:tplc="0164D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F7D3A"/>
    <w:multiLevelType w:val="hybridMultilevel"/>
    <w:tmpl w:val="E668B03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6A706A0"/>
    <w:multiLevelType w:val="hybridMultilevel"/>
    <w:tmpl w:val="88C2E0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F475A8"/>
    <w:multiLevelType w:val="hybridMultilevel"/>
    <w:tmpl w:val="1CA44A8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581C0218"/>
    <w:multiLevelType w:val="hybridMultilevel"/>
    <w:tmpl w:val="FC2AA27A"/>
    <w:lvl w:ilvl="0" w:tplc="6CF8CB6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0" w15:restartNumberingAfterBreak="0">
    <w:nsid w:val="58700738"/>
    <w:multiLevelType w:val="hybridMultilevel"/>
    <w:tmpl w:val="653AE4D8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8EE6816"/>
    <w:multiLevelType w:val="hybridMultilevel"/>
    <w:tmpl w:val="F1142950"/>
    <w:lvl w:ilvl="0" w:tplc="38D4A4B0">
      <w:start w:val="11"/>
      <w:numFmt w:val="decimal"/>
      <w:lvlText w:val="%1."/>
      <w:lvlJc w:val="left"/>
      <w:pPr>
        <w:ind w:left="360" w:hanging="360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E7810"/>
    <w:multiLevelType w:val="hybridMultilevel"/>
    <w:tmpl w:val="C30E9D5C"/>
    <w:lvl w:ilvl="0" w:tplc="8E04DBC6">
      <w:start w:val="9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0987407"/>
    <w:multiLevelType w:val="hybridMultilevel"/>
    <w:tmpl w:val="D4E632C4"/>
    <w:lvl w:ilvl="0" w:tplc="F6DCFA7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1BC41FD"/>
    <w:multiLevelType w:val="hybridMultilevel"/>
    <w:tmpl w:val="80CCA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242011"/>
    <w:multiLevelType w:val="hybridMultilevel"/>
    <w:tmpl w:val="C674D692"/>
    <w:lvl w:ilvl="0" w:tplc="808AB95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5C0B35"/>
    <w:multiLevelType w:val="hybridMultilevel"/>
    <w:tmpl w:val="2E422018"/>
    <w:lvl w:ilvl="0" w:tplc="07CEB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D273A"/>
    <w:multiLevelType w:val="hybridMultilevel"/>
    <w:tmpl w:val="6090E00A"/>
    <w:lvl w:ilvl="0" w:tplc="F5F6848E">
      <w:start w:val="2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BF5CF5"/>
    <w:multiLevelType w:val="hybridMultilevel"/>
    <w:tmpl w:val="C6809E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C10FCC"/>
    <w:multiLevelType w:val="hybridMultilevel"/>
    <w:tmpl w:val="4F305A9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AA04D98"/>
    <w:multiLevelType w:val="hybridMultilevel"/>
    <w:tmpl w:val="61DE0792"/>
    <w:lvl w:ilvl="0" w:tplc="70B414F0">
      <w:start w:val="1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64185F"/>
    <w:multiLevelType w:val="hybridMultilevel"/>
    <w:tmpl w:val="73D64F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E6E09"/>
    <w:multiLevelType w:val="hybridMultilevel"/>
    <w:tmpl w:val="54B060D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73375812"/>
    <w:multiLevelType w:val="hybridMultilevel"/>
    <w:tmpl w:val="04044B98"/>
    <w:lvl w:ilvl="0" w:tplc="378699CE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AA5AB45C">
      <w:start w:val="1"/>
      <w:numFmt w:val="lowerRoman"/>
      <w:lvlText w:val="%2)"/>
      <w:lvlJc w:val="left"/>
      <w:pPr>
        <w:ind w:left="1800" w:hanging="720"/>
      </w:pPr>
      <w:rPr>
        <w:rFonts w:eastAsiaTheme="minorHAns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3800D7"/>
    <w:multiLevelType w:val="hybridMultilevel"/>
    <w:tmpl w:val="0CA68B4E"/>
    <w:lvl w:ilvl="0" w:tplc="009A5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93727F"/>
    <w:multiLevelType w:val="hybridMultilevel"/>
    <w:tmpl w:val="62D0194E"/>
    <w:lvl w:ilvl="0" w:tplc="498E62BE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CC5E34"/>
    <w:multiLevelType w:val="hybridMultilevel"/>
    <w:tmpl w:val="51E07E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974EB6"/>
    <w:multiLevelType w:val="hybridMultilevel"/>
    <w:tmpl w:val="D5B87BB0"/>
    <w:lvl w:ilvl="0" w:tplc="0D36377E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66186D"/>
    <w:multiLevelType w:val="hybridMultilevel"/>
    <w:tmpl w:val="FD38FE78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 w15:restartNumberingAfterBreak="0">
    <w:nsid w:val="7D5D34CF"/>
    <w:multiLevelType w:val="hybridMultilevel"/>
    <w:tmpl w:val="FD38FE78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7DAA4822"/>
    <w:multiLevelType w:val="hybridMultilevel"/>
    <w:tmpl w:val="0F988B64"/>
    <w:lvl w:ilvl="0" w:tplc="8AC2960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D50FCD"/>
    <w:multiLevelType w:val="hybridMultilevel"/>
    <w:tmpl w:val="3814BC0E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804460">
    <w:abstractNumId w:val="13"/>
  </w:num>
  <w:num w:numId="2" w16cid:durableId="386950699">
    <w:abstractNumId w:val="40"/>
  </w:num>
  <w:num w:numId="3" w16cid:durableId="1917469760">
    <w:abstractNumId w:val="24"/>
  </w:num>
  <w:num w:numId="4" w16cid:durableId="393309932">
    <w:abstractNumId w:val="21"/>
  </w:num>
  <w:num w:numId="5" w16cid:durableId="2089884150">
    <w:abstractNumId w:val="71"/>
  </w:num>
  <w:num w:numId="6" w16cid:durableId="51542865">
    <w:abstractNumId w:val="2"/>
  </w:num>
  <w:num w:numId="7" w16cid:durableId="606695814">
    <w:abstractNumId w:val="53"/>
  </w:num>
  <w:num w:numId="8" w16cid:durableId="1689259219">
    <w:abstractNumId w:val="42"/>
  </w:num>
  <w:num w:numId="9" w16cid:durableId="1285961530">
    <w:abstractNumId w:val="32"/>
  </w:num>
  <w:num w:numId="10" w16cid:durableId="1247423808">
    <w:abstractNumId w:val="64"/>
  </w:num>
  <w:num w:numId="11" w16cid:durableId="1681203035">
    <w:abstractNumId w:val="47"/>
  </w:num>
  <w:num w:numId="12" w16cid:durableId="1204446680">
    <w:abstractNumId w:val="61"/>
  </w:num>
  <w:num w:numId="13" w16cid:durableId="1965116719">
    <w:abstractNumId w:val="39"/>
  </w:num>
  <w:num w:numId="14" w16cid:durableId="1723140749">
    <w:abstractNumId w:val="12"/>
  </w:num>
  <w:num w:numId="15" w16cid:durableId="1019232992">
    <w:abstractNumId w:val="36"/>
  </w:num>
  <w:num w:numId="16" w16cid:durableId="154536476">
    <w:abstractNumId w:val="45"/>
  </w:num>
  <w:num w:numId="17" w16cid:durableId="46414786">
    <w:abstractNumId w:val="37"/>
  </w:num>
  <w:num w:numId="18" w16cid:durableId="1018971248">
    <w:abstractNumId w:val="28"/>
  </w:num>
  <w:num w:numId="19" w16cid:durableId="345912859">
    <w:abstractNumId w:val="35"/>
  </w:num>
  <w:num w:numId="20" w16cid:durableId="2094158412">
    <w:abstractNumId w:val="68"/>
  </w:num>
  <w:num w:numId="21" w16cid:durableId="631331027">
    <w:abstractNumId w:val="58"/>
  </w:num>
  <w:num w:numId="22" w16cid:durableId="2089574813">
    <w:abstractNumId w:val="18"/>
  </w:num>
  <w:num w:numId="23" w16cid:durableId="385839271">
    <w:abstractNumId w:val="14"/>
  </w:num>
  <w:num w:numId="24" w16cid:durableId="1616984179">
    <w:abstractNumId w:val="54"/>
  </w:num>
  <w:num w:numId="25" w16cid:durableId="987175316">
    <w:abstractNumId w:val="3"/>
  </w:num>
  <w:num w:numId="26" w16cid:durableId="1188183150">
    <w:abstractNumId w:val="20"/>
  </w:num>
  <w:num w:numId="27" w16cid:durableId="107743922">
    <w:abstractNumId w:val="6"/>
  </w:num>
  <w:num w:numId="28" w16cid:durableId="935599239">
    <w:abstractNumId w:val="27"/>
  </w:num>
  <w:num w:numId="29" w16cid:durableId="1201093321">
    <w:abstractNumId w:val="70"/>
  </w:num>
  <w:num w:numId="30" w16cid:durableId="1469938712">
    <w:abstractNumId w:val="66"/>
  </w:num>
  <w:num w:numId="31" w16cid:durableId="543560710">
    <w:abstractNumId w:val="43"/>
  </w:num>
  <w:num w:numId="32" w16cid:durableId="371851800">
    <w:abstractNumId w:val="67"/>
  </w:num>
  <w:num w:numId="33" w16cid:durableId="1596478263">
    <w:abstractNumId w:val="23"/>
  </w:num>
  <w:num w:numId="34" w16cid:durableId="247428925">
    <w:abstractNumId w:val="29"/>
  </w:num>
  <w:num w:numId="35" w16cid:durableId="1973708326">
    <w:abstractNumId w:val="17"/>
  </w:num>
  <w:num w:numId="36" w16cid:durableId="2048141503">
    <w:abstractNumId w:val="52"/>
  </w:num>
  <w:num w:numId="37" w16cid:durableId="1807502719">
    <w:abstractNumId w:val="41"/>
  </w:num>
  <w:num w:numId="38" w16cid:durableId="839345544">
    <w:abstractNumId w:val="62"/>
  </w:num>
  <w:num w:numId="39" w16cid:durableId="312560493">
    <w:abstractNumId w:val="48"/>
  </w:num>
  <w:num w:numId="40" w16cid:durableId="1021971818">
    <w:abstractNumId w:val="49"/>
  </w:num>
  <w:num w:numId="41" w16cid:durableId="1331986149">
    <w:abstractNumId w:val="57"/>
  </w:num>
  <w:num w:numId="42" w16cid:durableId="289824803">
    <w:abstractNumId w:val="63"/>
  </w:num>
  <w:num w:numId="43" w16cid:durableId="920212787">
    <w:abstractNumId w:val="50"/>
  </w:num>
  <w:num w:numId="44" w16cid:durableId="20786724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05658745">
    <w:abstractNumId w:val="59"/>
  </w:num>
  <w:num w:numId="46" w16cid:durableId="2069261454">
    <w:abstractNumId w:val="46"/>
  </w:num>
  <w:num w:numId="47" w16cid:durableId="946741479">
    <w:abstractNumId w:val="4"/>
  </w:num>
  <w:num w:numId="48" w16cid:durableId="1484538999">
    <w:abstractNumId w:val="44"/>
  </w:num>
  <w:num w:numId="49" w16cid:durableId="627929929">
    <w:abstractNumId w:val="11"/>
  </w:num>
  <w:num w:numId="50" w16cid:durableId="1140655293">
    <w:abstractNumId w:val="5"/>
  </w:num>
  <w:num w:numId="51" w16cid:durableId="345405896">
    <w:abstractNumId w:val="31"/>
  </w:num>
  <w:num w:numId="52" w16cid:durableId="759450677">
    <w:abstractNumId w:val="15"/>
  </w:num>
  <w:num w:numId="53" w16cid:durableId="304895909">
    <w:abstractNumId w:val="16"/>
  </w:num>
  <w:num w:numId="54" w16cid:durableId="2000571032">
    <w:abstractNumId w:val="55"/>
  </w:num>
  <w:num w:numId="55" w16cid:durableId="1598368340">
    <w:abstractNumId w:val="1"/>
  </w:num>
  <w:num w:numId="56" w16cid:durableId="1279333510">
    <w:abstractNumId w:val="0"/>
  </w:num>
  <w:num w:numId="57" w16cid:durableId="1219440992">
    <w:abstractNumId w:val="65"/>
  </w:num>
  <w:num w:numId="58" w16cid:durableId="1523396871">
    <w:abstractNumId w:val="8"/>
  </w:num>
  <w:num w:numId="59" w16cid:durableId="635141059">
    <w:abstractNumId w:val="34"/>
  </w:num>
  <w:num w:numId="60" w16cid:durableId="1351299239">
    <w:abstractNumId w:val="26"/>
  </w:num>
  <w:num w:numId="61" w16cid:durableId="1395154067">
    <w:abstractNumId w:val="38"/>
  </w:num>
  <w:num w:numId="62" w16cid:durableId="918559578">
    <w:abstractNumId w:val="7"/>
  </w:num>
  <w:num w:numId="63" w16cid:durableId="739065155">
    <w:abstractNumId w:val="69"/>
  </w:num>
  <w:num w:numId="64" w16cid:durableId="1757743339">
    <w:abstractNumId w:val="51"/>
  </w:num>
  <w:num w:numId="65" w16cid:durableId="1302466563">
    <w:abstractNumId w:val="60"/>
  </w:num>
  <w:num w:numId="66" w16cid:durableId="4209825">
    <w:abstractNumId w:val="22"/>
  </w:num>
  <w:num w:numId="67" w16cid:durableId="1647540542">
    <w:abstractNumId w:val="19"/>
  </w:num>
  <w:num w:numId="68" w16cid:durableId="2096048180">
    <w:abstractNumId w:val="10"/>
  </w:num>
  <w:num w:numId="69" w16cid:durableId="219826194">
    <w:abstractNumId w:val="9"/>
  </w:num>
  <w:num w:numId="70" w16cid:durableId="245579443">
    <w:abstractNumId w:val="25"/>
  </w:num>
  <w:num w:numId="71" w16cid:durableId="2014721560">
    <w:abstractNumId w:val="56"/>
  </w:num>
  <w:num w:numId="72" w16cid:durableId="4315095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58"/>
    <w:rsid w:val="00001A5C"/>
    <w:rsid w:val="000050AC"/>
    <w:rsid w:val="00007211"/>
    <w:rsid w:val="00007608"/>
    <w:rsid w:val="00011153"/>
    <w:rsid w:val="000147C6"/>
    <w:rsid w:val="00020022"/>
    <w:rsid w:val="00020734"/>
    <w:rsid w:val="0003125F"/>
    <w:rsid w:val="0003279B"/>
    <w:rsid w:val="00032C08"/>
    <w:rsid w:val="00032C58"/>
    <w:rsid w:val="00054188"/>
    <w:rsid w:val="00055D9A"/>
    <w:rsid w:val="00064221"/>
    <w:rsid w:val="000701A1"/>
    <w:rsid w:val="00073B7A"/>
    <w:rsid w:val="000831F5"/>
    <w:rsid w:val="000932F5"/>
    <w:rsid w:val="00093566"/>
    <w:rsid w:val="000A161F"/>
    <w:rsid w:val="000B0CBD"/>
    <w:rsid w:val="000B7B96"/>
    <w:rsid w:val="000C2417"/>
    <w:rsid w:val="000D2C10"/>
    <w:rsid w:val="000D5AF5"/>
    <w:rsid w:val="000D6329"/>
    <w:rsid w:val="000E3D7E"/>
    <w:rsid w:val="000F575D"/>
    <w:rsid w:val="000F64C4"/>
    <w:rsid w:val="000F69F5"/>
    <w:rsid w:val="00100C17"/>
    <w:rsid w:val="00105E40"/>
    <w:rsid w:val="00110E5A"/>
    <w:rsid w:val="00112225"/>
    <w:rsid w:val="00116D78"/>
    <w:rsid w:val="0012300B"/>
    <w:rsid w:val="001239E6"/>
    <w:rsid w:val="00125F90"/>
    <w:rsid w:val="00126CDA"/>
    <w:rsid w:val="0013571D"/>
    <w:rsid w:val="00143395"/>
    <w:rsid w:val="001453CF"/>
    <w:rsid w:val="00146F30"/>
    <w:rsid w:val="00146F83"/>
    <w:rsid w:val="00152397"/>
    <w:rsid w:val="00167F56"/>
    <w:rsid w:val="00170AD2"/>
    <w:rsid w:val="00177D71"/>
    <w:rsid w:val="00183AC9"/>
    <w:rsid w:val="00183C7D"/>
    <w:rsid w:val="00185527"/>
    <w:rsid w:val="00191F51"/>
    <w:rsid w:val="001A3CF2"/>
    <w:rsid w:val="001A463A"/>
    <w:rsid w:val="001B160C"/>
    <w:rsid w:val="001B3ECD"/>
    <w:rsid w:val="001B56B2"/>
    <w:rsid w:val="001C3FE1"/>
    <w:rsid w:val="001C5032"/>
    <w:rsid w:val="001C6105"/>
    <w:rsid w:val="001C61E1"/>
    <w:rsid w:val="001C62B5"/>
    <w:rsid w:val="001D320E"/>
    <w:rsid w:val="001D3DCA"/>
    <w:rsid w:val="001D6C8D"/>
    <w:rsid w:val="001D7A47"/>
    <w:rsid w:val="001E0B59"/>
    <w:rsid w:val="001E2661"/>
    <w:rsid w:val="001E462D"/>
    <w:rsid w:val="001E7938"/>
    <w:rsid w:val="001F0B18"/>
    <w:rsid w:val="001F4016"/>
    <w:rsid w:val="001F4E37"/>
    <w:rsid w:val="00202B09"/>
    <w:rsid w:val="002034F1"/>
    <w:rsid w:val="00204475"/>
    <w:rsid w:val="00212B22"/>
    <w:rsid w:val="00220661"/>
    <w:rsid w:val="002207B0"/>
    <w:rsid w:val="0022516B"/>
    <w:rsid w:val="00225499"/>
    <w:rsid w:val="00231520"/>
    <w:rsid w:val="00233CE9"/>
    <w:rsid w:val="0024146F"/>
    <w:rsid w:val="00246C36"/>
    <w:rsid w:val="00255C94"/>
    <w:rsid w:val="002562AC"/>
    <w:rsid w:val="00257858"/>
    <w:rsid w:val="0026351B"/>
    <w:rsid w:val="002711B7"/>
    <w:rsid w:val="00272998"/>
    <w:rsid w:val="0028371F"/>
    <w:rsid w:val="002864C3"/>
    <w:rsid w:val="002A7760"/>
    <w:rsid w:val="002B19B6"/>
    <w:rsid w:val="002B4B71"/>
    <w:rsid w:val="002C0B83"/>
    <w:rsid w:val="002C7464"/>
    <w:rsid w:val="002E2F34"/>
    <w:rsid w:val="002E7D75"/>
    <w:rsid w:val="002F2C37"/>
    <w:rsid w:val="003062E0"/>
    <w:rsid w:val="00313413"/>
    <w:rsid w:val="00324333"/>
    <w:rsid w:val="003274E7"/>
    <w:rsid w:val="00332744"/>
    <w:rsid w:val="00332F04"/>
    <w:rsid w:val="003433BE"/>
    <w:rsid w:val="00344A81"/>
    <w:rsid w:val="00345576"/>
    <w:rsid w:val="003459D4"/>
    <w:rsid w:val="0036445B"/>
    <w:rsid w:val="003701E7"/>
    <w:rsid w:val="00373A18"/>
    <w:rsid w:val="00374B4F"/>
    <w:rsid w:val="00380C82"/>
    <w:rsid w:val="003813CC"/>
    <w:rsid w:val="00385F5E"/>
    <w:rsid w:val="00397782"/>
    <w:rsid w:val="003A2733"/>
    <w:rsid w:val="003B1F02"/>
    <w:rsid w:val="003B24E7"/>
    <w:rsid w:val="003B287D"/>
    <w:rsid w:val="003B432E"/>
    <w:rsid w:val="003C305C"/>
    <w:rsid w:val="003C61D2"/>
    <w:rsid w:val="003D1161"/>
    <w:rsid w:val="003D2545"/>
    <w:rsid w:val="003D3262"/>
    <w:rsid w:val="003D3E62"/>
    <w:rsid w:val="003D4D7A"/>
    <w:rsid w:val="003D69E7"/>
    <w:rsid w:val="003D75FB"/>
    <w:rsid w:val="003E0FE3"/>
    <w:rsid w:val="003E5586"/>
    <w:rsid w:val="003E5FD7"/>
    <w:rsid w:val="003E7586"/>
    <w:rsid w:val="003E7F7E"/>
    <w:rsid w:val="003F0369"/>
    <w:rsid w:val="003F7D7B"/>
    <w:rsid w:val="00415EA0"/>
    <w:rsid w:val="00416598"/>
    <w:rsid w:val="004200C0"/>
    <w:rsid w:val="00420A3C"/>
    <w:rsid w:val="004213BD"/>
    <w:rsid w:val="00426267"/>
    <w:rsid w:val="00432C89"/>
    <w:rsid w:val="0043381E"/>
    <w:rsid w:val="004465E1"/>
    <w:rsid w:val="00446FBD"/>
    <w:rsid w:val="00450209"/>
    <w:rsid w:val="0045053C"/>
    <w:rsid w:val="00461AA2"/>
    <w:rsid w:val="004670E0"/>
    <w:rsid w:val="00472EED"/>
    <w:rsid w:val="00473116"/>
    <w:rsid w:val="004774A6"/>
    <w:rsid w:val="00480B0D"/>
    <w:rsid w:val="00487214"/>
    <w:rsid w:val="00487C4D"/>
    <w:rsid w:val="004A0BF1"/>
    <w:rsid w:val="004B46DF"/>
    <w:rsid w:val="004C2746"/>
    <w:rsid w:val="004C5C65"/>
    <w:rsid w:val="004C7168"/>
    <w:rsid w:val="004D07F8"/>
    <w:rsid w:val="004D17DA"/>
    <w:rsid w:val="004D385D"/>
    <w:rsid w:val="004E1A79"/>
    <w:rsid w:val="004E3EC0"/>
    <w:rsid w:val="004E3F32"/>
    <w:rsid w:val="004F684A"/>
    <w:rsid w:val="00500A0F"/>
    <w:rsid w:val="0050242E"/>
    <w:rsid w:val="00502EEE"/>
    <w:rsid w:val="00513466"/>
    <w:rsid w:val="00514962"/>
    <w:rsid w:val="005228D3"/>
    <w:rsid w:val="00523825"/>
    <w:rsid w:val="00525D36"/>
    <w:rsid w:val="00540194"/>
    <w:rsid w:val="005479FB"/>
    <w:rsid w:val="00551750"/>
    <w:rsid w:val="0055175B"/>
    <w:rsid w:val="005553EE"/>
    <w:rsid w:val="00565254"/>
    <w:rsid w:val="005702FB"/>
    <w:rsid w:val="00570C48"/>
    <w:rsid w:val="005714FC"/>
    <w:rsid w:val="00573315"/>
    <w:rsid w:val="00580096"/>
    <w:rsid w:val="005814CB"/>
    <w:rsid w:val="0058699F"/>
    <w:rsid w:val="0059029E"/>
    <w:rsid w:val="00591194"/>
    <w:rsid w:val="00592BE2"/>
    <w:rsid w:val="00594543"/>
    <w:rsid w:val="005A5756"/>
    <w:rsid w:val="005B1A32"/>
    <w:rsid w:val="005B431E"/>
    <w:rsid w:val="005B4E3D"/>
    <w:rsid w:val="005D4E36"/>
    <w:rsid w:val="005D5502"/>
    <w:rsid w:val="005D6CDD"/>
    <w:rsid w:val="005D7B9F"/>
    <w:rsid w:val="005E548D"/>
    <w:rsid w:val="005F08B0"/>
    <w:rsid w:val="005F3931"/>
    <w:rsid w:val="005F42F8"/>
    <w:rsid w:val="005F4BFE"/>
    <w:rsid w:val="0061016C"/>
    <w:rsid w:val="006106E1"/>
    <w:rsid w:val="00613831"/>
    <w:rsid w:val="00621D1E"/>
    <w:rsid w:val="006221EA"/>
    <w:rsid w:val="006239BE"/>
    <w:rsid w:val="006261AB"/>
    <w:rsid w:val="00626F54"/>
    <w:rsid w:val="00627296"/>
    <w:rsid w:val="00641DB2"/>
    <w:rsid w:val="006529E0"/>
    <w:rsid w:val="00664408"/>
    <w:rsid w:val="0066654F"/>
    <w:rsid w:val="006679A0"/>
    <w:rsid w:val="00667AFC"/>
    <w:rsid w:val="0067503D"/>
    <w:rsid w:val="0068697E"/>
    <w:rsid w:val="00693737"/>
    <w:rsid w:val="006975F3"/>
    <w:rsid w:val="006A087E"/>
    <w:rsid w:val="006A1E02"/>
    <w:rsid w:val="006A5018"/>
    <w:rsid w:val="006B434B"/>
    <w:rsid w:val="006C439B"/>
    <w:rsid w:val="006C4552"/>
    <w:rsid w:val="006D5210"/>
    <w:rsid w:val="006D63C8"/>
    <w:rsid w:val="006E7146"/>
    <w:rsid w:val="006F3DBB"/>
    <w:rsid w:val="006F4A1D"/>
    <w:rsid w:val="00701680"/>
    <w:rsid w:val="007031A0"/>
    <w:rsid w:val="00706C51"/>
    <w:rsid w:val="00712159"/>
    <w:rsid w:val="00717092"/>
    <w:rsid w:val="007269B6"/>
    <w:rsid w:val="0073448B"/>
    <w:rsid w:val="0073533A"/>
    <w:rsid w:val="00743FDB"/>
    <w:rsid w:val="007440DE"/>
    <w:rsid w:val="007465E0"/>
    <w:rsid w:val="00762AEC"/>
    <w:rsid w:val="00767157"/>
    <w:rsid w:val="00767C40"/>
    <w:rsid w:val="00792B31"/>
    <w:rsid w:val="00793CAC"/>
    <w:rsid w:val="00795875"/>
    <w:rsid w:val="00797529"/>
    <w:rsid w:val="007C6097"/>
    <w:rsid w:val="007D1BF4"/>
    <w:rsid w:val="007D644B"/>
    <w:rsid w:val="007E2823"/>
    <w:rsid w:val="007E5E87"/>
    <w:rsid w:val="007E5E8B"/>
    <w:rsid w:val="007E69A3"/>
    <w:rsid w:val="007F38B3"/>
    <w:rsid w:val="007F7AED"/>
    <w:rsid w:val="00811F25"/>
    <w:rsid w:val="00812EBC"/>
    <w:rsid w:val="008202B4"/>
    <w:rsid w:val="00833316"/>
    <w:rsid w:val="008379B7"/>
    <w:rsid w:val="00841173"/>
    <w:rsid w:val="00842120"/>
    <w:rsid w:val="00852F39"/>
    <w:rsid w:val="0086132D"/>
    <w:rsid w:val="00861C4F"/>
    <w:rsid w:val="0086496B"/>
    <w:rsid w:val="00872AF4"/>
    <w:rsid w:val="0087681F"/>
    <w:rsid w:val="0088253C"/>
    <w:rsid w:val="0089595A"/>
    <w:rsid w:val="008A2BBF"/>
    <w:rsid w:val="008A451C"/>
    <w:rsid w:val="008B0C42"/>
    <w:rsid w:val="008B23C2"/>
    <w:rsid w:val="008B34E7"/>
    <w:rsid w:val="008C1D7E"/>
    <w:rsid w:val="008C749C"/>
    <w:rsid w:val="008D1280"/>
    <w:rsid w:val="008D5147"/>
    <w:rsid w:val="008D52F3"/>
    <w:rsid w:val="008E0147"/>
    <w:rsid w:val="008E3939"/>
    <w:rsid w:val="008E5B53"/>
    <w:rsid w:val="008F432F"/>
    <w:rsid w:val="008F59BB"/>
    <w:rsid w:val="009054C2"/>
    <w:rsid w:val="00907D69"/>
    <w:rsid w:val="009104F8"/>
    <w:rsid w:val="0091050A"/>
    <w:rsid w:val="009134AA"/>
    <w:rsid w:val="009160B5"/>
    <w:rsid w:val="0091740C"/>
    <w:rsid w:val="0091765A"/>
    <w:rsid w:val="009211BB"/>
    <w:rsid w:val="00925B6E"/>
    <w:rsid w:val="00925C6B"/>
    <w:rsid w:val="009267C9"/>
    <w:rsid w:val="0093189A"/>
    <w:rsid w:val="00936BAD"/>
    <w:rsid w:val="00940C50"/>
    <w:rsid w:val="009439B4"/>
    <w:rsid w:val="00945993"/>
    <w:rsid w:val="0094734E"/>
    <w:rsid w:val="00947640"/>
    <w:rsid w:val="00947F83"/>
    <w:rsid w:val="009509CF"/>
    <w:rsid w:val="0095230D"/>
    <w:rsid w:val="00956094"/>
    <w:rsid w:val="009579BB"/>
    <w:rsid w:val="00961A51"/>
    <w:rsid w:val="0096479A"/>
    <w:rsid w:val="0096681B"/>
    <w:rsid w:val="00990659"/>
    <w:rsid w:val="00992E7E"/>
    <w:rsid w:val="00996E58"/>
    <w:rsid w:val="009A3744"/>
    <w:rsid w:val="009C3A7C"/>
    <w:rsid w:val="009C55E6"/>
    <w:rsid w:val="009C75F6"/>
    <w:rsid w:val="009D3A61"/>
    <w:rsid w:val="009D7491"/>
    <w:rsid w:val="009E0E82"/>
    <w:rsid w:val="009E4FFC"/>
    <w:rsid w:val="009E780A"/>
    <w:rsid w:val="009F143C"/>
    <w:rsid w:val="009F4067"/>
    <w:rsid w:val="009F4147"/>
    <w:rsid w:val="009F60A9"/>
    <w:rsid w:val="009F66B3"/>
    <w:rsid w:val="009F7A66"/>
    <w:rsid w:val="00A0018A"/>
    <w:rsid w:val="00A02546"/>
    <w:rsid w:val="00A06B4A"/>
    <w:rsid w:val="00A10F77"/>
    <w:rsid w:val="00A16304"/>
    <w:rsid w:val="00A233D4"/>
    <w:rsid w:val="00A2460A"/>
    <w:rsid w:val="00A33978"/>
    <w:rsid w:val="00A44AF8"/>
    <w:rsid w:val="00A45C89"/>
    <w:rsid w:val="00A50C5F"/>
    <w:rsid w:val="00A54254"/>
    <w:rsid w:val="00A55642"/>
    <w:rsid w:val="00A62913"/>
    <w:rsid w:val="00A6433D"/>
    <w:rsid w:val="00A71133"/>
    <w:rsid w:val="00A73F6C"/>
    <w:rsid w:val="00A75E53"/>
    <w:rsid w:val="00A77817"/>
    <w:rsid w:val="00A808CA"/>
    <w:rsid w:val="00A80C72"/>
    <w:rsid w:val="00A86FBF"/>
    <w:rsid w:val="00A96645"/>
    <w:rsid w:val="00AA3CF7"/>
    <w:rsid w:val="00AA4188"/>
    <w:rsid w:val="00AB02DD"/>
    <w:rsid w:val="00AB39FD"/>
    <w:rsid w:val="00AB42B1"/>
    <w:rsid w:val="00AC0B63"/>
    <w:rsid w:val="00AC447E"/>
    <w:rsid w:val="00AC49AF"/>
    <w:rsid w:val="00AC609D"/>
    <w:rsid w:val="00AD26AE"/>
    <w:rsid w:val="00AD32B4"/>
    <w:rsid w:val="00AD52CD"/>
    <w:rsid w:val="00AE47D2"/>
    <w:rsid w:val="00AE7520"/>
    <w:rsid w:val="00AF3EDA"/>
    <w:rsid w:val="00AF6C1D"/>
    <w:rsid w:val="00B0030A"/>
    <w:rsid w:val="00B06281"/>
    <w:rsid w:val="00B228CA"/>
    <w:rsid w:val="00B22FA4"/>
    <w:rsid w:val="00B24DED"/>
    <w:rsid w:val="00B306AF"/>
    <w:rsid w:val="00B335BB"/>
    <w:rsid w:val="00B4130F"/>
    <w:rsid w:val="00B446F7"/>
    <w:rsid w:val="00B44B8F"/>
    <w:rsid w:val="00B45230"/>
    <w:rsid w:val="00B47034"/>
    <w:rsid w:val="00B61797"/>
    <w:rsid w:val="00B63A3F"/>
    <w:rsid w:val="00B75233"/>
    <w:rsid w:val="00B75BF0"/>
    <w:rsid w:val="00B77237"/>
    <w:rsid w:val="00B836B7"/>
    <w:rsid w:val="00B8689C"/>
    <w:rsid w:val="00B93788"/>
    <w:rsid w:val="00B970F9"/>
    <w:rsid w:val="00BA18F5"/>
    <w:rsid w:val="00BA2E44"/>
    <w:rsid w:val="00BA47A0"/>
    <w:rsid w:val="00BB2874"/>
    <w:rsid w:val="00BB43CE"/>
    <w:rsid w:val="00BC0FA1"/>
    <w:rsid w:val="00BC5B06"/>
    <w:rsid w:val="00BC5D9F"/>
    <w:rsid w:val="00BE64C0"/>
    <w:rsid w:val="00BF3E3F"/>
    <w:rsid w:val="00BF5603"/>
    <w:rsid w:val="00C00572"/>
    <w:rsid w:val="00C029ED"/>
    <w:rsid w:val="00C03EBD"/>
    <w:rsid w:val="00C06711"/>
    <w:rsid w:val="00C0687D"/>
    <w:rsid w:val="00C11010"/>
    <w:rsid w:val="00C11592"/>
    <w:rsid w:val="00C115FC"/>
    <w:rsid w:val="00C13905"/>
    <w:rsid w:val="00C21021"/>
    <w:rsid w:val="00C2572F"/>
    <w:rsid w:val="00C261FD"/>
    <w:rsid w:val="00C32418"/>
    <w:rsid w:val="00C3277E"/>
    <w:rsid w:val="00C33DF4"/>
    <w:rsid w:val="00C34C4E"/>
    <w:rsid w:val="00C42280"/>
    <w:rsid w:val="00C437BA"/>
    <w:rsid w:val="00C53961"/>
    <w:rsid w:val="00C610A2"/>
    <w:rsid w:val="00C62C3C"/>
    <w:rsid w:val="00C62F45"/>
    <w:rsid w:val="00C64464"/>
    <w:rsid w:val="00C7401A"/>
    <w:rsid w:val="00C77D00"/>
    <w:rsid w:val="00C807F3"/>
    <w:rsid w:val="00C9495E"/>
    <w:rsid w:val="00CA4454"/>
    <w:rsid w:val="00CB3286"/>
    <w:rsid w:val="00CC411C"/>
    <w:rsid w:val="00CD149C"/>
    <w:rsid w:val="00CE223B"/>
    <w:rsid w:val="00CE397E"/>
    <w:rsid w:val="00CF3657"/>
    <w:rsid w:val="00CF4B20"/>
    <w:rsid w:val="00D07C0D"/>
    <w:rsid w:val="00D109AB"/>
    <w:rsid w:val="00D125E5"/>
    <w:rsid w:val="00D1505D"/>
    <w:rsid w:val="00D17A35"/>
    <w:rsid w:val="00D21FD4"/>
    <w:rsid w:val="00D22154"/>
    <w:rsid w:val="00D245DD"/>
    <w:rsid w:val="00D3192C"/>
    <w:rsid w:val="00D33005"/>
    <w:rsid w:val="00D33756"/>
    <w:rsid w:val="00D34954"/>
    <w:rsid w:val="00D35F25"/>
    <w:rsid w:val="00D464B9"/>
    <w:rsid w:val="00D467F6"/>
    <w:rsid w:val="00D52BCE"/>
    <w:rsid w:val="00D54185"/>
    <w:rsid w:val="00D54C6F"/>
    <w:rsid w:val="00D57E6A"/>
    <w:rsid w:val="00D71C8D"/>
    <w:rsid w:val="00D72786"/>
    <w:rsid w:val="00D76DC1"/>
    <w:rsid w:val="00D80D65"/>
    <w:rsid w:val="00D81735"/>
    <w:rsid w:val="00D85150"/>
    <w:rsid w:val="00D945ED"/>
    <w:rsid w:val="00D97D91"/>
    <w:rsid w:val="00DC2A08"/>
    <w:rsid w:val="00DC50CE"/>
    <w:rsid w:val="00DC536D"/>
    <w:rsid w:val="00DD5058"/>
    <w:rsid w:val="00DD6A1B"/>
    <w:rsid w:val="00DE3B51"/>
    <w:rsid w:val="00DE7A73"/>
    <w:rsid w:val="00E00BC6"/>
    <w:rsid w:val="00E025AF"/>
    <w:rsid w:val="00E06248"/>
    <w:rsid w:val="00E11582"/>
    <w:rsid w:val="00E166F8"/>
    <w:rsid w:val="00E25C66"/>
    <w:rsid w:val="00E33FA4"/>
    <w:rsid w:val="00E35089"/>
    <w:rsid w:val="00E40A8D"/>
    <w:rsid w:val="00E41871"/>
    <w:rsid w:val="00E4255A"/>
    <w:rsid w:val="00E45F23"/>
    <w:rsid w:val="00E5223E"/>
    <w:rsid w:val="00E543BB"/>
    <w:rsid w:val="00E5622B"/>
    <w:rsid w:val="00E60ACD"/>
    <w:rsid w:val="00E6122D"/>
    <w:rsid w:val="00E67C0F"/>
    <w:rsid w:val="00E70F1C"/>
    <w:rsid w:val="00E773F1"/>
    <w:rsid w:val="00E8701E"/>
    <w:rsid w:val="00E97EEF"/>
    <w:rsid w:val="00EA4C93"/>
    <w:rsid w:val="00EB3486"/>
    <w:rsid w:val="00EB502A"/>
    <w:rsid w:val="00EC4564"/>
    <w:rsid w:val="00ED0971"/>
    <w:rsid w:val="00ED1768"/>
    <w:rsid w:val="00EE4E8C"/>
    <w:rsid w:val="00EF5625"/>
    <w:rsid w:val="00EF69AD"/>
    <w:rsid w:val="00F02DA3"/>
    <w:rsid w:val="00F03A9B"/>
    <w:rsid w:val="00F058C5"/>
    <w:rsid w:val="00F06848"/>
    <w:rsid w:val="00F105A9"/>
    <w:rsid w:val="00F11CA5"/>
    <w:rsid w:val="00F14BD2"/>
    <w:rsid w:val="00F16766"/>
    <w:rsid w:val="00F27CF1"/>
    <w:rsid w:val="00F3206C"/>
    <w:rsid w:val="00F36DD2"/>
    <w:rsid w:val="00F44312"/>
    <w:rsid w:val="00F60C82"/>
    <w:rsid w:val="00F655A6"/>
    <w:rsid w:val="00F66959"/>
    <w:rsid w:val="00F66F17"/>
    <w:rsid w:val="00F67302"/>
    <w:rsid w:val="00F716C2"/>
    <w:rsid w:val="00F7419C"/>
    <w:rsid w:val="00F75161"/>
    <w:rsid w:val="00F77C47"/>
    <w:rsid w:val="00F81D77"/>
    <w:rsid w:val="00F86910"/>
    <w:rsid w:val="00F91FFF"/>
    <w:rsid w:val="00F95D1B"/>
    <w:rsid w:val="00F97317"/>
    <w:rsid w:val="00FA10CC"/>
    <w:rsid w:val="00FA27D2"/>
    <w:rsid w:val="00FA2EFC"/>
    <w:rsid w:val="00FA4420"/>
    <w:rsid w:val="00FA79B7"/>
    <w:rsid w:val="00FC1659"/>
    <w:rsid w:val="00FC410B"/>
    <w:rsid w:val="00FD0018"/>
    <w:rsid w:val="00FD1D12"/>
    <w:rsid w:val="00FD2FAF"/>
    <w:rsid w:val="00FD4CE0"/>
    <w:rsid w:val="00FD7A56"/>
    <w:rsid w:val="00FE7A5D"/>
    <w:rsid w:val="00FF23EB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7F7A"/>
  <w15:chartTrackingRefBased/>
  <w15:docId w15:val="{67D542C7-26C8-4EBE-9E87-FAC88E4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7858"/>
    <w:pPr>
      <w:spacing w:after="200" w:line="276" w:lineRule="auto"/>
    </w:pPr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7858"/>
    <w:pPr>
      <w:ind w:left="720"/>
      <w:contextualSpacing/>
    </w:pPr>
  </w:style>
  <w:style w:type="paragraph" w:styleId="Bezriadkovania">
    <w:name w:val="No Spacing"/>
    <w:uiPriority w:val="1"/>
    <w:qFormat/>
    <w:rsid w:val="00257858"/>
    <w:pPr>
      <w:spacing w:after="0" w:line="240" w:lineRule="auto"/>
    </w:pPr>
    <w:rPr>
      <w:lang w:val="en-GB"/>
    </w:rPr>
  </w:style>
  <w:style w:type="paragraph" w:customStyle="1" w:styleId="Text1">
    <w:name w:val="Text 1"/>
    <w:basedOn w:val="Normlny"/>
    <w:rsid w:val="00257858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</w:rPr>
  </w:style>
  <w:style w:type="paragraph" w:customStyle="1" w:styleId="ManualNumPar1">
    <w:name w:val="Manual NumPar 1"/>
    <w:basedOn w:val="Normlny"/>
    <w:next w:val="Text1"/>
    <w:rsid w:val="00257858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</w:rPr>
  </w:style>
  <w:style w:type="character" w:customStyle="1" w:styleId="y2iqfc">
    <w:name w:val="y2iqfc"/>
    <w:basedOn w:val="Predvolenpsmoodseku"/>
    <w:rsid w:val="00257858"/>
  </w:style>
  <w:style w:type="character" w:styleId="Hypertextovprepojenie">
    <w:name w:val="Hyperlink"/>
    <w:basedOn w:val="Predvolenpsmoodseku"/>
    <w:uiPriority w:val="99"/>
    <w:unhideWhenUsed/>
    <w:rsid w:val="00257858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257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57858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awspan">
    <w:name w:val="awspan"/>
    <w:basedOn w:val="Predvolenpsmoodseku"/>
    <w:rsid w:val="00A06B4A"/>
  </w:style>
  <w:style w:type="character" w:styleId="PremennHTML">
    <w:name w:val="HTML Variable"/>
    <w:basedOn w:val="Predvolenpsmoodseku"/>
    <w:uiPriority w:val="99"/>
    <w:semiHidden/>
    <w:unhideWhenUsed/>
    <w:rsid w:val="00AB02DD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AB02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B02DD"/>
    <w:pPr>
      <w:spacing w:after="160" w:line="240" w:lineRule="auto"/>
    </w:pPr>
    <w:rPr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2DD"/>
    <w:rPr>
      <w:sz w:val="20"/>
      <w:szCs w:val="20"/>
    </w:rPr>
  </w:style>
  <w:style w:type="paragraph" w:customStyle="1" w:styleId="oj-normal">
    <w:name w:val="oj-normal"/>
    <w:basedOn w:val="Normlny"/>
    <w:rsid w:val="00AC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Zvraznenie">
    <w:name w:val="Emphasis"/>
    <w:basedOn w:val="Predvolenpsmoodseku"/>
    <w:uiPriority w:val="20"/>
    <w:qFormat/>
    <w:rsid w:val="00AC609D"/>
    <w:rPr>
      <w:rFonts w:cs="Times New Roman"/>
      <w:i/>
    </w:rPr>
  </w:style>
  <w:style w:type="character" w:styleId="Nevyrieenzmienka">
    <w:name w:val="Unresolved Mention"/>
    <w:basedOn w:val="Predvolenpsmoodseku"/>
    <w:uiPriority w:val="99"/>
    <w:semiHidden/>
    <w:unhideWhenUsed/>
    <w:rsid w:val="007E69A3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4221"/>
    <w:pPr>
      <w:spacing w:after="200"/>
    </w:pPr>
    <w:rPr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4221"/>
    <w:rPr>
      <w:b/>
      <w:bCs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34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576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34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57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.sk/eurlex-rule/32013R0575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ypreludi.sk/zz/2002-4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eludi.sk/zz/2002-4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i.sk/eurlex-rule/32012R06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09/49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F6FD-00B7-458F-A930-2E28292A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16</Pages>
  <Words>6547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43784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Vlkolinsky Robert</dc:creator>
  <cp:keywords/>
  <dc:description/>
  <cp:lastModifiedBy>Vlkolinsky Robert</cp:lastModifiedBy>
  <cp:revision>246</cp:revision>
  <cp:lastPrinted>2025-04-25T07:31:00Z</cp:lastPrinted>
  <dcterms:created xsi:type="dcterms:W3CDTF">2025-02-04T13:50:00Z</dcterms:created>
  <dcterms:modified xsi:type="dcterms:W3CDTF">2025-07-24T12:37:00Z</dcterms:modified>
</cp:coreProperties>
</file>