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17214EAD" w14:textId="77777777" w:rsidTr="09A0D912">
        <w:trPr>
          <w:trHeight w:val="534"/>
          <w:jc w:val="center"/>
        </w:trPr>
        <w:tc>
          <w:tcPr>
            <w:tcW w:w="5000" w:type="pct"/>
            <w:gridSpan w:val="3"/>
            <w:tcBorders>
              <w:bottom w:val="single" w:sz="4" w:space="0" w:color="auto"/>
            </w:tcBorders>
            <w:shd w:val="clear" w:color="auto" w:fill="808080" w:themeFill="background1" w:themeFillShade="80"/>
          </w:tcPr>
          <w:p w14:paraId="0BDAA0B9"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4C337A30"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32392A20"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49F31275" w14:textId="77777777" w:rsidTr="09A0D912">
        <w:trPr>
          <w:jc w:val="center"/>
        </w:trPr>
        <w:tc>
          <w:tcPr>
            <w:tcW w:w="5000" w:type="pct"/>
            <w:gridSpan w:val="3"/>
            <w:tcBorders>
              <w:bottom w:val="single" w:sz="4" w:space="0" w:color="auto"/>
            </w:tcBorders>
            <w:shd w:val="clear" w:color="auto" w:fill="A6A6A6" w:themeFill="background1" w:themeFillShade="A6"/>
          </w:tcPr>
          <w:p w14:paraId="49D76124"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99756C5" w14:textId="77777777" w:rsidTr="09A0D912">
        <w:trPr>
          <w:jc w:val="center"/>
        </w:trPr>
        <w:tc>
          <w:tcPr>
            <w:tcW w:w="5000" w:type="pct"/>
            <w:gridSpan w:val="3"/>
            <w:tcBorders>
              <w:bottom w:val="single" w:sz="4" w:space="0" w:color="auto"/>
            </w:tcBorders>
            <w:shd w:val="clear" w:color="auto" w:fill="F2F2F2" w:themeFill="background1" w:themeFillShade="F2"/>
          </w:tcPr>
          <w:p w14:paraId="5595ED0C"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3CB00DDC"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7AE952C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0BB3FA23"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4DE9C425" w14:textId="77777777" w:rsidTr="09A0D912">
        <w:trPr>
          <w:trHeight w:val="170"/>
          <w:jc w:val="center"/>
        </w:trPr>
        <w:tc>
          <w:tcPr>
            <w:tcW w:w="129" w:type="pct"/>
            <w:tcBorders>
              <w:top w:val="single" w:sz="4" w:space="0" w:color="auto"/>
              <w:bottom w:val="single" w:sz="4" w:space="0" w:color="auto"/>
            </w:tcBorders>
            <w:shd w:val="clear" w:color="auto" w:fill="DDDDDD"/>
            <w:vAlign w:val="center"/>
          </w:tcPr>
          <w:p w14:paraId="7C5AEED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0D70A95"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44B0038B" w14:textId="77777777" w:rsidTr="09A0D912">
        <w:trPr>
          <w:trHeight w:val="759"/>
          <w:jc w:val="center"/>
        </w:trPr>
        <w:tc>
          <w:tcPr>
            <w:tcW w:w="129" w:type="pct"/>
            <w:tcBorders>
              <w:top w:val="single" w:sz="4" w:space="0" w:color="auto"/>
              <w:bottom w:val="single" w:sz="4" w:space="0" w:color="auto"/>
            </w:tcBorders>
            <w:shd w:val="clear" w:color="auto" w:fill="auto"/>
            <w:vAlign w:val="center"/>
          </w:tcPr>
          <w:p w14:paraId="11A5DA70"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2A38970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BADC7CC" w14:textId="5D5D68CC" w:rsidR="002644DE" w:rsidRDefault="00633786" w:rsidP="00633786">
            <w:pPr>
              <w:spacing w:after="0" w:line="240" w:lineRule="auto"/>
              <w:contextualSpacing/>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 xml:space="preserve">Vyššia miera informovanosti a poskytovania zrozumiteľnejších a komplexnejších informácií </w:t>
            </w:r>
            <w:r w:rsidR="04D60F12" w:rsidRPr="09A0D912">
              <w:rPr>
                <w:rFonts w:ascii="Times New Roman" w:eastAsia="Calibri" w:hAnsi="Times New Roman" w:cs="Times New Roman"/>
                <w:sz w:val="20"/>
                <w:szCs w:val="20"/>
                <w:lang w:eastAsia="sk-SK"/>
              </w:rPr>
              <w:t xml:space="preserve">pre spotrebiteľa </w:t>
            </w:r>
            <w:r w:rsidRPr="09A0D912">
              <w:rPr>
                <w:rFonts w:ascii="Times New Roman" w:eastAsia="Calibri" w:hAnsi="Times New Roman" w:cs="Times New Roman"/>
                <w:sz w:val="20"/>
                <w:szCs w:val="20"/>
                <w:lang w:eastAsia="sk-SK"/>
              </w:rPr>
              <w:t xml:space="preserve">pri ponúkaní a poskytovaní finančných služieb na diaľku môže viesť k efektívnejšiemu rozhodovaniu spotrebiteľa pre konkrétnu finančnú službu a zamedzí tak platbám za finančné služby, ktoré skutočne nepotrebuje, prípadne si vie vybrať finančnú službu, ktorá je na splnenie potrebného účelu </w:t>
            </w:r>
            <w:r w:rsidR="00441CDB" w:rsidRPr="09A0D912">
              <w:rPr>
                <w:rFonts w:ascii="Times New Roman" w:eastAsia="Calibri" w:hAnsi="Times New Roman" w:cs="Times New Roman"/>
                <w:sz w:val="20"/>
                <w:szCs w:val="20"/>
                <w:lang w:eastAsia="sk-SK"/>
              </w:rPr>
              <w:t xml:space="preserve">lacnejšia. Daná úprava môže predstavovať zníženie </w:t>
            </w:r>
            <w:r w:rsidR="01E0E220" w:rsidRPr="09A0D912">
              <w:rPr>
                <w:rFonts w:ascii="Times New Roman" w:eastAsia="Calibri" w:hAnsi="Times New Roman" w:cs="Times New Roman"/>
                <w:sz w:val="20"/>
                <w:szCs w:val="20"/>
                <w:lang w:eastAsia="sk-SK"/>
              </w:rPr>
              <w:t xml:space="preserve">jeho </w:t>
            </w:r>
            <w:r w:rsidR="00441CDB" w:rsidRPr="09A0D912">
              <w:rPr>
                <w:rFonts w:ascii="Times New Roman" w:eastAsia="Calibri" w:hAnsi="Times New Roman" w:cs="Times New Roman"/>
                <w:sz w:val="20"/>
                <w:szCs w:val="20"/>
                <w:lang w:eastAsia="sk-SK"/>
              </w:rPr>
              <w:t xml:space="preserve">výdavkov, a to prostredníctvom ustanovení v návrhu zákona § 3 predzmluvné informácie, § 4 primerané vysvetlenia a § 9 dodatočná ochrana v online rozhraniach. </w:t>
            </w:r>
          </w:p>
          <w:p w14:paraId="71265EA2" w14:textId="7BDA43AE" w:rsidR="00A261D1" w:rsidRDefault="00441CDB" w:rsidP="00633786">
            <w:pPr>
              <w:spacing w:after="0" w:line="240" w:lineRule="auto"/>
              <w:contextualSpacing/>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 xml:space="preserve">Taktiež zavedením funkcie na odstúpenie od zmluvy uzavretej na diaľku prostredníctvom navrhovaného § 20a v zákone č. 108/2024 Z. z. o ochrane spotrebiteľa a o zmene a doplnení niektorých zákonov sa pre spotrebiteľa zjednoduší proces odstupovania od zmluvy, čo môže taktiež viesť k zníženiu </w:t>
            </w:r>
            <w:r w:rsidR="49F14535" w:rsidRPr="09A0D912">
              <w:rPr>
                <w:rFonts w:ascii="Times New Roman" w:eastAsia="Calibri" w:hAnsi="Times New Roman" w:cs="Times New Roman"/>
                <w:sz w:val="20"/>
                <w:szCs w:val="20"/>
                <w:lang w:eastAsia="sk-SK"/>
              </w:rPr>
              <w:t xml:space="preserve">jeho </w:t>
            </w:r>
            <w:r w:rsidRPr="09A0D912">
              <w:rPr>
                <w:rFonts w:ascii="Times New Roman" w:eastAsia="Calibri" w:hAnsi="Times New Roman" w:cs="Times New Roman"/>
                <w:sz w:val="20"/>
                <w:szCs w:val="20"/>
                <w:lang w:eastAsia="sk-SK"/>
              </w:rPr>
              <w:t>výdavkov.</w:t>
            </w:r>
            <w:r w:rsidR="00A261D1">
              <w:rPr>
                <w:rFonts w:ascii="Times New Roman" w:eastAsia="Calibri" w:hAnsi="Times New Roman" w:cs="Times New Roman"/>
                <w:sz w:val="20"/>
                <w:szCs w:val="20"/>
                <w:lang w:eastAsia="sk-SK"/>
              </w:rPr>
              <w:t xml:space="preserve"> </w:t>
            </w:r>
            <w:r w:rsidR="00EF7ED2">
              <w:rPr>
                <w:rFonts w:ascii="Times New Roman" w:eastAsia="Calibri" w:hAnsi="Times New Roman" w:cs="Times New Roman"/>
                <w:sz w:val="20"/>
                <w:szCs w:val="20"/>
                <w:lang w:eastAsia="sk-SK"/>
              </w:rPr>
              <w:t>Pozitívum je aj to, že tlačidlo na odstúpenie od zmluvy musí byť viditeľné, a teda spotrebiteľ si je viac vedomý možností odstúpiť, ak službu alebo tovar už nechce využívať, nie je s ňou/ním spokojný alebo z iného dôvodu.</w:t>
            </w:r>
          </w:p>
          <w:p w14:paraId="1F66CE5B" w14:textId="6A3072EE" w:rsidR="005A13A5" w:rsidRPr="002644DE" w:rsidRDefault="005A13A5" w:rsidP="00EF7ED2">
            <w:pPr>
              <w:spacing w:after="0" w:line="240" w:lineRule="auto"/>
              <w:contextualSpacing/>
              <w:rPr>
                <w:rFonts w:ascii="Times New Roman" w:eastAsia="Calibri" w:hAnsi="Times New Roman" w:cs="Times New Roman"/>
                <w:sz w:val="20"/>
                <w:szCs w:val="20"/>
                <w:lang w:eastAsia="sk-SK"/>
              </w:rPr>
            </w:pPr>
          </w:p>
        </w:tc>
      </w:tr>
      <w:tr w:rsidR="002644DE" w:rsidRPr="002644DE" w14:paraId="0DACF681" w14:textId="77777777" w:rsidTr="09A0D912">
        <w:trPr>
          <w:trHeight w:val="397"/>
          <w:jc w:val="center"/>
        </w:trPr>
        <w:tc>
          <w:tcPr>
            <w:tcW w:w="129" w:type="pct"/>
            <w:vMerge w:val="restart"/>
            <w:tcBorders>
              <w:top w:val="single" w:sz="4" w:space="0" w:color="auto"/>
            </w:tcBorders>
            <w:shd w:val="clear" w:color="auto" w:fill="auto"/>
            <w:vAlign w:val="center"/>
          </w:tcPr>
          <w:p w14:paraId="74FA9D0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5778AAF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A0874E6" w14:textId="77777777" w:rsidR="002644DE" w:rsidRPr="00441CDB" w:rsidRDefault="00441CDB" w:rsidP="00441CDB">
            <w:pPr>
              <w:spacing w:after="0" w:line="240" w:lineRule="auto"/>
              <w:rPr>
                <w:rFonts w:ascii="Times New Roman" w:eastAsia="Calibri" w:hAnsi="Times New Roman" w:cs="Times New Roman"/>
                <w:sz w:val="20"/>
                <w:szCs w:val="20"/>
                <w:lang w:eastAsia="sk-SK"/>
              </w:rPr>
            </w:pPr>
            <w:r w:rsidRPr="00441CDB">
              <w:rPr>
                <w:rFonts w:ascii="Times New Roman" w:eastAsia="Calibri" w:hAnsi="Times New Roman" w:cs="Times New Roman"/>
                <w:sz w:val="18"/>
                <w:szCs w:val="20"/>
                <w:lang w:eastAsia="sk-SK"/>
              </w:rPr>
              <w:t>Spotrebitelia</w:t>
            </w:r>
          </w:p>
        </w:tc>
      </w:tr>
      <w:tr w:rsidR="002644DE" w:rsidRPr="002644DE" w14:paraId="19BD729C" w14:textId="77777777" w:rsidTr="09A0D912">
        <w:trPr>
          <w:trHeight w:val="397"/>
          <w:jc w:val="center"/>
        </w:trPr>
        <w:tc>
          <w:tcPr>
            <w:tcW w:w="129" w:type="pct"/>
            <w:vMerge/>
            <w:vAlign w:val="center"/>
          </w:tcPr>
          <w:p w14:paraId="672A665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FD88F9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D79EE3E"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81C12F9" w14:textId="77777777" w:rsidTr="09A0D912">
        <w:trPr>
          <w:trHeight w:val="454"/>
          <w:jc w:val="center"/>
        </w:trPr>
        <w:tc>
          <w:tcPr>
            <w:tcW w:w="129" w:type="pct"/>
            <w:tcBorders>
              <w:top w:val="dotted" w:sz="4" w:space="0" w:color="auto"/>
            </w:tcBorders>
            <w:shd w:val="clear" w:color="auto" w:fill="F2F2F2" w:themeFill="background1" w:themeFillShade="F2"/>
            <w:vAlign w:val="center"/>
          </w:tcPr>
          <w:p w14:paraId="3D99FCE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55FD9C7A"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7E361D7F" w14:textId="77777777" w:rsidTr="09A0D912">
        <w:trPr>
          <w:trHeight w:val="680"/>
          <w:jc w:val="center"/>
        </w:trPr>
        <w:tc>
          <w:tcPr>
            <w:tcW w:w="129" w:type="pct"/>
            <w:vMerge w:val="restart"/>
            <w:tcBorders>
              <w:top w:val="dotted" w:sz="4" w:space="0" w:color="auto"/>
            </w:tcBorders>
            <w:shd w:val="clear" w:color="auto" w:fill="auto"/>
            <w:vAlign w:val="center"/>
          </w:tcPr>
          <w:p w14:paraId="371D2C5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044AD67"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B173888"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7E5A56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71D74EB7" w14:textId="77777777" w:rsidTr="09A0D912">
        <w:trPr>
          <w:trHeight w:val="680"/>
          <w:jc w:val="center"/>
        </w:trPr>
        <w:tc>
          <w:tcPr>
            <w:tcW w:w="129" w:type="pct"/>
            <w:vMerge/>
            <w:vAlign w:val="center"/>
          </w:tcPr>
          <w:p w14:paraId="0A37501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C510EE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AAB9E26"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5EAE71F3" w14:textId="77777777" w:rsidTr="09A0D912">
        <w:trPr>
          <w:trHeight w:val="397"/>
          <w:jc w:val="center"/>
        </w:trPr>
        <w:tc>
          <w:tcPr>
            <w:tcW w:w="129" w:type="pct"/>
            <w:tcBorders>
              <w:top w:val="dotted" w:sz="4" w:space="0" w:color="auto"/>
            </w:tcBorders>
            <w:shd w:val="clear" w:color="auto" w:fill="auto"/>
            <w:vAlign w:val="center"/>
          </w:tcPr>
          <w:p w14:paraId="3A612C5B"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0BA563A"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9331F66" w14:textId="27FCC1A3" w:rsidR="00A261D1" w:rsidRPr="007E4416" w:rsidRDefault="00441CDB" w:rsidP="00441CDB">
            <w:pPr>
              <w:spacing w:after="0" w:line="240" w:lineRule="auto"/>
              <w:rPr>
                <w:rFonts w:ascii="Times New Roman" w:eastAsia="Calibri" w:hAnsi="Times New Roman" w:cs="Times New Roman"/>
                <w:sz w:val="20"/>
                <w:szCs w:val="20"/>
                <w:lang w:eastAsia="sk-SK"/>
              </w:rPr>
            </w:pPr>
            <w:r w:rsidRPr="007E4416">
              <w:rPr>
                <w:rFonts w:ascii="Times New Roman" w:eastAsia="Calibri" w:hAnsi="Times New Roman" w:cs="Times New Roman"/>
                <w:sz w:val="20"/>
                <w:szCs w:val="20"/>
                <w:lang w:eastAsia="sk-SK"/>
              </w:rPr>
              <w:t xml:space="preserve">Nie je možné </w:t>
            </w:r>
            <w:r w:rsidR="00FD63ED" w:rsidRPr="007E4416">
              <w:rPr>
                <w:rFonts w:ascii="Times New Roman" w:eastAsia="Calibri" w:hAnsi="Times New Roman" w:cs="Times New Roman"/>
                <w:sz w:val="20"/>
                <w:szCs w:val="20"/>
                <w:lang w:eastAsia="sk-SK"/>
              </w:rPr>
              <w:t>kvantifikovať</w:t>
            </w:r>
            <w:r w:rsidR="00A261D1" w:rsidRPr="007E4416">
              <w:rPr>
                <w:rFonts w:ascii="Times New Roman" w:eastAsia="Calibri" w:hAnsi="Times New Roman" w:cs="Times New Roman"/>
                <w:sz w:val="20"/>
                <w:szCs w:val="20"/>
                <w:lang w:eastAsia="sk-SK"/>
              </w:rPr>
              <w:t xml:space="preserve"> vzhľadom</w:t>
            </w:r>
            <w:r w:rsidR="00EF7ED2" w:rsidRPr="007E4416">
              <w:rPr>
                <w:rFonts w:ascii="Times New Roman" w:eastAsia="Calibri" w:hAnsi="Times New Roman" w:cs="Times New Roman"/>
                <w:sz w:val="20"/>
                <w:szCs w:val="20"/>
                <w:lang w:eastAsia="sk-SK"/>
              </w:rPr>
              <w:t xml:space="preserve"> na to, že: </w:t>
            </w:r>
          </w:p>
          <w:p w14:paraId="2247D195" w14:textId="12DD4A63" w:rsidR="00EF7ED2" w:rsidRPr="007E4416" w:rsidRDefault="00EF7ED2" w:rsidP="00441CDB">
            <w:pPr>
              <w:pStyle w:val="Odsekzoznamu"/>
              <w:numPr>
                <w:ilvl w:val="0"/>
                <w:numId w:val="11"/>
              </w:numPr>
              <w:spacing w:after="0" w:line="240" w:lineRule="auto"/>
              <w:rPr>
                <w:rFonts w:ascii="Times New Roman" w:eastAsia="Calibri" w:hAnsi="Times New Roman" w:cs="Times New Roman"/>
                <w:sz w:val="20"/>
                <w:szCs w:val="20"/>
                <w:lang w:eastAsia="sk-SK"/>
              </w:rPr>
            </w:pPr>
            <w:r w:rsidRPr="007E4416">
              <w:rPr>
                <w:rFonts w:ascii="Times New Roman" w:eastAsia="Calibri" w:hAnsi="Times New Roman" w:cs="Times New Roman"/>
                <w:sz w:val="20"/>
                <w:szCs w:val="20"/>
                <w:lang w:eastAsia="sk-SK"/>
              </w:rPr>
              <w:t>nedisponujeme</w:t>
            </w:r>
            <w:r w:rsidR="00A261D1" w:rsidRPr="007E4416">
              <w:rPr>
                <w:rFonts w:ascii="Times New Roman" w:eastAsia="Calibri" w:hAnsi="Times New Roman" w:cs="Times New Roman"/>
                <w:sz w:val="20"/>
                <w:szCs w:val="20"/>
                <w:lang w:eastAsia="sk-SK"/>
              </w:rPr>
              <w:t xml:space="preserve"> analýz</w:t>
            </w:r>
            <w:r w:rsidRPr="007E4416">
              <w:rPr>
                <w:rFonts w:ascii="Times New Roman" w:eastAsia="Calibri" w:hAnsi="Times New Roman" w:cs="Times New Roman"/>
                <w:sz w:val="20"/>
                <w:szCs w:val="20"/>
                <w:lang w:eastAsia="sk-SK"/>
              </w:rPr>
              <w:t xml:space="preserve">ou </w:t>
            </w:r>
            <w:r w:rsidR="00A261D1" w:rsidRPr="007E4416">
              <w:rPr>
                <w:rFonts w:ascii="Times New Roman" w:eastAsia="Calibri" w:hAnsi="Times New Roman" w:cs="Times New Roman"/>
                <w:sz w:val="20"/>
                <w:szCs w:val="20"/>
                <w:lang w:eastAsia="sk-SK"/>
              </w:rPr>
              <w:t>počtu odstúpen</w:t>
            </w:r>
            <w:r w:rsidRPr="007E4416">
              <w:rPr>
                <w:rFonts w:ascii="Times New Roman" w:eastAsia="Calibri" w:hAnsi="Times New Roman" w:cs="Times New Roman"/>
                <w:sz w:val="20"/>
                <w:szCs w:val="20"/>
                <w:lang w:eastAsia="sk-SK"/>
              </w:rPr>
              <w:t>í</w:t>
            </w:r>
            <w:r w:rsidR="00A261D1" w:rsidRPr="007E4416">
              <w:rPr>
                <w:rFonts w:ascii="Times New Roman" w:eastAsia="Calibri" w:hAnsi="Times New Roman" w:cs="Times New Roman"/>
                <w:sz w:val="20"/>
                <w:szCs w:val="20"/>
                <w:lang w:eastAsia="sk-SK"/>
              </w:rPr>
              <w:t xml:space="preserve"> od zmluvy voči </w:t>
            </w:r>
            <w:r w:rsidRPr="007E4416">
              <w:rPr>
                <w:rFonts w:ascii="Times New Roman" w:eastAsia="Calibri" w:hAnsi="Times New Roman" w:cs="Times New Roman"/>
                <w:sz w:val="20"/>
                <w:szCs w:val="20"/>
                <w:lang w:eastAsia="sk-SK"/>
              </w:rPr>
              <w:t xml:space="preserve">počtu </w:t>
            </w:r>
            <w:r w:rsidR="00A261D1" w:rsidRPr="007E4416">
              <w:rPr>
                <w:rFonts w:ascii="Times New Roman" w:eastAsia="Calibri" w:hAnsi="Times New Roman" w:cs="Times New Roman"/>
                <w:sz w:val="20"/>
                <w:szCs w:val="20"/>
                <w:lang w:eastAsia="sk-SK"/>
              </w:rPr>
              <w:t>všetký</w:t>
            </w:r>
            <w:r w:rsidRPr="007E4416">
              <w:rPr>
                <w:rFonts w:ascii="Times New Roman" w:eastAsia="Calibri" w:hAnsi="Times New Roman" w:cs="Times New Roman"/>
                <w:sz w:val="20"/>
                <w:szCs w:val="20"/>
                <w:lang w:eastAsia="sk-SK"/>
              </w:rPr>
              <w:t>ch</w:t>
            </w:r>
            <w:r w:rsidR="00A261D1" w:rsidRPr="007E4416">
              <w:rPr>
                <w:rFonts w:ascii="Times New Roman" w:eastAsia="Calibri" w:hAnsi="Times New Roman" w:cs="Times New Roman"/>
                <w:sz w:val="20"/>
                <w:szCs w:val="20"/>
                <w:lang w:eastAsia="sk-SK"/>
              </w:rPr>
              <w:t xml:space="preserve"> uzavretý</w:t>
            </w:r>
            <w:r w:rsidRPr="007E4416">
              <w:rPr>
                <w:rFonts w:ascii="Times New Roman" w:eastAsia="Calibri" w:hAnsi="Times New Roman" w:cs="Times New Roman"/>
                <w:sz w:val="20"/>
                <w:szCs w:val="20"/>
                <w:lang w:eastAsia="sk-SK"/>
              </w:rPr>
              <w:t xml:space="preserve">ch </w:t>
            </w:r>
            <w:r w:rsidR="00A261D1" w:rsidRPr="007E4416">
              <w:rPr>
                <w:rFonts w:ascii="Times New Roman" w:eastAsia="Calibri" w:hAnsi="Times New Roman" w:cs="Times New Roman"/>
                <w:sz w:val="20"/>
                <w:szCs w:val="20"/>
                <w:lang w:eastAsia="sk-SK"/>
              </w:rPr>
              <w:t>zml</w:t>
            </w:r>
            <w:r w:rsidRPr="007E4416">
              <w:rPr>
                <w:rFonts w:ascii="Times New Roman" w:eastAsia="Calibri" w:hAnsi="Times New Roman" w:cs="Times New Roman"/>
                <w:sz w:val="20"/>
                <w:szCs w:val="20"/>
                <w:lang w:eastAsia="sk-SK"/>
              </w:rPr>
              <w:t>úv</w:t>
            </w:r>
          </w:p>
          <w:p w14:paraId="4FDAC33D" w14:textId="653D99C1" w:rsidR="00EF7ED2" w:rsidRPr="007E4416" w:rsidRDefault="00A261D1" w:rsidP="007E4416">
            <w:pPr>
              <w:pStyle w:val="Odsekzoznamu"/>
              <w:numPr>
                <w:ilvl w:val="0"/>
                <w:numId w:val="11"/>
              </w:numPr>
              <w:spacing w:after="0" w:line="240" w:lineRule="auto"/>
              <w:rPr>
                <w:rFonts w:ascii="Times New Roman" w:eastAsia="Calibri" w:hAnsi="Times New Roman" w:cs="Times New Roman"/>
                <w:sz w:val="20"/>
                <w:szCs w:val="20"/>
                <w:lang w:eastAsia="sk-SK"/>
              </w:rPr>
            </w:pPr>
            <w:r w:rsidRPr="007E4416">
              <w:rPr>
                <w:rFonts w:ascii="Times New Roman" w:eastAsia="Calibri" w:hAnsi="Times New Roman" w:cs="Times New Roman"/>
                <w:sz w:val="20"/>
                <w:szCs w:val="20"/>
                <w:lang w:eastAsia="sk-SK"/>
              </w:rPr>
              <w:t xml:space="preserve">nevidíme prínos </w:t>
            </w:r>
            <w:r w:rsidR="00EF7ED2" w:rsidRPr="007E4416">
              <w:rPr>
                <w:rFonts w:ascii="Times New Roman" w:eastAsia="Calibri" w:hAnsi="Times New Roman" w:cs="Times New Roman"/>
                <w:sz w:val="20"/>
                <w:szCs w:val="20"/>
                <w:lang w:eastAsia="sk-SK"/>
              </w:rPr>
              <w:t xml:space="preserve">jednotlivých </w:t>
            </w:r>
            <w:r w:rsidRPr="007E4416">
              <w:rPr>
                <w:rFonts w:ascii="Times New Roman" w:eastAsia="Calibri" w:hAnsi="Times New Roman" w:cs="Times New Roman"/>
                <w:sz w:val="20"/>
                <w:szCs w:val="20"/>
                <w:lang w:eastAsia="sk-SK"/>
              </w:rPr>
              <w:t>odstúpen</w:t>
            </w:r>
            <w:r w:rsidR="00EF7ED2" w:rsidRPr="007E4416">
              <w:rPr>
                <w:rFonts w:ascii="Times New Roman" w:eastAsia="Calibri" w:hAnsi="Times New Roman" w:cs="Times New Roman"/>
                <w:sz w:val="20"/>
                <w:szCs w:val="20"/>
                <w:lang w:eastAsia="sk-SK"/>
              </w:rPr>
              <w:t>í</w:t>
            </w:r>
            <w:r w:rsidRPr="007E4416">
              <w:rPr>
                <w:rFonts w:ascii="Times New Roman" w:eastAsia="Calibri" w:hAnsi="Times New Roman" w:cs="Times New Roman"/>
                <w:sz w:val="20"/>
                <w:szCs w:val="20"/>
                <w:lang w:eastAsia="sk-SK"/>
              </w:rPr>
              <w:t xml:space="preserve"> vzhľadom na rôzne dôvody  odstúpenie (napr. nevyhovujúci tovar, </w:t>
            </w:r>
            <w:r w:rsidR="00EF7ED2" w:rsidRPr="007E4416">
              <w:rPr>
                <w:rFonts w:ascii="Times New Roman" w:eastAsia="Calibri" w:hAnsi="Times New Roman" w:cs="Times New Roman"/>
                <w:sz w:val="20"/>
                <w:szCs w:val="20"/>
                <w:lang w:eastAsia="sk-SK"/>
              </w:rPr>
              <w:t xml:space="preserve">poškodený tovar, zmeny </w:t>
            </w:r>
            <w:r w:rsidR="007E4416" w:rsidRPr="007E4416">
              <w:rPr>
                <w:rFonts w:ascii="Times New Roman" w:eastAsia="Calibri" w:hAnsi="Times New Roman" w:cs="Times New Roman"/>
                <w:sz w:val="20"/>
                <w:szCs w:val="20"/>
                <w:lang w:eastAsia="sk-SK"/>
              </w:rPr>
              <w:t>kúpnych</w:t>
            </w:r>
            <w:r w:rsidR="00EF7ED2" w:rsidRPr="007E4416">
              <w:rPr>
                <w:rFonts w:ascii="Times New Roman" w:eastAsia="Calibri" w:hAnsi="Times New Roman" w:cs="Times New Roman"/>
                <w:sz w:val="20"/>
                <w:szCs w:val="20"/>
                <w:lang w:eastAsia="sk-SK"/>
              </w:rPr>
              <w:t xml:space="preserve"> preferencií a pod.)</w:t>
            </w:r>
          </w:p>
        </w:tc>
      </w:tr>
      <w:tr w:rsidR="00441CDB" w:rsidRPr="002644DE" w14:paraId="3387C58D" w14:textId="77777777" w:rsidTr="09A0D912">
        <w:trPr>
          <w:trHeight w:val="170"/>
          <w:jc w:val="center"/>
        </w:trPr>
        <w:tc>
          <w:tcPr>
            <w:tcW w:w="129" w:type="pct"/>
            <w:tcBorders>
              <w:top w:val="nil"/>
              <w:bottom w:val="single" w:sz="4" w:space="0" w:color="auto"/>
            </w:tcBorders>
            <w:shd w:val="clear" w:color="auto" w:fill="F2F2F2" w:themeFill="background1" w:themeFillShade="F2"/>
            <w:vAlign w:val="center"/>
          </w:tcPr>
          <w:p w14:paraId="75506740"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03A586D2" w14:textId="77777777" w:rsidR="00441CDB" w:rsidRPr="002644DE" w:rsidRDefault="00441CDB" w:rsidP="00441CDB">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0DC0ED22" w14:textId="77777777" w:rsidR="00441CDB" w:rsidRPr="002644DE" w:rsidRDefault="00441CDB" w:rsidP="00441CD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441CDB" w:rsidRPr="002644DE" w14:paraId="7F989273" w14:textId="77777777" w:rsidTr="09A0D912">
        <w:trPr>
          <w:trHeight w:val="759"/>
          <w:jc w:val="center"/>
        </w:trPr>
        <w:tc>
          <w:tcPr>
            <w:tcW w:w="129" w:type="pct"/>
            <w:tcBorders>
              <w:top w:val="single" w:sz="4" w:space="0" w:color="auto"/>
              <w:bottom w:val="single" w:sz="4" w:space="0" w:color="auto"/>
            </w:tcBorders>
            <w:shd w:val="clear" w:color="auto" w:fill="auto"/>
            <w:vAlign w:val="center"/>
          </w:tcPr>
          <w:p w14:paraId="6CBFF570"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725EB10" w14:textId="77777777" w:rsidR="00441CDB" w:rsidRPr="002644DE" w:rsidRDefault="00441CDB" w:rsidP="00441CD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5ED93CC" w14:textId="4B307E33" w:rsidR="00441CDB" w:rsidRPr="002644DE" w:rsidRDefault="00441CDB" w:rsidP="00441CDB">
            <w:pPr>
              <w:spacing w:after="0" w:line="240" w:lineRule="auto"/>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Bez vplyvu</w:t>
            </w:r>
            <w:r w:rsidR="25976BB9" w:rsidRPr="09A0D912">
              <w:rPr>
                <w:rFonts w:ascii="Times New Roman" w:eastAsia="Calibri" w:hAnsi="Times New Roman" w:cs="Times New Roman"/>
                <w:sz w:val="20"/>
                <w:szCs w:val="20"/>
                <w:lang w:eastAsia="sk-SK"/>
              </w:rPr>
              <w:t>.</w:t>
            </w:r>
          </w:p>
        </w:tc>
      </w:tr>
      <w:tr w:rsidR="00441CDB" w:rsidRPr="002644DE" w14:paraId="18416636" w14:textId="77777777" w:rsidTr="09A0D912">
        <w:trPr>
          <w:trHeight w:val="397"/>
          <w:jc w:val="center"/>
        </w:trPr>
        <w:tc>
          <w:tcPr>
            <w:tcW w:w="129" w:type="pct"/>
            <w:vMerge w:val="restart"/>
            <w:tcBorders>
              <w:top w:val="single" w:sz="4" w:space="0" w:color="auto"/>
            </w:tcBorders>
            <w:shd w:val="clear" w:color="auto" w:fill="auto"/>
            <w:vAlign w:val="center"/>
          </w:tcPr>
          <w:p w14:paraId="7418757F"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34A4D11"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639C7EF" w14:textId="77777777" w:rsidR="00441CDB" w:rsidRPr="002644DE" w:rsidRDefault="00441CDB" w:rsidP="00441CD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43498139" w14:textId="77777777" w:rsidTr="09A0D912">
        <w:trPr>
          <w:trHeight w:val="397"/>
          <w:jc w:val="center"/>
        </w:trPr>
        <w:tc>
          <w:tcPr>
            <w:tcW w:w="129" w:type="pct"/>
            <w:vMerge/>
            <w:vAlign w:val="center"/>
          </w:tcPr>
          <w:p w14:paraId="5DAB6C7B"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8F9D71"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3613D05"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18E026A9" w14:textId="77777777" w:rsidTr="09A0D912">
        <w:trPr>
          <w:trHeight w:val="397"/>
          <w:jc w:val="center"/>
        </w:trPr>
        <w:tc>
          <w:tcPr>
            <w:tcW w:w="129" w:type="pct"/>
            <w:tcBorders>
              <w:top w:val="dotted" w:sz="4" w:space="0" w:color="auto"/>
            </w:tcBorders>
            <w:shd w:val="clear" w:color="auto" w:fill="F2F2F2" w:themeFill="background1" w:themeFillShade="F2"/>
            <w:vAlign w:val="center"/>
          </w:tcPr>
          <w:p w14:paraId="4F349681" w14:textId="77777777" w:rsidR="00441CDB" w:rsidRPr="002644DE" w:rsidRDefault="00441CDB" w:rsidP="00441CD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5BA72CFE"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41CDB" w:rsidRPr="002644DE" w14:paraId="782550AD" w14:textId="77777777" w:rsidTr="09A0D912">
        <w:trPr>
          <w:trHeight w:val="680"/>
          <w:jc w:val="center"/>
        </w:trPr>
        <w:tc>
          <w:tcPr>
            <w:tcW w:w="129" w:type="pct"/>
            <w:vMerge w:val="restart"/>
            <w:tcBorders>
              <w:top w:val="dotted" w:sz="4" w:space="0" w:color="auto"/>
            </w:tcBorders>
            <w:shd w:val="clear" w:color="auto" w:fill="auto"/>
            <w:vAlign w:val="center"/>
          </w:tcPr>
          <w:p w14:paraId="1027678C"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k)</w:t>
            </w:r>
          </w:p>
        </w:tc>
        <w:tc>
          <w:tcPr>
            <w:tcW w:w="1642" w:type="pct"/>
            <w:tcBorders>
              <w:top w:val="dotted" w:sz="4" w:space="0" w:color="auto"/>
            </w:tcBorders>
            <w:shd w:val="clear" w:color="auto" w:fill="auto"/>
          </w:tcPr>
          <w:p w14:paraId="035C7560" w14:textId="77777777" w:rsidR="00441CDB" w:rsidRPr="002644DE" w:rsidRDefault="00441CDB" w:rsidP="00441CDB">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F296FCB" w14:textId="77777777" w:rsidR="00441CDB" w:rsidRPr="002644DE" w:rsidRDefault="00441CDB" w:rsidP="00441CDB">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1B315C5"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1588A42D" w14:textId="77777777" w:rsidTr="09A0D912">
        <w:trPr>
          <w:trHeight w:val="680"/>
          <w:jc w:val="center"/>
        </w:trPr>
        <w:tc>
          <w:tcPr>
            <w:tcW w:w="129" w:type="pct"/>
            <w:vMerge/>
            <w:vAlign w:val="center"/>
          </w:tcPr>
          <w:p w14:paraId="02EB378F"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37E7B61"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4C302E8"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00A1E318" w14:textId="77777777" w:rsidTr="09A0D912">
        <w:trPr>
          <w:trHeight w:val="350"/>
          <w:jc w:val="center"/>
        </w:trPr>
        <w:tc>
          <w:tcPr>
            <w:tcW w:w="129" w:type="pct"/>
            <w:tcBorders>
              <w:top w:val="dotted" w:sz="4" w:space="0" w:color="auto"/>
              <w:bottom w:val="single" w:sz="4" w:space="0" w:color="auto"/>
            </w:tcBorders>
            <w:shd w:val="clear" w:color="auto" w:fill="auto"/>
            <w:vAlign w:val="center"/>
          </w:tcPr>
          <w:p w14:paraId="251385D5"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D5C444D"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BE34D54" w14:textId="7150627E" w:rsidR="00441CDB" w:rsidRPr="002644DE" w:rsidRDefault="00441CDB" w:rsidP="00441CDB">
            <w:pPr>
              <w:spacing w:after="0" w:line="240" w:lineRule="auto"/>
              <w:rPr>
                <w:rFonts w:ascii="Times New Roman" w:eastAsia="Calibri" w:hAnsi="Times New Roman" w:cs="Times New Roman"/>
                <w:sz w:val="20"/>
                <w:szCs w:val="20"/>
                <w:lang w:eastAsia="sk-SK"/>
              </w:rPr>
            </w:pPr>
            <w:r w:rsidRPr="00920DE2">
              <w:rPr>
                <w:rFonts w:ascii="Times New Roman" w:eastAsia="Calibri" w:hAnsi="Times New Roman" w:cs="Times New Roman"/>
                <w:sz w:val="20"/>
                <w:szCs w:val="20"/>
                <w:lang w:eastAsia="sk-SK"/>
              </w:rPr>
              <w:t xml:space="preserve">Nie je možné </w:t>
            </w:r>
            <w:r w:rsidR="00FD63ED">
              <w:rPr>
                <w:rFonts w:ascii="Times New Roman" w:eastAsia="Calibri" w:hAnsi="Times New Roman" w:cs="Times New Roman"/>
                <w:sz w:val="20"/>
                <w:szCs w:val="20"/>
                <w:lang w:eastAsia="sk-SK"/>
              </w:rPr>
              <w:t>kvantifikovať</w:t>
            </w:r>
            <w:r w:rsidRPr="00920DE2">
              <w:rPr>
                <w:rFonts w:ascii="Times New Roman" w:eastAsia="Calibri" w:hAnsi="Times New Roman" w:cs="Times New Roman"/>
                <w:sz w:val="20"/>
                <w:szCs w:val="20"/>
                <w:lang w:eastAsia="sk-SK"/>
              </w:rPr>
              <w:t>.</w:t>
            </w:r>
          </w:p>
        </w:tc>
      </w:tr>
      <w:tr w:rsidR="00441CDB" w:rsidRPr="002644DE" w14:paraId="0FA38F9F" w14:textId="77777777" w:rsidTr="09A0D912">
        <w:trPr>
          <w:trHeight w:val="170"/>
          <w:jc w:val="center"/>
        </w:trPr>
        <w:tc>
          <w:tcPr>
            <w:tcW w:w="129" w:type="pct"/>
            <w:tcBorders>
              <w:top w:val="single" w:sz="4" w:space="0" w:color="auto"/>
              <w:bottom w:val="single" w:sz="4" w:space="0" w:color="auto"/>
            </w:tcBorders>
            <w:shd w:val="clear" w:color="auto" w:fill="DDDDDD"/>
            <w:vAlign w:val="center"/>
          </w:tcPr>
          <w:p w14:paraId="1A8A115F"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D402D62" w14:textId="77777777" w:rsidR="00441CDB" w:rsidRPr="002644DE" w:rsidRDefault="00441CDB" w:rsidP="00441CDB">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441CDB" w:rsidRPr="002644DE" w14:paraId="37EB821D" w14:textId="77777777" w:rsidTr="09A0D912">
        <w:trPr>
          <w:trHeight w:val="759"/>
          <w:jc w:val="center"/>
        </w:trPr>
        <w:tc>
          <w:tcPr>
            <w:tcW w:w="129" w:type="pct"/>
            <w:tcBorders>
              <w:top w:val="single" w:sz="4" w:space="0" w:color="auto"/>
              <w:bottom w:val="single" w:sz="4" w:space="0" w:color="auto"/>
            </w:tcBorders>
            <w:shd w:val="clear" w:color="auto" w:fill="auto"/>
            <w:vAlign w:val="center"/>
          </w:tcPr>
          <w:p w14:paraId="0A96E6EA" w14:textId="77777777" w:rsidR="00441CDB" w:rsidRPr="002644DE" w:rsidRDefault="00441CDB" w:rsidP="00441CDB">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6A05A809" w14:textId="77777777" w:rsidR="00441CDB" w:rsidRPr="002644DE" w:rsidRDefault="00441CDB" w:rsidP="00441CDB">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52D1E259" w14:textId="77777777" w:rsidR="00441CDB" w:rsidRPr="002644DE" w:rsidRDefault="00441CDB" w:rsidP="00441CD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FA271A0" w14:textId="64F3C5A0" w:rsidR="00441CDB" w:rsidRPr="002644DE" w:rsidRDefault="00D1459C" w:rsidP="00D1459C">
            <w:pPr>
              <w:spacing w:after="0" w:line="240" w:lineRule="auto"/>
              <w:contextualSpacing/>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Bez negatívneho vplyvu</w:t>
            </w:r>
            <w:r w:rsidR="0FD95C63" w:rsidRPr="09A0D912">
              <w:rPr>
                <w:rFonts w:ascii="Times New Roman" w:eastAsia="Calibri" w:hAnsi="Times New Roman" w:cs="Times New Roman"/>
                <w:sz w:val="20"/>
                <w:szCs w:val="20"/>
                <w:lang w:eastAsia="sk-SK"/>
              </w:rPr>
              <w:t>.</w:t>
            </w:r>
          </w:p>
        </w:tc>
      </w:tr>
      <w:tr w:rsidR="00441CDB" w:rsidRPr="002644DE" w14:paraId="5B4A8501" w14:textId="77777777" w:rsidTr="09A0D912">
        <w:trPr>
          <w:trHeight w:val="397"/>
          <w:jc w:val="center"/>
        </w:trPr>
        <w:tc>
          <w:tcPr>
            <w:tcW w:w="129" w:type="pct"/>
            <w:vMerge w:val="restart"/>
            <w:tcBorders>
              <w:top w:val="single" w:sz="4" w:space="0" w:color="auto"/>
            </w:tcBorders>
            <w:shd w:val="clear" w:color="auto" w:fill="auto"/>
            <w:vAlign w:val="center"/>
          </w:tcPr>
          <w:p w14:paraId="2970BC5D"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5D2D432"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48F6C638"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1ECAE762" w14:textId="77777777" w:rsidTr="09A0D912">
        <w:trPr>
          <w:trHeight w:val="397"/>
          <w:jc w:val="center"/>
        </w:trPr>
        <w:tc>
          <w:tcPr>
            <w:tcW w:w="129" w:type="pct"/>
            <w:vMerge/>
            <w:vAlign w:val="center"/>
          </w:tcPr>
          <w:p w14:paraId="5A39BBE3"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1465C03"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7FD070E7"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60892F4B" w14:textId="77777777" w:rsidTr="09A0D912">
        <w:trPr>
          <w:trHeight w:val="397"/>
          <w:jc w:val="center"/>
        </w:trPr>
        <w:tc>
          <w:tcPr>
            <w:tcW w:w="129" w:type="pct"/>
            <w:tcBorders>
              <w:top w:val="single" w:sz="4" w:space="0" w:color="auto"/>
            </w:tcBorders>
            <w:shd w:val="clear" w:color="auto" w:fill="F2F2F2" w:themeFill="background1" w:themeFillShade="F2"/>
            <w:vAlign w:val="center"/>
          </w:tcPr>
          <w:p w14:paraId="15EB2713"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themeFill="background1" w:themeFillShade="F2"/>
            <w:vAlign w:val="center"/>
          </w:tcPr>
          <w:p w14:paraId="30E748CF"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41CDB" w:rsidRPr="002644DE" w14:paraId="53C15026" w14:textId="77777777" w:rsidTr="09A0D912">
        <w:trPr>
          <w:trHeight w:val="680"/>
          <w:jc w:val="center"/>
        </w:trPr>
        <w:tc>
          <w:tcPr>
            <w:tcW w:w="129" w:type="pct"/>
            <w:vMerge w:val="restart"/>
            <w:tcBorders>
              <w:top w:val="dotted" w:sz="4" w:space="0" w:color="auto"/>
            </w:tcBorders>
            <w:shd w:val="clear" w:color="auto" w:fill="auto"/>
            <w:vAlign w:val="center"/>
          </w:tcPr>
          <w:p w14:paraId="6245A1A8"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6FC999C" w14:textId="77777777" w:rsidR="00441CDB" w:rsidRPr="002644DE" w:rsidRDefault="00441CDB" w:rsidP="00441CD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5CABEDB" w14:textId="77777777" w:rsidR="00441CDB" w:rsidRPr="002644DE" w:rsidRDefault="00441CDB" w:rsidP="00441CDB">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022AFCD"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453BA730" w14:textId="77777777" w:rsidTr="09A0D912">
        <w:trPr>
          <w:trHeight w:val="680"/>
          <w:jc w:val="center"/>
        </w:trPr>
        <w:tc>
          <w:tcPr>
            <w:tcW w:w="129" w:type="pct"/>
            <w:vMerge/>
            <w:vAlign w:val="center"/>
          </w:tcPr>
          <w:p w14:paraId="41C8F396"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CDACAE9"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260C4AB"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31FB5F47" w14:textId="77777777" w:rsidTr="09A0D912">
        <w:trPr>
          <w:trHeight w:val="397"/>
          <w:jc w:val="center"/>
        </w:trPr>
        <w:tc>
          <w:tcPr>
            <w:tcW w:w="129" w:type="pct"/>
            <w:tcBorders>
              <w:top w:val="dotted" w:sz="4" w:space="0" w:color="auto"/>
            </w:tcBorders>
            <w:shd w:val="clear" w:color="auto" w:fill="auto"/>
            <w:vAlign w:val="center"/>
          </w:tcPr>
          <w:p w14:paraId="26CE0AA0"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1A9A41D"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E2056D5"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sidRPr="00920DE2">
              <w:rPr>
                <w:rFonts w:ascii="Times New Roman" w:eastAsia="Calibri" w:hAnsi="Times New Roman" w:cs="Times New Roman"/>
                <w:sz w:val="20"/>
                <w:szCs w:val="20"/>
                <w:lang w:eastAsia="sk-SK"/>
              </w:rPr>
              <w:t>Nie je možné kvalifikovať.</w:t>
            </w:r>
          </w:p>
        </w:tc>
      </w:tr>
      <w:tr w:rsidR="00441CDB" w:rsidRPr="002644DE" w14:paraId="62926905" w14:textId="77777777" w:rsidTr="09A0D912">
        <w:trPr>
          <w:trHeight w:val="227"/>
          <w:jc w:val="center"/>
        </w:trPr>
        <w:tc>
          <w:tcPr>
            <w:tcW w:w="129" w:type="pct"/>
            <w:tcBorders>
              <w:top w:val="nil"/>
              <w:bottom w:val="single" w:sz="4" w:space="0" w:color="auto"/>
            </w:tcBorders>
            <w:shd w:val="clear" w:color="auto" w:fill="F2F2F2" w:themeFill="background1" w:themeFillShade="F2"/>
            <w:vAlign w:val="center"/>
          </w:tcPr>
          <w:p w14:paraId="18C0D7AA"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4C773BDE"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3A36E6AC" w14:textId="77777777" w:rsidR="00441CDB" w:rsidRPr="002644DE" w:rsidRDefault="00441CDB" w:rsidP="00441CDB">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441CDB" w:rsidRPr="002644DE" w14:paraId="4FDFB7B6" w14:textId="77777777" w:rsidTr="09A0D912">
        <w:trPr>
          <w:trHeight w:val="759"/>
          <w:jc w:val="center"/>
        </w:trPr>
        <w:tc>
          <w:tcPr>
            <w:tcW w:w="129" w:type="pct"/>
            <w:tcBorders>
              <w:top w:val="single" w:sz="4" w:space="0" w:color="auto"/>
              <w:bottom w:val="single" w:sz="4" w:space="0" w:color="auto"/>
            </w:tcBorders>
            <w:shd w:val="clear" w:color="auto" w:fill="auto"/>
            <w:vAlign w:val="center"/>
          </w:tcPr>
          <w:p w14:paraId="62100F42"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F7DAC16" w14:textId="77777777" w:rsidR="00441CDB" w:rsidRPr="002644DE" w:rsidRDefault="00441CDB" w:rsidP="00441CDB">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F1926EE" w14:textId="468F89E8" w:rsidR="00441CDB" w:rsidRPr="002644DE" w:rsidRDefault="00441CDB" w:rsidP="00441CDB">
            <w:pPr>
              <w:spacing w:after="0" w:line="240" w:lineRule="auto"/>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Bez negatívneho vplyvu</w:t>
            </w:r>
            <w:r w:rsidR="4488FB13" w:rsidRPr="09A0D912">
              <w:rPr>
                <w:rFonts w:ascii="Times New Roman" w:eastAsia="Calibri" w:hAnsi="Times New Roman" w:cs="Times New Roman"/>
                <w:sz w:val="20"/>
                <w:szCs w:val="20"/>
                <w:lang w:eastAsia="sk-SK"/>
              </w:rPr>
              <w:t>.</w:t>
            </w:r>
          </w:p>
        </w:tc>
      </w:tr>
      <w:tr w:rsidR="00441CDB" w:rsidRPr="002644DE" w14:paraId="74218323" w14:textId="77777777" w:rsidTr="09A0D912">
        <w:trPr>
          <w:trHeight w:val="397"/>
          <w:jc w:val="center"/>
        </w:trPr>
        <w:tc>
          <w:tcPr>
            <w:tcW w:w="129" w:type="pct"/>
            <w:vMerge w:val="restart"/>
            <w:tcBorders>
              <w:top w:val="single" w:sz="4" w:space="0" w:color="auto"/>
            </w:tcBorders>
            <w:shd w:val="clear" w:color="auto" w:fill="auto"/>
            <w:vAlign w:val="center"/>
          </w:tcPr>
          <w:p w14:paraId="7C571721"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D7E7E33"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BFFF327" w14:textId="77777777" w:rsidR="00441CDB" w:rsidRPr="002644DE" w:rsidRDefault="00441CDB" w:rsidP="00441CDB">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2321880D" w14:textId="77777777" w:rsidTr="09A0D912">
        <w:trPr>
          <w:trHeight w:val="397"/>
          <w:jc w:val="center"/>
        </w:trPr>
        <w:tc>
          <w:tcPr>
            <w:tcW w:w="129" w:type="pct"/>
            <w:vMerge/>
            <w:vAlign w:val="center"/>
          </w:tcPr>
          <w:p w14:paraId="72A3D3EC"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8257B93"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E27FCA3"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02DD738D" w14:textId="77777777" w:rsidTr="09A0D912">
        <w:trPr>
          <w:trHeight w:val="454"/>
          <w:jc w:val="center"/>
        </w:trPr>
        <w:tc>
          <w:tcPr>
            <w:tcW w:w="129" w:type="pct"/>
            <w:tcBorders>
              <w:top w:val="dotted" w:sz="4" w:space="0" w:color="auto"/>
            </w:tcBorders>
            <w:shd w:val="clear" w:color="auto" w:fill="F2F2F2" w:themeFill="background1" w:themeFillShade="F2"/>
            <w:vAlign w:val="center"/>
          </w:tcPr>
          <w:p w14:paraId="21CE50C7" w14:textId="77777777" w:rsidR="00441CDB" w:rsidRPr="002644DE" w:rsidRDefault="00441CDB" w:rsidP="00441CDB">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77287D0D"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441CDB" w:rsidRPr="002644DE" w14:paraId="07E76AF2" w14:textId="77777777" w:rsidTr="09A0D912">
        <w:trPr>
          <w:trHeight w:val="680"/>
          <w:jc w:val="center"/>
        </w:trPr>
        <w:tc>
          <w:tcPr>
            <w:tcW w:w="129" w:type="pct"/>
            <w:vMerge w:val="restart"/>
            <w:tcBorders>
              <w:top w:val="dotted" w:sz="4" w:space="0" w:color="auto"/>
            </w:tcBorders>
            <w:shd w:val="clear" w:color="auto" w:fill="auto"/>
            <w:vAlign w:val="center"/>
          </w:tcPr>
          <w:p w14:paraId="47414221"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3D4B68C" w14:textId="77777777" w:rsidR="00441CDB" w:rsidRPr="002644DE" w:rsidRDefault="00441CDB" w:rsidP="00441CDB">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484396D" w14:textId="77777777" w:rsidR="00441CDB" w:rsidRPr="002644DE" w:rsidRDefault="00441CDB" w:rsidP="00441CDB">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56C7DA7"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441CDB" w:rsidRPr="002644DE" w14:paraId="19661F79" w14:textId="77777777" w:rsidTr="09A0D912">
        <w:trPr>
          <w:trHeight w:val="680"/>
          <w:jc w:val="center"/>
        </w:trPr>
        <w:tc>
          <w:tcPr>
            <w:tcW w:w="129" w:type="pct"/>
            <w:vMerge/>
            <w:vAlign w:val="center"/>
          </w:tcPr>
          <w:p w14:paraId="0D0B940D"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15CA5F6"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14F6002" w14:textId="77777777" w:rsidR="00441CDB" w:rsidRPr="002644DE" w:rsidRDefault="00441CDB" w:rsidP="00441CD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441CDB" w:rsidRPr="002644DE" w14:paraId="3495922A" w14:textId="77777777" w:rsidTr="09A0D912">
        <w:trPr>
          <w:trHeight w:val="454"/>
          <w:jc w:val="center"/>
        </w:trPr>
        <w:tc>
          <w:tcPr>
            <w:tcW w:w="129" w:type="pct"/>
            <w:tcBorders>
              <w:top w:val="dotted" w:sz="4" w:space="0" w:color="auto"/>
              <w:bottom w:val="single" w:sz="4" w:space="0" w:color="auto"/>
            </w:tcBorders>
            <w:shd w:val="clear" w:color="auto" w:fill="auto"/>
            <w:vAlign w:val="center"/>
          </w:tcPr>
          <w:p w14:paraId="3F63152A" w14:textId="77777777" w:rsidR="00441CDB" w:rsidRPr="002644DE" w:rsidRDefault="00441CDB" w:rsidP="00441CDB">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2A68AEE" w14:textId="77777777" w:rsidR="00441CDB" w:rsidRPr="002644DE" w:rsidRDefault="00441CDB" w:rsidP="00441CDB">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7AB129E" w14:textId="25B111AD" w:rsidR="00441CDB" w:rsidRPr="002644DE" w:rsidRDefault="00441CDB" w:rsidP="00441CDB">
            <w:pPr>
              <w:spacing w:after="0" w:line="240" w:lineRule="auto"/>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 xml:space="preserve">Návrh zákona nemá žiadny </w:t>
            </w:r>
            <w:r w:rsidR="5872C8A8" w:rsidRPr="09A0D912">
              <w:rPr>
                <w:rFonts w:ascii="Times New Roman" w:eastAsia="Calibri" w:hAnsi="Times New Roman" w:cs="Times New Roman"/>
                <w:sz w:val="20"/>
                <w:szCs w:val="20"/>
                <w:lang w:eastAsia="sk-SK"/>
              </w:rPr>
              <w:t>(</w:t>
            </w:r>
            <w:r w:rsidRPr="09A0D912">
              <w:rPr>
                <w:rFonts w:ascii="Times New Roman" w:eastAsia="Calibri" w:hAnsi="Times New Roman" w:cs="Times New Roman"/>
                <w:sz w:val="20"/>
                <w:szCs w:val="20"/>
                <w:lang w:eastAsia="sk-SK"/>
              </w:rPr>
              <w:t>negatívny</w:t>
            </w:r>
            <w:r w:rsidR="7FB381C6" w:rsidRPr="09A0D912">
              <w:rPr>
                <w:rFonts w:ascii="Times New Roman" w:eastAsia="Calibri" w:hAnsi="Times New Roman" w:cs="Times New Roman"/>
                <w:sz w:val="20"/>
                <w:szCs w:val="20"/>
                <w:lang w:eastAsia="sk-SK"/>
              </w:rPr>
              <w:t>)</w:t>
            </w:r>
            <w:r w:rsidRPr="09A0D912">
              <w:rPr>
                <w:rFonts w:ascii="Times New Roman" w:eastAsia="Calibri" w:hAnsi="Times New Roman" w:cs="Times New Roman"/>
                <w:sz w:val="20"/>
                <w:szCs w:val="20"/>
                <w:lang w:eastAsia="sk-SK"/>
              </w:rPr>
              <w:t xml:space="preserve"> vplyv na zvýšenie príjmov alebo zníženie výdavkov obyvateľstva/domácností.</w:t>
            </w:r>
          </w:p>
        </w:tc>
      </w:tr>
    </w:tbl>
    <w:p w14:paraId="0E27B00A" w14:textId="77777777" w:rsidR="002644DE" w:rsidRPr="002644DE" w:rsidRDefault="002644DE" w:rsidP="002644DE">
      <w:r w:rsidRPr="002644DE">
        <w:br w:type="page"/>
      </w:r>
    </w:p>
    <w:p w14:paraId="60061E4C"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F0347C2" w14:textId="77777777" w:rsidTr="09A0D912">
        <w:trPr>
          <w:trHeight w:val="339"/>
          <w:jc w:val="center"/>
        </w:trPr>
        <w:tc>
          <w:tcPr>
            <w:tcW w:w="4998" w:type="pct"/>
            <w:gridSpan w:val="4"/>
            <w:tcBorders>
              <w:bottom w:val="single" w:sz="4" w:space="0" w:color="auto"/>
            </w:tcBorders>
            <w:shd w:val="clear" w:color="auto" w:fill="D9D9D9" w:themeFill="background1" w:themeFillShade="D9"/>
          </w:tcPr>
          <w:p w14:paraId="3320996E"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68984A04" w14:textId="77777777" w:rsidTr="09A0D912">
        <w:trPr>
          <w:trHeight w:val="290"/>
          <w:jc w:val="center"/>
        </w:trPr>
        <w:tc>
          <w:tcPr>
            <w:tcW w:w="4998" w:type="pct"/>
            <w:gridSpan w:val="4"/>
            <w:tcBorders>
              <w:bottom w:val="single" w:sz="4" w:space="0" w:color="auto"/>
            </w:tcBorders>
            <w:shd w:val="clear" w:color="auto" w:fill="F2F2F2" w:themeFill="background1" w:themeFillShade="F2"/>
            <w:vAlign w:val="center"/>
          </w:tcPr>
          <w:p w14:paraId="4794EE2E"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0D1B13B0"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28717487" w14:textId="77777777" w:rsidTr="09A0D912">
        <w:tblPrEx>
          <w:tblBorders>
            <w:top w:val="none" w:sz="0" w:space="0" w:color="auto"/>
            <w:bottom w:val="none" w:sz="0" w:space="0" w:color="auto"/>
          </w:tblBorders>
        </w:tblPrEx>
        <w:trPr>
          <w:trHeight w:val="557"/>
          <w:jc w:val="center"/>
        </w:trPr>
        <w:tc>
          <w:tcPr>
            <w:tcW w:w="180" w:type="pct"/>
            <w:tcBorders>
              <w:top w:val="single" w:sz="0" w:space="0" w:color="000000" w:themeColor="text1"/>
              <w:bottom w:val="single" w:sz="0" w:space="0" w:color="000000" w:themeColor="text1"/>
            </w:tcBorders>
            <w:shd w:val="clear" w:color="auto" w:fill="auto"/>
            <w:vAlign w:val="center"/>
          </w:tcPr>
          <w:p w14:paraId="024BA6D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Borders>
              <w:top w:val="single" w:sz="0" w:space="0" w:color="000000" w:themeColor="text1"/>
              <w:bottom w:val="single" w:sz="0" w:space="0" w:color="000000" w:themeColor="text1"/>
            </w:tcBorders>
            <w:shd w:val="clear" w:color="auto" w:fill="auto"/>
          </w:tcPr>
          <w:p w14:paraId="52E2BAA6"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1A4430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2612D03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31D7CEF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116C252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C62B84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2A23458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7CDCC89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7120FEB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017E95B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7646B6C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428F81A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51A45CA"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Borders>
              <w:top w:val="single" w:sz="0" w:space="0" w:color="000000" w:themeColor="text1"/>
              <w:bottom w:val="single" w:sz="0" w:space="0" w:color="000000" w:themeColor="text1"/>
            </w:tcBorders>
            <w:shd w:val="clear" w:color="auto" w:fill="auto"/>
          </w:tcPr>
          <w:p w14:paraId="44EAFD9C" w14:textId="08EC5DA9" w:rsidR="002644DE" w:rsidRPr="002644DE" w:rsidRDefault="005A13A5"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p w14:paraId="4B94D5A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E5F9396" w14:textId="77777777" w:rsidTr="09A0D912">
        <w:trPr>
          <w:jc w:val="center"/>
        </w:trPr>
        <w:tc>
          <w:tcPr>
            <w:tcW w:w="180" w:type="pct"/>
            <w:tcBorders>
              <w:bottom w:val="single" w:sz="4" w:space="0" w:color="auto"/>
            </w:tcBorders>
            <w:shd w:val="clear" w:color="auto" w:fill="F2F2F2" w:themeFill="background1" w:themeFillShade="F2"/>
            <w:vAlign w:val="center"/>
          </w:tcPr>
          <w:p w14:paraId="6D38883A"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hemeFill="background1" w:themeFillShade="F2"/>
          </w:tcPr>
          <w:p w14:paraId="5498FE7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D1F1DA0"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4DB10C0D" w14:textId="77777777" w:rsidTr="09A0D912">
        <w:tblPrEx>
          <w:tblBorders>
            <w:top w:val="none" w:sz="0" w:space="0" w:color="auto"/>
          </w:tblBorders>
        </w:tblPrEx>
        <w:trPr>
          <w:trHeight w:val="677"/>
          <w:jc w:val="center"/>
        </w:trPr>
        <w:tc>
          <w:tcPr>
            <w:tcW w:w="179" w:type="pct"/>
            <w:tcBorders>
              <w:top w:val="single" w:sz="0" w:space="0" w:color="000000" w:themeColor="text1"/>
            </w:tcBorders>
            <w:shd w:val="clear" w:color="auto" w:fill="auto"/>
            <w:vAlign w:val="center"/>
          </w:tcPr>
          <w:p w14:paraId="03899591"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tcBorders>
              <w:top w:val="single" w:sz="0" w:space="0" w:color="000000" w:themeColor="text1"/>
            </w:tcBorders>
            <w:shd w:val="clear" w:color="auto" w:fill="auto"/>
          </w:tcPr>
          <w:p w14:paraId="1AEE7F86"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4DDBF7B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23562A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7982AA2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5986FC7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30EE13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73E5887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6FD25AD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1174AB5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977BD3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1CD3234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0CFD053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Borders>
              <w:top w:val="single" w:sz="0" w:space="0" w:color="000000" w:themeColor="text1"/>
            </w:tcBorders>
            <w:shd w:val="clear" w:color="auto" w:fill="auto"/>
          </w:tcPr>
          <w:p w14:paraId="5DA8EAE8" w14:textId="77777777" w:rsidR="005A13A5" w:rsidRDefault="005A13A5" w:rsidP="005A13A5">
            <w:pPr>
              <w:spacing w:after="0" w:line="240" w:lineRule="auto"/>
              <w:rPr>
                <w:rFonts w:ascii="Times New Roman" w:eastAsia="Calibri" w:hAnsi="Times New Roman" w:cs="Times New Roman"/>
                <w:sz w:val="20"/>
                <w:szCs w:val="20"/>
                <w:lang w:eastAsia="sk-SK"/>
              </w:rPr>
            </w:pPr>
            <w:r w:rsidRPr="09A0D912">
              <w:rPr>
                <w:rFonts w:ascii="Times New Roman" w:eastAsia="Calibri" w:hAnsi="Times New Roman" w:cs="Times New Roman"/>
                <w:sz w:val="20"/>
                <w:szCs w:val="20"/>
                <w:lang w:eastAsia="sk-SK"/>
              </w:rPr>
              <w:t>Zlepšuje sa prístup k finančným službám na diaľku pre spotrebiteľa v zmysle možnosti zvýšenia digitalizácie celého procesu, ktorý návrh zákona ponúka. Na základe § 3 odsek 2 návrhu zákona sa ustanovuje pre obchodníka povinnosť poskytnúť predzmluvné informácie spotrebiteľom so zdravotným postihnutím, vrátane spotrebiteľov so zrakovým postihnutím, na požiadanie vo vhodnom a prístupnom formáte. To vedie k lepšiemu prístupu k finančným službám aj pre zdravotne postihnuté osoby.</w:t>
            </w:r>
          </w:p>
          <w:p w14:paraId="3448B0AE" w14:textId="77777777" w:rsidR="005A13A5" w:rsidRPr="002D77FE" w:rsidRDefault="005A13A5" w:rsidP="005A13A5">
            <w:pPr>
              <w:spacing w:after="0" w:line="240" w:lineRule="auto"/>
              <w:rPr>
                <w:rFonts w:ascii="Times New Roman" w:eastAsia="Calibri" w:hAnsi="Times New Roman" w:cs="Times New Roman"/>
                <w:bCs/>
                <w:sz w:val="20"/>
                <w:szCs w:val="20"/>
                <w:lang w:eastAsia="sk-SK"/>
              </w:rPr>
            </w:pPr>
            <w:r>
              <w:rPr>
                <w:rFonts w:ascii="Times New Roman" w:eastAsia="Calibri" w:hAnsi="Times New Roman" w:cs="Times New Roman"/>
                <w:bCs/>
                <w:sz w:val="20"/>
                <w:szCs w:val="20"/>
                <w:lang w:eastAsia="sk-SK"/>
              </w:rPr>
              <w:t>Taktiež sa zavádza funkcia na odstúpenie od zmluvy, ktorá má zabezpečiť lepší a jednoduchší prístup k tejto službe, aby bolo odstúpenie od zmluvy rovnako jednoduché a dostupné ako jej uzavretie.</w:t>
            </w:r>
          </w:p>
          <w:p w14:paraId="46FA977F" w14:textId="0300B77E" w:rsidR="002644DE" w:rsidRPr="002644DE" w:rsidRDefault="002644DE" w:rsidP="09A0D912">
            <w:pPr>
              <w:spacing w:after="0" w:line="240" w:lineRule="auto"/>
              <w:rPr>
                <w:rFonts w:ascii="Times New Roman" w:eastAsia="Calibri" w:hAnsi="Times New Roman" w:cs="Times New Roman"/>
                <w:sz w:val="20"/>
                <w:szCs w:val="20"/>
                <w:lang w:eastAsia="sk-SK"/>
              </w:rPr>
            </w:pPr>
          </w:p>
        </w:tc>
      </w:tr>
    </w:tbl>
    <w:p w14:paraId="3DEEC669"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280C8CEA" w14:textId="77777777" w:rsidTr="09A0D912">
        <w:trPr>
          <w:jc w:val="center"/>
        </w:trPr>
        <w:tc>
          <w:tcPr>
            <w:tcW w:w="5000" w:type="pct"/>
            <w:gridSpan w:val="3"/>
            <w:shd w:val="clear" w:color="auto" w:fill="D9D9D9" w:themeFill="background1" w:themeFillShade="D9"/>
          </w:tcPr>
          <w:p w14:paraId="05BD50CC"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48961F31"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5B996FC8" w14:textId="77777777" w:rsidTr="09A0D912">
        <w:trPr>
          <w:jc w:val="center"/>
        </w:trPr>
        <w:tc>
          <w:tcPr>
            <w:tcW w:w="132" w:type="pct"/>
            <w:tcBorders>
              <w:bottom w:val="single" w:sz="4" w:space="0" w:color="auto"/>
            </w:tcBorders>
            <w:shd w:val="clear" w:color="auto" w:fill="F2F2F2" w:themeFill="background1" w:themeFillShade="F2"/>
            <w:vAlign w:val="center"/>
          </w:tcPr>
          <w:p w14:paraId="14A84895"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hemeFill="background1" w:themeFillShade="F2"/>
          </w:tcPr>
          <w:p w14:paraId="4BBFDC91"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4646D20A" w14:textId="77777777" w:rsidTr="09A0D912">
        <w:trPr>
          <w:trHeight w:val="928"/>
          <w:jc w:val="center"/>
        </w:trPr>
        <w:tc>
          <w:tcPr>
            <w:tcW w:w="132" w:type="pct"/>
            <w:tcBorders>
              <w:top w:val="nil"/>
              <w:bottom w:val="nil"/>
            </w:tcBorders>
            <w:shd w:val="clear" w:color="auto" w:fill="auto"/>
          </w:tcPr>
          <w:p w14:paraId="3656B9AB" w14:textId="77777777" w:rsidR="002644DE" w:rsidRPr="002644DE" w:rsidRDefault="002644DE" w:rsidP="002644DE">
            <w:pPr>
              <w:spacing w:after="0" w:line="240" w:lineRule="auto"/>
              <w:rPr>
                <w:rFonts w:ascii="Times New Roman" w:eastAsia="Calibri" w:hAnsi="Times New Roman" w:cs="Times New Roman"/>
                <w:sz w:val="20"/>
              </w:rPr>
            </w:pPr>
          </w:p>
          <w:p w14:paraId="45FB0818" w14:textId="77777777" w:rsidR="002644DE" w:rsidRPr="002644DE" w:rsidRDefault="002644DE" w:rsidP="002644DE">
            <w:pPr>
              <w:spacing w:after="0" w:line="240" w:lineRule="auto"/>
              <w:rPr>
                <w:rFonts w:ascii="Times New Roman" w:eastAsia="Calibri" w:hAnsi="Times New Roman" w:cs="Times New Roman"/>
                <w:i/>
                <w:sz w:val="20"/>
              </w:rPr>
            </w:pPr>
          </w:p>
          <w:p w14:paraId="049F31CB" w14:textId="77777777" w:rsidR="002644DE" w:rsidRPr="002644DE" w:rsidRDefault="002644DE" w:rsidP="002644DE">
            <w:pPr>
              <w:spacing w:after="0" w:line="240" w:lineRule="auto"/>
              <w:rPr>
                <w:rFonts w:ascii="Times New Roman" w:eastAsia="Calibri" w:hAnsi="Times New Roman" w:cs="Times New Roman"/>
                <w:i/>
                <w:sz w:val="20"/>
              </w:rPr>
            </w:pPr>
          </w:p>
          <w:p w14:paraId="1A794326"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3128261" w14:textId="77777777" w:rsidR="002644DE" w:rsidRPr="002644DE" w:rsidRDefault="002644DE" w:rsidP="002644DE">
            <w:pPr>
              <w:spacing w:after="0" w:line="240" w:lineRule="auto"/>
              <w:rPr>
                <w:rFonts w:ascii="Times New Roman" w:eastAsia="Calibri" w:hAnsi="Times New Roman" w:cs="Times New Roman"/>
                <w:i/>
                <w:sz w:val="20"/>
              </w:rPr>
            </w:pPr>
          </w:p>
          <w:p w14:paraId="62486C05" w14:textId="77777777" w:rsidR="002644DE" w:rsidRPr="002644DE" w:rsidRDefault="002644DE" w:rsidP="002644DE">
            <w:pPr>
              <w:spacing w:after="0" w:line="240" w:lineRule="auto"/>
              <w:rPr>
                <w:rFonts w:ascii="Times New Roman" w:eastAsia="Calibri" w:hAnsi="Times New Roman" w:cs="Times New Roman"/>
                <w:i/>
                <w:sz w:val="20"/>
              </w:rPr>
            </w:pPr>
          </w:p>
          <w:p w14:paraId="4101652C"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70BBDD1" w14:textId="77777777" w:rsidR="002644DE" w:rsidRPr="002644DE" w:rsidRDefault="007920E8" w:rsidP="002644DE">
            <w:pPr>
              <w:rPr>
                <w:rFonts w:ascii="Times New Roman" w:eastAsia="Calibri" w:hAnsi="Times New Roman" w:cs="Times New Roman"/>
                <w:i/>
                <w:sz w:val="20"/>
              </w:rPr>
            </w:pPr>
            <w:r>
              <w:rPr>
                <w:rFonts w:ascii="Times New Roman" w:eastAsia="Calibri" w:hAnsi="Times New Roman" w:cs="Times New Roman"/>
                <w:sz w:val="20"/>
                <w:lang w:eastAsia="sk-SK"/>
              </w:rPr>
              <w:t>Bez vplyvu</w:t>
            </w:r>
          </w:p>
          <w:p w14:paraId="4B99056E"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4C3165CC" w14:textId="77777777" w:rsidTr="09A0D912">
        <w:trPr>
          <w:trHeight w:val="345"/>
          <w:jc w:val="center"/>
        </w:trPr>
        <w:tc>
          <w:tcPr>
            <w:tcW w:w="132" w:type="pct"/>
            <w:tcBorders>
              <w:bottom w:val="single" w:sz="4" w:space="0" w:color="auto"/>
            </w:tcBorders>
            <w:shd w:val="clear" w:color="auto" w:fill="F2F2F2" w:themeFill="background1" w:themeFillShade="F2"/>
            <w:vAlign w:val="center"/>
          </w:tcPr>
          <w:p w14:paraId="3357645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themeFill="background1" w:themeFillShade="F2"/>
            <w:vAlign w:val="center"/>
          </w:tcPr>
          <w:p w14:paraId="005F6BA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4E146D59" w14:textId="77777777" w:rsidTr="09A0D912">
        <w:tblPrEx>
          <w:tblBorders>
            <w:top w:val="none" w:sz="0" w:space="0" w:color="auto"/>
            <w:bottom w:val="none" w:sz="0" w:space="0" w:color="auto"/>
          </w:tblBorders>
        </w:tblPrEx>
        <w:trPr>
          <w:trHeight w:val="372"/>
          <w:jc w:val="center"/>
        </w:trPr>
        <w:tc>
          <w:tcPr>
            <w:tcW w:w="132" w:type="pct"/>
            <w:tcBorders>
              <w:top w:val="single" w:sz="0" w:space="0" w:color="000000" w:themeColor="text1"/>
              <w:bottom w:val="single" w:sz="0" w:space="0" w:color="000000" w:themeColor="text1"/>
            </w:tcBorders>
            <w:shd w:val="clear" w:color="auto" w:fill="auto"/>
            <w:vAlign w:val="center"/>
          </w:tcPr>
          <w:p w14:paraId="7925D311"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Borders>
              <w:top w:val="single" w:sz="0" w:space="0" w:color="000000" w:themeColor="text1"/>
              <w:bottom w:val="single" w:sz="0" w:space="0" w:color="000000" w:themeColor="text1"/>
            </w:tcBorders>
            <w:shd w:val="clear" w:color="auto" w:fill="auto"/>
          </w:tcPr>
          <w:p w14:paraId="093CD80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Borders>
              <w:top w:val="single" w:sz="0" w:space="0" w:color="000000" w:themeColor="text1"/>
              <w:bottom w:val="single" w:sz="0" w:space="0" w:color="000000" w:themeColor="text1"/>
            </w:tcBorders>
            <w:shd w:val="clear" w:color="auto" w:fill="auto"/>
          </w:tcPr>
          <w:p w14:paraId="08E83583" w14:textId="349C6DD5" w:rsidR="002644DE" w:rsidRPr="002644DE" w:rsidRDefault="0A0F7472" w:rsidP="09A0D912">
            <w:pPr>
              <w:spacing w:after="0" w:line="240" w:lineRule="auto"/>
              <w:jc w:val="both"/>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5B7C6904" w:rsidRPr="09A0D912">
              <w:rPr>
                <w:rFonts w:ascii="Times New Roman" w:eastAsia="Calibri" w:hAnsi="Times New Roman" w:cs="Times New Roman"/>
                <w:sz w:val="20"/>
                <w:szCs w:val="20"/>
                <w:lang w:eastAsia="sk-SK"/>
              </w:rPr>
              <w:t>.</w:t>
            </w:r>
          </w:p>
        </w:tc>
      </w:tr>
      <w:tr w:rsidR="002644DE" w:rsidRPr="002644DE" w14:paraId="2D6D3CCA" w14:textId="77777777" w:rsidTr="09A0D912">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0" w:space="0" w:color="000000" w:themeColor="text1"/>
            </w:tcBorders>
            <w:shd w:val="clear" w:color="auto" w:fill="auto"/>
            <w:vAlign w:val="center"/>
          </w:tcPr>
          <w:p w14:paraId="1461E73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Borders>
              <w:top w:val="single" w:sz="0" w:space="0" w:color="000000" w:themeColor="text1"/>
              <w:bottom w:val="single" w:sz="0" w:space="0" w:color="000000" w:themeColor="text1"/>
            </w:tcBorders>
            <w:shd w:val="clear" w:color="auto" w:fill="auto"/>
          </w:tcPr>
          <w:p w14:paraId="108389E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Borders>
              <w:top w:val="single" w:sz="0" w:space="0" w:color="000000" w:themeColor="text1"/>
              <w:bottom w:val="single" w:sz="0" w:space="0" w:color="000000" w:themeColor="text1"/>
            </w:tcBorders>
            <w:shd w:val="clear" w:color="auto" w:fill="auto"/>
          </w:tcPr>
          <w:p w14:paraId="2DF6F17B" w14:textId="5C91D4A7" w:rsidR="002644DE" w:rsidRPr="002644DE" w:rsidRDefault="0A0F7472" w:rsidP="09A0D912">
            <w:pPr>
              <w:spacing w:after="0" w:line="240" w:lineRule="auto"/>
              <w:jc w:val="both"/>
              <w:rPr>
                <w:rFonts w:ascii="Times New Roman" w:eastAsia="Calibri" w:hAnsi="Times New Roman" w:cs="Times New Roman"/>
                <w:i/>
                <w:iCs/>
                <w:sz w:val="18"/>
                <w:szCs w:val="18"/>
              </w:rPr>
            </w:pPr>
            <w:r w:rsidRPr="09A0D912">
              <w:rPr>
                <w:rFonts w:ascii="Times New Roman" w:eastAsia="Calibri" w:hAnsi="Times New Roman" w:cs="Times New Roman"/>
                <w:sz w:val="20"/>
                <w:szCs w:val="20"/>
                <w:lang w:eastAsia="sk-SK"/>
              </w:rPr>
              <w:t>Bez vplyvu</w:t>
            </w:r>
            <w:r w:rsidR="496CCAA2" w:rsidRPr="09A0D912">
              <w:rPr>
                <w:rFonts w:ascii="Times New Roman" w:eastAsia="Calibri" w:hAnsi="Times New Roman" w:cs="Times New Roman"/>
                <w:sz w:val="20"/>
                <w:szCs w:val="20"/>
                <w:lang w:eastAsia="sk-SK"/>
              </w:rPr>
              <w:t>.</w:t>
            </w:r>
          </w:p>
        </w:tc>
      </w:tr>
      <w:tr w:rsidR="002644DE" w:rsidRPr="002644DE" w14:paraId="1CB30473" w14:textId="77777777" w:rsidTr="09A0D912">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4" w:space="0" w:color="auto"/>
            </w:tcBorders>
            <w:shd w:val="clear" w:color="auto" w:fill="auto"/>
            <w:vAlign w:val="center"/>
          </w:tcPr>
          <w:p w14:paraId="5D98309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top w:val="single" w:sz="0" w:space="0" w:color="000000" w:themeColor="text1"/>
              <w:bottom w:val="single" w:sz="4" w:space="0" w:color="auto"/>
            </w:tcBorders>
            <w:shd w:val="clear" w:color="auto" w:fill="auto"/>
          </w:tcPr>
          <w:p w14:paraId="43BD3D1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top w:val="single" w:sz="0" w:space="0" w:color="000000" w:themeColor="text1"/>
              <w:bottom w:val="single" w:sz="4" w:space="0" w:color="auto"/>
            </w:tcBorders>
            <w:shd w:val="clear" w:color="auto" w:fill="auto"/>
          </w:tcPr>
          <w:p w14:paraId="150A511E" w14:textId="6BBC623D" w:rsidR="002644DE" w:rsidRPr="002644DE" w:rsidRDefault="0A0F7472" w:rsidP="09A0D912">
            <w:pPr>
              <w:spacing w:after="0" w:line="240" w:lineRule="auto"/>
              <w:jc w:val="both"/>
              <w:rPr>
                <w:rFonts w:ascii="Times New Roman" w:eastAsia="Calibri" w:hAnsi="Times New Roman" w:cs="Times New Roman"/>
                <w:i/>
                <w:iCs/>
                <w:sz w:val="18"/>
                <w:szCs w:val="18"/>
              </w:rPr>
            </w:pPr>
            <w:r w:rsidRPr="09A0D912">
              <w:rPr>
                <w:rFonts w:ascii="Times New Roman" w:eastAsia="Calibri" w:hAnsi="Times New Roman" w:cs="Times New Roman"/>
                <w:sz w:val="20"/>
                <w:szCs w:val="20"/>
                <w:lang w:eastAsia="sk-SK"/>
              </w:rPr>
              <w:t>Bez vplyvu</w:t>
            </w:r>
            <w:r w:rsidR="4481FCE5" w:rsidRPr="09A0D912">
              <w:rPr>
                <w:rFonts w:ascii="Times New Roman" w:eastAsia="Calibri" w:hAnsi="Times New Roman" w:cs="Times New Roman"/>
                <w:sz w:val="20"/>
                <w:szCs w:val="20"/>
                <w:lang w:eastAsia="sk-SK"/>
              </w:rPr>
              <w:t>.</w:t>
            </w:r>
          </w:p>
        </w:tc>
      </w:tr>
      <w:tr w:rsidR="002644DE" w:rsidRPr="002644DE" w14:paraId="120EF382" w14:textId="77777777" w:rsidTr="09A0D91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C52D26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0EAEEA2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0470FB1D"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B2A6A9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07E3358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4C2C9BA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53C3653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AB9D8C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234719A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610867D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6119B9D8" w14:textId="43BE8634" w:rsidR="002644DE" w:rsidRPr="002644DE" w:rsidRDefault="0A0F7472" w:rsidP="09A0D912">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53419EEA" w:rsidRPr="09A0D912">
              <w:rPr>
                <w:rFonts w:ascii="Times New Roman" w:eastAsia="Calibri" w:hAnsi="Times New Roman" w:cs="Times New Roman"/>
                <w:sz w:val="20"/>
                <w:szCs w:val="20"/>
                <w:lang w:eastAsia="sk-SK"/>
              </w:rPr>
              <w:t>.</w:t>
            </w:r>
          </w:p>
        </w:tc>
      </w:tr>
    </w:tbl>
    <w:p w14:paraId="1299C43A"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2912FFBD" w14:textId="77777777" w:rsidTr="09A0D912">
        <w:trPr>
          <w:jc w:val="center"/>
        </w:trPr>
        <w:tc>
          <w:tcPr>
            <w:tcW w:w="5000" w:type="pct"/>
            <w:gridSpan w:val="3"/>
            <w:shd w:val="clear" w:color="auto" w:fill="D9D9D9" w:themeFill="background1" w:themeFillShade="D9"/>
          </w:tcPr>
          <w:p w14:paraId="30A1D42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274104C4"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2BD04FD" w14:textId="77777777" w:rsidTr="09A0D912">
        <w:trPr>
          <w:trHeight w:val="287"/>
          <w:jc w:val="center"/>
        </w:trPr>
        <w:tc>
          <w:tcPr>
            <w:tcW w:w="129" w:type="pct"/>
            <w:tcBorders>
              <w:top w:val="nil"/>
              <w:bottom w:val="single" w:sz="4" w:space="0" w:color="auto"/>
            </w:tcBorders>
            <w:shd w:val="clear" w:color="auto" w:fill="F2F2F2" w:themeFill="background1" w:themeFillShade="F2"/>
            <w:vAlign w:val="center"/>
          </w:tcPr>
          <w:p w14:paraId="32B4947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themeFill="background1" w:themeFillShade="F2"/>
            <w:vAlign w:val="center"/>
          </w:tcPr>
          <w:p w14:paraId="1B4779BD"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27A43357" w14:textId="77777777" w:rsidTr="09A0D912">
        <w:trPr>
          <w:trHeight w:val="567"/>
          <w:jc w:val="center"/>
        </w:trPr>
        <w:tc>
          <w:tcPr>
            <w:tcW w:w="129" w:type="pct"/>
            <w:tcBorders>
              <w:top w:val="nil"/>
              <w:bottom w:val="single" w:sz="4" w:space="0" w:color="auto"/>
            </w:tcBorders>
            <w:shd w:val="clear" w:color="auto" w:fill="FFFFFF" w:themeFill="background1"/>
            <w:vAlign w:val="center"/>
          </w:tcPr>
          <w:p w14:paraId="4EE5BFB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hemeFill="background1"/>
          </w:tcPr>
          <w:p w14:paraId="0E23DB0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hemeFill="background1"/>
          </w:tcPr>
          <w:p w14:paraId="2E4E9207" w14:textId="0DC33A38"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48C65310" w:rsidRPr="09A0D912">
              <w:rPr>
                <w:rFonts w:ascii="Times New Roman" w:eastAsia="Calibri" w:hAnsi="Times New Roman" w:cs="Times New Roman"/>
                <w:sz w:val="20"/>
                <w:szCs w:val="20"/>
                <w:lang w:eastAsia="sk-SK"/>
              </w:rPr>
              <w:t>.</w:t>
            </w:r>
          </w:p>
        </w:tc>
      </w:tr>
      <w:tr w:rsidR="002644DE" w:rsidRPr="002644DE" w14:paraId="4729CE3F" w14:textId="77777777" w:rsidTr="09A0D912">
        <w:trPr>
          <w:trHeight w:val="270"/>
          <w:jc w:val="center"/>
        </w:trPr>
        <w:tc>
          <w:tcPr>
            <w:tcW w:w="129" w:type="pct"/>
            <w:tcBorders>
              <w:bottom w:val="single" w:sz="4" w:space="0" w:color="auto"/>
            </w:tcBorders>
            <w:shd w:val="clear" w:color="auto" w:fill="F2F2F2" w:themeFill="background1" w:themeFillShade="F2"/>
            <w:vAlign w:val="center"/>
          </w:tcPr>
          <w:p w14:paraId="6176EEB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themeFill="background1" w:themeFillShade="F2"/>
            <w:vAlign w:val="center"/>
          </w:tcPr>
          <w:p w14:paraId="3B6D097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5E939548" w14:textId="77777777" w:rsidTr="09A0D912">
        <w:trPr>
          <w:trHeight w:val="454"/>
          <w:jc w:val="center"/>
        </w:trPr>
        <w:tc>
          <w:tcPr>
            <w:tcW w:w="129" w:type="pct"/>
            <w:tcBorders>
              <w:bottom w:val="single" w:sz="4" w:space="0" w:color="auto"/>
            </w:tcBorders>
            <w:shd w:val="clear" w:color="auto" w:fill="FFFFFF" w:themeFill="background1"/>
            <w:vAlign w:val="center"/>
          </w:tcPr>
          <w:p w14:paraId="6E36D5B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hemeFill="background1"/>
          </w:tcPr>
          <w:p w14:paraId="50E3432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hemeFill="background1"/>
          </w:tcPr>
          <w:p w14:paraId="68A8FDE8" w14:textId="27778AF8"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48C65310" w:rsidRPr="09A0D912">
              <w:rPr>
                <w:rFonts w:ascii="Times New Roman" w:eastAsia="Calibri" w:hAnsi="Times New Roman" w:cs="Times New Roman"/>
                <w:sz w:val="20"/>
                <w:szCs w:val="20"/>
                <w:lang w:eastAsia="sk-SK"/>
              </w:rPr>
              <w:t>.</w:t>
            </w:r>
          </w:p>
        </w:tc>
      </w:tr>
      <w:tr w:rsidR="002644DE" w:rsidRPr="002644DE" w14:paraId="29C1A7C1" w14:textId="77777777" w:rsidTr="09A0D912">
        <w:trPr>
          <w:trHeight w:val="248"/>
          <w:jc w:val="center"/>
        </w:trPr>
        <w:tc>
          <w:tcPr>
            <w:tcW w:w="129" w:type="pct"/>
            <w:tcBorders>
              <w:bottom w:val="single" w:sz="4" w:space="0" w:color="auto"/>
            </w:tcBorders>
            <w:shd w:val="clear" w:color="auto" w:fill="F2F2F2" w:themeFill="background1" w:themeFillShade="F2"/>
            <w:vAlign w:val="center"/>
          </w:tcPr>
          <w:p w14:paraId="1769465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themeFill="background1" w:themeFillShade="F2"/>
            <w:vAlign w:val="center"/>
          </w:tcPr>
          <w:p w14:paraId="7E5D79B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4EB7F180" w14:textId="77777777" w:rsidTr="09A0D912">
        <w:trPr>
          <w:trHeight w:val="209"/>
          <w:jc w:val="center"/>
        </w:trPr>
        <w:tc>
          <w:tcPr>
            <w:tcW w:w="129" w:type="pct"/>
            <w:tcBorders>
              <w:bottom w:val="single" w:sz="4" w:space="0" w:color="auto"/>
            </w:tcBorders>
            <w:shd w:val="clear" w:color="auto" w:fill="FFFFFF" w:themeFill="background1"/>
            <w:vAlign w:val="center"/>
          </w:tcPr>
          <w:p w14:paraId="3EE2D6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hemeFill="background1"/>
          </w:tcPr>
          <w:p w14:paraId="169F0A8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hemeFill="background1"/>
          </w:tcPr>
          <w:p w14:paraId="004B24FC" w14:textId="65512580"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7B21E5AB" w:rsidRPr="09A0D912">
              <w:rPr>
                <w:rFonts w:ascii="Times New Roman" w:eastAsia="Calibri" w:hAnsi="Times New Roman" w:cs="Times New Roman"/>
                <w:sz w:val="20"/>
                <w:szCs w:val="20"/>
                <w:lang w:eastAsia="sk-SK"/>
              </w:rPr>
              <w:t>.</w:t>
            </w:r>
          </w:p>
        </w:tc>
      </w:tr>
      <w:tr w:rsidR="002644DE" w:rsidRPr="002644DE" w14:paraId="656CF69A" w14:textId="77777777" w:rsidTr="09A0D912">
        <w:trPr>
          <w:trHeight w:val="208"/>
          <w:jc w:val="center"/>
        </w:trPr>
        <w:tc>
          <w:tcPr>
            <w:tcW w:w="129" w:type="pct"/>
            <w:tcBorders>
              <w:bottom w:val="single" w:sz="4" w:space="0" w:color="auto"/>
            </w:tcBorders>
            <w:shd w:val="clear" w:color="auto" w:fill="F2F2F2" w:themeFill="background1" w:themeFillShade="F2"/>
            <w:vAlign w:val="center"/>
          </w:tcPr>
          <w:p w14:paraId="7F8BC31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themeFill="background1" w:themeFillShade="F2"/>
            <w:vAlign w:val="center"/>
          </w:tcPr>
          <w:p w14:paraId="2D9ED8E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77C61673" w14:textId="77777777" w:rsidTr="09A0D912">
        <w:trPr>
          <w:trHeight w:val="794"/>
          <w:jc w:val="center"/>
        </w:trPr>
        <w:tc>
          <w:tcPr>
            <w:tcW w:w="129" w:type="pct"/>
            <w:tcBorders>
              <w:bottom w:val="single" w:sz="4" w:space="0" w:color="auto"/>
            </w:tcBorders>
            <w:shd w:val="clear" w:color="auto" w:fill="FFFFFF" w:themeFill="background1"/>
            <w:vAlign w:val="center"/>
          </w:tcPr>
          <w:p w14:paraId="5A77388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hemeFill="background1"/>
          </w:tcPr>
          <w:p w14:paraId="03E5202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hemeFill="background1"/>
          </w:tcPr>
          <w:p w14:paraId="55EFD3E8" w14:textId="5C58CEC3"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7B21E5AB" w:rsidRPr="09A0D912">
              <w:rPr>
                <w:rFonts w:ascii="Times New Roman" w:eastAsia="Calibri" w:hAnsi="Times New Roman" w:cs="Times New Roman"/>
                <w:sz w:val="20"/>
                <w:szCs w:val="20"/>
                <w:lang w:eastAsia="sk-SK"/>
              </w:rPr>
              <w:t>.</w:t>
            </w:r>
          </w:p>
        </w:tc>
      </w:tr>
      <w:tr w:rsidR="002644DE" w:rsidRPr="002644DE" w14:paraId="5183F083" w14:textId="77777777" w:rsidTr="09A0D912">
        <w:trPr>
          <w:trHeight w:val="324"/>
          <w:jc w:val="center"/>
        </w:trPr>
        <w:tc>
          <w:tcPr>
            <w:tcW w:w="129" w:type="pct"/>
            <w:tcBorders>
              <w:bottom w:val="single" w:sz="4" w:space="0" w:color="auto"/>
            </w:tcBorders>
            <w:shd w:val="clear" w:color="auto" w:fill="F2F2F2" w:themeFill="background1" w:themeFillShade="F2"/>
            <w:vAlign w:val="center"/>
          </w:tcPr>
          <w:p w14:paraId="3E0C103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themeFill="background1" w:themeFillShade="F2"/>
            <w:vAlign w:val="center"/>
          </w:tcPr>
          <w:p w14:paraId="50C01CF4"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4A987AFE" w14:textId="77777777" w:rsidTr="09A0D912">
        <w:trPr>
          <w:trHeight w:val="216"/>
          <w:jc w:val="center"/>
        </w:trPr>
        <w:tc>
          <w:tcPr>
            <w:tcW w:w="129" w:type="pct"/>
            <w:tcBorders>
              <w:bottom w:val="single" w:sz="4" w:space="0" w:color="auto"/>
            </w:tcBorders>
            <w:shd w:val="clear" w:color="auto" w:fill="FFFFFF" w:themeFill="background1"/>
            <w:vAlign w:val="center"/>
          </w:tcPr>
          <w:p w14:paraId="1ED597F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hemeFill="background1"/>
          </w:tcPr>
          <w:p w14:paraId="6202665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hemeFill="background1"/>
          </w:tcPr>
          <w:p w14:paraId="71410BE8" w14:textId="297920F9"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56227D3E" w:rsidRPr="09A0D912">
              <w:rPr>
                <w:rFonts w:ascii="Times New Roman" w:eastAsia="Calibri" w:hAnsi="Times New Roman" w:cs="Times New Roman"/>
                <w:sz w:val="20"/>
                <w:szCs w:val="20"/>
                <w:lang w:eastAsia="sk-SK"/>
              </w:rPr>
              <w:t>.</w:t>
            </w:r>
          </w:p>
        </w:tc>
      </w:tr>
      <w:tr w:rsidR="002644DE" w:rsidRPr="002644DE" w14:paraId="1C612B8E" w14:textId="77777777" w:rsidTr="09A0D912">
        <w:trPr>
          <w:trHeight w:val="219"/>
          <w:jc w:val="center"/>
        </w:trPr>
        <w:tc>
          <w:tcPr>
            <w:tcW w:w="129" w:type="pct"/>
            <w:tcBorders>
              <w:bottom w:val="single" w:sz="4" w:space="0" w:color="auto"/>
            </w:tcBorders>
            <w:shd w:val="clear" w:color="auto" w:fill="F2F2F2" w:themeFill="background1" w:themeFillShade="F2"/>
            <w:vAlign w:val="center"/>
          </w:tcPr>
          <w:p w14:paraId="6B798F7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themeFill="background1" w:themeFillShade="F2"/>
            <w:vAlign w:val="center"/>
          </w:tcPr>
          <w:p w14:paraId="7C545C9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F55AC76" w14:textId="77777777" w:rsidTr="09A0D912">
        <w:trPr>
          <w:trHeight w:val="497"/>
          <w:jc w:val="center"/>
        </w:trPr>
        <w:tc>
          <w:tcPr>
            <w:tcW w:w="129" w:type="pct"/>
            <w:tcBorders>
              <w:bottom w:val="single" w:sz="4" w:space="0" w:color="auto"/>
            </w:tcBorders>
            <w:shd w:val="clear" w:color="auto" w:fill="FFFFFF" w:themeFill="background1"/>
            <w:vAlign w:val="center"/>
          </w:tcPr>
          <w:p w14:paraId="6CD65B0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hemeFill="background1"/>
          </w:tcPr>
          <w:p w14:paraId="27889E0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hemeFill="background1"/>
          </w:tcPr>
          <w:p w14:paraId="4E20BB07" w14:textId="5DC05A67" w:rsidR="002644DE" w:rsidRPr="002644DE" w:rsidRDefault="0A0F7472" w:rsidP="002644DE">
            <w:pPr>
              <w:spacing w:after="0" w:line="240" w:lineRule="auto"/>
              <w:rPr>
                <w:rFonts w:ascii="Times New Roman" w:eastAsia="Calibri" w:hAnsi="Times New Roman" w:cs="Times New Roman"/>
                <w:sz w:val="20"/>
                <w:szCs w:val="20"/>
              </w:rPr>
            </w:pPr>
            <w:r w:rsidRPr="09A0D912">
              <w:rPr>
                <w:rFonts w:ascii="Times New Roman" w:eastAsia="Calibri" w:hAnsi="Times New Roman" w:cs="Times New Roman"/>
                <w:sz w:val="20"/>
                <w:szCs w:val="20"/>
                <w:lang w:eastAsia="sk-SK"/>
              </w:rPr>
              <w:t>Bez vplyvu</w:t>
            </w:r>
            <w:r w:rsidR="56227D3E" w:rsidRPr="09A0D912">
              <w:rPr>
                <w:rFonts w:ascii="Times New Roman" w:eastAsia="Calibri" w:hAnsi="Times New Roman" w:cs="Times New Roman"/>
                <w:sz w:val="20"/>
                <w:szCs w:val="20"/>
                <w:lang w:eastAsia="sk-SK"/>
              </w:rPr>
              <w:t>.</w:t>
            </w:r>
          </w:p>
        </w:tc>
      </w:tr>
    </w:tbl>
    <w:p w14:paraId="4DDBEF00" w14:textId="77777777" w:rsidR="00274130" w:rsidRDefault="00000000"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64EA" w14:textId="77777777" w:rsidR="000932F4" w:rsidRDefault="000932F4" w:rsidP="002644DE">
      <w:pPr>
        <w:spacing w:after="0" w:line="240" w:lineRule="auto"/>
      </w:pPr>
      <w:r>
        <w:separator/>
      </w:r>
    </w:p>
  </w:endnote>
  <w:endnote w:type="continuationSeparator" w:id="0">
    <w:p w14:paraId="45B8B310" w14:textId="77777777" w:rsidR="000932F4" w:rsidRDefault="000932F4"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Times New Roman"/>
    <w:panose1 w:val="020F0502020204030204"/>
    <w:charset w:val="EE"/>
    <w:family w:val="swiss"/>
    <w:pitch w:val="variable"/>
    <w:sig w:usb0="E0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628070"/>
      <w:docPartObj>
        <w:docPartGallery w:val="Page Numbers (Bottom of Page)"/>
        <w:docPartUnique/>
      </w:docPartObj>
    </w:sdtPr>
    <w:sdtEndPr>
      <w:rPr>
        <w:rFonts w:ascii="Times New Roman" w:hAnsi="Times New Roman" w:cs="Times New Roman"/>
      </w:rPr>
    </w:sdtEndPr>
    <w:sdtContent>
      <w:p w14:paraId="0EB546F9"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D1459C">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02475"/>
      <w:docPartObj>
        <w:docPartGallery w:val="Page Numbers (Bottom of Page)"/>
        <w:docPartUnique/>
      </w:docPartObj>
    </w:sdtPr>
    <w:sdtEndPr>
      <w:rPr>
        <w:rFonts w:ascii="Times New Roman" w:hAnsi="Times New Roman" w:cs="Times New Roman"/>
      </w:rPr>
    </w:sdtEndPr>
    <w:sdtContent>
      <w:p w14:paraId="02469775"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D1459C">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AEA7" w14:textId="77777777" w:rsidR="000932F4" w:rsidRDefault="000932F4" w:rsidP="002644DE">
      <w:pPr>
        <w:spacing w:after="0" w:line="240" w:lineRule="auto"/>
      </w:pPr>
      <w:r>
        <w:separator/>
      </w:r>
    </w:p>
  </w:footnote>
  <w:footnote w:type="continuationSeparator" w:id="0">
    <w:p w14:paraId="28935208" w14:textId="77777777" w:rsidR="000932F4" w:rsidRDefault="000932F4"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C5AF" w14:textId="77777777"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3ED9" w14:textId="77777777"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0562CB0E"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51605668">
    <w:abstractNumId w:val="2"/>
  </w:num>
  <w:num w:numId="2" w16cid:durableId="720830814">
    <w:abstractNumId w:val="4"/>
  </w:num>
  <w:num w:numId="3" w16cid:durableId="1756127687">
    <w:abstractNumId w:val="1"/>
  </w:num>
  <w:num w:numId="4" w16cid:durableId="1861354801">
    <w:abstractNumId w:val="11"/>
  </w:num>
  <w:num w:numId="5" w16cid:durableId="1863664440">
    <w:abstractNumId w:val="7"/>
  </w:num>
  <w:num w:numId="6" w16cid:durableId="1009915905">
    <w:abstractNumId w:val="8"/>
  </w:num>
  <w:num w:numId="7" w16cid:durableId="152840474">
    <w:abstractNumId w:val="3"/>
  </w:num>
  <w:num w:numId="8" w16cid:durableId="80489640">
    <w:abstractNumId w:val="6"/>
  </w:num>
  <w:num w:numId="9" w16cid:durableId="1891382828">
    <w:abstractNumId w:val="5"/>
  </w:num>
  <w:num w:numId="10" w16cid:durableId="2095857431">
    <w:abstractNumId w:val="0"/>
  </w:num>
  <w:num w:numId="11" w16cid:durableId="1483814101">
    <w:abstractNumId w:val="9"/>
  </w:num>
  <w:num w:numId="12" w16cid:durableId="2048024713">
    <w:abstractNumId w:val="10"/>
  </w:num>
  <w:num w:numId="13" w16cid:durableId="1649047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60EEC"/>
    <w:rsid w:val="000932F4"/>
    <w:rsid w:val="000E3CAB"/>
    <w:rsid w:val="001B58DA"/>
    <w:rsid w:val="002644DE"/>
    <w:rsid w:val="00265019"/>
    <w:rsid w:val="002D77FE"/>
    <w:rsid w:val="00382021"/>
    <w:rsid w:val="0040256B"/>
    <w:rsid w:val="00433C47"/>
    <w:rsid w:val="00441CDB"/>
    <w:rsid w:val="005A13A5"/>
    <w:rsid w:val="00633786"/>
    <w:rsid w:val="00636449"/>
    <w:rsid w:val="007920E8"/>
    <w:rsid w:val="007E4416"/>
    <w:rsid w:val="007E4E66"/>
    <w:rsid w:val="007E57E7"/>
    <w:rsid w:val="007F58AE"/>
    <w:rsid w:val="007F6319"/>
    <w:rsid w:val="0086198B"/>
    <w:rsid w:val="008801B5"/>
    <w:rsid w:val="009236EF"/>
    <w:rsid w:val="0095188C"/>
    <w:rsid w:val="00983740"/>
    <w:rsid w:val="009E09F7"/>
    <w:rsid w:val="00A261D1"/>
    <w:rsid w:val="00A9062A"/>
    <w:rsid w:val="00BC0320"/>
    <w:rsid w:val="00BD141A"/>
    <w:rsid w:val="00D1459C"/>
    <w:rsid w:val="00D15D6D"/>
    <w:rsid w:val="00DD3CE8"/>
    <w:rsid w:val="00EB2329"/>
    <w:rsid w:val="00EF7ED2"/>
    <w:rsid w:val="00FD63ED"/>
    <w:rsid w:val="01E0E220"/>
    <w:rsid w:val="04D60F12"/>
    <w:rsid w:val="07379745"/>
    <w:rsid w:val="09A0D912"/>
    <w:rsid w:val="0A0F7472"/>
    <w:rsid w:val="0FD95C63"/>
    <w:rsid w:val="123B453E"/>
    <w:rsid w:val="25976BB9"/>
    <w:rsid w:val="368486E9"/>
    <w:rsid w:val="3ABED370"/>
    <w:rsid w:val="3E597AA7"/>
    <w:rsid w:val="4481FCE5"/>
    <w:rsid w:val="4488FB13"/>
    <w:rsid w:val="48C65310"/>
    <w:rsid w:val="496CCAA2"/>
    <w:rsid w:val="49F14535"/>
    <w:rsid w:val="53419EEA"/>
    <w:rsid w:val="56227D3E"/>
    <w:rsid w:val="5872C8A8"/>
    <w:rsid w:val="5B7C6904"/>
    <w:rsid w:val="709BF66F"/>
    <w:rsid w:val="7B21E5AB"/>
    <w:rsid w:val="7B33CC78"/>
    <w:rsid w:val="7FB381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2EEF"/>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Revzia">
    <w:name w:val="Revision"/>
    <w:hidden/>
    <w:uiPriority w:val="99"/>
    <w:semiHidden/>
    <w:rsid w:val="00983740"/>
    <w:pPr>
      <w:spacing w:after="0" w:line="240" w:lineRule="auto"/>
    </w:pPr>
  </w:style>
  <w:style w:type="paragraph" w:styleId="Odsekzoznamu">
    <w:name w:val="List Paragraph"/>
    <w:basedOn w:val="Normlny"/>
    <w:uiPriority w:val="34"/>
    <w:qFormat/>
    <w:rsid w:val="00EF7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2034</Words>
  <Characters>11598</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natalia.sihelnikova@mfsr.sk</dc:creator>
  <cp:keywords/>
  <dc:description/>
  <cp:lastModifiedBy>Sihelnikova Natalia</cp:lastModifiedBy>
  <cp:revision>18</cp:revision>
  <dcterms:created xsi:type="dcterms:W3CDTF">2023-10-16T08:04:00Z</dcterms:created>
  <dcterms:modified xsi:type="dcterms:W3CDTF">2024-10-10T11:29:00Z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