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5A283" w14:textId="77777777"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7AF84A90" w14:textId="77777777" w:rsidR="00054C41" w:rsidRPr="00895898" w:rsidRDefault="00054C41" w:rsidP="00054C41">
      <w:pPr>
        <w:jc w:val="both"/>
        <w:rPr>
          <w:rFonts w:ascii="Times New Roman" w:eastAsia="Calibri" w:hAnsi="Times New Roman" w:cs="Times New Roman"/>
          <w:b/>
          <w:sz w:val="24"/>
          <w:szCs w:val="24"/>
        </w:rPr>
      </w:pPr>
    </w:p>
    <w:p w14:paraId="22516163" w14:textId="2A817ED0"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Názov materiálu:</w:t>
      </w:r>
      <w:r w:rsidR="00BB5B3F">
        <w:rPr>
          <w:rFonts w:ascii="Times New Roman" w:eastAsia="Calibri" w:hAnsi="Times New Roman" w:cs="Times New Roman"/>
          <w:b/>
          <w:sz w:val="24"/>
          <w:szCs w:val="24"/>
        </w:rPr>
        <w:t xml:space="preserve"> </w:t>
      </w:r>
      <w:r w:rsidR="00BB5B3F" w:rsidRPr="00BB5B3F">
        <w:rPr>
          <w:rFonts w:ascii="Times New Roman" w:eastAsia="Calibri" w:hAnsi="Times New Roman" w:cs="Times New Roman"/>
          <w:sz w:val="24"/>
          <w:szCs w:val="24"/>
        </w:rPr>
        <w:t>Návrh zákona o ochrane spotrebiteľa pri finančných službách na diaľku a o zmene a doplnení niektorých zákonov (ďalej len „návrh zákona“)</w:t>
      </w:r>
    </w:p>
    <w:p w14:paraId="215E4944" w14:textId="77777777" w:rsidR="00BB5B3F" w:rsidRPr="00BB5B3F" w:rsidRDefault="00054C41" w:rsidP="00BB5B3F">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r w:rsidR="00BB5B3F">
        <w:rPr>
          <w:rFonts w:ascii="Times New Roman" w:eastAsia="Calibri" w:hAnsi="Times New Roman" w:cs="Times New Roman"/>
          <w:b/>
          <w:sz w:val="24"/>
          <w:szCs w:val="24"/>
        </w:rPr>
        <w:t xml:space="preserve"> </w:t>
      </w:r>
      <w:r w:rsidR="00BB5B3F" w:rsidRPr="00BB5B3F">
        <w:rPr>
          <w:rFonts w:ascii="Times New Roman" w:eastAsia="Calibri" w:hAnsi="Times New Roman" w:cs="Times New Roman"/>
          <w:sz w:val="24"/>
          <w:szCs w:val="24"/>
        </w:rPr>
        <w:t>Ministerstvo financií Slovenskej republiky</w:t>
      </w:r>
    </w:p>
    <w:p w14:paraId="73384937" w14:textId="77777777" w:rsidR="00054C41" w:rsidRPr="001F1B43" w:rsidRDefault="00054C41" w:rsidP="00054C41">
      <w:pPr>
        <w:jc w:val="both"/>
        <w:rPr>
          <w:rFonts w:ascii="Times New Roman" w:eastAsia="Calibri" w:hAnsi="Times New Roman" w:cs="Times New Roman"/>
          <w:b/>
          <w:sz w:val="24"/>
          <w:szCs w:val="24"/>
        </w:rPr>
      </w:pPr>
    </w:p>
    <w:p w14:paraId="515DBCE3"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14243EB0" w14:textId="77777777"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4D85A0D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proofErr w:type="spellStart"/>
      <w:r w:rsidR="00C929AE" w:rsidRPr="00804BC8">
        <w:rPr>
          <w:rFonts w:ascii="Times New Roman" w:eastAsia="Calibri" w:hAnsi="Times New Roman" w:cs="Times New Roman"/>
          <w:i/>
          <w:sz w:val="24"/>
          <w:szCs w:val="24"/>
        </w:rPr>
        <w:t>goldplatingu</w:t>
      </w:r>
      <w:proofErr w:type="spellEnd"/>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 xml:space="preserve">. </w:t>
      </w:r>
    </w:p>
    <w:p w14:paraId="1A77DC61"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tbl>
      <w:tblPr>
        <w:tblW w:w="8300" w:type="dxa"/>
        <w:tblCellMar>
          <w:left w:w="70" w:type="dxa"/>
          <w:right w:w="70" w:type="dxa"/>
        </w:tblCellMar>
        <w:tblLook w:val="04A0" w:firstRow="1" w:lastRow="0" w:firstColumn="1" w:lastColumn="0" w:noHBand="0" w:noVBand="1"/>
      </w:tblPr>
      <w:tblGrid>
        <w:gridCol w:w="4540"/>
        <w:gridCol w:w="1880"/>
        <w:gridCol w:w="1880"/>
      </w:tblGrid>
      <w:tr w:rsidR="000F5824" w:rsidRPr="000F5824" w14:paraId="7C213B79" w14:textId="77777777" w:rsidTr="000F5824">
        <w:trPr>
          <w:trHeight w:val="675"/>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F3F2657" w14:textId="77777777" w:rsidR="000F5824" w:rsidRPr="000F5824" w:rsidRDefault="000F5824" w:rsidP="000F5824">
            <w:pPr>
              <w:spacing w:after="0" w:line="240" w:lineRule="auto"/>
              <w:jc w:val="center"/>
              <w:rPr>
                <w:rFonts w:ascii="Times New Roman" w:eastAsia="Times New Roman" w:hAnsi="Times New Roman" w:cs="Times New Roman"/>
                <w:b/>
                <w:bCs/>
                <w:i/>
                <w:iCs/>
                <w:color w:val="000000"/>
                <w:sz w:val="20"/>
                <w:szCs w:val="20"/>
                <w:lang w:eastAsia="sk-SK"/>
              </w:rPr>
            </w:pPr>
            <w:r w:rsidRPr="000F5824">
              <w:rPr>
                <w:rFonts w:ascii="Times New Roman" w:eastAsia="Times New Roman" w:hAnsi="Times New Roman" w:cs="Times New Roman"/>
                <w:b/>
                <w:bCs/>
                <w:i/>
                <w:iCs/>
                <w:color w:val="000000"/>
                <w:sz w:val="20"/>
                <w:szCs w:val="20"/>
                <w:lang w:eastAsia="sk-SK"/>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74AEB6E9"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6DAC0AA5"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Zníženie nákladov v € na PP</w:t>
            </w:r>
          </w:p>
        </w:tc>
      </w:tr>
      <w:tr w:rsidR="000F5824" w:rsidRPr="000F5824" w14:paraId="1A67591E" w14:textId="77777777" w:rsidTr="000F5824">
        <w:trPr>
          <w:trHeight w:val="81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21F38194" w14:textId="77777777" w:rsidR="000F5824" w:rsidRPr="000F5824" w:rsidRDefault="000F5824" w:rsidP="000F5824">
            <w:pPr>
              <w:spacing w:after="0" w:line="240" w:lineRule="auto"/>
              <w:rPr>
                <w:rFonts w:ascii="Times New Roman" w:eastAsia="Times New Roman" w:hAnsi="Times New Roman" w:cs="Times New Roman"/>
                <w:b/>
                <w:bCs/>
                <w:i/>
                <w:iCs/>
                <w:color w:val="000000"/>
                <w:sz w:val="20"/>
                <w:szCs w:val="20"/>
                <w:lang w:eastAsia="sk-SK"/>
              </w:rPr>
            </w:pPr>
            <w:proofErr w:type="spellStart"/>
            <w:r w:rsidRPr="000F5824">
              <w:rPr>
                <w:rFonts w:ascii="Times New Roman" w:eastAsia="Times New Roman" w:hAnsi="Times New Roman" w:cs="Times New Roman"/>
                <w:b/>
                <w:bCs/>
                <w:i/>
                <w:iCs/>
                <w:color w:val="000000"/>
                <w:sz w:val="20"/>
                <w:szCs w:val="20"/>
                <w:lang w:eastAsia="sk-SK"/>
              </w:rPr>
              <w:t>A.Dane</w:t>
            </w:r>
            <w:proofErr w:type="spellEnd"/>
            <w:r w:rsidRPr="000F5824">
              <w:rPr>
                <w:rFonts w:ascii="Times New Roman" w:eastAsia="Times New Roman" w:hAnsi="Times New Roman" w:cs="Times New Roman"/>
                <w:b/>
                <w:bCs/>
                <w:i/>
                <w:iCs/>
                <w:color w:val="000000"/>
                <w:sz w:val="20"/>
                <w:szCs w:val="20"/>
                <w:lang w:eastAsia="sk-SK"/>
              </w:rPr>
              <w:t xml:space="preserve">, odvody, clá a poplatky, ktorých cieľom je znižovať negatívne </w:t>
            </w:r>
            <w:proofErr w:type="spellStart"/>
            <w:r w:rsidRPr="000F5824">
              <w:rPr>
                <w:rFonts w:ascii="Times New Roman" w:eastAsia="Times New Roman" w:hAnsi="Times New Roman" w:cs="Times New Roman"/>
                <w:b/>
                <w:bCs/>
                <w:i/>
                <w:iCs/>
                <w:color w:val="000000"/>
                <w:sz w:val="20"/>
                <w:szCs w:val="20"/>
                <w:lang w:eastAsia="sk-SK"/>
              </w:rPr>
              <w:t>externality</w:t>
            </w:r>
            <w:proofErr w:type="spellEnd"/>
          </w:p>
        </w:tc>
        <w:tc>
          <w:tcPr>
            <w:tcW w:w="1880" w:type="dxa"/>
            <w:tcBorders>
              <w:top w:val="nil"/>
              <w:left w:val="nil"/>
              <w:bottom w:val="single" w:sz="4" w:space="0" w:color="auto"/>
              <w:right w:val="single" w:sz="4" w:space="0" w:color="auto"/>
            </w:tcBorders>
            <w:shd w:val="clear" w:color="000000" w:fill="FFC000"/>
            <w:vAlign w:val="center"/>
            <w:hideMark/>
          </w:tcPr>
          <w:p w14:paraId="15BEBE8B"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51A0A1AD"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0</w:t>
            </w:r>
          </w:p>
        </w:tc>
      </w:tr>
      <w:tr w:rsidR="000F5824" w:rsidRPr="000F5824" w14:paraId="708EFD11" w14:textId="77777777" w:rsidTr="000F5824">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09D2A3A0" w14:textId="77777777" w:rsidR="000F5824" w:rsidRPr="000F5824" w:rsidRDefault="000F5824" w:rsidP="000F5824">
            <w:pPr>
              <w:spacing w:after="0" w:line="240" w:lineRule="auto"/>
              <w:rPr>
                <w:rFonts w:ascii="Times New Roman" w:eastAsia="Times New Roman" w:hAnsi="Times New Roman" w:cs="Times New Roman"/>
                <w:b/>
                <w:bCs/>
                <w:i/>
                <w:iCs/>
                <w:color w:val="000000"/>
                <w:sz w:val="20"/>
                <w:szCs w:val="20"/>
                <w:lang w:eastAsia="sk-SK"/>
              </w:rPr>
            </w:pPr>
            <w:r w:rsidRPr="000F5824">
              <w:rPr>
                <w:rFonts w:ascii="Times New Roman" w:eastAsia="Times New Roman" w:hAnsi="Times New Roman" w:cs="Times New Roman"/>
                <w:b/>
                <w:bCs/>
                <w:i/>
                <w:iCs/>
                <w:color w:val="000000"/>
                <w:sz w:val="20"/>
                <w:szCs w:val="20"/>
                <w:lang w:eastAsia="sk-SK"/>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14:paraId="70DBEECA"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4064A807"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0</w:t>
            </w:r>
          </w:p>
        </w:tc>
      </w:tr>
      <w:tr w:rsidR="000F5824" w:rsidRPr="000F5824" w14:paraId="23E012F6" w14:textId="77777777" w:rsidTr="000F5824">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388F5DED" w14:textId="77777777" w:rsidR="000F5824" w:rsidRPr="000F5824" w:rsidRDefault="000F5824" w:rsidP="000F5824">
            <w:pPr>
              <w:spacing w:after="0" w:line="240" w:lineRule="auto"/>
              <w:rPr>
                <w:rFonts w:ascii="Times New Roman" w:eastAsia="Times New Roman" w:hAnsi="Times New Roman" w:cs="Times New Roman"/>
                <w:b/>
                <w:bCs/>
                <w:i/>
                <w:iCs/>
                <w:color w:val="000000"/>
                <w:sz w:val="20"/>
                <w:szCs w:val="20"/>
                <w:lang w:eastAsia="sk-SK"/>
              </w:rPr>
            </w:pPr>
            <w:r w:rsidRPr="000F5824">
              <w:rPr>
                <w:rFonts w:ascii="Times New Roman" w:eastAsia="Times New Roman" w:hAnsi="Times New Roman" w:cs="Times New Roman"/>
                <w:b/>
                <w:bCs/>
                <w:i/>
                <w:iCs/>
                <w:color w:val="000000"/>
                <w:sz w:val="20"/>
                <w:szCs w:val="20"/>
                <w:lang w:eastAsia="sk-SK"/>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14:paraId="6F132489"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4C6D9AFF"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0</w:t>
            </w:r>
          </w:p>
        </w:tc>
      </w:tr>
      <w:tr w:rsidR="000F5824" w:rsidRPr="000F5824" w14:paraId="39AE7F7B" w14:textId="77777777" w:rsidTr="000F5824">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6644378A" w14:textId="77777777" w:rsidR="000F5824" w:rsidRPr="000F5824" w:rsidRDefault="000F5824" w:rsidP="000F5824">
            <w:pPr>
              <w:spacing w:after="0" w:line="240" w:lineRule="auto"/>
              <w:rPr>
                <w:rFonts w:ascii="Times New Roman" w:eastAsia="Times New Roman" w:hAnsi="Times New Roman" w:cs="Times New Roman"/>
                <w:b/>
                <w:bCs/>
                <w:i/>
                <w:iCs/>
                <w:color w:val="000000"/>
                <w:sz w:val="20"/>
                <w:szCs w:val="20"/>
                <w:lang w:eastAsia="sk-SK"/>
              </w:rPr>
            </w:pPr>
            <w:r w:rsidRPr="000F5824">
              <w:rPr>
                <w:rFonts w:ascii="Times New Roman" w:eastAsia="Times New Roman" w:hAnsi="Times New Roman" w:cs="Times New Roman"/>
                <w:b/>
                <w:bCs/>
                <w:i/>
                <w:iCs/>
                <w:color w:val="000000"/>
                <w:sz w:val="20"/>
                <w:szCs w:val="20"/>
                <w:lang w:eastAsia="sk-SK"/>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14:paraId="6213909B"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104 292 500</w:t>
            </w:r>
          </w:p>
        </w:tc>
        <w:tc>
          <w:tcPr>
            <w:tcW w:w="1880" w:type="dxa"/>
            <w:tcBorders>
              <w:top w:val="nil"/>
              <w:left w:val="nil"/>
              <w:bottom w:val="single" w:sz="4" w:space="0" w:color="auto"/>
              <w:right w:val="single" w:sz="8" w:space="0" w:color="auto"/>
            </w:tcBorders>
            <w:shd w:val="clear" w:color="000000" w:fill="92D050"/>
            <w:vAlign w:val="center"/>
            <w:hideMark/>
          </w:tcPr>
          <w:p w14:paraId="239F8498"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0</w:t>
            </w:r>
          </w:p>
        </w:tc>
      </w:tr>
      <w:tr w:rsidR="000F5824" w:rsidRPr="000F5824" w14:paraId="12459E9F" w14:textId="77777777" w:rsidTr="000F5824">
        <w:trPr>
          <w:trHeight w:val="300"/>
        </w:trPr>
        <w:tc>
          <w:tcPr>
            <w:tcW w:w="4540" w:type="dxa"/>
            <w:tcBorders>
              <w:top w:val="nil"/>
              <w:left w:val="single" w:sz="8" w:space="0" w:color="auto"/>
              <w:bottom w:val="nil"/>
              <w:right w:val="single" w:sz="4" w:space="0" w:color="auto"/>
            </w:tcBorders>
            <w:shd w:val="clear" w:color="auto" w:fill="auto"/>
            <w:vAlign w:val="center"/>
            <w:hideMark/>
          </w:tcPr>
          <w:p w14:paraId="765D575D" w14:textId="77777777" w:rsidR="000F5824" w:rsidRPr="000F5824" w:rsidRDefault="000F5824" w:rsidP="000F5824">
            <w:pPr>
              <w:spacing w:after="0" w:line="240" w:lineRule="auto"/>
              <w:rPr>
                <w:rFonts w:ascii="Times New Roman" w:eastAsia="Times New Roman" w:hAnsi="Times New Roman" w:cs="Times New Roman"/>
                <w:b/>
                <w:bCs/>
                <w:i/>
                <w:iCs/>
                <w:color w:val="000000"/>
                <w:sz w:val="20"/>
                <w:szCs w:val="20"/>
                <w:lang w:eastAsia="sk-SK"/>
              </w:rPr>
            </w:pPr>
            <w:r w:rsidRPr="000F5824">
              <w:rPr>
                <w:rFonts w:ascii="Times New Roman" w:eastAsia="Times New Roman" w:hAnsi="Times New Roman" w:cs="Times New Roman"/>
                <w:b/>
                <w:bCs/>
                <w:i/>
                <w:iCs/>
                <w:color w:val="000000"/>
                <w:sz w:val="20"/>
                <w:szCs w:val="20"/>
                <w:lang w:eastAsia="sk-SK"/>
              </w:rPr>
              <w:t>E. Administratívne náklady</w:t>
            </w:r>
          </w:p>
        </w:tc>
        <w:tc>
          <w:tcPr>
            <w:tcW w:w="1880" w:type="dxa"/>
            <w:tcBorders>
              <w:top w:val="nil"/>
              <w:left w:val="nil"/>
              <w:bottom w:val="nil"/>
              <w:right w:val="single" w:sz="4" w:space="0" w:color="auto"/>
            </w:tcBorders>
            <w:shd w:val="clear" w:color="000000" w:fill="FFC000"/>
            <w:vAlign w:val="center"/>
            <w:hideMark/>
          </w:tcPr>
          <w:p w14:paraId="75ED8823"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43 261 871</w:t>
            </w:r>
          </w:p>
        </w:tc>
        <w:tc>
          <w:tcPr>
            <w:tcW w:w="1880" w:type="dxa"/>
            <w:tcBorders>
              <w:top w:val="nil"/>
              <w:left w:val="nil"/>
              <w:bottom w:val="nil"/>
              <w:right w:val="single" w:sz="8" w:space="0" w:color="auto"/>
            </w:tcBorders>
            <w:shd w:val="clear" w:color="000000" w:fill="92D050"/>
            <w:vAlign w:val="center"/>
            <w:hideMark/>
          </w:tcPr>
          <w:p w14:paraId="348CA293"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0</w:t>
            </w:r>
          </w:p>
        </w:tc>
      </w:tr>
      <w:tr w:rsidR="000F5824" w:rsidRPr="000F5824" w14:paraId="0C56BF5D" w14:textId="77777777" w:rsidTr="000F5824">
        <w:trPr>
          <w:trHeight w:val="3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3E2FC9A" w14:textId="77777777" w:rsidR="000F5824" w:rsidRPr="000F5824" w:rsidRDefault="000F5824" w:rsidP="000F5824">
            <w:pPr>
              <w:spacing w:after="0" w:line="240" w:lineRule="auto"/>
              <w:rPr>
                <w:rFonts w:ascii="Times New Roman" w:eastAsia="Times New Roman" w:hAnsi="Times New Roman" w:cs="Times New Roman"/>
                <w:b/>
                <w:bCs/>
                <w:i/>
                <w:iCs/>
                <w:color w:val="000000"/>
                <w:sz w:val="20"/>
                <w:szCs w:val="20"/>
                <w:lang w:eastAsia="sk-SK"/>
              </w:rPr>
            </w:pPr>
            <w:r w:rsidRPr="000F5824">
              <w:rPr>
                <w:rFonts w:ascii="Times New Roman" w:eastAsia="Times New Roman" w:hAnsi="Times New Roman" w:cs="Times New Roman"/>
                <w:b/>
                <w:bCs/>
                <w:i/>
                <w:iCs/>
                <w:color w:val="000000"/>
                <w:sz w:val="20"/>
                <w:szCs w:val="20"/>
                <w:lang w:eastAsia="sk-SK"/>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06015453"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147 554 371</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7C0CA65A"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0</w:t>
            </w:r>
          </w:p>
        </w:tc>
      </w:tr>
      <w:tr w:rsidR="000F5824" w:rsidRPr="000F5824" w14:paraId="051D3FDA" w14:textId="77777777" w:rsidTr="000F5824">
        <w:trPr>
          <w:trHeight w:val="300"/>
        </w:trPr>
        <w:tc>
          <w:tcPr>
            <w:tcW w:w="4540" w:type="dxa"/>
            <w:tcBorders>
              <w:top w:val="nil"/>
              <w:left w:val="nil"/>
              <w:bottom w:val="nil"/>
              <w:right w:val="nil"/>
            </w:tcBorders>
            <w:shd w:val="clear" w:color="auto" w:fill="auto"/>
            <w:vAlign w:val="center"/>
            <w:hideMark/>
          </w:tcPr>
          <w:p w14:paraId="76F7FF37"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2306D62C" w14:textId="77777777" w:rsidR="000F5824" w:rsidRPr="000F5824" w:rsidRDefault="000F5824" w:rsidP="000F5824">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58530CC1" w14:textId="77777777" w:rsidR="000F5824" w:rsidRPr="000F5824" w:rsidRDefault="000F5824" w:rsidP="000F5824">
            <w:pPr>
              <w:spacing w:after="0" w:line="240" w:lineRule="auto"/>
              <w:rPr>
                <w:rFonts w:ascii="Times New Roman" w:eastAsia="Times New Roman" w:hAnsi="Times New Roman" w:cs="Times New Roman"/>
                <w:sz w:val="20"/>
                <w:szCs w:val="20"/>
                <w:lang w:eastAsia="sk-SK"/>
              </w:rPr>
            </w:pPr>
          </w:p>
        </w:tc>
      </w:tr>
      <w:tr w:rsidR="000F5824" w:rsidRPr="000F5824" w14:paraId="72F5DF21" w14:textId="77777777" w:rsidTr="000F5824">
        <w:trPr>
          <w:trHeight w:val="6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E274BB6" w14:textId="77777777" w:rsidR="000F5824" w:rsidRPr="000F5824" w:rsidRDefault="000F5824" w:rsidP="000F5824">
            <w:pPr>
              <w:spacing w:after="0" w:line="240" w:lineRule="auto"/>
              <w:rPr>
                <w:rFonts w:ascii="Times New Roman" w:eastAsia="Times New Roman" w:hAnsi="Times New Roman" w:cs="Times New Roman"/>
                <w:b/>
                <w:bCs/>
                <w:i/>
                <w:iCs/>
                <w:color w:val="000000"/>
                <w:sz w:val="20"/>
                <w:szCs w:val="20"/>
                <w:lang w:eastAsia="sk-SK"/>
              </w:rPr>
            </w:pPr>
            <w:r w:rsidRPr="000F5824">
              <w:rPr>
                <w:rFonts w:ascii="Times New Roman" w:eastAsia="Times New Roman" w:hAnsi="Times New Roman" w:cs="Times New Roman"/>
                <w:b/>
                <w:bCs/>
                <w:i/>
                <w:iCs/>
                <w:color w:val="000000"/>
                <w:sz w:val="20"/>
                <w:szCs w:val="20"/>
                <w:lang w:eastAsia="sk-SK"/>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549063D3"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42528645"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Zníženie nákladov v € na PP</w:t>
            </w:r>
          </w:p>
        </w:tc>
      </w:tr>
      <w:tr w:rsidR="000F5824" w:rsidRPr="000F5824" w14:paraId="7AE79219" w14:textId="77777777" w:rsidTr="000F5824">
        <w:trPr>
          <w:trHeight w:val="990"/>
        </w:trPr>
        <w:tc>
          <w:tcPr>
            <w:tcW w:w="4540" w:type="dxa"/>
            <w:tcBorders>
              <w:top w:val="nil"/>
              <w:left w:val="single" w:sz="8" w:space="0" w:color="auto"/>
              <w:bottom w:val="nil"/>
              <w:right w:val="single" w:sz="4" w:space="0" w:color="auto"/>
            </w:tcBorders>
            <w:shd w:val="clear" w:color="auto" w:fill="auto"/>
            <w:vAlign w:val="center"/>
            <w:hideMark/>
          </w:tcPr>
          <w:p w14:paraId="5D7DDB90" w14:textId="77777777" w:rsidR="000F5824" w:rsidRPr="000F5824" w:rsidRDefault="000F5824" w:rsidP="000F5824">
            <w:pPr>
              <w:spacing w:after="0" w:line="240" w:lineRule="auto"/>
              <w:rPr>
                <w:rFonts w:ascii="Times New Roman" w:eastAsia="Times New Roman" w:hAnsi="Times New Roman" w:cs="Times New Roman"/>
                <w:b/>
                <w:bCs/>
                <w:i/>
                <w:iCs/>
                <w:color w:val="000000"/>
                <w:sz w:val="20"/>
                <w:szCs w:val="20"/>
                <w:lang w:eastAsia="sk-SK"/>
              </w:rPr>
            </w:pPr>
            <w:r w:rsidRPr="000F5824">
              <w:rPr>
                <w:rFonts w:ascii="Times New Roman" w:eastAsia="Times New Roman" w:hAnsi="Times New Roman" w:cs="Times New Roman"/>
                <w:b/>
                <w:bCs/>
                <w:i/>
                <w:iCs/>
                <w:color w:val="000000"/>
                <w:sz w:val="20"/>
                <w:szCs w:val="20"/>
                <w:lang w:eastAsia="sk-SK"/>
              </w:rPr>
              <w:t>F. Úplná harmonizácia práva EÚ</w:t>
            </w:r>
            <w:r w:rsidRPr="000F5824">
              <w:rPr>
                <w:rFonts w:ascii="Times New Roman" w:eastAsia="Times New Roman" w:hAnsi="Times New Roman" w:cs="Times New Roman"/>
                <w:b/>
                <w:bCs/>
                <w:i/>
                <w:iCs/>
                <w:color w:val="000000"/>
                <w:sz w:val="20"/>
                <w:szCs w:val="20"/>
                <w:lang w:eastAsia="sk-SK"/>
              </w:rPr>
              <w:br/>
            </w:r>
            <w:r w:rsidRPr="000F5824">
              <w:rPr>
                <w:rFonts w:ascii="Times New Roman" w:eastAsia="Times New Roman" w:hAnsi="Times New Roman" w:cs="Times New Roman"/>
                <w:i/>
                <w:iCs/>
                <w:color w:val="000000"/>
                <w:sz w:val="16"/>
                <w:szCs w:val="16"/>
                <w:lang w:eastAsia="sk-SK"/>
              </w:rPr>
              <w:t xml:space="preserve">(okrem daní, odvodov, ciel a poplatkov, ktorých cieľom je znižovať negatívne </w:t>
            </w:r>
            <w:proofErr w:type="spellStart"/>
            <w:r w:rsidRPr="000F5824">
              <w:rPr>
                <w:rFonts w:ascii="Times New Roman" w:eastAsia="Times New Roman" w:hAnsi="Times New Roman" w:cs="Times New Roman"/>
                <w:i/>
                <w:iCs/>
                <w:color w:val="000000"/>
                <w:sz w:val="16"/>
                <w:szCs w:val="16"/>
                <w:lang w:eastAsia="sk-SK"/>
              </w:rPr>
              <w:t>externality</w:t>
            </w:r>
            <w:proofErr w:type="spellEnd"/>
            <w:r w:rsidRPr="000F5824">
              <w:rPr>
                <w:rFonts w:ascii="Times New Roman" w:eastAsia="Times New Roman" w:hAnsi="Times New Roman" w:cs="Times New Roman"/>
                <w:i/>
                <w:iCs/>
                <w:color w:val="000000"/>
                <w:sz w:val="16"/>
                <w:szCs w:val="16"/>
                <w:lang w:eastAsia="sk-SK"/>
              </w:rPr>
              <w:t>)</w:t>
            </w:r>
          </w:p>
        </w:tc>
        <w:tc>
          <w:tcPr>
            <w:tcW w:w="1880" w:type="dxa"/>
            <w:tcBorders>
              <w:top w:val="nil"/>
              <w:left w:val="nil"/>
              <w:bottom w:val="nil"/>
              <w:right w:val="single" w:sz="4" w:space="0" w:color="auto"/>
            </w:tcBorders>
            <w:shd w:val="clear" w:color="000000" w:fill="FFC000"/>
            <w:vAlign w:val="center"/>
            <w:hideMark/>
          </w:tcPr>
          <w:p w14:paraId="405D16C7"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147 043 113</w:t>
            </w:r>
          </w:p>
        </w:tc>
        <w:tc>
          <w:tcPr>
            <w:tcW w:w="1880" w:type="dxa"/>
            <w:tcBorders>
              <w:top w:val="nil"/>
              <w:left w:val="nil"/>
              <w:bottom w:val="nil"/>
              <w:right w:val="single" w:sz="8" w:space="0" w:color="auto"/>
            </w:tcBorders>
            <w:shd w:val="clear" w:color="000000" w:fill="92D050"/>
            <w:vAlign w:val="center"/>
            <w:hideMark/>
          </w:tcPr>
          <w:p w14:paraId="4E3FA69C"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0</w:t>
            </w:r>
          </w:p>
        </w:tc>
      </w:tr>
      <w:tr w:rsidR="000F5824" w:rsidRPr="000F5824" w14:paraId="661FF9A8" w14:textId="77777777" w:rsidTr="000F5824">
        <w:trPr>
          <w:trHeight w:val="27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0DCCAB6" w14:textId="77777777" w:rsidR="000F5824" w:rsidRPr="000F5824" w:rsidRDefault="000F5824" w:rsidP="000F5824">
            <w:pPr>
              <w:spacing w:after="0" w:line="240" w:lineRule="auto"/>
              <w:rPr>
                <w:rFonts w:ascii="Times New Roman" w:eastAsia="Times New Roman" w:hAnsi="Times New Roman" w:cs="Times New Roman"/>
                <w:b/>
                <w:bCs/>
                <w:i/>
                <w:iCs/>
                <w:color w:val="000000"/>
                <w:sz w:val="20"/>
                <w:szCs w:val="20"/>
                <w:lang w:eastAsia="sk-SK"/>
              </w:rPr>
            </w:pPr>
            <w:r w:rsidRPr="000F5824">
              <w:rPr>
                <w:rFonts w:ascii="Times New Roman" w:eastAsia="Times New Roman" w:hAnsi="Times New Roman" w:cs="Times New Roman"/>
                <w:b/>
                <w:bCs/>
                <w:i/>
                <w:iCs/>
                <w:color w:val="000000"/>
                <w:sz w:val="20"/>
                <w:szCs w:val="20"/>
                <w:lang w:eastAsia="sk-SK"/>
              </w:rPr>
              <w:t xml:space="preserve">G. </w:t>
            </w:r>
            <w:proofErr w:type="spellStart"/>
            <w:r w:rsidRPr="000F5824">
              <w:rPr>
                <w:rFonts w:ascii="Times New Roman" w:eastAsia="Times New Roman" w:hAnsi="Times New Roman" w:cs="Times New Roman"/>
                <w:b/>
                <w:bCs/>
                <w:i/>
                <w:iCs/>
                <w:color w:val="000000"/>
                <w:sz w:val="20"/>
                <w:szCs w:val="20"/>
                <w:lang w:eastAsia="sk-SK"/>
              </w:rPr>
              <w:t>Goldplating</w:t>
            </w:r>
            <w:proofErr w:type="spellEnd"/>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515964E2"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511 258</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6D8017DA"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0</w:t>
            </w:r>
          </w:p>
        </w:tc>
      </w:tr>
      <w:tr w:rsidR="000F5824" w:rsidRPr="000F5824" w14:paraId="0F49DD73" w14:textId="77777777" w:rsidTr="000F5824">
        <w:trPr>
          <w:trHeight w:val="270"/>
        </w:trPr>
        <w:tc>
          <w:tcPr>
            <w:tcW w:w="4540" w:type="dxa"/>
            <w:tcBorders>
              <w:top w:val="nil"/>
              <w:left w:val="nil"/>
              <w:bottom w:val="nil"/>
              <w:right w:val="nil"/>
            </w:tcBorders>
            <w:shd w:val="clear" w:color="auto" w:fill="auto"/>
            <w:noWrap/>
            <w:vAlign w:val="bottom"/>
            <w:hideMark/>
          </w:tcPr>
          <w:p w14:paraId="73B99EC9"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330D6F6B" w14:textId="77777777" w:rsidR="000F5824" w:rsidRPr="000F5824" w:rsidRDefault="000F5824" w:rsidP="000F5824">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25783304" w14:textId="77777777" w:rsidR="000F5824" w:rsidRPr="000F5824" w:rsidRDefault="000F5824" w:rsidP="000F5824">
            <w:pPr>
              <w:spacing w:after="0" w:line="240" w:lineRule="auto"/>
              <w:rPr>
                <w:rFonts w:ascii="Times New Roman" w:eastAsia="Times New Roman" w:hAnsi="Times New Roman" w:cs="Times New Roman"/>
                <w:sz w:val="20"/>
                <w:szCs w:val="20"/>
                <w:lang w:eastAsia="sk-SK"/>
              </w:rPr>
            </w:pPr>
          </w:p>
        </w:tc>
      </w:tr>
      <w:tr w:rsidR="000F5824" w:rsidRPr="000F5824" w14:paraId="5E69EDDD" w14:textId="77777777" w:rsidTr="000F5824">
        <w:trPr>
          <w:trHeight w:val="270"/>
        </w:trPr>
        <w:tc>
          <w:tcPr>
            <w:tcW w:w="4540" w:type="dxa"/>
            <w:tcBorders>
              <w:top w:val="nil"/>
              <w:left w:val="nil"/>
              <w:bottom w:val="nil"/>
              <w:right w:val="nil"/>
            </w:tcBorders>
            <w:shd w:val="clear" w:color="auto" w:fill="auto"/>
            <w:noWrap/>
            <w:vAlign w:val="bottom"/>
            <w:hideMark/>
          </w:tcPr>
          <w:p w14:paraId="1FC132B6" w14:textId="77777777" w:rsidR="000F5824" w:rsidRPr="000F5824" w:rsidRDefault="000F5824" w:rsidP="000F5824">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51C330DB" w14:textId="77777777" w:rsidR="000F5824" w:rsidRPr="000F5824" w:rsidRDefault="000F5824" w:rsidP="000F5824">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48361900" w14:textId="77777777" w:rsidR="000F5824" w:rsidRPr="000F5824" w:rsidRDefault="000F5824" w:rsidP="000F5824">
            <w:pPr>
              <w:spacing w:after="0" w:line="240" w:lineRule="auto"/>
              <w:rPr>
                <w:rFonts w:ascii="Times New Roman" w:eastAsia="Times New Roman" w:hAnsi="Times New Roman" w:cs="Times New Roman"/>
                <w:sz w:val="20"/>
                <w:szCs w:val="20"/>
                <w:lang w:eastAsia="sk-SK"/>
              </w:rPr>
            </w:pPr>
          </w:p>
        </w:tc>
      </w:tr>
      <w:tr w:rsidR="000F5824" w:rsidRPr="000F5824" w14:paraId="6C1DDD80" w14:textId="77777777" w:rsidTr="000F5824">
        <w:trPr>
          <w:trHeight w:val="330"/>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0D72176" w14:textId="77777777" w:rsidR="000F5824" w:rsidRPr="000F5824" w:rsidRDefault="000F5824" w:rsidP="000F5824">
            <w:pPr>
              <w:spacing w:after="0" w:line="240" w:lineRule="auto"/>
              <w:rPr>
                <w:rFonts w:ascii="Times New Roman" w:eastAsia="Times New Roman" w:hAnsi="Times New Roman" w:cs="Times New Roman"/>
                <w:i/>
                <w:iCs/>
                <w:color w:val="000000"/>
                <w:sz w:val="20"/>
                <w:szCs w:val="20"/>
                <w:lang w:eastAsia="sk-SK"/>
              </w:rPr>
            </w:pPr>
            <w:r w:rsidRPr="000F5824">
              <w:rPr>
                <w:rFonts w:ascii="Times New Roman" w:eastAsia="Times New Roman" w:hAnsi="Times New Roman" w:cs="Times New Roman"/>
                <w:i/>
                <w:iCs/>
                <w:color w:val="000000"/>
                <w:sz w:val="20"/>
                <w:szCs w:val="20"/>
                <w:lang w:eastAsia="sk-SK"/>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782B6E1A"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352BCB2A"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OUT</w:t>
            </w:r>
          </w:p>
        </w:tc>
      </w:tr>
      <w:tr w:rsidR="000F5824" w:rsidRPr="000F5824" w14:paraId="6864616A" w14:textId="77777777" w:rsidTr="000F5824">
        <w:trPr>
          <w:trHeight w:val="345"/>
        </w:trPr>
        <w:tc>
          <w:tcPr>
            <w:tcW w:w="4540" w:type="dxa"/>
            <w:tcBorders>
              <w:top w:val="nil"/>
              <w:left w:val="single" w:sz="8" w:space="0" w:color="auto"/>
              <w:bottom w:val="single" w:sz="8" w:space="0" w:color="auto"/>
              <w:right w:val="single" w:sz="4" w:space="0" w:color="auto"/>
            </w:tcBorders>
            <w:shd w:val="clear" w:color="auto" w:fill="auto"/>
            <w:vAlign w:val="center"/>
            <w:hideMark/>
          </w:tcPr>
          <w:p w14:paraId="50C77022" w14:textId="77777777" w:rsidR="000F5824" w:rsidRPr="000F5824" w:rsidRDefault="000F5824" w:rsidP="000F5824">
            <w:pPr>
              <w:spacing w:after="0" w:line="240" w:lineRule="auto"/>
              <w:rPr>
                <w:rFonts w:ascii="Times New Roman" w:eastAsia="Times New Roman" w:hAnsi="Times New Roman" w:cs="Times New Roman"/>
                <w:i/>
                <w:iCs/>
                <w:color w:val="000000"/>
                <w:sz w:val="20"/>
                <w:szCs w:val="20"/>
                <w:lang w:eastAsia="sk-SK"/>
              </w:rPr>
            </w:pPr>
            <w:r w:rsidRPr="000F5824">
              <w:rPr>
                <w:rFonts w:ascii="Times New Roman" w:eastAsia="Times New Roman" w:hAnsi="Times New Roman" w:cs="Times New Roman"/>
                <w:i/>
                <w:iCs/>
                <w:color w:val="000000"/>
                <w:sz w:val="20"/>
                <w:szCs w:val="20"/>
                <w:lang w:eastAsia="sk-SK"/>
              </w:rPr>
              <w:t>H</w:t>
            </w:r>
            <w:r w:rsidRPr="000F5824">
              <w:rPr>
                <w:rFonts w:ascii="Times New Roman" w:eastAsia="Times New Roman" w:hAnsi="Times New Roman" w:cs="Times New Roman"/>
                <w:b/>
                <w:bCs/>
                <w:i/>
                <w:iCs/>
                <w:color w:val="000000"/>
                <w:sz w:val="20"/>
                <w:szCs w:val="20"/>
                <w:lang w:eastAsia="sk-SK"/>
              </w:rPr>
              <w:t>.</w:t>
            </w:r>
            <w:r w:rsidRPr="000F5824">
              <w:rPr>
                <w:rFonts w:ascii="Times New Roman" w:eastAsia="Times New Roman" w:hAnsi="Times New Roman" w:cs="Times New Roman"/>
                <w:i/>
                <w:iCs/>
                <w:color w:val="000000"/>
                <w:sz w:val="20"/>
                <w:szCs w:val="20"/>
                <w:lang w:eastAsia="sk-SK"/>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14:paraId="0E25B347"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511 258</w:t>
            </w:r>
          </w:p>
        </w:tc>
        <w:tc>
          <w:tcPr>
            <w:tcW w:w="1880" w:type="dxa"/>
            <w:tcBorders>
              <w:top w:val="nil"/>
              <w:left w:val="nil"/>
              <w:bottom w:val="single" w:sz="8" w:space="0" w:color="auto"/>
              <w:right w:val="single" w:sz="8" w:space="0" w:color="auto"/>
            </w:tcBorders>
            <w:shd w:val="clear" w:color="000000" w:fill="92D050"/>
            <w:vAlign w:val="center"/>
            <w:hideMark/>
          </w:tcPr>
          <w:p w14:paraId="575B65FC"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0</w:t>
            </w:r>
          </w:p>
        </w:tc>
      </w:tr>
    </w:tbl>
    <w:p w14:paraId="0C4E1024" w14:textId="77777777" w:rsidR="00054C41" w:rsidRPr="00895898" w:rsidRDefault="00054C41" w:rsidP="00054C41">
      <w:pPr>
        <w:rPr>
          <w:rFonts w:ascii="Times New Roman" w:eastAsia="Calibri" w:hAnsi="Times New Roman" w:cs="Times New Roman"/>
          <w:b/>
          <w:sz w:val="24"/>
          <w:szCs w:val="24"/>
        </w:rPr>
        <w:sectPr w:rsidR="00054C41" w:rsidRPr="00895898" w:rsidSect="00142154">
          <w:headerReference w:type="default" r:id="rId10"/>
          <w:footerReference w:type="default" r:id="rId11"/>
          <w:pgSz w:w="11906" w:h="16838"/>
          <w:pgMar w:top="993" w:right="1417" w:bottom="1417" w:left="1417" w:header="708" w:footer="708" w:gutter="0"/>
          <w:pgNumType w:start="1"/>
          <w:cols w:space="708"/>
          <w:docGrid w:linePitch="360"/>
        </w:sectPr>
      </w:pPr>
    </w:p>
    <w:p w14:paraId="29CDFA2A"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5E02E2DD" w14:textId="77777777" w:rsidR="00054C41"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0" w:type="auto"/>
        <w:tblCellMar>
          <w:left w:w="70" w:type="dxa"/>
          <w:right w:w="70" w:type="dxa"/>
        </w:tblCellMar>
        <w:tblLook w:val="04A0" w:firstRow="1" w:lastRow="0" w:firstColumn="1" w:lastColumn="0" w:noHBand="0" w:noVBand="1"/>
      </w:tblPr>
      <w:tblGrid>
        <w:gridCol w:w="452"/>
        <w:gridCol w:w="1776"/>
        <w:gridCol w:w="892"/>
        <w:gridCol w:w="1133"/>
        <w:gridCol w:w="1380"/>
        <w:gridCol w:w="952"/>
        <w:gridCol w:w="1108"/>
        <w:gridCol w:w="1007"/>
        <w:gridCol w:w="1209"/>
        <w:gridCol w:w="1239"/>
        <w:gridCol w:w="884"/>
        <w:gridCol w:w="785"/>
        <w:gridCol w:w="1177"/>
      </w:tblGrid>
      <w:tr w:rsidR="000F5824" w:rsidRPr="000F5824" w14:paraId="0945A9F2" w14:textId="77777777" w:rsidTr="000F5824">
        <w:trPr>
          <w:trHeight w:val="450"/>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3BA11C6"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0F5824">
              <w:rPr>
                <w:rFonts w:ascii="Times New Roman" w:eastAsia="Times New Roman" w:hAnsi="Times New Roman" w:cs="Times New Roman"/>
                <w:b/>
                <w:bCs/>
                <w:color w:val="000000"/>
                <w:sz w:val="20"/>
                <w:szCs w:val="20"/>
                <w:lang w:eastAsia="sk-SK"/>
              </w:rPr>
              <w:t>P.č</w:t>
            </w:r>
            <w:proofErr w:type="spellEnd"/>
            <w:r w:rsidRPr="000F5824">
              <w:rPr>
                <w:rFonts w:ascii="Times New Roman" w:eastAsia="Times New Roman" w:hAnsi="Times New Roman" w:cs="Times New Roman"/>
                <w:b/>
                <w:bCs/>
                <w:color w:val="000000"/>
                <w:sz w:val="20"/>
                <w:szCs w:val="20"/>
                <w:lang w:eastAsia="sk-SK"/>
              </w:rPr>
              <w: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44896BF"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 xml:space="preserve">Zrozumiteľný a stručný opis regulácie </w:t>
            </w:r>
            <w:r w:rsidRPr="000F5824">
              <w:rPr>
                <w:rFonts w:ascii="Times New Roman" w:eastAsia="Times New Roman" w:hAnsi="Times New Roman" w:cs="Times New Roman"/>
                <w:b/>
                <w:bCs/>
                <w:color w:val="000000"/>
                <w:sz w:val="20"/>
                <w:szCs w:val="20"/>
                <w:lang w:eastAsia="sk-SK"/>
              </w:rPr>
              <w:br/>
              <w:t xml:space="preserve">(dôvod zvýšenia/zníženia nákladov na PP a dôvod ponechania nákladov na PP, ktoré </w:t>
            </w:r>
            <w:proofErr w:type="spellStart"/>
            <w:r w:rsidRPr="000F5824">
              <w:rPr>
                <w:rFonts w:ascii="Times New Roman" w:eastAsia="Times New Roman" w:hAnsi="Times New Roman" w:cs="Times New Roman"/>
                <w:b/>
                <w:bCs/>
                <w:color w:val="000000"/>
                <w:sz w:val="20"/>
                <w:szCs w:val="20"/>
                <w:lang w:eastAsia="sk-SK"/>
              </w:rPr>
              <w:t>su</w:t>
            </w:r>
            <w:proofErr w:type="spellEnd"/>
            <w:r w:rsidRPr="000F5824">
              <w:rPr>
                <w:rFonts w:ascii="Times New Roman" w:eastAsia="Times New Roman" w:hAnsi="Times New Roman" w:cs="Times New Roman"/>
                <w:b/>
                <w:bCs/>
                <w:color w:val="000000"/>
                <w:sz w:val="20"/>
                <w:szCs w:val="20"/>
                <w:lang w:eastAsia="sk-SK"/>
              </w:rPr>
              <w:t xml:space="preserve"> </w:t>
            </w:r>
            <w:proofErr w:type="spellStart"/>
            <w:r w:rsidRPr="000F5824">
              <w:rPr>
                <w:rFonts w:ascii="Times New Roman" w:eastAsia="Times New Roman" w:hAnsi="Times New Roman" w:cs="Times New Roman"/>
                <w:b/>
                <w:bCs/>
                <w:color w:val="000000"/>
                <w:sz w:val="20"/>
                <w:szCs w:val="20"/>
                <w:lang w:eastAsia="sk-SK"/>
              </w:rPr>
              <w:t>goldplatingom</w:t>
            </w:r>
            <w:proofErr w:type="spellEnd"/>
            <w:r w:rsidRPr="000F5824">
              <w:rPr>
                <w:rFonts w:ascii="Times New Roman" w:eastAsia="Times New Roman" w:hAnsi="Times New Roman" w:cs="Times New Roman"/>
                <w:b/>
                <w:bCs/>
                <w:color w:val="000000"/>
                <w:sz w:val="20"/>
                <w:szCs w:val="20"/>
                <w:lang w:eastAsia="sk-SK"/>
              </w:rPr>
              <w:t>)</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FCBF19B"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Číslo normy</w:t>
            </w:r>
            <w:r w:rsidRPr="000F5824">
              <w:rPr>
                <w:rFonts w:ascii="Times New Roman" w:eastAsia="Times New Roman" w:hAnsi="Times New Roman" w:cs="Times New Roman"/>
                <w:b/>
                <w:bCs/>
                <w:color w:val="000000"/>
                <w:sz w:val="20"/>
                <w:szCs w:val="20"/>
                <w:lang w:eastAsia="sk-SK"/>
              </w:rPr>
              <w:br/>
            </w:r>
            <w:r w:rsidRPr="000F5824">
              <w:rPr>
                <w:rFonts w:ascii="Times New Roman" w:eastAsia="Times New Roman" w:hAnsi="Times New Roman" w:cs="Times New Roman"/>
                <w:color w:val="000000"/>
                <w:sz w:val="20"/>
                <w:szCs w:val="20"/>
                <w:lang w:eastAsia="sk-SK"/>
              </w:rPr>
              <w:t>(zákona, vyhlášky a pod.)</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2E00A771"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Lokalizácia</w:t>
            </w:r>
            <w:r w:rsidRPr="000F5824">
              <w:rPr>
                <w:rFonts w:ascii="Times New Roman" w:eastAsia="Times New Roman" w:hAnsi="Times New Roman" w:cs="Times New Roman"/>
                <w:b/>
                <w:bCs/>
                <w:color w:val="000000"/>
                <w:sz w:val="20"/>
                <w:szCs w:val="20"/>
                <w:lang w:eastAsia="sk-SK"/>
              </w:rPr>
              <w:br/>
              <w:t>(§, ods., čl.,...)</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A24759C"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 xml:space="preserve">Pôvod regulácie: </w:t>
            </w:r>
            <w:r w:rsidRPr="000F5824">
              <w:rPr>
                <w:rFonts w:ascii="Times New Roman" w:eastAsia="Times New Roman" w:hAnsi="Times New Roman" w:cs="Times New Roman"/>
                <w:b/>
                <w:bCs/>
                <w:color w:val="000000"/>
                <w:sz w:val="20"/>
                <w:szCs w:val="20"/>
                <w:lang w:eastAsia="sk-SK"/>
              </w:rPr>
              <w:br/>
            </w:r>
            <w:r w:rsidRPr="000F5824">
              <w:rPr>
                <w:rFonts w:ascii="Times New Roman" w:eastAsia="Times New Roman" w:hAnsi="Times New Roman" w:cs="Times New Roman"/>
                <w:color w:val="000000"/>
                <w:sz w:val="20"/>
                <w:szCs w:val="20"/>
                <w:lang w:eastAsia="sk-SK"/>
              </w:rPr>
              <w:t xml:space="preserve">SK/EÚ úplná </w:t>
            </w:r>
            <w:proofErr w:type="spellStart"/>
            <w:r w:rsidRPr="000F5824">
              <w:rPr>
                <w:rFonts w:ascii="Times New Roman" w:eastAsia="Times New Roman" w:hAnsi="Times New Roman" w:cs="Times New Roman"/>
                <w:color w:val="000000"/>
                <w:sz w:val="20"/>
                <w:szCs w:val="20"/>
                <w:lang w:eastAsia="sk-SK"/>
              </w:rPr>
              <w:t>harm</w:t>
            </w:r>
            <w:proofErr w:type="spellEnd"/>
            <w:r w:rsidRPr="000F5824">
              <w:rPr>
                <w:rFonts w:ascii="Times New Roman" w:eastAsia="Times New Roman" w:hAnsi="Times New Roman" w:cs="Times New Roman"/>
                <w:color w:val="000000"/>
                <w:sz w:val="20"/>
                <w:szCs w:val="20"/>
                <w:lang w:eastAsia="sk-SK"/>
              </w:rPr>
              <w:t>./</w:t>
            </w:r>
            <w:r w:rsidRPr="000F5824">
              <w:rPr>
                <w:rFonts w:ascii="Times New Roman" w:eastAsia="Times New Roman" w:hAnsi="Times New Roman" w:cs="Times New Roman"/>
                <w:color w:val="000000"/>
                <w:sz w:val="20"/>
                <w:szCs w:val="20"/>
                <w:lang w:eastAsia="sk-SK"/>
              </w:rPr>
              <w:br/>
            </w:r>
            <w:proofErr w:type="spellStart"/>
            <w:r w:rsidRPr="000F5824">
              <w:rPr>
                <w:rFonts w:ascii="Times New Roman" w:eastAsia="Times New Roman" w:hAnsi="Times New Roman" w:cs="Times New Roman"/>
                <w:color w:val="000000"/>
                <w:sz w:val="20"/>
                <w:szCs w:val="20"/>
                <w:lang w:eastAsia="sk-SK"/>
              </w:rPr>
              <w:t>goldplating</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3C0E087"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Účinnosť regulácie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972625F"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 xml:space="preserve">Kategória </w:t>
            </w:r>
            <w:proofErr w:type="spellStart"/>
            <w:r w:rsidRPr="000F5824">
              <w:rPr>
                <w:rFonts w:ascii="Times New Roman" w:eastAsia="Times New Roman" w:hAnsi="Times New Roman" w:cs="Times New Roman"/>
                <w:b/>
                <w:bCs/>
                <w:color w:val="000000"/>
                <w:sz w:val="20"/>
                <w:szCs w:val="20"/>
                <w:lang w:eastAsia="sk-SK"/>
              </w:rPr>
              <w:t>dotk</w:t>
            </w:r>
            <w:proofErr w:type="spellEnd"/>
            <w:r w:rsidRPr="000F5824">
              <w:rPr>
                <w:rFonts w:ascii="Times New Roman" w:eastAsia="Times New Roman" w:hAnsi="Times New Roman" w:cs="Times New Roman"/>
                <w:b/>
                <w:bCs/>
                <w:color w:val="000000"/>
                <w:sz w:val="20"/>
                <w:szCs w:val="20"/>
                <w:lang w:eastAsia="sk-SK"/>
              </w:rPr>
              <w:t>. subjektov</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434D3B7"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 xml:space="preserve">Počet </w:t>
            </w:r>
            <w:proofErr w:type="spellStart"/>
            <w:r w:rsidRPr="000F5824">
              <w:rPr>
                <w:rFonts w:ascii="Times New Roman" w:eastAsia="Times New Roman" w:hAnsi="Times New Roman" w:cs="Times New Roman"/>
                <w:b/>
                <w:bCs/>
                <w:color w:val="000000"/>
                <w:sz w:val="20"/>
                <w:szCs w:val="20"/>
                <w:lang w:eastAsia="sk-SK"/>
              </w:rPr>
              <w:t>dotk</w:t>
            </w:r>
            <w:proofErr w:type="spellEnd"/>
            <w:r w:rsidRPr="000F5824">
              <w:rPr>
                <w:rFonts w:ascii="Times New Roman" w:eastAsia="Times New Roman" w:hAnsi="Times New Roman" w:cs="Times New Roman"/>
                <w:b/>
                <w:bCs/>
                <w:color w:val="000000"/>
                <w:sz w:val="20"/>
                <w:szCs w:val="20"/>
                <w:lang w:eastAsia="sk-SK"/>
              </w:rPr>
              <w:t xml:space="preserve">. subjektov spolu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9AB0153"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Vplyv na 1 podnik. v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05EB1EF"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 xml:space="preserve">Vplyv na kategóriu </w:t>
            </w:r>
            <w:proofErr w:type="spellStart"/>
            <w:r w:rsidRPr="000F5824">
              <w:rPr>
                <w:rFonts w:ascii="Times New Roman" w:eastAsia="Times New Roman" w:hAnsi="Times New Roman" w:cs="Times New Roman"/>
                <w:b/>
                <w:bCs/>
                <w:color w:val="000000"/>
                <w:sz w:val="20"/>
                <w:szCs w:val="20"/>
                <w:lang w:eastAsia="sk-SK"/>
              </w:rPr>
              <w:t>dotk</w:t>
            </w:r>
            <w:proofErr w:type="spellEnd"/>
            <w:r w:rsidRPr="000F5824">
              <w:rPr>
                <w:rFonts w:ascii="Times New Roman" w:eastAsia="Times New Roman" w:hAnsi="Times New Roman" w:cs="Times New Roman"/>
                <w:b/>
                <w:bCs/>
                <w:color w:val="000000"/>
                <w:sz w:val="20"/>
                <w:szCs w:val="20"/>
                <w:lang w:eastAsia="sk-SK"/>
              </w:rPr>
              <w:t>. subjektov v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BDCDD11"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Druh vplyvu</w:t>
            </w:r>
            <w:r w:rsidRPr="000F5824">
              <w:rPr>
                <w:rFonts w:ascii="Times New Roman" w:eastAsia="Times New Roman" w:hAnsi="Times New Roman" w:cs="Times New Roman"/>
                <w:b/>
                <w:bCs/>
                <w:color w:val="000000"/>
                <w:sz w:val="20"/>
                <w:szCs w:val="20"/>
                <w:lang w:eastAsia="sk-SK"/>
              </w:rPr>
              <w:br/>
            </w:r>
            <w:r w:rsidRPr="000F5824">
              <w:rPr>
                <w:rFonts w:ascii="Times New Roman" w:eastAsia="Times New Roman" w:hAnsi="Times New Roman" w:cs="Times New Roman"/>
                <w:color w:val="000000"/>
                <w:sz w:val="20"/>
                <w:szCs w:val="20"/>
                <w:lang w:eastAsia="sk-SK"/>
              </w:rPr>
              <w:t xml:space="preserve">In (zvyšuje náklady) / </w:t>
            </w:r>
            <w:r w:rsidRPr="000F5824">
              <w:rPr>
                <w:rFonts w:ascii="Times New Roman" w:eastAsia="Times New Roman" w:hAnsi="Times New Roman" w:cs="Times New Roman"/>
                <w:color w:val="000000"/>
                <w:sz w:val="20"/>
                <w:szCs w:val="20"/>
                <w:lang w:eastAsia="sk-SK"/>
              </w:rPr>
              <w:br/>
            </w:r>
            <w:proofErr w:type="spellStart"/>
            <w:r w:rsidRPr="000F5824">
              <w:rPr>
                <w:rFonts w:ascii="Times New Roman" w:eastAsia="Times New Roman" w:hAnsi="Times New Roman" w:cs="Times New Roman"/>
                <w:color w:val="000000"/>
                <w:sz w:val="20"/>
                <w:szCs w:val="20"/>
                <w:lang w:eastAsia="sk-SK"/>
              </w:rPr>
              <w:t>Out</w:t>
            </w:r>
            <w:proofErr w:type="spellEnd"/>
            <w:r w:rsidRPr="000F5824">
              <w:rPr>
                <w:rFonts w:ascii="Times New Roman" w:eastAsia="Times New Roman" w:hAnsi="Times New Roman" w:cs="Times New Roman"/>
                <w:color w:val="000000"/>
                <w:sz w:val="20"/>
                <w:szCs w:val="20"/>
                <w:lang w:eastAsia="sk-SK"/>
              </w:rPr>
              <w:t xml:space="preserve"> (znižuje náklady) / Nemení sa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199458"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r w:rsidRPr="000F5824">
              <w:rPr>
                <w:rFonts w:ascii="Times New Roman" w:eastAsia="Times New Roman" w:hAnsi="Times New Roman" w:cs="Times New Roman"/>
                <w:b/>
                <w:bCs/>
                <w:color w:val="000000"/>
                <w:sz w:val="20"/>
                <w:szCs w:val="20"/>
                <w:lang w:eastAsia="sk-SK"/>
              </w:rPr>
              <w:t xml:space="preserve">1in2out </w:t>
            </w:r>
            <w:r w:rsidRPr="000F5824">
              <w:rPr>
                <w:rFonts w:ascii="Times New Roman" w:eastAsia="Times New Roman" w:hAnsi="Times New Roman" w:cs="Times New Roman"/>
                <w:b/>
                <w:bCs/>
                <w:color w:val="000000"/>
                <w:sz w:val="20"/>
                <w:szCs w:val="20"/>
                <w:lang w:eastAsia="sk-SK"/>
              </w:rPr>
              <w:br/>
              <w:t>celkom</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5CAC2B" w14:textId="77777777" w:rsidR="000F5824" w:rsidRPr="000F5824" w:rsidRDefault="000F5824" w:rsidP="000F5824">
            <w:pPr>
              <w:spacing w:after="0" w:line="240" w:lineRule="auto"/>
              <w:jc w:val="center"/>
              <w:rPr>
                <w:rFonts w:ascii="Times New Roman" w:eastAsia="Times New Roman" w:hAnsi="Times New Roman" w:cs="Times New Roman"/>
                <w:b/>
                <w:bCs/>
                <w:color w:val="000000"/>
                <w:sz w:val="20"/>
                <w:szCs w:val="20"/>
                <w:lang w:eastAsia="sk-SK"/>
              </w:rPr>
            </w:pPr>
            <w:proofErr w:type="spellStart"/>
            <w:r w:rsidRPr="000F5824">
              <w:rPr>
                <w:rFonts w:ascii="Times New Roman" w:eastAsia="Times New Roman" w:hAnsi="Times New Roman" w:cs="Times New Roman"/>
                <w:b/>
                <w:bCs/>
                <w:color w:val="000000"/>
                <w:sz w:val="20"/>
                <w:szCs w:val="20"/>
                <w:lang w:eastAsia="sk-SK"/>
              </w:rPr>
              <w:t>Goldplating</w:t>
            </w:r>
            <w:proofErr w:type="spellEnd"/>
            <w:r w:rsidRPr="000F5824">
              <w:rPr>
                <w:rFonts w:ascii="Times New Roman" w:eastAsia="Times New Roman" w:hAnsi="Times New Roman" w:cs="Times New Roman"/>
                <w:b/>
                <w:bCs/>
                <w:color w:val="000000"/>
                <w:sz w:val="20"/>
                <w:szCs w:val="20"/>
                <w:lang w:eastAsia="sk-SK"/>
              </w:rPr>
              <w:t xml:space="preserve"> celkom</w:t>
            </w:r>
          </w:p>
        </w:tc>
      </w:tr>
      <w:tr w:rsidR="000F5824" w:rsidRPr="000F5824" w14:paraId="66EFFAE1" w14:textId="77777777" w:rsidTr="000F5824">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95557D"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FD69EB"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3D51039"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FDC28DB"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844B4"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10A400"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708284"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BFF28"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888F74"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41A86"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AA6829"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6AD2CC"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25B725"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r>
      <w:tr w:rsidR="000F5824" w:rsidRPr="000F5824" w14:paraId="6B60B7BA" w14:textId="77777777" w:rsidTr="000F5824">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786DEB"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1DA497"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E4014FE"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B720979"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E23F72"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A8E61C"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909704"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FE3BF0"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4E2499"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DF0D8C"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179964"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44986"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657C5C"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r>
      <w:tr w:rsidR="000F5824" w:rsidRPr="000F5824" w14:paraId="1A587324" w14:textId="77777777" w:rsidTr="000F5824">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754065"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345D33"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4E846C5"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DEFB3DA"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D3AC8D"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8F8ED1"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66A97D"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80F7C7"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AE5F32"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86A2BB"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1DC828"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9499C5"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C027E"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r>
      <w:tr w:rsidR="000F5824" w:rsidRPr="000F5824" w14:paraId="4AEBF4C7" w14:textId="77777777" w:rsidTr="000F5824">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45FDF9"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2D27C0"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55AD8F9"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42BBC6"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2A6350"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0B95F"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444C07"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256C33"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4E18D"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3DD656"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545B4F"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3FDD22"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134FDF"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r>
      <w:tr w:rsidR="000F5824" w:rsidRPr="000F5824" w14:paraId="34E09462" w14:textId="77777777" w:rsidTr="000F5824">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1A5D2B"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752385"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FE08A8C"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42FDF8D"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9FCAA9"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2E9633"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51672"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7AC6E4"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CEA80"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D09E4"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E13E0D"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66AD7"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0D8629" w14:textId="77777777" w:rsidR="000F5824" w:rsidRPr="000F5824" w:rsidRDefault="000F5824" w:rsidP="000F5824">
            <w:pPr>
              <w:spacing w:after="0" w:line="240" w:lineRule="auto"/>
              <w:rPr>
                <w:rFonts w:ascii="Times New Roman" w:eastAsia="Times New Roman" w:hAnsi="Times New Roman" w:cs="Times New Roman"/>
                <w:b/>
                <w:bCs/>
                <w:color w:val="000000"/>
                <w:sz w:val="20"/>
                <w:szCs w:val="20"/>
                <w:lang w:eastAsia="sk-SK"/>
              </w:rPr>
            </w:pPr>
          </w:p>
        </w:tc>
      </w:tr>
      <w:tr w:rsidR="000F5824" w:rsidRPr="000F5824" w14:paraId="341B5064" w14:textId="77777777" w:rsidTr="000F5824">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A9440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w:t>
            </w:r>
          </w:p>
        </w:tc>
        <w:tc>
          <w:tcPr>
            <w:tcW w:w="0" w:type="auto"/>
            <w:tcBorders>
              <w:top w:val="nil"/>
              <w:left w:val="nil"/>
              <w:bottom w:val="single" w:sz="4" w:space="0" w:color="auto"/>
              <w:right w:val="single" w:sz="4" w:space="0" w:color="auto"/>
            </w:tcBorders>
            <w:shd w:val="clear" w:color="auto" w:fill="auto"/>
            <w:vAlign w:val="center"/>
            <w:hideMark/>
          </w:tcPr>
          <w:p w14:paraId="46A28A05"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Rozšírenie predzmluvných informácií</w:t>
            </w:r>
          </w:p>
        </w:tc>
        <w:tc>
          <w:tcPr>
            <w:tcW w:w="0" w:type="auto"/>
            <w:tcBorders>
              <w:top w:val="nil"/>
              <w:left w:val="nil"/>
              <w:bottom w:val="single" w:sz="4" w:space="0" w:color="auto"/>
              <w:right w:val="single" w:sz="4" w:space="0" w:color="auto"/>
            </w:tcBorders>
            <w:shd w:val="clear" w:color="auto" w:fill="auto"/>
            <w:vAlign w:val="center"/>
            <w:hideMark/>
          </w:tcPr>
          <w:p w14:paraId="6495A95F"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xml:space="preserve">Čl. I </w:t>
            </w:r>
            <w:r w:rsidRPr="000F5824">
              <w:rPr>
                <w:rFonts w:ascii="Times New Roman" w:eastAsia="Times New Roman" w:hAnsi="Times New Roman" w:cs="Times New Roman"/>
                <w:color w:val="000000"/>
                <w:sz w:val="20"/>
                <w:szCs w:val="20"/>
                <w:lang w:eastAsia="sk-SK"/>
              </w:rPr>
              <w:br/>
              <w:t>Návrh zákona</w:t>
            </w:r>
          </w:p>
        </w:tc>
        <w:tc>
          <w:tcPr>
            <w:tcW w:w="0" w:type="auto"/>
            <w:tcBorders>
              <w:top w:val="nil"/>
              <w:left w:val="nil"/>
              <w:bottom w:val="single" w:sz="4" w:space="0" w:color="auto"/>
              <w:right w:val="single" w:sz="4" w:space="0" w:color="auto"/>
            </w:tcBorders>
            <w:shd w:val="clear" w:color="auto" w:fill="auto"/>
            <w:vAlign w:val="center"/>
            <w:hideMark/>
          </w:tcPr>
          <w:p w14:paraId="5C8F8D42"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3 ods. 1</w:t>
            </w:r>
          </w:p>
        </w:tc>
        <w:tc>
          <w:tcPr>
            <w:tcW w:w="0" w:type="auto"/>
            <w:tcBorders>
              <w:top w:val="nil"/>
              <w:left w:val="nil"/>
              <w:bottom w:val="single" w:sz="4" w:space="0" w:color="auto"/>
              <w:right w:val="single" w:sz="4" w:space="0" w:color="auto"/>
            </w:tcBorders>
            <w:shd w:val="clear" w:color="auto" w:fill="auto"/>
            <w:vAlign w:val="center"/>
            <w:hideMark/>
          </w:tcPr>
          <w:p w14:paraId="0A2AFE76"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EÚ úplná harmonizácia</w:t>
            </w:r>
          </w:p>
        </w:tc>
        <w:tc>
          <w:tcPr>
            <w:tcW w:w="0" w:type="auto"/>
            <w:tcBorders>
              <w:top w:val="nil"/>
              <w:left w:val="nil"/>
              <w:bottom w:val="single" w:sz="4" w:space="0" w:color="auto"/>
              <w:right w:val="single" w:sz="4" w:space="0" w:color="auto"/>
            </w:tcBorders>
            <w:shd w:val="clear" w:color="auto" w:fill="auto"/>
            <w:vAlign w:val="center"/>
            <w:hideMark/>
          </w:tcPr>
          <w:p w14:paraId="2E70B468"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19.06.26</w:t>
            </w:r>
          </w:p>
        </w:tc>
        <w:tc>
          <w:tcPr>
            <w:tcW w:w="0" w:type="auto"/>
            <w:tcBorders>
              <w:top w:val="nil"/>
              <w:left w:val="nil"/>
              <w:bottom w:val="single" w:sz="4" w:space="0" w:color="auto"/>
              <w:right w:val="single" w:sz="4" w:space="0" w:color="auto"/>
            </w:tcBorders>
            <w:shd w:val="clear" w:color="auto" w:fill="auto"/>
            <w:vAlign w:val="center"/>
            <w:hideMark/>
          </w:tcPr>
          <w:p w14:paraId="34C5D4D2"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obchodníci s finančnými službami na diaľku</w:t>
            </w:r>
          </w:p>
        </w:tc>
        <w:tc>
          <w:tcPr>
            <w:tcW w:w="0" w:type="auto"/>
            <w:tcBorders>
              <w:top w:val="nil"/>
              <w:left w:val="nil"/>
              <w:bottom w:val="single" w:sz="4" w:space="0" w:color="auto"/>
              <w:right w:val="single" w:sz="4" w:space="0" w:color="auto"/>
            </w:tcBorders>
            <w:shd w:val="clear" w:color="auto" w:fill="auto"/>
            <w:vAlign w:val="center"/>
            <w:hideMark/>
          </w:tcPr>
          <w:p w14:paraId="24824A5E" w14:textId="77777777" w:rsidR="000F5824" w:rsidRPr="000F5824" w:rsidRDefault="000F5824" w:rsidP="000F5824">
            <w:pPr>
              <w:spacing w:after="0" w:line="240" w:lineRule="auto"/>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xml:space="preserve">               200 </w:t>
            </w:r>
          </w:p>
        </w:tc>
        <w:tc>
          <w:tcPr>
            <w:tcW w:w="0" w:type="auto"/>
            <w:tcBorders>
              <w:top w:val="nil"/>
              <w:left w:val="nil"/>
              <w:bottom w:val="single" w:sz="4" w:space="0" w:color="auto"/>
              <w:right w:val="single" w:sz="4" w:space="0" w:color="auto"/>
            </w:tcBorders>
            <w:shd w:val="clear" w:color="000000" w:fill="FFFFFF"/>
            <w:vAlign w:val="center"/>
            <w:hideMark/>
          </w:tcPr>
          <w:p w14:paraId="356BB5F7"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2 532</w:t>
            </w:r>
          </w:p>
        </w:tc>
        <w:tc>
          <w:tcPr>
            <w:tcW w:w="0" w:type="auto"/>
            <w:tcBorders>
              <w:top w:val="nil"/>
              <w:left w:val="nil"/>
              <w:bottom w:val="single" w:sz="4" w:space="0" w:color="auto"/>
              <w:right w:val="single" w:sz="4" w:space="0" w:color="auto"/>
            </w:tcBorders>
            <w:shd w:val="clear" w:color="auto" w:fill="auto"/>
            <w:vAlign w:val="center"/>
            <w:hideMark/>
          </w:tcPr>
          <w:p w14:paraId="003098F4"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506 391</w:t>
            </w:r>
          </w:p>
        </w:tc>
        <w:tc>
          <w:tcPr>
            <w:tcW w:w="0" w:type="auto"/>
            <w:tcBorders>
              <w:top w:val="nil"/>
              <w:left w:val="nil"/>
              <w:bottom w:val="single" w:sz="4" w:space="0" w:color="auto"/>
              <w:right w:val="single" w:sz="4" w:space="0" w:color="auto"/>
            </w:tcBorders>
            <w:shd w:val="clear" w:color="auto" w:fill="auto"/>
            <w:vAlign w:val="center"/>
            <w:hideMark/>
          </w:tcPr>
          <w:p w14:paraId="63688269"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In (zvyšuje náklady)</w:t>
            </w:r>
          </w:p>
        </w:tc>
        <w:tc>
          <w:tcPr>
            <w:tcW w:w="0" w:type="auto"/>
            <w:tcBorders>
              <w:top w:val="nil"/>
              <w:left w:val="nil"/>
              <w:bottom w:val="single" w:sz="4" w:space="0" w:color="auto"/>
              <w:right w:val="single" w:sz="4" w:space="0" w:color="auto"/>
            </w:tcBorders>
            <w:shd w:val="clear" w:color="auto" w:fill="auto"/>
            <w:vAlign w:val="center"/>
            <w:hideMark/>
          </w:tcPr>
          <w:p w14:paraId="3B5FD1B5" w14:textId="77777777" w:rsidR="000F5824" w:rsidRPr="000F5824" w:rsidRDefault="000F5824" w:rsidP="000F5824">
            <w:pPr>
              <w:spacing w:after="0" w:line="240" w:lineRule="auto"/>
              <w:jc w:val="center"/>
              <w:rPr>
                <w:rFonts w:ascii="Times New Roman" w:eastAsia="Times New Roman" w:hAnsi="Times New Roman" w:cs="Times New Roman"/>
                <w:sz w:val="20"/>
                <w:szCs w:val="20"/>
                <w:lang w:eastAsia="sk-SK"/>
              </w:rPr>
            </w:pPr>
            <w:r w:rsidRPr="000F5824">
              <w:rPr>
                <w:rFonts w:ascii="Times New Roman" w:eastAsia="Times New Roman" w:hAnsi="Times New Roman" w:cs="Times New Roman"/>
                <w:sz w:val="20"/>
                <w:szCs w:val="20"/>
                <w:lang w:eastAsia="sk-SK"/>
              </w:rPr>
              <w:t>0</w:t>
            </w:r>
          </w:p>
        </w:tc>
        <w:tc>
          <w:tcPr>
            <w:tcW w:w="0" w:type="auto"/>
            <w:tcBorders>
              <w:top w:val="nil"/>
              <w:left w:val="nil"/>
              <w:bottom w:val="single" w:sz="4" w:space="0" w:color="auto"/>
              <w:right w:val="single" w:sz="4" w:space="0" w:color="auto"/>
            </w:tcBorders>
            <w:shd w:val="clear" w:color="auto" w:fill="auto"/>
            <w:vAlign w:val="center"/>
            <w:hideMark/>
          </w:tcPr>
          <w:p w14:paraId="65FCF3A1"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0</w:t>
            </w:r>
          </w:p>
        </w:tc>
      </w:tr>
      <w:tr w:rsidR="000F5824" w:rsidRPr="000F5824" w14:paraId="334102CE" w14:textId="77777777" w:rsidTr="000F5824">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E7CB32"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w:t>
            </w:r>
          </w:p>
        </w:tc>
        <w:tc>
          <w:tcPr>
            <w:tcW w:w="0" w:type="auto"/>
            <w:tcBorders>
              <w:top w:val="nil"/>
              <w:left w:val="nil"/>
              <w:bottom w:val="single" w:sz="4" w:space="0" w:color="auto"/>
              <w:right w:val="single" w:sz="4" w:space="0" w:color="auto"/>
            </w:tcBorders>
            <w:shd w:val="clear" w:color="auto" w:fill="auto"/>
            <w:vAlign w:val="center"/>
            <w:hideMark/>
          </w:tcPr>
          <w:p w14:paraId="556AFFD9"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Nastavenie formy informácií pre spotrebiteľov so zdravotným postihnutím</w:t>
            </w:r>
          </w:p>
        </w:tc>
        <w:tc>
          <w:tcPr>
            <w:tcW w:w="0" w:type="auto"/>
            <w:tcBorders>
              <w:top w:val="nil"/>
              <w:left w:val="nil"/>
              <w:bottom w:val="single" w:sz="4" w:space="0" w:color="auto"/>
              <w:right w:val="single" w:sz="4" w:space="0" w:color="auto"/>
            </w:tcBorders>
            <w:shd w:val="clear" w:color="auto" w:fill="auto"/>
            <w:vAlign w:val="center"/>
            <w:hideMark/>
          </w:tcPr>
          <w:p w14:paraId="04E61B0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Čl. I</w:t>
            </w:r>
            <w:r w:rsidRPr="000F5824">
              <w:rPr>
                <w:rFonts w:ascii="Times New Roman" w:eastAsia="Times New Roman" w:hAnsi="Times New Roman" w:cs="Times New Roman"/>
                <w:color w:val="000000"/>
                <w:sz w:val="20"/>
                <w:szCs w:val="20"/>
                <w:lang w:eastAsia="sk-SK"/>
              </w:rPr>
              <w:br/>
              <w:t>Návrh zákona</w:t>
            </w:r>
          </w:p>
        </w:tc>
        <w:tc>
          <w:tcPr>
            <w:tcW w:w="0" w:type="auto"/>
            <w:tcBorders>
              <w:top w:val="nil"/>
              <w:left w:val="nil"/>
              <w:bottom w:val="single" w:sz="4" w:space="0" w:color="auto"/>
              <w:right w:val="single" w:sz="4" w:space="0" w:color="auto"/>
            </w:tcBorders>
            <w:shd w:val="clear" w:color="auto" w:fill="auto"/>
            <w:vAlign w:val="center"/>
            <w:hideMark/>
          </w:tcPr>
          <w:p w14:paraId="0AA68973"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3 ods. 2</w:t>
            </w:r>
          </w:p>
        </w:tc>
        <w:tc>
          <w:tcPr>
            <w:tcW w:w="0" w:type="auto"/>
            <w:tcBorders>
              <w:top w:val="nil"/>
              <w:left w:val="nil"/>
              <w:bottom w:val="single" w:sz="4" w:space="0" w:color="auto"/>
              <w:right w:val="single" w:sz="4" w:space="0" w:color="auto"/>
            </w:tcBorders>
            <w:shd w:val="clear" w:color="auto" w:fill="auto"/>
            <w:vAlign w:val="center"/>
            <w:hideMark/>
          </w:tcPr>
          <w:p w14:paraId="31F3A7F7"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EÚ úplná harmonizácia</w:t>
            </w:r>
          </w:p>
        </w:tc>
        <w:tc>
          <w:tcPr>
            <w:tcW w:w="0" w:type="auto"/>
            <w:tcBorders>
              <w:top w:val="nil"/>
              <w:left w:val="nil"/>
              <w:bottom w:val="single" w:sz="4" w:space="0" w:color="auto"/>
              <w:right w:val="single" w:sz="4" w:space="0" w:color="auto"/>
            </w:tcBorders>
            <w:shd w:val="clear" w:color="auto" w:fill="auto"/>
            <w:vAlign w:val="center"/>
            <w:hideMark/>
          </w:tcPr>
          <w:p w14:paraId="6B7F887E"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19.06.26</w:t>
            </w:r>
          </w:p>
        </w:tc>
        <w:tc>
          <w:tcPr>
            <w:tcW w:w="0" w:type="auto"/>
            <w:tcBorders>
              <w:top w:val="nil"/>
              <w:left w:val="nil"/>
              <w:bottom w:val="single" w:sz="4" w:space="0" w:color="auto"/>
              <w:right w:val="single" w:sz="4" w:space="0" w:color="auto"/>
            </w:tcBorders>
            <w:shd w:val="clear" w:color="auto" w:fill="auto"/>
            <w:vAlign w:val="center"/>
            <w:hideMark/>
          </w:tcPr>
          <w:p w14:paraId="16A43AD8"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obchodníci s finančnými službami na diaľku</w:t>
            </w:r>
          </w:p>
        </w:tc>
        <w:tc>
          <w:tcPr>
            <w:tcW w:w="0" w:type="auto"/>
            <w:tcBorders>
              <w:top w:val="nil"/>
              <w:left w:val="nil"/>
              <w:bottom w:val="single" w:sz="4" w:space="0" w:color="auto"/>
              <w:right w:val="single" w:sz="4" w:space="0" w:color="auto"/>
            </w:tcBorders>
            <w:shd w:val="clear" w:color="auto" w:fill="auto"/>
            <w:vAlign w:val="center"/>
            <w:hideMark/>
          </w:tcPr>
          <w:p w14:paraId="357227B1" w14:textId="77777777" w:rsidR="000F5824" w:rsidRPr="000F5824" w:rsidRDefault="000F5824" w:rsidP="000F5824">
            <w:pPr>
              <w:spacing w:after="0" w:line="240" w:lineRule="auto"/>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xml:space="preserve">               200 </w:t>
            </w:r>
          </w:p>
        </w:tc>
        <w:tc>
          <w:tcPr>
            <w:tcW w:w="0" w:type="auto"/>
            <w:tcBorders>
              <w:top w:val="nil"/>
              <w:left w:val="nil"/>
              <w:bottom w:val="single" w:sz="4" w:space="0" w:color="auto"/>
              <w:right w:val="single" w:sz="4" w:space="0" w:color="auto"/>
            </w:tcBorders>
            <w:shd w:val="clear" w:color="auto" w:fill="auto"/>
            <w:vAlign w:val="center"/>
            <w:hideMark/>
          </w:tcPr>
          <w:p w14:paraId="7769861E"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1 309</w:t>
            </w:r>
          </w:p>
        </w:tc>
        <w:tc>
          <w:tcPr>
            <w:tcW w:w="0" w:type="auto"/>
            <w:tcBorders>
              <w:top w:val="nil"/>
              <w:left w:val="nil"/>
              <w:bottom w:val="single" w:sz="4" w:space="0" w:color="auto"/>
              <w:right w:val="single" w:sz="4" w:space="0" w:color="auto"/>
            </w:tcBorders>
            <w:shd w:val="clear" w:color="auto" w:fill="auto"/>
            <w:vAlign w:val="center"/>
            <w:hideMark/>
          </w:tcPr>
          <w:p w14:paraId="264B1E6B"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261 868</w:t>
            </w:r>
          </w:p>
        </w:tc>
        <w:tc>
          <w:tcPr>
            <w:tcW w:w="0" w:type="auto"/>
            <w:tcBorders>
              <w:top w:val="nil"/>
              <w:left w:val="nil"/>
              <w:bottom w:val="single" w:sz="4" w:space="0" w:color="auto"/>
              <w:right w:val="single" w:sz="4" w:space="0" w:color="auto"/>
            </w:tcBorders>
            <w:shd w:val="clear" w:color="auto" w:fill="auto"/>
            <w:vAlign w:val="center"/>
            <w:hideMark/>
          </w:tcPr>
          <w:p w14:paraId="2ADAA98B"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In (zvyšuje náklady)</w:t>
            </w:r>
          </w:p>
        </w:tc>
        <w:tc>
          <w:tcPr>
            <w:tcW w:w="0" w:type="auto"/>
            <w:tcBorders>
              <w:top w:val="nil"/>
              <w:left w:val="nil"/>
              <w:bottom w:val="single" w:sz="4" w:space="0" w:color="auto"/>
              <w:right w:val="single" w:sz="4" w:space="0" w:color="auto"/>
            </w:tcBorders>
            <w:shd w:val="clear" w:color="auto" w:fill="auto"/>
            <w:vAlign w:val="center"/>
            <w:hideMark/>
          </w:tcPr>
          <w:p w14:paraId="21A6F597" w14:textId="77777777" w:rsidR="000F5824" w:rsidRPr="000F5824" w:rsidRDefault="000F5824" w:rsidP="000F5824">
            <w:pPr>
              <w:spacing w:after="0" w:line="240" w:lineRule="auto"/>
              <w:jc w:val="center"/>
              <w:rPr>
                <w:rFonts w:ascii="Times New Roman" w:eastAsia="Times New Roman" w:hAnsi="Times New Roman" w:cs="Times New Roman"/>
                <w:sz w:val="20"/>
                <w:szCs w:val="20"/>
                <w:lang w:eastAsia="sk-SK"/>
              </w:rPr>
            </w:pPr>
            <w:r w:rsidRPr="000F5824">
              <w:rPr>
                <w:rFonts w:ascii="Times New Roman" w:eastAsia="Times New Roman" w:hAnsi="Times New Roman" w:cs="Times New Roman"/>
                <w:sz w:val="20"/>
                <w:szCs w:val="20"/>
                <w:lang w:eastAsia="sk-SK"/>
              </w:rPr>
              <w:t>0</w:t>
            </w:r>
          </w:p>
        </w:tc>
        <w:tc>
          <w:tcPr>
            <w:tcW w:w="0" w:type="auto"/>
            <w:tcBorders>
              <w:top w:val="nil"/>
              <w:left w:val="nil"/>
              <w:bottom w:val="single" w:sz="4" w:space="0" w:color="auto"/>
              <w:right w:val="single" w:sz="4" w:space="0" w:color="auto"/>
            </w:tcBorders>
            <w:shd w:val="clear" w:color="auto" w:fill="auto"/>
            <w:vAlign w:val="center"/>
            <w:hideMark/>
          </w:tcPr>
          <w:p w14:paraId="1D286F42"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0</w:t>
            </w:r>
          </w:p>
        </w:tc>
      </w:tr>
      <w:tr w:rsidR="000F5824" w:rsidRPr="000F5824" w14:paraId="019C76E0" w14:textId="77777777" w:rsidTr="000F5824">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156BC8"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3</w:t>
            </w:r>
          </w:p>
        </w:tc>
        <w:tc>
          <w:tcPr>
            <w:tcW w:w="0" w:type="auto"/>
            <w:tcBorders>
              <w:top w:val="nil"/>
              <w:left w:val="nil"/>
              <w:bottom w:val="single" w:sz="4" w:space="0" w:color="auto"/>
              <w:right w:val="single" w:sz="4" w:space="0" w:color="auto"/>
            </w:tcBorders>
            <w:shd w:val="clear" w:color="auto" w:fill="auto"/>
            <w:vAlign w:val="center"/>
            <w:hideMark/>
          </w:tcPr>
          <w:p w14:paraId="30D4B46B"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Pripomenutie možnosti o odstúpení</w:t>
            </w:r>
          </w:p>
        </w:tc>
        <w:tc>
          <w:tcPr>
            <w:tcW w:w="0" w:type="auto"/>
            <w:tcBorders>
              <w:top w:val="nil"/>
              <w:left w:val="nil"/>
              <w:bottom w:val="single" w:sz="4" w:space="0" w:color="auto"/>
              <w:right w:val="single" w:sz="4" w:space="0" w:color="auto"/>
            </w:tcBorders>
            <w:shd w:val="clear" w:color="auto" w:fill="auto"/>
            <w:vAlign w:val="center"/>
            <w:hideMark/>
          </w:tcPr>
          <w:p w14:paraId="6B1A41C3"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Čl. I</w:t>
            </w:r>
            <w:r w:rsidRPr="000F5824">
              <w:rPr>
                <w:rFonts w:ascii="Times New Roman" w:eastAsia="Times New Roman" w:hAnsi="Times New Roman" w:cs="Times New Roman"/>
                <w:color w:val="000000"/>
                <w:sz w:val="20"/>
                <w:szCs w:val="20"/>
                <w:lang w:eastAsia="sk-SK"/>
              </w:rPr>
              <w:br/>
              <w:t>Návrh zákona</w:t>
            </w:r>
          </w:p>
        </w:tc>
        <w:tc>
          <w:tcPr>
            <w:tcW w:w="0" w:type="auto"/>
            <w:tcBorders>
              <w:top w:val="nil"/>
              <w:left w:val="nil"/>
              <w:bottom w:val="single" w:sz="4" w:space="0" w:color="auto"/>
              <w:right w:val="single" w:sz="4" w:space="0" w:color="auto"/>
            </w:tcBorders>
            <w:shd w:val="clear" w:color="auto" w:fill="auto"/>
            <w:vAlign w:val="center"/>
            <w:hideMark/>
          </w:tcPr>
          <w:p w14:paraId="6959CE53"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3 ods. 5</w:t>
            </w:r>
          </w:p>
        </w:tc>
        <w:tc>
          <w:tcPr>
            <w:tcW w:w="0" w:type="auto"/>
            <w:tcBorders>
              <w:top w:val="nil"/>
              <w:left w:val="nil"/>
              <w:bottom w:val="single" w:sz="4" w:space="0" w:color="auto"/>
              <w:right w:val="single" w:sz="4" w:space="0" w:color="auto"/>
            </w:tcBorders>
            <w:shd w:val="clear" w:color="auto" w:fill="auto"/>
            <w:vAlign w:val="center"/>
            <w:hideMark/>
          </w:tcPr>
          <w:p w14:paraId="354D22FD"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EÚ úplná harmonizácia</w:t>
            </w:r>
          </w:p>
        </w:tc>
        <w:tc>
          <w:tcPr>
            <w:tcW w:w="0" w:type="auto"/>
            <w:tcBorders>
              <w:top w:val="nil"/>
              <w:left w:val="nil"/>
              <w:bottom w:val="single" w:sz="4" w:space="0" w:color="auto"/>
              <w:right w:val="single" w:sz="4" w:space="0" w:color="auto"/>
            </w:tcBorders>
            <w:shd w:val="clear" w:color="auto" w:fill="auto"/>
            <w:vAlign w:val="center"/>
            <w:hideMark/>
          </w:tcPr>
          <w:p w14:paraId="6B441FC5"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19.06.26</w:t>
            </w:r>
          </w:p>
        </w:tc>
        <w:tc>
          <w:tcPr>
            <w:tcW w:w="0" w:type="auto"/>
            <w:tcBorders>
              <w:top w:val="nil"/>
              <w:left w:val="nil"/>
              <w:bottom w:val="single" w:sz="4" w:space="0" w:color="auto"/>
              <w:right w:val="single" w:sz="4" w:space="0" w:color="auto"/>
            </w:tcBorders>
            <w:shd w:val="clear" w:color="auto" w:fill="auto"/>
            <w:vAlign w:val="center"/>
            <w:hideMark/>
          </w:tcPr>
          <w:p w14:paraId="2F83BCEE"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obchodníci s finančnými službami na diaľku</w:t>
            </w:r>
          </w:p>
        </w:tc>
        <w:tc>
          <w:tcPr>
            <w:tcW w:w="0" w:type="auto"/>
            <w:tcBorders>
              <w:top w:val="nil"/>
              <w:left w:val="nil"/>
              <w:bottom w:val="single" w:sz="4" w:space="0" w:color="auto"/>
              <w:right w:val="single" w:sz="4" w:space="0" w:color="auto"/>
            </w:tcBorders>
            <w:shd w:val="clear" w:color="auto" w:fill="auto"/>
            <w:vAlign w:val="center"/>
            <w:hideMark/>
          </w:tcPr>
          <w:p w14:paraId="6BF3D3BF" w14:textId="77777777" w:rsidR="000F5824" w:rsidRPr="000F5824" w:rsidRDefault="000F5824" w:rsidP="000F5824">
            <w:pPr>
              <w:spacing w:after="0" w:line="240" w:lineRule="auto"/>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xml:space="preserve">               200 </w:t>
            </w:r>
          </w:p>
        </w:tc>
        <w:tc>
          <w:tcPr>
            <w:tcW w:w="0" w:type="auto"/>
            <w:tcBorders>
              <w:top w:val="nil"/>
              <w:left w:val="nil"/>
              <w:bottom w:val="single" w:sz="4" w:space="0" w:color="auto"/>
              <w:right w:val="single" w:sz="4" w:space="0" w:color="auto"/>
            </w:tcBorders>
            <w:shd w:val="clear" w:color="auto" w:fill="auto"/>
            <w:vAlign w:val="center"/>
            <w:hideMark/>
          </w:tcPr>
          <w:p w14:paraId="040F25B3"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1 309</w:t>
            </w:r>
          </w:p>
        </w:tc>
        <w:tc>
          <w:tcPr>
            <w:tcW w:w="0" w:type="auto"/>
            <w:tcBorders>
              <w:top w:val="nil"/>
              <w:left w:val="nil"/>
              <w:bottom w:val="single" w:sz="4" w:space="0" w:color="auto"/>
              <w:right w:val="single" w:sz="4" w:space="0" w:color="auto"/>
            </w:tcBorders>
            <w:shd w:val="clear" w:color="auto" w:fill="auto"/>
            <w:vAlign w:val="center"/>
            <w:hideMark/>
          </w:tcPr>
          <w:p w14:paraId="5425F94D"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261 868</w:t>
            </w:r>
          </w:p>
        </w:tc>
        <w:tc>
          <w:tcPr>
            <w:tcW w:w="0" w:type="auto"/>
            <w:tcBorders>
              <w:top w:val="nil"/>
              <w:left w:val="nil"/>
              <w:bottom w:val="single" w:sz="4" w:space="0" w:color="auto"/>
              <w:right w:val="single" w:sz="4" w:space="0" w:color="auto"/>
            </w:tcBorders>
            <w:shd w:val="clear" w:color="auto" w:fill="auto"/>
            <w:vAlign w:val="center"/>
            <w:hideMark/>
          </w:tcPr>
          <w:p w14:paraId="4FD9DE6E"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In (zvyšuje náklady)</w:t>
            </w:r>
          </w:p>
        </w:tc>
        <w:tc>
          <w:tcPr>
            <w:tcW w:w="0" w:type="auto"/>
            <w:tcBorders>
              <w:top w:val="nil"/>
              <w:left w:val="nil"/>
              <w:bottom w:val="single" w:sz="4" w:space="0" w:color="auto"/>
              <w:right w:val="single" w:sz="4" w:space="0" w:color="auto"/>
            </w:tcBorders>
            <w:shd w:val="clear" w:color="auto" w:fill="auto"/>
            <w:vAlign w:val="center"/>
            <w:hideMark/>
          </w:tcPr>
          <w:p w14:paraId="74370B88" w14:textId="77777777" w:rsidR="000F5824" w:rsidRPr="000F5824" w:rsidRDefault="000F5824" w:rsidP="000F5824">
            <w:pPr>
              <w:spacing w:after="0" w:line="240" w:lineRule="auto"/>
              <w:jc w:val="center"/>
              <w:rPr>
                <w:rFonts w:ascii="Times New Roman" w:eastAsia="Times New Roman" w:hAnsi="Times New Roman" w:cs="Times New Roman"/>
                <w:sz w:val="20"/>
                <w:szCs w:val="20"/>
                <w:lang w:eastAsia="sk-SK"/>
              </w:rPr>
            </w:pPr>
            <w:r w:rsidRPr="000F5824">
              <w:rPr>
                <w:rFonts w:ascii="Times New Roman" w:eastAsia="Times New Roman" w:hAnsi="Times New Roman" w:cs="Times New Roman"/>
                <w:sz w:val="20"/>
                <w:szCs w:val="20"/>
                <w:lang w:eastAsia="sk-SK"/>
              </w:rPr>
              <w:t>0</w:t>
            </w:r>
          </w:p>
        </w:tc>
        <w:tc>
          <w:tcPr>
            <w:tcW w:w="0" w:type="auto"/>
            <w:tcBorders>
              <w:top w:val="nil"/>
              <w:left w:val="nil"/>
              <w:bottom w:val="single" w:sz="4" w:space="0" w:color="auto"/>
              <w:right w:val="single" w:sz="4" w:space="0" w:color="auto"/>
            </w:tcBorders>
            <w:shd w:val="clear" w:color="auto" w:fill="auto"/>
            <w:vAlign w:val="center"/>
            <w:hideMark/>
          </w:tcPr>
          <w:p w14:paraId="7EC25DFC"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0</w:t>
            </w:r>
          </w:p>
        </w:tc>
      </w:tr>
      <w:tr w:rsidR="000F5824" w:rsidRPr="000F5824" w14:paraId="27FE1C20" w14:textId="77777777" w:rsidTr="000F5824">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891942"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4</w:t>
            </w:r>
          </w:p>
        </w:tc>
        <w:tc>
          <w:tcPr>
            <w:tcW w:w="0" w:type="auto"/>
            <w:tcBorders>
              <w:top w:val="nil"/>
              <w:left w:val="nil"/>
              <w:bottom w:val="single" w:sz="4" w:space="0" w:color="auto"/>
              <w:right w:val="single" w:sz="4" w:space="0" w:color="auto"/>
            </w:tcBorders>
            <w:shd w:val="clear" w:color="auto" w:fill="auto"/>
            <w:vAlign w:val="center"/>
            <w:hideMark/>
          </w:tcPr>
          <w:p w14:paraId="289AE76C"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Zmena zobrazenia informácií elektronicky</w:t>
            </w:r>
          </w:p>
        </w:tc>
        <w:tc>
          <w:tcPr>
            <w:tcW w:w="0" w:type="auto"/>
            <w:tcBorders>
              <w:top w:val="nil"/>
              <w:left w:val="nil"/>
              <w:bottom w:val="single" w:sz="4" w:space="0" w:color="auto"/>
              <w:right w:val="single" w:sz="4" w:space="0" w:color="auto"/>
            </w:tcBorders>
            <w:shd w:val="clear" w:color="auto" w:fill="auto"/>
            <w:vAlign w:val="center"/>
            <w:hideMark/>
          </w:tcPr>
          <w:p w14:paraId="59ACF57F"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Čl. I</w:t>
            </w:r>
            <w:r w:rsidRPr="000F5824">
              <w:rPr>
                <w:rFonts w:ascii="Times New Roman" w:eastAsia="Times New Roman" w:hAnsi="Times New Roman" w:cs="Times New Roman"/>
                <w:color w:val="000000"/>
                <w:sz w:val="20"/>
                <w:szCs w:val="20"/>
                <w:lang w:eastAsia="sk-SK"/>
              </w:rPr>
              <w:br/>
              <w:t>Návrh zákona</w:t>
            </w:r>
          </w:p>
        </w:tc>
        <w:tc>
          <w:tcPr>
            <w:tcW w:w="0" w:type="auto"/>
            <w:tcBorders>
              <w:top w:val="nil"/>
              <w:left w:val="nil"/>
              <w:bottom w:val="single" w:sz="4" w:space="0" w:color="auto"/>
              <w:right w:val="single" w:sz="4" w:space="0" w:color="auto"/>
            </w:tcBorders>
            <w:shd w:val="clear" w:color="auto" w:fill="auto"/>
            <w:vAlign w:val="center"/>
            <w:hideMark/>
          </w:tcPr>
          <w:p w14:paraId="5B52EC1E"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3 ods. 8</w:t>
            </w:r>
          </w:p>
        </w:tc>
        <w:tc>
          <w:tcPr>
            <w:tcW w:w="0" w:type="auto"/>
            <w:tcBorders>
              <w:top w:val="nil"/>
              <w:left w:val="nil"/>
              <w:bottom w:val="single" w:sz="4" w:space="0" w:color="auto"/>
              <w:right w:val="single" w:sz="4" w:space="0" w:color="auto"/>
            </w:tcBorders>
            <w:shd w:val="clear" w:color="auto" w:fill="auto"/>
            <w:vAlign w:val="center"/>
            <w:hideMark/>
          </w:tcPr>
          <w:p w14:paraId="173912B8"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EÚ úplná harmonizácia</w:t>
            </w:r>
          </w:p>
        </w:tc>
        <w:tc>
          <w:tcPr>
            <w:tcW w:w="0" w:type="auto"/>
            <w:tcBorders>
              <w:top w:val="nil"/>
              <w:left w:val="nil"/>
              <w:bottom w:val="single" w:sz="4" w:space="0" w:color="auto"/>
              <w:right w:val="single" w:sz="4" w:space="0" w:color="auto"/>
            </w:tcBorders>
            <w:shd w:val="clear" w:color="auto" w:fill="auto"/>
            <w:vAlign w:val="center"/>
            <w:hideMark/>
          </w:tcPr>
          <w:p w14:paraId="038FCBD4"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19.06.26</w:t>
            </w:r>
          </w:p>
        </w:tc>
        <w:tc>
          <w:tcPr>
            <w:tcW w:w="0" w:type="auto"/>
            <w:tcBorders>
              <w:top w:val="nil"/>
              <w:left w:val="nil"/>
              <w:bottom w:val="single" w:sz="4" w:space="0" w:color="auto"/>
              <w:right w:val="single" w:sz="4" w:space="0" w:color="auto"/>
            </w:tcBorders>
            <w:shd w:val="clear" w:color="auto" w:fill="auto"/>
            <w:vAlign w:val="center"/>
            <w:hideMark/>
          </w:tcPr>
          <w:p w14:paraId="3E8B3339"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obchodníci s finančnými službami na diaľku</w:t>
            </w:r>
          </w:p>
        </w:tc>
        <w:tc>
          <w:tcPr>
            <w:tcW w:w="0" w:type="auto"/>
            <w:tcBorders>
              <w:top w:val="nil"/>
              <w:left w:val="nil"/>
              <w:bottom w:val="single" w:sz="4" w:space="0" w:color="auto"/>
              <w:right w:val="single" w:sz="4" w:space="0" w:color="auto"/>
            </w:tcBorders>
            <w:shd w:val="clear" w:color="auto" w:fill="auto"/>
            <w:vAlign w:val="center"/>
            <w:hideMark/>
          </w:tcPr>
          <w:p w14:paraId="7D38D5D0" w14:textId="77777777" w:rsidR="000F5824" w:rsidRPr="000F5824" w:rsidRDefault="000F5824" w:rsidP="000F5824">
            <w:pPr>
              <w:spacing w:after="0" w:line="240" w:lineRule="auto"/>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xml:space="preserve">               200 </w:t>
            </w:r>
          </w:p>
        </w:tc>
        <w:tc>
          <w:tcPr>
            <w:tcW w:w="0" w:type="auto"/>
            <w:tcBorders>
              <w:top w:val="nil"/>
              <w:left w:val="nil"/>
              <w:bottom w:val="single" w:sz="4" w:space="0" w:color="auto"/>
              <w:right w:val="single" w:sz="4" w:space="0" w:color="auto"/>
            </w:tcBorders>
            <w:shd w:val="clear" w:color="auto" w:fill="auto"/>
            <w:vAlign w:val="center"/>
            <w:hideMark/>
          </w:tcPr>
          <w:p w14:paraId="086F910A"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2 550</w:t>
            </w:r>
          </w:p>
        </w:tc>
        <w:tc>
          <w:tcPr>
            <w:tcW w:w="0" w:type="auto"/>
            <w:tcBorders>
              <w:top w:val="nil"/>
              <w:left w:val="nil"/>
              <w:bottom w:val="single" w:sz="4" w:space="0" w:color="auto"/>
              <w:right w:val="single" w:sz="4" w:space="0" w:color="auto"/>
            </w:tcBorders>
            <w:shd w:val="clear" w:color="auto" w:fill="auto"/>
            <w:vAlign w:val="center"/>
            <w:hideMark/>
          </w:tcPr>
          <w:p w14:paraId="3B1BE581"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510 043</w:t>
            </w:r>
          </w:p>
        </w:tc>
        <w:tc>
          <w:tcPr>
            <w:tcW w:w="0" w:type="auto"/>
            <w:tcBorders>
              <w:top w:val="nil"/>
              <w:left w:val="nil"/>
              <w:bottom w:val="single" w:sz="4" w:space="0" w:color="auto"/>
              <w:right w:val="single" w:sz="4" w:space="0" w:color="auto"/>
            </w:tcBorders>
            <w:shd w:val="clear" w:color="auto" w:fill="auto"/>
            <w:vAlign w:val="center"/>
            <w:hideMark/>
          </w:tcPr>
          <w:p w14:paraId="38405A88"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In (zvyšuje náklady)</w:t>
            </w:r>
          </w:p>
        </w:tc>
        <w:tc>
          <w:tcPr>
            <w:tcW w:w="0" w:type="auto"/>
            <w:tcBorders>
              <w:top w:val="nil"/>
              <w:left w:val="nil"/>
              <w:bottom w:val="single" w:sz="4" w:space="0" w:color="auto"/>
              <w:right w:val="single" w:sz="4" w:space="0" w:color="auto"/>
            </w:tcBorders>
            <w:shd w:val="clear" w:color="auto" w:fill="auto"/>
            <w:vAlign w:val="center"/>
            <w:hideMark/>
          </w:tcPr>
          <w:p w14:paraId="17DDF6FD" w14:textId="77777777" w:rsidR="000F5824" w:rsidRPr="000F5824" w:rsidRDefault="000F5824" w:rsidP="000F5824">
            <w:pPr>
              <w:spacing w:after="0" w:line="240" w:lineRule="auto"/>
              <w:jc w:val="center"/>
              <w:rPr>
                <w:rFonts w:ascii="Times New Roman" w:eastAsia="Times New Roman" w:hAnsi="Times New Roman" w:cs="Times New Roman"/>
                <w:sz w:val="20"/>
                <w:szCs w:val="20"/>
                <w:lang w:eastAsia="sk-SK"/>
              </w:rPr>
            </w:pPr>
            <w:r w:rsidRPr="000F5824">
              <w:rPr>
                <w:rFonts w:ascii="Times New Roman" w:eastAsia="Times New Roman" w:hAnsi="Times New Roman" w:cs="Times New Roman"/>
                <w:sz w:val="20"/>
                <w:szCs w:val="20"/>
                <w:lang w:eastAsia="sk-SK"/>
              </w:rPr>
              <w:t>0</w:t>
            </w:r>
          </w:p>
        </w:tc>
        <w:tc>
          <w:tcPr>
            <w:tcW w:w="0" w:type="auto"/>
            <w:tcBorders>
              <w:top w:val="nil"/>
              <w:left w:val="nil"/>
              <w:bottom w:val="single" w:sz="4" w:space="0" w:color="auto"/>
              <w:right w:val="single" w:sz="4" w:space="0" w:color="auto"/>
            </w:tcBorders>
            <w:shd w:val="clear" w:color="auto" w:fill="auto"/>
            <w:vAlign w:val="center"/>
            <w:hideMark/>
          </w:tcPr>
          <w:p w14:paraId="39590ABF"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0</w:t>
            </w:r>
          </w:p>
        </w:tc>
      </w:tr>
      <w:tr w:rsidR="000F5824" w:rsidRPr="000F5824" w14:paraId="3CC9893D" w14:textId="77777777" w:rsidTr="000F5824">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89D03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lastRenderedPageBreak/>
              <w:t>5</w:t>
            </w:r>
          </w:p>
        </w:tc>
        <w:tc>
          <w:tcPr>
            <w:tcW w:w="0" w:type="auto"/>
            <w:tcBorders>
              <w:top w:val="nil"/>
              <w:left w:val="nil"/>
              <w:bottom w:val="single" w:sz="4" w:space="0" w:color="auto"/>
              <w:right w:val="single" w:sz="4" w:space="0" w:color="auto"/>
            </w:tcBorders>
            <w:shd w:val="clear" w:color="auto" w:fill="auto"/>
            <w:vAlign w:val="center"/>
            <w:hideMark/>
          </w:tcPr>
          <w:p w14:paraId="7404B619"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Nastavenie systému poskytovania primeraných vysvetlení</w:t>
            </w:r>
          </w:p>
        </w:tc>
        <w:tc>
          <w:tcPr>
            <w:tcW w:w="0" w:type="auto"/>
            <w:tcBorders>
              <w:top w:val="nil"/>
              <w:left w:val="nil"/>
              <w:bottom w:val="single" w:sz="4" w:space="0" w:color="auto"/>
              <w:right w:val="single" w:sz="4" w:space="0" w:color="auto"/>
            </w:tcBorders>
            <w:shd w:val="clear" w:color="auto" w:fill="auto"/>
            <w:vAlign w:val="center"/>
            <w:hideMark/>
          </w:tcPr>
          <w:p w14:paraId="73CAD62A"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Čl. I</w:t>
            </w:r>
            <w:r w:rsidRPr="000F5824">
              <w:rPr>
                <w:rFonts w:ascii="Times New Roman" w:eastAsia="Times New Roman" w:hAnsi="Times New Roman" w:cs="Times New Roman"/>
                <w:color w:val="000000"/>
                <w:sz w:val="20"/>
                <w:szCs w:val="20"/>
                <w:lang w:eastAsia="sk-SK"/>
              </w:rPr>
              <w:br/>
              <w:t>Návrh zákona</w:t>
            </w:r>
          </w:p>
        </w:tc>
        <w:tc>
          <w:tcPr>
            <w:tcW w:w="0" w:type="auto"/>
            <w:tcBorders>
              <w:top w:val="nil"/>
              <w:left w:val="nil"/>
              <w:bottom w:val="single" w:sz="4" w:space="0" w:color="auto"/>
              <w:right w:val="single" w:sz="4" w:space="0" w:color="auto"/>
            </w:tcBorders>
            <w:shd w:val="clear" w:color="auto" w:fill="auto"/>
            <w:vAlign w:val="center"/>
            <w:hideMark/>
          </w:tcPr>
          <w:p w14:paraId="4786F77A"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4 ods. 1</w:t>
            </w:r>
          </w:p>
        </w:tc>
        <w:tc>
          <w:tcPr>
            <w:tcW w:w="0" w:type="auto"/>
            <w:tcBorders>
              <w:top w:val="nil"/>
              <w:left w:val="nil"/>
              <w:bottom w:val="single" w:sz="4" w:space="0" w:color="auto"/>
              <w:right w:val="single" w:sz="4" w:space="0" w:color="auto"/>
            </w:tcBorders>
            <w:shd w:val="clear" w:color="auto" w:fill="auto"/>
            <w:vAlign w:val="center"/>
            <w:hideMark/>
          </w:tcPr>
          <w:p w14:paraId="1FD0E4A8"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EÚ úplná harmonizácia</w:t>
            </w:r>
          </w:p>
        </w:tc>
        <w:tc>
          <w:tcPr>
            <w:tcW w:w="0" w:type="auto"/>
            <w:tcBorders>
              <w:top w:val="nil"/>
              <w:left w:val="nil"/>
              <w:bottom w:val="single" w:sz="4" w:space="0" w:color="auto"/>
              <w:right w:val="single" w:sz="4" w:space="0" w:color="auto"/>
            </w:tcBorders>
            <w:shd w:val="clear" w:color="auto" w:fill="auto"/>
            <w:vAlign w:val="center"/>
            <w:hideMark/>
          </w:tcPr>
          <w:p w14:paraId="2BE0B2A3"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19.06.26</w:t>
            </w:r>
          </w:p>
        </w:tc>
        <w:tc>
          <w:tcPr>
            <w:tcW w:w="0" w:type="auto"/>
            <w:tcBorders>
              <w:top w:val="nil"/>
              <w:left w:val="nil"/>
              <w:bottom w:val="single" w:sz="4" w:space="0" w:color="auto"/>
              <w:right w:val="single" w:sz="4" w:space="0" w:color="auto"/>
            </w:tcBorders>
            <w:shd w:val="clear" w:color="auto" w:fill="auto"/>
            <w:vAlign w:val="center"/>
            <w:hideMark/>
          </w:tcPr>
          <w:p w14:paraId="6631D421"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obchodníci s finančnými službami na diaľku</w:t>
            </w:r>
          </w:p>
        </w:tc>
        <w:tc>
          <w:tcPr>
            <w:tcW w:w="0" w:type="auto"/>
            <w:tcBorders>
              <w:top w:val="nil"/>
              <w:left w:val="nil"/>
              <w:bottom w:val="single" w:sz="4" w:space="0" w:color="auto"/>
              <w:right w:val="single" w:sz="4" w:space="0" w:color="auto"/>
            </w:tcBorders>
            <w:shd w:val="clear" w:color="auto" w:fill="auto"/>
            <w:vAlign w:val="center"/>
            <w:hideMark/>
          </w:tcPr>
          <w:p w14:paraId="20A3E9AE" w14:textId="77777777" w:rsidR="000F5824" w:rsidRPr="000F5824" w:rsidRDefault="000F5824" w:rsidP="000F5824">
            <w:pPr>
              <w:spacing w:after="0" w:line="240" w:lineRule="auto"/>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xml:space="preserve">               200 </w:t>
            </w:r>
          </w:p>
        </w:tc>
        <w:tc>
          <w:tcPr>
            <w:tcW w:w="0" w:type="auto"/>
            <w:tcBorders>
              <w:top w:val="nil"/>
              <w:left w:val="nil"/>
              <w:bottom w:val="single" w:sz="4" w:space="0" w:color="auto"/>
              <w:right w:val="single" w:sz="4" w:space="0" w:color="auto"/>
            </w:tcBorders>
            <w:shd w:val="clear" w:color="auto" w:fill="auto"/>
            <w:vAlign w:val="center"/>
            <w:hideMark/>
          </w:tcPr>
          <w:p w14:paraId="4B487D12"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5 237</w:t>
            </w:r>
          </w:p>
        </w:tc>
        <w:tc>
          <w:tcPr>
            <w:tcW w:w="0" w:type="auto"/>
            <w:tcBorders>
              <w:top w:val="nil"/>
              <w:left w:val="nil"/>
              <w:bottom w:val="single" w:sz="4" w:space="0" w:color="auto"/>
              <w:right w:val="single" w:sz="4" w:space="0" w:color="auto"/>
            </w:tcBorders>
            <w:shd w:val="clear" w:color="auto" w:fill="auto"/>
            <w:vAlign w:val="center"/>
            <w:hideMark/>
          </w:tcPr>
          <w:p w14:paraId="36F2F29B"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1 047 474</w:t>
            </w:r>
          </w:p>
        </w:tc>
        <w:tc>
          <w:tcPr>
            <w:tcW w:w="0" w:type="auto"/>
            <w:tcBorders>
              <w:top w:val="nil"/>
              <w:left w:val="nil"/>
              <w:bottom w:val="single" w:sz="4" w:space="0" w:color="auto"/>
              <w:right w:val="single" w:sz="4" w:space="0" w:color="auto"/>
            </w:tcBorders>
            <w:shd w:val="clear" w:color="auto" w:fill="auto"/>
            <w:vAlign w:val="center"/>
            <w:hideMark/>
          </w:tcPr>
          <w:p w14:paraId="215200B3"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In (zvyšuje náklady)</w:t>
            </w:r>
          </w:p>
        </w:tc>
        <w:tc>
          <w:tcPr>
            <w:tcW w:w="0" w:type="auto"/>
            <w:tcBorders>
              <w:top w:val="nil"/>
              <w:left w:val="nil"/>
              <w:bottom w:val="single" w:sz="4" w:space="0" w:color="auto"/>
              <w:right w:val="single" w:sz="4" w:space="0" w:color="auto"/>
            </w:tcBorders>
            <w:shd w:val="clear" w:color="auto" w:fill="auto"/>
            <w:vAlign w:val="center"/>
            <w:hideMark/>
          </w:tcPr>
          <w:p w14:paraId="61F18514" w14:textId="77777777" w:rsidR="000F5824" w:rsidRPr="000F5824" w:rsidRDefault="000F5824" w:rsidP="000F5824">
            <w:pPr>
              <w:spacing w:after="0" w:line="240" w:lineRule="auto"/>
              <w:jc w:val="center"/>
              <w:rPr>
                <w:rFonts w:ascii="Times New Roman" w:eastAsia="Times New Roman" w:hAnsi="Times New Roman" w:cs="Times New Roman"/>
                <w:sz w:val="20"/>
                <w:szCs w:val="20"/>
                <w:lang w:eastAsia="sk-SK"/>
              </w:rPr>
            </w:pPr>
            <w:r w:rsidRPr="000F5824">
              <w:rPr>
                <w:rFonts w:ascii="Times New Roman" w:eastAsia="Times New Roman" w:hAnsi="Times New Roman" w:cs="Times New Roman"/>
                <w:sz w:val="20"/>
                <w:szCs w:val="20"/>
                <w:lang w:eastAsia="sk-SK"/>
              </w:rPr>
              <w:t>0</w:t>
            </w:r>
          </w:p>
        </w:tc>
        <w:tc>
          <w:tcPr>
            <w:tcW w:w="0" w:type="auto"/>
            <w:tcBorders>
              <w:top w:val="nil"/>
              <w:left w:val="nil"/>
              <w:bottom w:val="single" w:sz="4" w:space="0" w:color="auto"/>
              <w:right w:val="single" w:sz="4" w:space="0" w:color="auto"/>
            </w:tcBorders>
            <w:shd w:val="clear" w:color="auto" w:fill="auto"/>
            <w:vAlign w:val="center"/>
            <w:hideMark/>
          </w:tcPr>
          <w:p w14:paraId="098B36FF"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0</w:t>
            </w:r>
          </w:p>
        </w:tc>
      </w:tr>
      <w:tr w:rsidR="000F5824" w:rsidRPr="000F5824" w14:paraId="22BFE203" w14:textId="77777777" w:rsidTr="000F5824">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A2B045"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6</w:t>
            </w:r>
          </w:p>
        </w:tc>
        <w:tc>
          <w:tcPr>
            <w:tcW w:w="0" w:type="auto"/>
            <w:tcBorders>
              <w:top w:val="nil"/>
              <w:left w:val="nil"/>
              <w:bottom w:val="single" w:sz="4" w:space="0" w:color="auto"/>
              <w:right w:val="single" w:sz="4" w:space="0" w:color="auto"/>
            </w:tcBorders>
            <w:shd w:val="clear" w:color="auto" w:fill="auto"/>
            <w:vAlign w:val="center"/>
            <w:hideMark/>
          </w:tcPr>
          <w:p w14:paraId="6E51090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Poskytnutie vysvetlení nie formou online rozhrania</w:t>
            </w:r>
          </w:p>
        </w:tc>
        <w:tc>
          <w:tcPr>
            <w:tcW w:w="0" w:type="auto"/>
            <w:tcBorders>
              <w:top w:val="nil"/>
              <w:left w:val="nil"/>
              <w:bottom w:val="single" w:sz="4" w:space="0" w:color="auto"/>
              <w:right w:val="single" w:sz="4" w:space="0" w:color="auto"/>
            </w:tcBorders>
            <w:shd w:val="clear" w:color="auto" w:fill="auto"/>
            <w:vAlign w:val="center"/>
            <w:hideMark/>
          </w:tcPr>
          <w:p w14:paraId="35D33F36"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Čl. I</w:t>
            </w:r>
            <w:r w:rsidRPr="000F5824">
              <w:rPr>
                <w:rFonts w:ascii="Times New Roman" w:eastAsia="Times New Roman" w:hAnsi="Times New Roman" w:cs="Times New Roman"/>
                <w:color w:val="000000"/>
                <w:sz w:val="20"/>
                <w:szCs w:val="20"/>
                <w:lang w:eastAsia="sk-SK"/>
              </w:rPr>
              <w:br/>
              <w:t>Návrh zákona</w:t>
            </w:r>
          </w:p>
        </w:tc>
        <w:tc>
          <w:tcPr>
            <w:tcW w:w="0" w:type="auto"/>
            <w:tcBorders>
              <w:top w:val="nil"/>
              <w:left w:val="nil"/>
              <w:bottom w:val="single" w:sz="4" w:space="0" w:color="auto"/>
              <w:right w:val="single" w:sz="4" w:space="0" w:color="auto"/>
            </w:tcBorders>
            <w:shd w:val="clear" w:color="auto" w:fill="auto"/>
            <w:vAlign w:val="center"/>
            <w:hideMark/>
          </w:tcPr>
          <w:p w14:paraId="042CB7FD"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4 ods. 3</w:t>
            </w:r>
          </w:p>
        </w:tc>
        <w:tc>
          <w:tcPr>
            <w:tcW w:w="0" w:type="auto"/>
            <w:tcBorders>
              <w:top w:val="nil"/>
              <w:left w:val="nil"/>
              <w:bottom w:val="single" w:sz="4" w:space="0" w:color="auto"/>
              <w:right w:val="single" w:sz="4" w:space="0" w:color="auto"/>
            </w:tcBorders>
            <w:shd w:val="clear" w:color="auto" w:fill="auto"/>
            <w:vAlign w:val="center"/>
            <w:hideMark/>
          </w:tcPr>
          <w:p w14:paraId="429B0F52"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EÚ úplná harmonizácia</w:t>
            </w:r>
          </w:p>
        </w:tc>
        <w:tc>
          <w:tcPr>
            <w:tcW w:w="0" w:type="auto"/>
            <w:tcBorders>
              <w:top w:val="nil"/>
              <w:left w:val="nil"/>
              <w:bottom w:val="single" w:sz="4" w:space="0" w:color="auto"/>
              <w:right w:val="single" w:sz="4" w:space="0" w:color="auto"/>
            </w:tcBorders>
            <w:shd w:val="clear" w:color="auto" w:fill="auto"/>
            <w:vAlign w:val="center"/>
            <w:hideMark/>
          </w:tcPr>
          <w:p w14:paraId="51A78F49"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19.06.26</w:t>
            </w:r>
          </w:p>
        </w:tc>
        <w:tc>
          <w:tcPr>
            <w:tcW w:w="0" w:type="auto"/>
            <w:tcBorders>
              <w:top w:val="nil"/>
              <w:left w:val="nil"/>
              <w:bottom w:val="single" w:sz="4" w:space="0" w:color="auto"/>
              <w:right w:val="single" w:sz="4" w:space="0" w:color="auto"/>
            </w:tcBorders>
            <w:shd w:val="clear" w:color="auto" w:fill="auto"/>
            <w:vAlign w:val="center"/>
            <w:hideMark/>
          </w:tcPr>
          <w:p w14:paraId="2430BCD6"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obchodníci s finančnými službami na diaľku</w:t>
            </w:r>
          </w:p>
        </w:tc>
        <w:tc>
          <w:tcPr>
            <w:tcW w:w="0" w:type="auto"/>
            <w:tcBorders>
              <w:top w:val="nil"/>
              <w:left w:val="nil"/>
              <w:bottom w:val="single" w:sz="4" w:space="0" w:color="auto"/>
              <w:right w:val="single" w:sz="4" w:space="0" w:color="auto"/>
            </w:tcBorders>
            <w:shd w:val="clear" w:color="auto" w:fill="auto"/>
            <w:vAlign w:val="center"/>
            <w:hideMark/>
          </w:tcPr>
          <w:p w14:paraId="7CC924FF" w14:textId="77777777" w:rsidR="000F5824" w:rsidRPr="000F5824" w:rsidRDefault="000F5824" w:rsidP="000F5824">
            <w:pPr>
              <w:spacing w:after="0" w:line="240" w:lineRule="auto"/>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xml:space="preserve">               200 </w:t>
            </w:r>
          </w:p>
        </w:tc>
        <w:tc>
          <w:tcPr>
            <w:tcW w:w="0" w:type="auto"/>
            <w:tcBorders>
              <w:top w:val="nil"/>
              <w:left w:val="nil"/>
              <w:bottom w:val="single" w:sz="4" w:space="0" w:color="auto"/>
              <w:right w:val="single" w:sz="4" w:space="0" w:color="auto"/>
            </w:tcBorders>
            <w:shd w:val="clear" w:color="auto" w:fill="auto"/>
            <w:vAlign w:val="center"/>
            <w:hideMark/>
          </w:tcPr>
          <w:p w14:paraId="4B9D40E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122 410</w:t>
            </w:r>
          </w:p>
        </w:tc>
        <w:tc>
          <w:tcPr>
            <w:tcW w:w="0" w:type="auto"/>
            <w:tcBorders>
              <w:top w:val="nil"/>
              <w:left w:val="nil"/>
              <w:bottom w:val="single" w:sz="4" w:space="0" w:color="auto"/>
              <w:right w:val="single" w:sz="4" w:space="0" w:color="auto"/>
            </w:tcBorders>
            <w:shd w:val="clear" w:color="auto" w:fill="auto"/>
            <w:vAlign w:val="center"/>
            <w:hideMark/>
          </w:tcPr>
          <w:p w14:paraId="6ACE9D2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24 482 043</w:t>
            </w:r>
          </w:p>
        </w:tc>
        <w:tc>
          <w:tcPr>
            <w:tcW w:w="0" w:type="auto"/>
            <w:tcBorders>
              <w:top w:val="nil"/>
              <w:left w:val="nil"/>
              <w:bottom w:val="single" w:sz="4" w:space="0" w:color="auto"/>
              <w:right w:val="single" w:sz="4" w:space="0" w:color="auto"/>
            </w:tcBorders>
            <w:shd w:val="clear" w:color="auto" w:fill="auto"/>
            <w:vAlign w:val="center"/>
            <w:hideMark/>
          </w:tcPr>
          <w:p w14:paraId="136EC6F8"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In (zvyšuje náklady)</w:t>
            </w:r>
          </w:p>
        </w:tc>
        <w:tc>
          <w:tcPr>
            <w:tcW w:w="0" w:type="auto"/>
            <w:tcBorders>
              <w:top w:val="nil"/>
              <w:left w:val="nil"/>
              <w:bottom w:val="single" w:sz="4" w:space="0" w:color="auto"/>
              <w:right w:val="single" w:sz="4" w:space="0" w:color="auto"/>
            </w:tcBorders>
            <w:shd w:val="clear" w:color="auto" w:fill="auto"/>
            <w:vAlign w:val="center"/>
            <w:hideMark/>
          </w:tcPr>
          <w:p w14:paraId="1BD3D2C4" w14:textId="77777777" w:rsidR="000F5824" w:rsidRPr="000F5824" w:rsidRDefault="000F5824" w:rsidP="000F5824">
            <w:pPr>
              <w:spacing w:after="0" w:line="240" w:lineRule="auto"/>
              <w:jc w:val="center"/>
              <w:rPr>
                <w:rFonts w:ascii="Times New Roman" w:eastAsia="Times New Roman" w:hAnsi="Times New Roman" w:cs="Times New Roman"/>
                <w:sz w:val="20"/>
                <w:szCs w:val="20"/>
                <w:lang w:eastAsia="sk-SK"/>
              </w:rPr>
            </w:pPr>
            <w:r w:rsidRPr="000F5824">
              <w:rPr>
                <w:rFonts w:ascii="Times New Roman" w:eastAsia="Times New Roman" w:hAnsi="Times New Roman" w:cs="Times New Roman"/>
                <w:sz w:val="20"/>
                <w:szCs w:val="20"/>
                <w:lang w:eastAsia="sk-SK"/>
              </w:rPr>
              <w:t>0</w:t>
            </w:r>
          </w:p>
        </w:tc>
        <w:tc>
          <w:tcPr>
            <w:tcW w:w="0" w:type="auto"/>
            <w:tcBorders>
              <w:top w:val="nil"/>
              <w:left w:val="nil"/>
              <w:bottom w:val="single" w:sz="4" w:space="0" w:color="auto"/>
              <w:right w:val="single" w:sz="4" w:space="0" w:color="auto"/>
            </w:tcBorders>
            <w:shd w:val="clear" w:color="auto" w:fill="auto"/>
            <w:vAlign w:val="center"/>
            <w:hideMark/>
          </w:tcPr>
          <w:p w14:paraId="2849654C"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0</w:t>
            </w:r>
          </w:p>
        </w:tc>
      </w:tr>
      <w:tr w:rsidR="000F5824" w:rsidRPr="000F5824" w14:paraId="7A803478" w14:textId="77777777" w:rsidTr="000F5824">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4E58EB"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7</w:t>
            </w:r>
          </w:p>
        </w:tc>
        <w:tc>
          <w:tcPr>
            <w:tcW w:w="0" w:type="auto"/>
            <w:tcBorders>
              <w:top w:val="nil"/>
              <w:left w:val="nil"/>
              <w:bottom w:val="single" w:sz="4" w:space="0" w:color="auto"/>
              <w:right w:val="single" w:sz="4" w:space="0" w:color="auto"/>
            </w:tcBorders>
            <w:shd w:val="clear" w:color="auto" w:fill="auto"/>
            <w:vAlign w:val="center"/>
            <w:hideMark/>
          </w:tcPr>
          <w:p w14:paraId="76B6025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Nastavenie online rozhrania v súlade so zákonnými požiadavkami</w:t>
            </w:r>
          </w:p>
        </w:tc>
        <w:tc>
          <w:tcPr>
            <w:tcW w:w="0" w:type="auto"/>
            <w:tcBorders>
              <w:top w:val="nil"/>
              <w:left w:val="nil"/>
              <w:bottom w:val="single" w:sz="4" w:space="0" w:color="auto"/>
              <w:right w:val="single" w:sz="4" w:space="0" w:color="auto"/>
            </w:tcBorders>
            <w:shd w:val="clear" w:color="auto" w:fill="auto"/>
            <w:vAlign w:val="center"/>
            <w:hideMark/>
          </w:tcPr>
          <w:p w14:paraId="3F83BA3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Čl. I</w:t>
            </w:r>
            <w:r w:rsidRPr="000F5824">
              <w:rPr>
                <w:rFonts w:ascii="Times New Roman" w:eastAsia="Times New Roman" w:hAnsi="Times New Roman" w:cs="Times New Roman"/>
                <w:color w:val="000000"/>
                <w:sz w:val="20"/>
                <w:szCs w:val="20"/>
                <w:lang w:eastAsia="sk-SK"/>
              </w:rPr>
              <w:br/>
              <w:t>Návrh zákona</w:t>
            </w:r>
          </w:p>
        </w:tc>
        <w:tc>
          <w:tcPr>
            <w:tcW w:w="0" w:type="auto"/>
            <w:tcBorders>
              <w:top w:val="nil"/>
              <w:left w:val="nil"/>
              <w:bottom w:val="single" w:sz="4" w:space="0" w:color="auto"/>
              <w:right w:val="single" w:sz="4" w:space="0" w:color="auto"/>
            </w:tcBorders>
            <w:shd w:val="clear" w:color="auto" w:fill="auto"/>
            <w:vAlign w:val="center"/>
            <w:hideMark/>
          </w:tcPr>
          <w:p w14:paraId="3B8A987B"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9</w:t>
            </w:r>
          </w:p>
        </w:tc>
        <w:tc>
          <w:tcPr>
            <w:tcW w:w="0" w:type="auto"/>
            <w:tcBorders>
              <w:top w:val="nil"/>
              <w:left w:val="nil"/>
              <w:bottom w:val="single" w:sz="4" w:space="0" w:color="auto"/>
              <w:right w:val="single" w:sz="4" w:space="0" w:color="auto"/>
            </w:tcBorders>
            <w:shd w:val="clear" w:color="auto" w:fill="auto"/>
            <w:vAlign w:val="center"/>
            <w:hideMark/>
          </w:tcPr>
          <w:p w14:paraId="4F0886BE"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EÚ úplná harmonizácia</w:t>
            </w:r>
          </w:p>
        </w:tc>
        <w:tc>
          <w:tcPr>
            <w:tcW w:w="0" w:type="auto"/>
            <w:tcBorders>
              <w:top w:val="nil"/>
              <w:left w:val="nil"/>
              <w:bottom w:val="single" w:sz="4" w:space="0" w:color="auto"/>
              <w:right w:val="single" w:sz="4" w:space="0" w:color="auto"/>
            </w:tcBorders>
            <w:shd w:val="clear" w:color="auto" w:fill="auto"/>
            <w:vAlign w:val="center"/>
            <w:hideMark/>
          </w:tcPr>
          <w:p w14:paraId="1525FB9F"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19.06.26</w:t>
            </w:r>
          </w:p>
        </w:tc>
        <w:tc>
          <w:tcPr>
            <w:tcW w:w="0" w:type="auto"/>
            <w:tcBorders>
              <w:top w:val="nil"/>
              <w:left w:val="nil"/>
              <w:bottom w:val="single" w:sz="4" w:space="0" w:color="auto"/>
              <w:right w:val="single" w:sz="4" w:space="0" w:color="auto"/>
            </w:tcBorders>
            <w:shd w:val="clear" w:color="auto" w:fill="auto"/>
            <w:vAlign w:val="center"/>
            <w:hideMark/>
          </w:tcPr>
          <w:p w14:paraId="6D32B902"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obchodníci s finančnými službami na diaľku</w:t>
            </w:r>
          </w:p>
        </w:tc>
        <w:tc>
          <w:tcPr>
            <w:tcW w:w="0" w:type="auto"/>
            <w:tcBorders>
              <w:top w:val="nil"/>
              <w:left w:val="nil"/>
              <w:bottom w:val="single" w:sz="4" w:space="0" w:color="auto"/>
              <w:right w:val="single" w:sz="4" w:space="0" w:color="auto"/>
            </w:tcBorders>
            <w:shd w:val="clear" w:color="auto" w:fill="auto"/>
            <w:vAlign w:val="center"/>
            <w:hideMark/>
          </w:tcPr>
          <w:p w14:paraId="4DF06F0C" w14:textId="77777777" w:rsidR="000F5824" w:rsidRPr="000F5824" w:rsidRDefault="000F5824" w:rsidP="000F5824">
            <w:pPr>
              <w:spacing w:after="0" w:line="240" w:lineRule="auto"/>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xml:space="preserve">               200 </w:t>
            </w:r>
          </w:p>
        </w:tc>
        <w:tc>
          <w:tcPr>
            <w:tcW w:w="0" w:type="auto"/>
            <w:tcBorders>
              <w:top w:val="nil"/>
              <w:left w:val="nil"/>
              <w:bottom w:val="single" w:sz="4" w:space="0" w:color="auto"/>
              <w:right w:val="single" w:sz="4" w:space="0" w:color="auto"/>
            </w:tcBorders>
            <w:shd w:val="clear" w:color="auto" w:fill="auto"/>
            <w:vAlign w:val="center"/>
            <w:hideMark/>
          </w:tcPr>
          <w:p w14:paraId="1BE0F9CD"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200047,1696</w:t>
            </w:r>
          </w:p>
        </w:tc>
        <w:tc>
          <w:tcPr>
            <w:tcW w:w="0" w:type="auto"/>
            <w:tcBorders>
              <w:top w:val="nil"/>
              <w:left w:val="nil"/>
              <w:bottom w:val="single" w:sz="4" w:space="0" w:color="auto"/>
              <w:right w:val="single" w:sz="4" w:space="0" w:color="auto"/>
            </w:tcBorders>
            <w:shd w:val="clear" w:color="auto" w:fill="auto"/>
            <w:vAlign w:val="center"/>
            <w:hideMark/>
          </w:tcPr>
          <w:p w14:paraId="20DBEA2B"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40009433,93</w:t>
            </w:r>
          </w:p>
        </w:tc>
        <w:tc>
          <w:tcPr>
            <w:tcW w:w="0" w:type="auto"/>
            <w:tcBorders>
              <w:top w:val="nil"/>
              <w:left w:val="nil"/>
              <w:bottom w:val="single" w:sz="4" w:space="0" w:color="auto"/>
              <w:right w:val="single" w:sz="4" w:space="0" w:color="auto"/>
            </w:tcBorders>
            <w:shd w:val="clear" w:color="auto" w:fill="auto"/>
            <w:vAlign w:val="center"/>
            <w:hideMark/>
          </w:tcPr>
          <w:p w14:paraId="2FB32C0B"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In (zvyšuje náklady)</w:t>
            </w:r>
          </w:p>
        </w:tc>
        <w:tc>
          <w:tcPr>
            <w:tcW w:w="0" w:type="auto"/>
            <w:tcBorders>
              <w:top w:val="nil"/>
              <w:left w:val="nil"/>
              <w:bottom w:val="single" w:sz="4" w:space="0" w:color="auto"/>
              <w:right w:val="single" w:sz="4" w:space="0" w:color="auto"/>
            </w:tcBorders>
            <w:shd w:val="clear" w:color="auto" w:fill="auto"/>
            <w:vAlign w:val="center"/>
            <w:hideMark/>
          </w:tcPr>
          <w:p w14:paraId="07AD7339"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0</w:t>
            </w:r>
          </w:p>
        </w:tc>
        <w:tc>
          <w:tcPr>
            <w:tcW w:w="0" w:type="auto"/>
            <w:tcBorders>
              <w:top w:val="nil"/>
              <w:left w:val="nil"/>
              <w:bottom w:val="single" w:sz="4" w:space="0" w:color="auto"/>
              <w:right w:val="single" w:sz="4" w:space="0" w:color="auto"/>
            </w:tcBorders>
            <w:shd w:val="clear" w:color="auto" w:fill="auto"/>
            <w:vAlign w:val="center"/>
            <w:hideMark/>
          </w:tcPr>
          <w:p w14:paraId="242A014A"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0</w:t>
            </w:r>
          </w:p>
        </w:tc>
      </w:tr>
      <w:tr w:rsidR="000F5824" w:rsidRPr="000F5824" w14:paraId="4E93FD4A" w14:textId="77777777" w:rsidTr="000F5824">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69CF77"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8</w:t>
            </w:r>
          </w:p>
        </w:tc>
        <w:tc>
          <w:tcPr>
            <w:tcW w:w="0" w:type="auto"/>
            <w:tcBorders>
              <w:top w:val="nil"/>
              <w:left w:val="nil"/>
              <w:bottom w:val="single" w:sz="4" w:space="0" w:color="auto"/>
              <w:right w:val="single" w:sz="4" w:space="0" w:color="auto"/>
            </w:tcBorders>
            <w:shd w:val="clear" w:color="auto" w:fill="auto"/>
            <w:vAlign w:val="center"/>
            <w:hideMark/>
          </w:tcPr>
          <w:p w14:paraId="2D48C30D"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Prevádzkovanie online rozhrania v súlade so zákonnými požiadavkami</w:t>
            </w:r>
          </w:p>
        </w:tc>
        <w:tc>
          <w:tcPr>
            <w:tcW w:w="0" w:type="auto"/>
            <w:tcBorders>
              <w:top w:val="nil"/>
              <w:left w:val="nil"/>
              <w:bottom w:val="single" w:sz="4" w:space="0" w:color="auto"/>
              <w:right w:val="single" w:sz="4" w:space="0" w:color="auto"/>
            </w:tcBorders>
            <w:shd w:val="clear" w:color="auto" w:fill="auto"/>
            <w:vAlign w:val="center"/>
            <w:hideMark/>
          </w:tcPr>
          <w:p w14:paraId="5B6F93C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Čl. I</w:t>
            </w:r>
            <w:r w:rsidRPr="000F5824">
              <w:rPr>
                <w:rFonts w:ascii="Times New Roman" w:eastAsia="Times New Roman" w:hAnsi="Times New Roman" w:cs="Times New Roman"/>
                <w:color w:val="000000"/>
                <w:sz w:val="20"/>
                <w:szCs w:val="20"/>
                <w:lang w:eastAsia="sk-SK"/>
              </w:rPr>
              <w:br/>
              <w:t>Návrh zákona</w:t>
            </w:r>
          </w:p>
        </w:tc>
        <w:tc>
          <w:tcPr>
            <w:tcW w:w="0" w:type="auto"/>
            <w:tcBorders>
              <w:top w:val="nil"/>
              <w:left w:val="nil"/>
              <w:bottom w:val="single" w:sz="4" w:space="0" w:color="auto"/>
              <w:right w:val="single" w:sz="4" w:space="0" w:color="auto"/>
            </w:tcBorders>
            <w:shd w:val="clear" w:color="auto" w:fill="auto"/>
            <w:vAlign w:val="center"/>
            <w:hideMark/>
          </w:tcPr>
          <w:p w14:paraId="62841845"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9</w:t>
            </w:r>
          </w:p>
        </w:tc>
        <w:tc>
          <w:tcPr>
            <w:tcW w:w="0" w:type="auto"/>
            <w:tcBorders>
              <w:top w:val="nil"/>
              <w:left w:val="nil"/>
              <w:bottom w:val="single" w:sz="4" w:space="0" w:color="auto"/>
              <w:right w:val="single" w:sz="4" w:space="0" w:color="auto"/>
            </w:tcBorders>
            <w:shd w:val="clear" w:color="auto" w:fill="auto"/>
            <w:vAlign w:val="center"/>
            <w:hideMark/>
          </w:tcPr>
          <w:p w14:paraId="00A40203"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EÚ úplná harmonizácia</w:t>
            </w:r>
          </w:p>
        </w:tc>
        <w:tc>
          <w:tcPr>
            <w:tcW w:w="0" w:type="auto"/>
            <w:tcBorders>
              <w:top w:val="nil"/>
              <w:left w:val="nil"/>
              <w:bottom w:val="single" w:sz="4" w:space="0" w:color="auto"/>
              <w:right w:val="single" w:sz="4" w:space="0" w:color="auto"/>
            </w:tcBorders>
            <w:shd w:val="clear" w:color="auto" w:fill="auto"/>
            <w:vAlign w:val="center"/>
            <w:hideMark/>
          </w:tcPr>
          <w:p w14:paraId="2EEDD2A1"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19.06.26</w:t>
            </w:r>
          </w:p>
        </w:tc>
        <w:tc>
          <w:tcPr>
            <w:tcW w:w="0" w:type="auto"/>
            <w:tcBorders>
              <w:top w:val="nil"/>
              <w:left w:val="nil"/>
              <w:bottom w:val="single" w:sz="4" w:space="0" w:color="auto"/>
              <w:right w:val="single" w:sz="4" w:space="0" w:color="auto"/>
            </w:tcBorders>
            <w:shd w:val="clear" w:color="auto" w:fill="auto"/>
            <w:vAlign w:val="center"/>
            <w:hideMark/>
          </w:tcPr>
          <w:p w14:paraId="74B64467"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obchodníci s finančnými službami na diaľku</w:t>
            </w:r>
          </w:p>
        </w:tc>
        <w:tc>
          <w:tcPr>
            <w:tcW w:w="0" w:type="auto"/>
            <w:tcBorders>
              <w:top w:val="nil"/>
              <w:left w:val="nil"/>
              <w:bottom w:val="single" w:sz="4" w:space="0" w:color="auto"/>
              <w:right w:val="single" w:sz="4" w:space="0" w:color="auto"/>
            </w:tcBorders>
            <w:shd w:val="clear" w:color="auto" w:fill="auto"/>
            <w:vAlign w:val="center"/>
            <w:hideMark/>
          </w:tcPr>
          <w:p w14:paraId="0F6B0790" w14:textId="77777777" w:rsidR="000F5824" w:rsidRPr="000F5824" w:rsidRDefault="000F5824" w:rsidP="000F5824">
            <w:pPr>
              <w:spacing w:after="0" w:line="240" w:lineRule="auto"/>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xml:space="preserve">               200 </w:t>
            </w:r>
          </w:p>
        </w:tc>
        <w:tc>
          <w:tcPr>
            <w:tcW w:w="0" w:type="auto"/>
            <w:tcBorders>
              <w:top w:val="nil"/>
              <w:left w:val="nil"/>
              <w:bottom w:val="single" w:sz="4" w:space="0" w:color="auto"/>
              <w:right w:val="single" w:sz="4" w:space="0" w:color="auto"/>
            </w:tcBorders>
            <w:shd w:val="clear" w:color="auto" w:fill="auto"/>
            <w:vAlign w:val="center"/>
            <w:hideMark/>
          </w:tcPr>
          <w:p w14:paraId="180DDCFB"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26 023</w:t>
            </w:r>
          </w:p>
        </w:tc>
        <w:tc>
          <w:tcPr>
            <w:tcW w:w="0" w:type="auto"/>
            <w:tcBorders>
              <w:top w:val="nil"/>
              <w:left w:val="nil"/>
              <w:bottom w:val="single" w:sz="4" w:space="0" w:color="auto"/>
              <w:right w:val="single" w:sz="4" w:space="0" w:color="auto"/>
            </w:tcBorders>
            <w:shd w:val="clear" w:color="auto" w:fill="auto"/>
            <w:vAlign w:val="center"/>
            <w:hideMark/>
          </w:tcPr>
          <w:p w14:paraId="66E34F77"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5 204 503</w:t>
            </w:r>
          </w:p>
        </w:tc>
        <w:tc>
          <w:tcPr>
            <w:tcW w:w="0" w:type="auto"/>
            <w:tcBorders>
              <w:top w:val="nil"/>
              <w:left w:val="nil"/>
              <w:bottom w:val="single" w:sz="4" w:space="0" w:color="auto"/>
              <w:right w:val="single" w:sz="4" w:space="0" w:color="auto"/>
            </w:tcBorders>
            <w:shd w:val="clear" w:color="auto" w:fill="auto"/>
            <w:vAlign w:val="center"/>
            <w:hideMark/>
          </w:tcPr>
          <w:p w14:paraId="396C709B"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In (zvyšuje náklady)</w:t>
            </w:r>
          </w:p>
        </w:tc>
        <w:tc>
          <w:tcPr>
            <w:tcW w:w="0" w:type="auto"/>
            <w:tcBorders>
              <w:top w:val="nil"/>
              <w:left w:val="nil"/>
              <w:bottom w:val="single" w:sz="4" w:space="0" w:color="auto"/>
              <w:right w:val="single" w:sz="4" w:space="0" w:color="auto"/>
            </w:tcBorders>
            <w:shd w:val="clear" w:color="auto" w:fill="auto"/>
            <w:vAlign w:val="center"/>
            <w:hideMark/>
          </w:tcPr>
          <w:p w14:paraId="1028C520" w14:textId="77777777" w:rsidR="000F5824" w:rsidRPr="000F5824" w:rsidRDefault="000F5824" w:rsidP="000F5824">
            <w:pPr>
              <w:spacing w:after="0" w:line="240" w:lineRule="auto"/>
              <w:jc w:val="center"/>
              <w:rPr>
                <w:rFonts w:ascii="Times New Roman" w:eastAsia="Times New Roman" w:hAnsi="Times New Roman" w:cs="Times New Roman"/>
                <w:sz w:val="20"/>
                <w:szCs w:val="20"/>
                <w:lang w:eastAsia="sk-SK"/>
              </w:rPr>
            </w:pPr>
            <w:r w:rsidRPr="000F5824">
              <w:rPr>
                <w:rFonts w:ascii="Times New Roman" w:eastAsia="Times New Roman" w:hAnsi="Times New Roman" w:cs="Times New Roman"/>
                <w:sz w:val="20"/>
                <w:szCs w:val="20"/>
                <w:lang w:eastAsia="sk-SK"/>
              </w:rPr>
              <w:t>0</w:t>
            </w:r>
          </w:p>
        </w:tc>
        <w:tc>
          <w:tcPr>
            <w:tcW w:w="0" w:type="auto"/>
            <w:tcBorders>
              <w:top w:val="nil"/>
              <w:left w:val="nil"/>
              <w:bottom w:val="single" w:sz="4" w:space="0" w:color="auto"/>
              <w:right w:val="single" w:sz="4" w:space="0" w:color="auto"/>
            </w:tcBorders>
            <w:shd w:val="clear" w:color="auto" w:fill="auto"/>
            <w:vAlign w:val="center"/>
            <w:hideMark/>
          </w:tcPr>
          <w:p w14:paraId="071F15CD"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0</w:t>
            </w:r>
          </w:p>
        </w:tc>
      </w:tr>
      <w:tr w:rsidR="000F5824" w:rsidRPr="000F5824" w14:paraId="5FDFCC4B" w14:textId="77777777" w:rsidTr="000F5824">
        <w:trPr>
          <w:trHeight w:val="27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68D2FB"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9</w:t>
            </w:r>
          </w:p>
        </w:tc>
        <w:tc>
          <w:tcPr>
            <w:tcW w:w="0" w:type="auto"/>
            <w:tcBorders>
              <w:top w:val="nil"/>
              <w:left w:val="nil"/>
              <w:bottom w:val="single" w:sz="4" w:space="0" w:color="auto"/>
              <w:right w:val="single" w:sz="4" w:space="0" w:color="auto"/>
            </w:tcBorders>
            <w:shd w:val="clear" w:color="auto" w:fill="auto"/>
            <w:vAlign w:val="center"/>
            <w:hideMark/>
          </w:tcPr>
          <w:p w14:paraId="3672AB85"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Zavedenie funkcie na odstúpenie od zmluvy pre banky</w:t>
            </w:r>
          </w:p>
        </w:tc>
        <w:tc>
          <w:tcPr>
            <w:tcW w:w="0" w:type="auto"/>
            <w:tcBorders>
              <w:top w:val="nil"/>
              <w:left w:val="nil"/>
              <w:bottom w:val="single" w:sz="4" w:space="0" w:color="auto"/>
              <w:right w:val="single" w:sz="4" w:space="0" w:color="auto"/>
            </w:tcBorders>
            <w:shd w:val="clear" w:color="auto" w:fill="auto"/>
            <w:vAlign w:val="center"/>
            <w:hideMark/>
          </w:tcPr>
          <w:p w14:paraId="682AD9F7"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proofErr w:type="spellStart"/>
            <w:r w:rsidRPr="000F5824">
              <w:rPr>
                <w:rFonts w:ascii="Times New Roman" w:eastAsia="Times New Roman" w:hAnsi="Times New Roman" w:cs="Times New Roman"/>
                <w:color w:val="000000"/>
                <w:sz w:val="20"/>
                <w:szCs w:val="20"/>
                <w:lang w:eastAsia="sk-SK"/>
              </w:rPr>
              <w:t>Čl</w:t>
            </w:r>
            <w:proofErr w:type="spellEnd"/>
            <w:r w:rsidRPr="000F5824">
              <w:rPr>
                <w:rFonts w:ascii="Times New Roman" w:eastAsia="Times New Roman" w:hAnsi="Times New Roman" w:cs="Times New Roman"/>
                <w:color w:val="000000"/>
                <w:sz w:val="20"/>
                <w:szCs w:val="20"/>
                <w:lang w:eastAsia="sk-SK"/>
              </w:rPr>
              <w:t xml:space="preserve"> II</w:t>
            </w:r>
            <w:r w:rsidRPr="000F5824">
              <w:rPr>
                <w:rFonts w:ascii="Times New Roman" w:eastAsia="Times New Roman" w:hAnsi="Times New Roman" w:cs="Times New Roman"/>
                <w:color w:val="000000"/>
                <w:sz w:val="20"/>
                <w:szCs w:val="20"/>
                <w:lang w:eastAsia="sk-SK"/>
              </w:rPr>
              <w:br/>
              <w:t>Návrh zákona</w:t>
            </w:r>
          </w:p>
        </w:tc>
        <w:tc>
          <w:tcPr>
            <w:tcW w:w="0" w:type="auto"/>
            <w:tcBorders>
              <w:top w:val="nil"/>
              <w:left w:val="nil"/>
              <w:bottom w:val="single" w:sz="4" w:space="0" w:color="auto"/>
              <w:right w:val="single" w:sz="4" w:space="0" w:color="auto"/>
            </w:tcBorders>
            <w:shd w:val="clear" w:color="auto" w:fill="auto"/>
            <w:vAlign w:val="center"/>
            <w:hideMark/>
          </w:tcPr>
          <w:p w14:paraId="4EF8D1F7"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20a</w:t>
            </w:r>
          </w:p>
        </w:tc>
        <w:tc>
          <w:tcPr>
            <w:tcW w:w="0" w:type="auto"/>
            <w:tcBorders>
              <w:top w:val="nil"/>
              <w:left w:val="nil"/>
              <w:bottom w:val="single" w:sz="4" w:space="0" w:color="auto"/>
              <w:right w:val="single" w:sz="4" w:space="0" w:color="auto"/>
            </w:tcBorders>
            <w:shd w:val="clear" w:color="auto" w:fill="auto"/>
            <w:vAlign w:val="center"/>
            <w:hideMark/>
          </w:tcPr>
          <w:p w14:paraId="3A9BC686"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EÚ úplná harmonizácia</w:t>
            </w:r>
          </w:p>
        </w:tc>
        <w:tc>
          <w:tcPr>
            <w:tcW w:w="0" w:type="auto"/>
            <w:tcBorders>
              <w:top w:val="nil"/>
              <w:left w:val="nil"/>
              <w:bottom w:val="single" w:sz="4" w:space="0" w:color="auto"/>
              <w:right w:val="single" w:sz="4" w:space="0" w:color="auto"/>
            </w:tcBorders>
            <w:shd w:val="clear" w:color="auto" w:fill="auto"/>
            <w:vAlign w:val="center"/>
            <w:hideMark/>
          </w:tcPr>
          <w:p w14:paraId="051BDBB3"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19.06.26</w:t>
            </w:r>
          </w:p>
        </w:tc>
        <w:tc>
          <w:tcPr>
            <w:tcW w:w="0" w:type="auto"/>
            <w:tcBorders>
              <w:top w:val="nil"/>
              <w:left w:val="nil"/>
              <w:bottom w:val="single" w:sz="4" w:space="0" w:color="auto"/>
              <w:right w:val="single" w:sz="4" w:space="0" w:color="auto"/>
            </w:tcBorders>
            <w:shd w:val="clear" w:color="auto" w:fill="auto"/>
            <w:vAlign w:val="center"/>
            <w:hideMark/>
          </w:tcPr>
          <w:p w14:paraId="18C80D6A"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banky</w:t>
            </w:r>
          </w:p>
        </w:tc>
        <w:tc>
          <w:tcPr>
            <w:tcW w:w="0" w:type="auto"/>
            <w:tcBorders>
              <w:top w:val="nil"/>
              <w:left w:val="nil"/>
              <w:bottom w:val="single" w:sz="4" w:space="0" w:color="auto"/>
              <w:right w:val="single" w:sz="4" w:space="0" w:color="auto"/>
            </w:tcBorders>
            <w:shd w:val="clear" w:color="auto" w:fill="auto"/>
            <w:vAlign w:val="center"/>
            <w:hideMark/>
          </w:tcPr>
          <w:p w14:paraId="4DB75580" w14:textId="77777777" w:rsidR="000F5824" w:rsidRPr="000F5824" w:rsidRDefault="000F5824" w:rsidP="000F5824">
            <w:pPr>
              <w:spacing w:after="0" w:line="240" w:lineRule="auto"/>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xml:space="preserve">                 23 </w:t>
            </w:r>
          </w:p>
        </w:tc>
        <w:tc>
          <w:tcPr>
            <w:tcW w:w="0" w:type="auto"/>
            <w:tcBorders>
              <w:top w:val="nil"/>
              <w:left w:val="nil"/>
              <w:bottom w:val="single" w:sz="4" w:space="0" w:color="auto"/>
              <w:right w:val="single" w:sz="4" w:space="0" w:color="auto"/>
            </w:tcBorders>
            <w:shd w:val="clear" w:color="auto" w:fill="auto"/>
            <w:vAlign w:val="center"/>
            <w:hideMark/>
          </w:tcPr>
          <w:p w14:paraId="0D57FFF9"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127 264</w:t>
            </w:r>
          </w:p>
        </w:tc>
        <w:tc>
          <w:tcPr>
            <w:tcW w:w="0" w:type="auto"/>
            <w:tcBorders>
              <w:top w:val="nil"/>
              <w:left w:val="nil"/>
              <w:bottom w:val="single" w:sz="4" w:space="0" w:color="auto"/>
              <w:right w:val="single" w:sz="4" w:space="0" w:color="auto"/>
            </w:tcBorders>
            <w:shd w:val="clear" w:color="auto" w:fill="auto"/>
            <w:vAlign w:val="center"/>
            <w:hideMark/>
          </w:tcPr>
          <w:p w14:paraId="0403993A"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2 927 075</w:t>
            </w:r>
          </w:p>
        </w:tc>
        <w:tc>
          <w:tcPr>
            <w:tcW w:w="0" w:type="auto"/>
            <w:tcBorders>
              <w:top w:val="nil"/>
              <w:left w:val="nil"/>
              <w:bottom w:val="single" w:sz="4" w:space="0" w:color="auto"/>
              <w:right w:val="single" w:sz="4" w:space="0" w:color="auto"/>
            </w:tcBorders>
            <w:shd w:val="clear" w:color="auto" w:fill="auto"/>
            <w:vAlign w:val="center"/>
            <w:hideMark/>
          </w:tcPr>
          <w:p w14:paraId="1919E82A"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In (zvyšuje náklady)</w:t>
            </w:r>
          </w:p>
        </w:tc>
        <w:tc>
          <w:tcPr>
            <w:tcW w:w="0" w:type="auto"/>
            <w:tcBorders>
              <w:top w:val="nil"/>
              <w:left w:val="nil"/>
              <w:bottom w:val="single" w:sz="4" w:space="0" w:color="auto"/>
              <w:right w:val="single" w:sz="4" w:space="0" w:color="auto"/>
            </w:tcBorders>
            <w:shd w:val="clear" w:color="auto" w:fill="auto"/>
            <w:vAlign w:val="center"/>
            <w:hideMark/>
          </w:tcPr>
          <w:p w14:paraId="11EC5F8A" w14:textId="77777777" w:rsidR="000F5824" w:rsidRPr="000F5824" w:rsidRDefault="000F5824" w:rsidP="000F5824">
            <w:pPr>
              <w:spacing w:after="0" w:line="240" w:lineRule="auto"/>
              <w:jc w:val="center"/>
              <w:rPr>
                <w:rFonts w:ascii="Times New Roman" w:eastAsia="Times New Roman" w:hAnsi="Times New Roman" w:cs="Times New Roman"/>
                <w:sz w:val="20"/>
                <w:szCs w:val="20"/>
                <w:lang w:eastAsia="sk-SK"/>
              </w:rPr>
            </w:pPr>
            <w:r w:rsidRPr="000F5824">
              <w:rPr>
                <w:rFonts w:ascii="Times New Roman" w:eastAsia="Times New Roman" w:hAnsi="Times New Roman" w:cs="Times New Roman"/>
                <w:sz w:val="20"/>
                <w:szCs w:val="20"/>
                <w:lang w:eastAsia="sk-SK"/>
              </w:rPr>
              <w:t>0</w:t>
            </w:r>
          </w:p>
        </w:tc>
        <w:tc>
          <w:tcPr>
            <w:tcW w:w="0" w:type="auto"/>
            <w:tcBorders>
              <w:top w:val="nil"/>
              <w:left w:val="nil"/>
              <w:bottom w:val="single" w:sz="4" w:space="0" w:color="auto"/>
              <w:right w:val="single" w:sz="4" w:space="0" w:color="auto"/>
            </w:tcBorders>
            <w:shd w:val="clear" w:color="auto" w:fill="auto"/>
            <w:vAlign w:val="center"/>
            <w:hideMark/>
          </w:tcPr>
          <w:p w14:paraId="3419E12A"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0</w:t>
            </w:r>
          </w:p>
        </w:tc>
      </w:tr>
      <w:tr w:rsidR="000F5824" w:rsidRPr="000F5824" w14:paraId="074CB44D" w14:textId="77777777" w:rsidTr="000F5824">
        <w:trPr>
          <w:trHeight w:val="27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AD3064"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10</w:t>
            </w:r>
          </w:p>
        </w:tc>
        <w:tc>
          <w:tcPr>
            <w:tcW w:w="0" w:type="auto"/>
            <w:tcBorders>
              <w:top w:val="nil"/>
              <w:left w:val="nil"/>
              <w:bottom w:val="single" w:sz="4" w:space="0" w:color="auto"/>
              <w:right w:val="single" w:sz="4" w:space="0" w:color="auto"/>
            </w:tcBorders>
            <w:shd w:val="clear" w:color="auto" w:fill="auto"/>
            <w:vAlign w:val="center"/>
            <w:hideMark/>
          </w:tcPr>
          <w:p w14:paraId="3A262952"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Zavedenie funkcie na odstúpenie od zmluvy pre obchodníkov</w:t>
            </w:r>
          </w:p>
        </w:tc>
        <w:tc>
          <w:tcPr>
            <w:tcW w:w="0" w:type="auto"/>
            <w:tcBorders>
              <w:top w:val="nil"/>
              <w:left w:val="nil"/>
              <w:bottom w:val="single" w:sz="4" w:space="0" w:color="auto"/>
              <w:right w:val="single" w:sz="4" w:space="0" w:color="auto"/>
            </w:tcBorders>
            <w:shd w:val="clear" w:color="auto" w:fill="auto"/>
            <w:vAlign w:val="center"/>
            <w:hideMark/>
          </w:tcPr>
          <w:p w14:paraId="650C0315"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proofErr w:type="spellStart"/>
            <w:r w:rsidRPr="000F5824">
              <w:rPr>
                <w:rFonts w:ascii="Times New Roman" w:eastAsia="Times New Roman" w:hAnsi="Times New Roman" w:cs="Times New Roman"/>
                <w:color w:val="000000"/>
                <w:sz w:val="20"/>
                <w:szCs w:val="20"/>
                <w:lang w:eastAsia="sk-SK"/>
              </w:rPr>
              <w:t>Čl</w:t>
            </w:r>
            <w:proofErr w:type="spellEnd"/>
            <w:r w:rsidRPr="000F5824">
              <w:rPr>
                <w:rFonts w:ascii="Times New Roman" w:eastAsia="Times New Roman" w:hAnsi="Times New Roman" w:cs="Times New Roman"/>
                <w:color w:val="000000"/>
                <w:sz w:val="20"/>
                <w:szCs w:val="20"/>
                <w:lang w:eastAsia="sk-SK"/>
              </w:rPr>
              <w:t xml:space="preserve"> II</w:t>
            </w:r>
            <w:r w:rsidRPr="000F5824">
              <w:rPr>
                <w:rFonts w:ascii="Times New Roman" w:eastAsia="Times New Roman" w:hAnsi="Times New Roman" w:cs="Times New Roman"/>
                <w:color w:val="000000"/>
                <w:sz w:val="20"/>
                <w:szCs w:val="20"/>
                <w:lang w:eastAsia="sk-SK"/>
              </w:rPr>
              <w:br/>
              <w:t>Návrh zákona</w:t>
            </w:r>
          </w:p>
        </w:tc>
        <w:tc>
          <w:tcPr>
            <w:tcW w:w="0" w:type="auto"/>
            <w:tcBorders>
              <w:top w:val="nil"/>
              <w:left w:val="nil"/>
              <w:bottom w:val="single" w:sz="4" w:space="0" w:color="auto"/>
              <w:right w:val="single" w:sz="4" w:space="0" w:color="auto"/>
            </w:tcBorders>
            <w:shd w:val="clear" w:color="auto" w:fill="auto"/>
            <w:vAlign w:val="center"/>
            <w:hideMark/>
          </w:tcPr>
          <w:p w14:paraId="18DF23BC"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20a</w:t>
            </w:r>
          </w:p>
        </w:tc>
        <w:tc>
          <w:tcPr>
            <w:tcW w:w="0" w:type="auto"/>
            <w:tcBorders>
              <w:top w:val="nil"/>
              <w:left w:val="nil"/>
              <w:bottom w:val="single" w:sz="4" w:space="0" w:color="auto"/>
              <w:right w:val="single" w:sz="4" w:space="0" w:color="auto"/>
            </w:tcBorders>
            <w:shd w:val="clear" w:color="auto" w:fill="auto"/>
            <w:vAlign w:val="center"/>
            <w:hideMark/>
          </w:tcPr>
          <w:p w14:paraId="436A946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EÚ úplná harmonizácia</w:t>
            </w:r>
          </w:p>
        </w:tc>
        <w:tc>
          <w:tcPr>
            <w:tcW w:w="0" w:type="auto"/>
            <w:tcBorders>
              <w:top w:val="nil"/>
              <w:left w:val="nil"/>
              <w:bottom w:val="single" w:sz="4" w:space="0" w:color="auto"/>
              <w:right w:val="single" w:sz="4" w:space="0" w:color="auto"/>
            </w:tcBorders>
            <w:shd w:val="clear" w:color="auto" w:fill="auto"/>
            <w:vAlign w:val="center"/>
            <w:hideMark/>
          </w:tcPr>
          <w:p w14:paraId="6ACAFFBD"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19.06.26</w:t>
            </w:r>
          </w:p>
        </w:tc>
        <w:tc>
          <w:tcPr>
            <w:tcW w:w="0" w:type="auto"/>
            <w:tcBorders>
              <w:top w:val="nil"/>
              <w:left w:val="nil"/>
              <w:bottom w:val="single" w:sz="4" w:space="0" w:color="auto"/>
              <w:right w:val="single" w:sz="4" w:space="0" w:color="auto"/>
            </w:tcBorders>
            <w:shd w:val="clear" w:color="auto" w:fill="auto"/>
            <w:vAlign w:val="center"/>
            <w:hideMark/>
          </w:tcPr>
          <w:p w14:paraId="08C1DFD6"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obchodníci</w:t>
            </w:r>
          </w:p>
        </w:tc>
        <w:tc>
          <w:tcPr>
            <w:tcW w:w="0" w:type="auto"/>
            <w:tcBorders>
              <w:top w:val="nil"/>
              <w:left w:val="nil"/>
              <w:bottom w:val="single" w:sz="4" w:space="0" w:color="auto"/>
              <w:right w:val="single" w:sz="4" w:space="0" w:color="auto"/>
            </w:tcBorders>
            <w:shd w:val="clear" w:color="auto" w:fill="auto"/>
            <w:vAlign w:val="center"/>
            <w:hideMark/>
          </w:tcPr>
          <w:p w14:paraId="10B4D70F" w14:textId="77777777" w:rsidR="000F5824" w:rsidRPr="000F5824" w:rsidRDefault="000F5824" w:rsidP="000F5824">
            <w:pPr>
              <w:spacing w:after="0" w:line="240" w:lineRule="auto"/>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xml:space="preserve">          10 877 </w:t>
            </w:r>
          </w:p>
        </w:tc>
        <w:tc>
          <w:tcPr>
            <w:tcW w:w="0" w:type="auto"/>
            <w:tcBorders>
              <w:top w:val="nil"/>
              <w:left w:val="nil"/>
              <w:bottom w:val="single" w:sz="4" w:space="0" w:color="auto"/>
              <w:right w:val="single" w:sz="4" w:space="0" w:color="auto"/>
            </w:tcBorders>
            <w:shd w:val="clear" w:color="auto" w:fill="auto"/>
            <w:vAlign w:val="center"/>
            <w:hideMark/>
          </w:tcPr>
          <w:p w14:paraId="04AB046A"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4 764</w:t>
            </w:r>
          </w:p>
        </w:tc>
        <w:tc>
          <w:tcPr>
            <w:tcW w:w="0" w:type="auto"/>
            <w:tcBorders>
              <w:top w:val="nil"/>
              <w:left w:val="nil"/>
              <w:bottom w:val="single" w:sz="4" w:space="0" w:color="auto"/>
              <w:right w:val="single" w:sz="4" w:space="0" w:color="auto"/>
            </w:tcBorders>
            <w:shd w:val="clear" w:color="auto" w:fill="auto"/>
            <w:vAlign w:val="center"/>
            <w:hideMark/>
          </w:tcPr>
          <w:p w14:paraId="2FD4FF32"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51 819 585</w:t>
            </w:r>
          </w:p>
        </w:tc>
        <w:tc>
          <w:tcPr>
            <w:tcW w:w="0" w:type="auto"/>
            <w:tcBorders>
              <w:top w:val="nil"/>
              <w:left w:val="nil"/>
              <w:bottom w:val="single" w:sz="4" w:space="0" w:color="auto"/>
              <w:right w:val="single" w:sz="4" w:space="0" w:color="auto"/>
            </w:tcBorders>
            <w:shd w:val="clear" w:color="auto" w:fill="auto"/>
            <w:vAlign w:val="center"/>
            <w:hideMark/>
          </w:tcPr>
          <w:p w14:paraId="194EECD8"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In (zvyšuje náklady)</w:t>
            </w:r>
          </w:p>
        </w:tc>
        <w:tc>
          <w:tcPr>
            <w:tcW w:w="0" w:type="auto"/>
            <w:tcBorders>
              <w:top w:val="nil"/>
              <w:left w:val="nil"/>
              <w:bottom w:val="single" w:sz="4" w:space="0" w:color="auto"/>
              <w:right w:val="single" w:sz="4" w:space="0" w:color="auto"/>
            </w:tcBorders>
            <w:shd w:val="clear" w:color="auto" w:fill="auto"/>
            <w:vAlign w:val="center"/>
            <w:hideMark/>
          </w:tcPr>
          <w:p w14:paraId="03E0DF7B" w14:textId="77777777" w:rsidR="000F5824" w:rsidRPr="000F5824" w:rsidRDefault="000F5824" w:rsidP="000F5824">
            <w:pPr>
              <w:spacing w:after="0" w:line="240" w:lineRule="auto"/>
              <w:jc w:val="center"/>
              <w:rPr>
                <w:rFonts w:ascii="Times New Roman" w:eastAsia="Times New Roman" w:hAnsi="Times New Roman" w:cs="Times New Roman"/>
                <w:sz w:val="20"/>
                <w:szCs w:val="20"/>
                <w:lang w:eastAsia="sk-SK"/>
              </w:rPr>
            </w:pPr>
            <w:r w:rsidRPr="000F5824">
              <w:rPr>
                <w:rFonts w:ascii="Times New Roman" w:eastAsia="Times New Roman" w:hAnsi="Times New Roman" w:cs="Times New Roman"/>
                <w:sz w:val="20"/>
                <w:szCs w:val="20"/>
                <w:lang w:eastAsia="sk-SK"/>
              </w:rPr>
              <w:t>0</w:t>
            </w:r>
          </w:p>
        </w:tc>
        <w:tc>
          <w:tcPr>
            <w:tcW w:w="0" w:type="auto"/>
            <w:tcBorders>
              <w:top w:val="nil"/>
              <w:left w:val="nil"/>
              <w:bottom w:val="single" w:sz="4" w:space="0" w:color="auto"/>
              <w:right w:val="single" w:sz="4" w:space="0" w:color="auto"/>
            </w:tcBorders>
            <w:shd w:val="clear" w:color="auto" w:fill="auto"/>
            <w:vAlign w:val="center"/>
            <w:hideMark/>
          </w:tcPr>
          <w:p w14:paraId="64EA3052"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0</w:t>
            </w:r>
          </w:p>
        </w:tc>
      </w:tr>
      <w:tr w:rsidR="000F5824" w:rsidRPr="000F5824" w14:paraId="59278F2B" w14:textId="77777777" w:rsidTr="000F5824">
        <w:trPr>
          <w:trHeight w:val="27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ADA0C7"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11</w:t>
            </w:r>
          </w:p>
        </w:tc>
        <w:tc>
          <w:tcPr>
            <w:tcW w:w="0" w:type="auto"/>
            <w:tcBorders>
              <w:top w:val="nil"/>
              <w:left w:val="nil"/>
              <w:bottom w:val="single" w:sz="4" w:space="0" w:color="auto"/>
              <w:right w:val="single" w:sz="4" w:space="0" w:color="auto"/>
            </w:tcBorders>
            <w:shd w:val="clear" w:color="auto" w:fill="auto"/>
            <w:vAlign w:val="center"/>
            <w:hideMark/>
          </w:tcPr>
          <w:p w14:paraId="33FDAB9D"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Zmena v prílohe v pokynoch na vyplnenie</w:t>
            </w:r>
          </w:p>
        </w:tc>
        <w:tc>
          <w:tcPr>
            <w:tcW w:w="0" w:type="auto"/>
            <w:tcBorders>
              <w:top w:val="nil"/>
              <w:left w:val="nil"/>
              <w:bottom w:val="single" w:sz="4" w:space="0" w:color="auto"/>
              <w:right w:val="single" w:sz="4" w:space="0" w:color="auto"/>
            </w:tcBorders>
            <w:shd w:val="clear" w:color="auto" w:fill="auto"/>
            <w:vAlign w:val="center"/>
            <w:hideMark/>
          </w:tcPr>
          <w:p w14:paraId="25AD7E27"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proofErr w:type="spellStart"/>
            <w:r w:rsidRPr="000F5824">
              <w:rPr>
                <w:rFonts w:ascii="Times New Roman" w:eastAsia="Times New Roman" w:hAnsi="Times New Roman" w:cs="Times New Roman"/>
                <w:color w:val="000000"/>
                <w:sz w:val="20"/>
                <w:szCs w:val="20"/>
                <w:lang w:eastAsia="sk-SK"/>
              </w:rPr>
              <w:t>Čl</w:t>
            </w:r>
            <w:proofErr w:type="spellEnd"/>
            <w:r w:rsidRPr="000F5824">
              <w:rPr>
                <w:rFonts w:ascii="Times New Roman" w:eastAsia="Times New Roman" w:hAnsi="Times New Roman" w:cs="Times New Roman"/>
                <w:color w:val="000000"/>
                <w:sz w:val="20"/>
                <w:szCs w:val="20"/>
                <w:lang w:eastAsia="sk-SK"/>
              </w:rPr>
              <w:t xml:space="preserve"> II</w:t>
            </w:r>
            <w:r w:rsidRPr="000F5824">
              <w:rPr>
                <w:rFonts w:ascii="Times New Roman" w:eastAsia="Times New Roman" w:hAnsi="Times New Roman" w:cs="Times New Roman"/>
                <w:color w:val="000000"/>
                <w:sz w:val="20"/>
                <w:szCs w:val="20"/>
                <w:lang w:eastAsia="sk-SK"/>
              </w:rPr>
              <w:br/>
              <w:t>Návrh zákona</w:t>
            </w:r>
          </w:p>
        </w:tc>
        <w:tc>
          <w:tcPr>
            <w:tcW w:w="0" w:type="auto"/>
            <w:tcBorders>
              <w:top w:val="nil"/>
              <w:left w:val="nil"/>
              <w:bottom w:val="single" w:sz="4" w:space="0" w:color="auto"/>
              <w:right w:val="single" w:sz="4" w:space="0" w:color="auto"/>
            </w:tcBorders>
            <w:shd w:val="clear" w:color="auto" w:fill="auto"/>
            <w:vAlign w:val="center"/>
            <w:hideMark/>
          </w:tcPr>
          <w:p w14:paraId="0BCD6906"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Príloha č. 3</w:t>
            </w:r>
          </w:p>
        </w:tc>
        <w:tc>
          <w:tcPr>
            <w:tcW w:w="0" w:type="auto"/>
            <w:tcBorders>
              <w:top w:val="nil"/>
              <w:left w:val="nil"/>
              <w:bottom w:val="single" w:sz="4" w:space="0" w:color="auto"/>
              <w:right w:val="single" w:sz="4" w:space="0" w:color="auto"/>
            </w:tcBorders>
            <w:shd w:val="clear" w:color="auto" w:fill="auto"/>
            <w:vAlign w:val="center"/>
            <w:hideMark/>
          </w:tcPr>
          <w:p w14:paraId="6242D043"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EÚ úplná harmonizácia</w:t>
            </w:r>
          </w:p>
        </w:tc>
        <w:tc>
          <w:tcPr>
            <w:tcW w:w="0" w:type="auto"/>
            <w:tcBorders>
              <w:top w:val="nil"/>
              <w:left w:val="nil"/>
              <w:bottom w:val="single" w:sz="4" w:space="0" w:color="auto"/>
              <w:right w:val="single" w:sz="4" w:space="0" w:color="auto"/>
            </w:tcBorders>
            <w:shd w:val="clear" w:color="auto" w:fill="auto"/>
            <w:vAlign w:val="center"/>
            <w:hideMark/>
          </w:tcPr>
          <w:p w14:paraId="383C865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19.06.26</w:t>
            </w:r>
          </w:p>
        </w:tc>
        <w:tc>
          <w:tcPr>
            <w:tcW w:w="0" w:type="auto"/>
            <w:tcBorders>
              <w:top w:val="nil"/>
              <w:left w:val="nil"/>
              <w:bottom w:val="single" w:sz="4" w:space="0" w:color="auto"/>
              <w:right w:val="single" w:sz="4" w:space="0" w:color="auto"/>
            </w:tcBorders>
            <w:shd w:val="clear" w:color="auto" w:fill="auto"/>
            <w:vAlign w:val="center"/>
            <w:hideMark/>
          </w:tcPr>
          <w:p w14:paraId="04F97B17"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obchodníci</w:t>
            </w:r>
          </w:p>
        </w:tc>
        <w:tc>
          <w:tcPr>
            <w:tcW w:w="0" w:type="auto"/>
            <w:tcBorders>
              <w:top w:val="nil"/>
              <w:left w:val="nil"/>
              <w:bottom w:val="single" w:sz="4" w:space="0" w:color="auto"/>
              <w:right w:val="single" w:sz="4" w:space="0" w:color="auto"/>
            </w:tcBorders>
            <w:shd w:val="clear" w:color="auto" w:fill="auto"/>
            <w:vAlign w:val="center"/>
            <w:hideMark/>
          </w:tcPr>
          <w:p w14:paraId="71F3D487" w14:textId="77777777" w:rsidR="000F5824" w:rsidRPr="000F5824" w:rsidRDefault="000F5824" w:rsidP="000F5824">
            <w:pPr>
              <w:spacing w:after="0" w:line="240" w:lineRule="auto"/>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xml:space="preserve">          10 900 </w:t>
            </w:r>
          </w:p>
        </w:tc>
        <w:tc>
          <w:tcPr>
            <w:tcW w:w="0" w:type="auto"/>
            <w:tcBorders>
              <w:top w:val="nil"/>
              <w:left w:val="nil"/>
              <w:bottom w:val="single" w:sz="4" w:space="0" w:color="auto"/>
              <w:right w:val="single" w:sz="4" w:space="0" w:color="auto"/>
            </w:tcBorders>
            <w:shd w:val="clear" w:color="auto" w:fill="auto"/>
            <w:vAlign w:val="center"/>
            <w:hideMark/>
          </w:tcPr>
          <w:p w14:paraId="322D4192"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1 784</w:t>
            </w:r>
          </w:p>
        </w:tc>
        <w:tc>
          <w:tcPr>
            <w:tcW w:w="0" w:type="auto"/>
            <w:tcBorders>
              <w:top w:val="nil"/>
              <w:left w:val="nil"/>
              <w:bottom w:val="single" w:sz="4" w:space="0" w:color="auto"/>
              <w:right w:val="single" w:sz="4" w:space="0" w:color="auto"/>
            </w:tcBorders>
            <w:shd w:val="clear" w:color="auto" w:fill="auto"/>
            <w:vAlign w:val="center"/>
            <w:hideMark/>
          </w:tcPr>
          <w:p w14:paraId="0D3941B4"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19 443 141</w:t>
            </w:r>
          </w:p>
        </w:tc>
        <w:tc>
          <w:tcPr>
            <w:tcW w:w="0" w:type="auto"/>
            <w:tcBorders>
              <w:top w:val="nil"/>
              <w:left w:val="nil"/>
              <w:bottom w:val="single" w:sz="4" w:space="0" w:color="auto"/>
              <w:right w:val="single" w:sz="4" w:space="0" w:color="auto"/>
            </w:tcBorders>
            <w:shd w:val="clear" w:color="auto" w:fill="auto"/>
            <w:vAlign w:val="center"/>
            <w:hideMark/>
          </w:tcPr>
          <w:p w14:paraId="689A4AB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In (zvyšuje náklady)</w:t>
            </w:r>
          </w:p>
        </w:tc>
        <w:tc>
          <w:tcPr>
            <w:tcW w:w="0" w:type="auto"/>
            <w:tcBorders>
              <w:top w:val="nil"/>
              <w:left w:val="nil"/>
              <w:bottom w:val="single" w:sz="4" w:space="0" w:color="auto"/>
              <w:right w:val="single" w:sz="4" w:space="0" w:color="auto"/>
            </w:tcBorders>
            <w:shd w:val="clear" w:color="auto" w:fill="auto"/>
            <w:vAlign w:val="center"/>
            <w:hideMark/>
          </w:tcPr>
          <w:p w14:paraId="023039E7" w14:textId="77777777" w:rsidR="000F5824" w:rsidRPr="000F5824" w:rsidRDefault="000F5824" w:rsidP="000F5824">
            <w:pPr>
              <w:spacing w:after="0" w:line="240" w:lineRule="auto"/>
              <w:jc w:val="center"/>
              <w:rPr>
                <w:rFonts w:ascii="Times New Roman" w:eastAsia="Times New Roman" w:hAnsi="Times New Roman" w:cs="Times New Roman"/>
                <w:sz w:val="20"/>
                <w:szCs w:val="20"/>
                <w:lang w:eastAsia="sk-SK"/>
              </w:rPr>
            </w:pPr>
            <w:r w:rsidRPr="000F5824">
              <w:rPr>
                <w:rFonts w:ascii="Times New Roman" w:eastAsia="Times New Roman" w:hAnsi="Times New Roman" w:cs="Times New Roman"/>
                <w:sz w:val="20"/>
                <w:szCs w:val="20"/>
                <w:lang w:eastAsia="sk-SK"/>
              </w:rPr>
              <w:t>0</w:t>
            </w:r>
          </w:p>
        </w:tc>
        <w:tc>
          <w:tcPr>
            <w:tcW w:w="0" w:type="auto"/>
            <w:tcBorders>
              <w:top w:val="nil"/>
              <w:left w:val="nil"/>
              <w:bottom w:val="single" w:sz="4" w:space="0" w:color="auto"/>
              <w:right w:val="single" w:sz="4" w:space="0" w:color="auto"/>
            </w:tcBorders>
            <w:shd w:val="clear" w:color="auto" w:fill="auto"/>
            <w:vAlign w:val="center"/>
            <w:hideMark/>
          </w:tcPr>
          <w:p w14:paraId="0F29FEFB"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0</w:t>
            </w:r>
          </w:p>
        </w:tc>
      </w:tr>
      <w:tr w:rsidR="000F5824" w:rsidRPr="000F5824" w14:paraId="6E8D897B" w14:textId="77777777" w:rsidTr="000F5824">
        <w:trPr>
          <w:trHeight w:val="27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AC470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12</w:t>
            </w:r>
          </w:p>
        </w:tc>
        <w:tc>
          <w:tcPr>
            <w:tcW w:w="0" w:type="auto"/>
            <w:tcBorders>
              <w:top w:val="nil"/>
              <w:left w:val="nil"/>
              <w:bottom w:val="single" w:sz="4" w:space="0" w:color="auto"/>
              <w:right w:val="single" w:sz="4" w:space="0" w:color="auto"/>
            </w:tcBorders>
            <w:shd w:val="clear" w:color="auto" w:fill="auto"/>
            <w:vAlign w:val="center"/>
            <w:hideMark/>
          </w:tcPr>
          <w:p w14:paraId="352CB7CC"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Udelenie súhlasu pri komunikácii cez telefón</w:t>
            </w:r>
          </w:p>
        </w:tc>
        <w:tc>
          <w:tcPr>
            <w:tcW w:w="0" w:type="auto"/>
            <w:tcBorders>
              <w:top w:val="nil"/>
              <w:left w:val="nil"/>
              <w:bottom w:val="single" w:sz="4" w:space="0" w:color="auto"/>
              <w:right w:val="single" w:sz="4" w:space="0" w:color="auto"/>
            </w:tcBorders>
            <w:shd w:val="clear" w:color="auto" w:fill="auto"/>
            <w:vAlign w:val="center"/>
            <w:hideMark/>
          </w:tcPr>
          <w:p w14:paraId="0F93DD1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Čl. I</w:t>
            </w:r>
            <w:r w:rsidRPr="000F5824">
              <w:rPr>
                <w:rFonts w:ascii="Times New Roman" w:eastAsia="Times New Roman" w:hAnsi="Times New Roman" w:cs="Times New Roman"/>
                <w:color w:val="000000"/>
                <w:sz w:val="20"/>
                <w:szCs w:val="20"/>
                <w:lang w:eastAsia="sk-SK"/>
              </w:rPr>
              <w:br/>
              <w:t>Návrh zákona</w:t>
            </w:r>
          </w:p>
        </w:tc>
        <w:tc>
          <w:tcPr>
            <w:tcW w:w="0" w:type="auto"/>
            <w:tcBorders>
              <w:top w:val="nil"/>
              <w:left w:val="nil"/>
              <w:bottom w:val="single" w:sz="4" w:space="0" w:color="auto"/>
              <w:right w:val="single" w:sz="4" w:space="0" w:color="auto"/>
            </w:tcBorders>
            <w:shd w:val="clear" w:color="auto" w:fill="auto"/>
            <w:vAlign w:val="center"/>
            <w:hideMark/>
          </w:tcPr>
          <w:p w14:paraId="36945B05"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8</w:t>
            </w:r>
          </w:p>
        </w:tc>
        <w:tc>
          <w:tcPr>
            <w:tcW w:w="0" w:type="auto"/>
            <w:tcBorders>
              <w:top w:val="nil"/>
              <w:left w:val="nil"/>
              <w:bottom w:val="single" w:sz="4" w:space="0" w:color="auto"/>
              <w:right w:val="single" w:sz="4" w:space="0" w:color="auto"/>
            </w:tcBorders>
            <w:shd w:val="clear" w:color="auto" w:fill="auto"/>
            <w:vAlign w:val="center"/>
            <w:hideMark/>
          </w:tcPr>
          <w:p w14:paraId="7474AF19"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xml:space="preserve">3a) Rozšírenie rozsahu pôsobnosti smernice na subjekty nad rámec minimálnych </w:t>
            </w:r>
            <w:r w:rsidRPr="000F5824">
              <w:rPr>
                <w:rFonts w:ascii="Times New Roman" w:eastAsia="Times New Roman" w:hAnsi="Times New Roman" w:cs="Times New Roman"/>
                <w:color w:val="000000"/>
                <w:sz w:val="20"/>
                <w:szCs w:val="20"/>
                <w:lang w:eastAsia="sk-SK"/>
              </w:rPr>
              <w:lastRenderedPageBreak/>
              <w:t>požiadaviek smernice EÚ</w:t>
            </w:r>
          </w:p>
        </w:tc>
        <w:tc>
          <w:tcPr>
            <w:tcW w:w="0" w:type="auto"/>
            <w:tcBorders>
              <w:top w:val="nil"/>
              <w:left w:val="nil"/>
              <w:bottom w:val="single" w:sz="4" w:space="0" w:color="auto"/>
              <w:right w:val="single" w:sz="4" w:space="0" w:color="auto"/>
            </w:tcBorders>
            <w:shd w:val="clear" w:color="auto" w:fill="auto"/>
            <w:vAlign w:val="center"/>
            <w:hideMark/>
          </w:tcPr>
          <w:p w14:paraId="3B6E3B95"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lastRenderedPageBreak/>
              <w:t>19.06.26</w:t>
            </w:r>
          </w:p>
        </w:tc>
        <w:tc>
          <w:tcPr>
            <w:tcW w:w="0" w:type="auto"/>
            <w:tcBorders>
              <w:top w:val="nil"/>
              <w:left w:val="nil"/>
              <w:bottom w:val="single" w:sz="4" w:space="0" w:color="auto"/>
              <w:right w:val="single" w:sz="4" w:space="0" w:color="auto"/>
            </w:tcBorders>
            <w:shd w:val="clear" w:color="auto" w:fill="auto"/>
            <w:vAlign w:val="center"/>
            <w:hideMark/>
          </w:tcPr>
          <w:p w14:paraId="0EF09361"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obchodníci s finančnými službami na diaľku</w:t>
            </w:r>
          </w:p>
        </w:tc>
        <w:tc>
          <w:tcPr>
            <w:tcW w:w="0" w:type="auto"/>
            <w:tcBorders>
              <w:top w:val="nil"/>
              <w:left w:val="nil"/>
              <w:bottom w:val="single" w:sz="4" w:space="0" w:color="auto"/>
              <w:right w:val="single" w:sz="4" w:space="0" w:color="auto"/>
            </w:tcBorders>
            <w:shd w:val="clear" w:color="auto" w:fill="auto"/>
            <w:vAlign w:val="center"/>
            <w:hideMark/>
          </w:tcPr>
          <w:p w14:paraId="3E52B852" w14:textId="77777777" w:rsidR="000F5824" w:rsidRPr="000F5824" w:rsidRDefault="000F5824" w:rsidP="000F5824">
            <w:pPr>
              <w:spacing w:after="0" w:line="240" w:lineRule="auto"/>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xml:space="preserve">               200 </w:t>
            </w:r>
          </w:p>
        </w:tc>
        <w:tc>
          <w:tcPr>
            <w:tcW w:w="0" w:type="auto"/>
            <w:tcBorders>
              <w:top w:val="nil"/>
              <w:left w:val="nil"/>
              <w:bottom w:val="single" w:sz="4" w:space="0" w:color="auto"/>
              <w:right w:val="single" w:sz="4" w:space="0" w:color="auto"/>
            </w:tcBorders>
            <w:shd w:val="clear" w:color="auto" w:fill="auto"/>
            <w:vAlign w:val="center"/>
            <w:hideMark/>
          </w:tcPr>
          <w:p w14:paraId="0675F197"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2 556</w:t>
            </w:r>
          </w:p>
        </w:tc>
        <w:tc>
          <w:tcPr>
            <w:tcW w:w="0" w:type="auto"/>
            <w:tcBorders>
              <w:top w:val="nil"/>
              <w:left w:val="nil"/>
              <w:bottom w:val="single" w:sz="4" w:space="0" w:color="auto"/>
              <w:right w:val="single" w:sz="4" w:space="0" w:color="auto"/>
            </w:tcBorders>
            <w:shd w:val="clear" w:color="auto" w:fill="auto"/>
            <w:vAlign w:val="center"/>
            <w:hideMark/>
          </w:tcPr>
          <w:p w14:paraId="75C1F27D"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511 258</w:t>
            </w:r>
          </w:p>
        </w:tc>
        <w:tc>
          <w:tcPr>
            <w:tcW w:w="0" w:type="auto"/>
            <w:tcBorders>
              <w:top w:val="nil"/>
              <w:left w:val="nil"/>
              <w:bottom w:val="single" w:sz="4" w:space="0" w:color="auto"/>
              <w:right w:val="single" w:sz="4" w:space="0" w:color="auto"/>
            </w:tcBorders>
            <w:shd w:val="clear" w:color="auto" w:fill="auto"/>
            <w:vAlign w:val="center"/>
            <w:hideMark/>
          </w:tcPr>
          <w:p w14:paraId="2C808DF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In (zvyšuje náklady)</w:t>
            </w:r>
          </w:p>
        </w:tc>
        <w:tc>
          <w:tcPr>
            <w:tcW w:w="0" w:type="auto"/>
            <w:tcBorders>
              <w:top w:val="nil"/>
              <w:left w:val="nil"/>
              <w:bottom w:val="single" w:sz="4" w:space="0" w:color="auto"/>
              <w:right w:val="single" w:sz="4" w:space="0" w:color="auto"/>
            </w:tcBorders>
            <w:shd w:val="clear" w:color="auto" w:fill="auto"/>
            <w:vAlign w:val="center"/>
            <w:hideMark/>
          </w:tcPr>
          <w:p w14:paraId="5AD1F2A6" w14:textId="77777777" w:rsidR="000F5824" w:rsidRPr="000F5824" w:rsidRDefault="000F5824" w:rsidP="000F5824">
            <w:pPr>
              <w:spacing w:after="0" w:line="240" w:lineRule="auto"/>
              <w:jc w:val="center"/>
              <w:rPr>
                <w:rFonts w:ascii="Times New Roman" w:eastAsia="Times New Roman" w:hAnsi="Times New Roman" w:cs="Times New Roman"/>
                <w:sz w:val="20"/>
                <w:szCs w:val="20"/>
                <w:lang w:eastAsia="sk-SK"/>
              </w:rPr>
            </w:pPr>
            <w:r w:rsidRPr="000F5824">
              <w:rPr>
                <w:rFonts w:ascii="Times New Roman" w:eastAsia="Times New Roman" w:hAnsi="Times New Roman" w:cs="Times New Roman"/>
                <w:sz w:val="20"/>
                <w:szCs w:val="20"/>
                <w:lang w:eastAsia="sk-SK"/>
              </w:rPr>
              <w:t>511 258</w:t>
            </w:r>
          </w:p>
        </w:tc>
        <w:tc>
          <w:tcPr>
            <w:tcW w:w="0" w:type="auto"/>
            <w:tcBorders>
              <w:top w:val="nil"/>
              <w:left w:val="nil"/>
              <w:bottom w:val="single" w:sz="4" w:space="0" w:color="auto"/>
              <w:right w:val="single" w:sz="4" w:space="0" w:color="auto"/>
            </w:tcBorders>
            <w:shd w:val="clear" w:color="auto" w:fill="auto"/>
            <w:vAlign w:val="center"/>
            <w:hideMark/>
          </w:tcPr>
          <w:p w14:paraId="4356A891"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511 258</w:t>
            </w:r>
          </w:p>
        </w:tc>
      </w:tr>
      <w:tr w:rsidR="000F5824" w:rsidRPr="000F5824" w14:paraId="1509BCDE" w14:textId="77777777" w:rsidTr="000F5824">
        <w:trPr>
          <w:trHeight w:val="27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E02679"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13</w:t>
            </w:r>
          </w:p>
        </w:tc>
        <w:tc>
          <w:tcPr>
            <w:tcW w:w="0" w:type="auto"/>
            <w:tcBorders>
              <w:top w:val="nil"/>
              <w:left w:val="nil"/>
              <w:bottom w:val="single" w:sz="4" w:space="0" w:color="auto"/>
              <w:right w:val="single" w:sz="4" w:space="0" w:color="auto"/>
            </w:tcBorders>
            <w:shd w:val="clear" w:color="auto" w:fill="auto"/>
            <w:vAlign w:val="center"/>
            <w:hideMark/>
          </w:tcPr>
          <w:p w14:paraId="2030D44A"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Povinnosť obchodníka zaslať informácie v listinnej podobe</w:t>
            </w:r>
          </w:p>
        </w:tc>
        <w:tc>
          <w:tcPr>
            <w:tcW w:w="0" w:type="auto"/>
            <w:tcBorders>
              <w:top w:val="nil"/>
              <w:left w:val="nil"/>
              <w:bottom w:val="single" w:sz="4" w:space="0" w:color="auto"/>
              <w:right w:val="single" w:sz="4" w:space="0" w:color="auto"/>
            </w:tcBorders>
            <w:shd w:val="clear" w:color="auto" w:fill="auto"/>
            <w:vAlign w:val="center"/>
            <w:hideMark/>
          </w:tcPr>
          <w:p w14:paraId="0C4CD6AE"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Čl. I</w:t>
            </w:r>
            <w:r w:rsidRPr="000F5824">
              <w:rPr>
                <w:rFonts w:ascii="Times New Roman" w:eastAsia="Times New Roman" w:hAnsi="Times New Roman" w:cs="Times New Roman"/>
                <w:color w:val="000000"/>
                <w:sz w:val="20"/>
                <w:szCs w:val="20"/>
                <w:lang w:eastAsia="sk-SK"/>
              </w:rPr>
              <w:br/>
              <w:t>Návrh zákona</w:t>
            </w:r>
          </w:p>
        </w:tc>
        <w:tc>
          <w:tcPr>
            <w:tcW w:w="0" w:type="auto"/>
            <w:tcBorders>
              <w:top w:val="nil"/>
              <w:left w:val="nil"/>
              <w:bottom w:val="single" w:sz="4" w:space="0" w:color="auto"/>
              <w:right w:val="single" w:sz="4" w:space="0" w:color="auto"/>
            </w:tcBorders>
            <w:shd w:val="clear" w:color="auto" w:fill="auto"/>
            <w:vAlign w:val="center"/>
            <w:hideMark/>
          </w:tcPr>
          <w:p w14:paraId="7AD482BC"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3 ods. 7</w:t>
            </w:r>
          </w:p>
        </w:tc>
        <w:tc>
          <w:tcPr>
            <w:tcW w:w="0" w:type="auto"/>
            <w:tcBorders>
              <w:top w:val="nil"/>
              <w:left w:val="nil"/>
              <w:bottom w:val="single" w:sz="4" w:space="0" w:color="auto"/>
              <w:right w:val="single" w:sz="4" w:space="0" w:color="auto"/>
            </w:tcBorders>
            <w:shd w:val="clear" w:color="auto" w:fill="auto"/>
            <w:vAlign w:val="center"/>
            <w:hideMark/>
          </w:tcPr>
          <w:p w14:paraId="45A868F9"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EÚ úplná harmonizácia</w:t>
            </w:r>
          </w:p>
        </w:tc>
        <w:tc>
          <w:tcPr>
            <w:tcW w:w="0" w:type="auto"/>
            <w:tcBorders>
              <w:top w:val="nil"/>
              <w:left w:val="nil"/>
              <w:bottom w:val="single" w:sz="4" w:space="0" w:color="auto"/>
              <w:right w:val="single" w:sz="4" w:space="0" w:color="auto"/>
            </w:tcBorders>
            <w:shd w:val="clear" w:color="auto" w:fill="auto"/>
            <w:vAlign w:val="center"/>
            <w:hideMark/>
          </w:tcPr>
          <w:p w14:paraId="68CFE9E7"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19.06.26</w:t>
            </w:r>
          </w:p>
        </w:tc>
        <w:tc>
          <w:tcPr>
            <w:tcW w:w="0" w:type="auto"/>
            <w:tcBorders>
              <w:top w:val="nil"/>
              <w:left w:val="nil"/>
              <w:bottom w:val="single" w:sz="4" w:space="0" w:color="auto"/>
              <w:right w:val="single" w:sz="4" w:space="0" w:color="auto"/>
            </w:tcBorders>
            <w:shd w:val="clear" w:color="auto" w:fill="auto"/>
            <w:vAlign w:val="center"/>
            <w:hideMark/>
          </w:tcPr>
          <w:p w14:paraId="0B4D2DC5"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obchodníci s finančnými službami na diaľku</w:t>
            </w:r>
          </w:p>
        </w:tc>
        <w:tc>
          <w:tcPr>
            <w:tcW w:w="0" w:type="auto"/>
            <w:tcBorders>
              <w:top w:val="nil"/>
              <w:left w:val="nil"/>
              <w:bottom w:val="single" w:sz="4" w:space="0" w:color="auto"/>
              <w:right w:val="single" w:sz="4" w:space="0" w:color="auto"/>
            </w:tcBorders>
            <w:shd w:val="clear" w:color="auto" w:fill="auto"/>
            <w:vAlign w:val="center"/>
            <w:hideMark/>
          </w:tcPr>
          <w:p w14:paraId="2AE192CB" w14:textId="77777777" w:rsidR="000F5824" w:rsidRPr="000F5824" w:rsidRDefault="000F5824" w:rsidP="000F5824">
            <w:pPr>
              <w:spacing w:after="0" w:line="240" w:lineRule="auto"/>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 xml:space="preserve">               200 </w:t>
            </w:r>
          </w:p>
        </w:tc>
        <w:tc>
          <w:tcPr>
            <w:tcW w:w="0" w:type="auto"/>
            <w:tcBorders>
              <w:top w:val="nil"/>
              <w:left w:val="nil"/>
              <w:bottom w:val="single" w:sz="4" w:space="0" w:color="auto"/>
              <w:right w:val="single" w:sz="4" w:space="0" w:color="auto"/>
            </w:tcBorders>
            <w:shd w:val="clear" w:color="auto" w:fill="auto"/>
            <w:vAlign w:val="center"/>
            <w:hideMark/>
          </w:tcPr>
          <w:p w14:paraId="2AC94060"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2 848</w:t>
            </w:r>
          </w:p>
        </w:tc>
        <w:tc>
          <w:tcPr>
            <w:tcW w:w="0" w:type="auto"/>
            <w:tcBorders>
              <w:top w:val="nil"/>
              <w:left w:val="nil"/>
              <w:bottom w:val="single" w:sz="4" w:space="0" w:color="auto"/>
              <w:right w:val="single" w:sz="4" w:space="0" w:color="auto"/>
            </w:tcBorders>
            <w:shd w:val="clear" w:color="auto" w:fill="auto"/>
            <w:vAlign w:val="center"/>
            <w:hideMark/>
          </w:tcPr>
          <w:p w14:paraId="05B7796C"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569 688</w:t>
            </w:r>
          </w:p>
        </w:tc>
        <w:tc>
          <w:tcPr>
            <w:tcW w:w="0" w:type="auto"/>
            <w:tcBorders>
              <w:top w:val="nil"/>
              <w:left w:val="nil"/>
              <w:bottom w:val="single" w:sz="4" w:space="0" w:color="auto"/>
              <w:right w:val="single" w:sz="4" w:space="0" w:color="auto"/>
            </w:tcBorders>
            <w:shd w:val="clear" w:color="auto" w:fill="auto"/>
            <w:vAlign w:val="center"/>
            <w:hideMark/>
          </w:tcPr>
          <w:p w14:paraId="6AB9CFD7"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In (zvyšuje náklady)</w:t>
            </w:r>
          </w:p>
        </w:tc>
        <w:tc>
          <w:tcPr>
            <w:tcW w:w="0" w:type="auto"/>
            <w:tcBorders>
              <w:top w:val="nil"/>
              <w:left w:val="nil"/>
              <w:bottom w:val="single" w:sz="4" w:space="0" w:color="auto"/>
              <w:right w:val="single" w:sz="4" w:space="0" w:color="auto"/>
            </w:tcBorders>
            <w:shd w:val="clear" w:color="auto" w:fill="auto"/>
            <w:vAlign w:val="center"/>
            <w:hideMark/>
          </w:tcPr>
          <w:p w14:paraId="7567605E" w14:textId="77777777" w:rsidR="000F5824" w:rsidRPr="000F5824" w:rsidRDefault="000F5824" w:rsidP="000F5824">
            <w:pPr>
              <w:spacing w:after="0" w:line="240" w:lineRule="auto"/>
              <w:jc w:val="center"/>
              <w:rPr>
                <w:rFonts w:ascii="Times New Roman" w:eastAsia="Times New Roman" w:hAnsi="Times New Roman" w:cs="Times New Roman"/>
                <w:sz w:val="20"/>
                <w:szCs w:val="20"/>
                <w:lang w:eastAsia="sk-SK"/>
              </w:rPr>
            </w:pPr>
            <w:r w:rsidRPr="000F5824">
              <w:rPr>
                <w:rFonts w:ascii="Times New Roman" w:eastAsia="Times New Roman" w:hAnsi="Times New Roman" w:cs="Times New Roman"/>
                <w:sz w:val="20"/>
                <w:szCs w:val="20"/>
                <w:lang w:eastAsia="sk-SK"/>
              </w:rPr>
              <w:t>0</w:t>
            </w:r>
          </w:p>
        </w:tc>
        <w:tc>
          <w:tcPr>
            <w:tcW w:w="0" w:type="auto"/>
            <w:tcBorders>
              <w:top w:val="nil"/>
              <w:left w:val="nil"/>
              <w:bottom w:val="single" w:sz="4" w:space="0" w:color="auto"/>
              <w:right w:val="single" w:sz="4" w:space="0" w:color="auto"/>
            </w:tcBorders>
            <w:shd w:val="clear" w:color="auto" w:fill="auto"/>
            <w:vAlign w:val="center"/>
            <w:hideMark/>
          </w:tcPr>
          <w:p w14:paraId="19E8DA41" w14:textId="77777777" w:rsidR="000F5824" w:rsidRPr="000F5824" w:rsidRDefault="000F5824" w:rsidP="000F5824">
            <w:pPr>
              <w:spacing w:after="0" w:line="240" w:lineRule="auto"/>
              <w:jc w:val="center"/>
              <w:rPr>
                <w:rFonts w:ascii="Times New Roman" w:eastAsia="Times New Roman" w:hAnsi="Times New Roman" w:cs="Times New Roman"/>
                <w:color w:val="000000"/>
                <w:sz w:val="20"/>
                <w:szCs w:val="20"/>
                <w:lang w:eastAsia="sk-SK"/>
              </w:rPr>
            </w:pPr>
            <w:r w:rsidRPr="000F5824">
              <w:rPr>
                <w:rFonts w:ascii="Times New Roman" w:eastAsia="Times New Roman" w:hAnsi="Times New Roman" w:cs="Times New Roman"/>
                <w:color w:val="000000"/>
                <w:sz w:val="20"/>
                <w:szCs w:val="20"/>
                <w:lang w:eastAsia="sk-SK"/>
              </w:rPr>
              <w:t>0</w:t>
            </w:r>
          </w:p>
        </w:tc>
      </w:tr>
    </w:tbl>
    <w:p w14:paraId="520734CD" w14:textId="77777777" w:rsidR="00054C41" w:rsidRPr="00895898" w:rsidRDefault="00054C41" w:rsidP="00054C41">
      <w:pPr>
        <w:jc w:val="both"/>
        <w:rPr>
          <w:rFonts w:ascii="Times New Roman" w:eastAsia="Calibri" w:hAnsi="Times New Roman" w:cs="Times New Roman"/>
          <w:i/>
        </w:rPr>
      </w:pPr>
    </w:p>
    <w:p w14:paraId="798179FB"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77318665" w14:textId="77777777" w:rsidR="00054C41" w:rsidRPr="001F1B43" w:rsidRDefault="00511F8F" w:rsidP="00054C41">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00054C41"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41FDC667" w14:textId="668FE7AA" w:rsidR="00054C41"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cs="Times New Roman"/>
          <w:bCs/>
          <w:i/>
          <w:iCs/>
          <w:color w:val="000000"/>
          <w:sz w:val="24"/>
          <w:szCs w:val="24"/>
        </w:rPr>
        <w:t>link</w:t>
      </w:r>
      <w:proofErr w:type="spellEnd"/>
      <w:r w:rsidRPr="00D8247C">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 xml:space="preserve">a poplatky, ktorých cieľom je znižovať negatívne </w:t>
      </w:r>
      <w:proofErr w:type="spellStart"/>
      <w:r w:rsidR="00A000DA" w:rsidRPr="00A000DA">
        <w:rPr>
          <w:rFonts w:ascii="Times New Roman" w:eastAsia="Calibri" w:hAnsi="Times New Roman" w:cs="Times New Roman"/>
          <w:bCs/>
          <w:i/>
          <w:iCs/>
          <w:color w:val="000000"/>
          <w:sz w:val="24"/>
          <w:szCs w:val="24"/>
        </w:rPr>
        <w:t>externality</w:t>
      </w:r>
      <w:proofErr w:type="spellEnd"/>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sidR="00024EE4">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sidR="00024EE4">
        <w:rPr>
          <w:rFonts w:ascii="Times New Roman" w:eastAsia="Calibri" w:hAnsi="Times New Roman" w:cs="Times New Roman"/>
          <w:bCs/>
          <w:i/>
          <w:iCs/>
          <w:color w:val="000000"/>
          <w:sz w:val="24"/>
          <w:szCs w:val="24"/>
        </w:rPr>
        <w:t>Nepriame finančné náklady</w:t>
      </w:r>
      <w:r w:rsidR="00A94A0F">
        <w:rPr>
          <w:rFonts w:ascii="Times New Roman" w:eastAsia="Calibri" w:hAnsi="Times New Roman" w:cs="Times New Roman"/>
          <w:bCs/>
          <w:i/>
          <w:iCs/>
          <w:color w:val="000000"/>
          <w:sz w:val="24"/>
          <w:szCs w:val="24"/>
        </w:rPr>
        <w:t xml:space="preserve">,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0E48DF92" w14:textId="541E2BEE" w:rsidR="00121BD4" w:rsidRPr="00BE0B5B" w:rsidRDefault="00121BD4" w:rsidP="00BE0B5B">
      <w:pPr>
        <w:jc w:val="both"/>
        <w:rPr>
          <w:rFonts w:ascii="Times New Roman" w:eastAsia="Calibri" w:hAnsi="Times New Roman" w:cs="Times New Roman"/>
          <w:sz w:val="24"/>
          <w:szCs w:val="24"/>
        </w:rPr>
      </w:pPr>
      <w:r w:rsidRPr="00BE0B5B">
        <w:rPr>
          <w:rFonts w:ascii="Times New Roman" w:eastAsia="Times New Roman" w:hAnsi="Times New Roman" w:cs="Times New Roman"/>
          <w:sz w:val="24"/>
          <w:szCs w:val="24"/>
          <w:lang w:eastAsia="sk-SK"/>
        </w:rPr>
        <w:t xml:space="preserve">V predkladanom návrhu zákona bolo identifikovaných </w:t>
      </w:r>
      <w:r w:rsidR="0011588C">
        <w:rPr>
          <w:rFonts w:ascii="Times New Roman" w:eastAsia="Times New Roman" w:hAnsi="Times New Roman" w:cs="Times New Roman"/>
          <w:sz w:val="24"/>
          <w:szCs w:val="24"/>
          <w:lang w:eastAsia="sk-SK"/>
        </w:rPr>
        <w:t>1</w:t>
      </w:r>
      <w:r w:rsidR="00C06F77">
        <w:rPr>
          <w:rFonts w:ascii="Times New Roman" w:eastAsia="Times New Roman" w:hAnsi="Times New Roman" w:cs="Times New Roman"/>
          <w:sz w:val="24"/>
          <w:szCs w:val="24"/>
          <w:lang w:eastAsia="sk-SK"/>
        </w:rPr>
        <w:t>3</w:t>
      </w:r>
      <w:r w:rsidRPr="00BE0B5B">
        <w:rPr>
          <w:rFonts w:ascii="Times New Roman" w:eastAsia="Times New Roman" w:hAnsi="Times New Roman" w:cs="Times New Roman"/>
          <w:sz w:val="24"/>
          <w:szCs w:val="24"/>
          <w:lang w:eastAsia="sk-SK"/>
        </w:rPr>
        <w:t xml:space="preserve"> regulácií s vplyvom na podnikateľs</w:t>
      </w:r>
      <w:r w:rsidR="00BE0B5B" w:rsidRPr="00BE0B5B">
        <w:rPr>
          <w:rFonts w:ascii="Times New Roman" w:eastAsia="Times New Roman" w:hAnsi="Times New Roman" w:cs="Times New Roman"/>
          <w:sz w:val="24"/>
          <w:szCs w:val="24"/>
          <w:lang w:eastAsia="sk-SK"/>
        </w:rPr>
        <w:t>ké prostredie, z ktorých žiadne</w:t>
      </w:r>
      <w:r w:rsidRPr="00BE0B5B">
        <w:rPr>
          <w:rFonts w:ascii="Times New Roman" w:eastAsia="Times New Roman" w:hAnsi="Times New Roman" w:cs="Times New Roman"/>
          <w:sz w:val="24"/>
          <w:szCs w:val="24"/>
          <w:lang w:eastAsia="sk-SK"/>
        </w:rPr>
        <w:t xml:space="preserve"> </w:t>
      </w:r>
      <w:r w:rsidR="00BE0B5B" w:rsidRPr="00BE0B5B">
        <w:rPr>
          <w:rFonts w:ascii="Times New Roman" w:eastAsia="Times New Roman" w:hAnsi="Times New Roman" w:cs="Times New Roman"/>
          <w:sz w:val="24"/>
          <w:szCs w:val="24"/>
          <w:lang w:eastAsia="sk-SK"/>
        </w:rPr>
        <w:t>neznižuje náklady</w:t>
      </w:r>
      <w:r w:rsidRPr="00BE0B5B">
        <w:rPr>
          <w:rFonts w:ascii="Times New Roman" w:eastAsia="Times New Roman" w:hAnsi="Times New Roman" w:cs="Times New Roman"/>
          <w:sz w:val="24"/>
          <w:szCs w:val="24"/>
          <w:lang w:eastAsia="sk-SK"/>
        </w:rPr>
        <w:t xml:space="preserve"> pre dotknuté subjekty. </w:t>
      </w:r>
      <w:r w:rsidRPr="00BE0B5B">
        <w:rPr>
          <w:rFonts w:ascii="Times New Roman" w:eastAsia="Calibri" w:hAnsi="Times New Roman" w:cs="Times New Roman"/>
          <w:sz w:val="24"/>
          <w:szCs w:val="24"/>
        </w:rPr>
        <w:t xml:space="preserve">Predmetom kalkulačky nákladov sú regulácie súvisiace so zvýšením nepriamych finančných nákladov a administratívnej záťaže </w:t>
      </w:r>
      <w:r w:rsidR="00BE0B5B" w:rsidRPr="00BE0B5B">
        <w:rPr>
          <w:rFonts w:ascii="Times New Roman" w:eastAsia="Calibri" w:hAnsi="Times New Roman" w:cs="Times New Roman"/>
          <w:sz w:val="24"/>
          <w:szCs w:val="24"/>
        </w:rPr>
        <w:t xml:space="preserve">v časti regulácie pre obchodníkov s finančnými službami na diaľku a v časti pre všetkých obchodníkov </w:t>
      </w:r>
      <w:r w:rsidRPr="00BE0B5B">
        <w:rPr>
          <w:rFonts w:ascii="Times New Roman" w:eastAsia="Calibri" w:hAnsi="Times New Roman" w:cs="Times New Roman"/>
          <w:sz w:val="24"/>
          <w:szCs w:val="24"/>
        </w:rPr>
        <w:t xml:space="preserve">v súvislosti s ich povinnosťami vyplývajúcimi z implementovanej smernice </w:t>
      </w:r>
      <w:r w:rsidR="00BE0B5B" w:rsidRPr="00BE0B5B">
        <w:rPr>
          <w:rFonts w:ascii="Times New Roman" w:eastAsia="Times New Roman" w:hAnsi="Times New Roman" w:cs="Times New Roman"/>
          <w:sz w:val="24"/>
          <w:szCs w:val="24"/>
          <w:lang w:eastAsia="sk-SK"/>
        </w:rPr>
        <w:t>Európskeho parlamentu a Rady (EÚ) 2023/2673 z 22. novembra 2023, ktorou sa mení smernica 2011/83/EÚ, pokiaľ ide o zmluvy o finančných službách uzavreté na diaľku, a ktorou sa zrušuje smernica 2002/65/ES</w:t>
      </w:r>
      <w:r w:rsidR="00160CD9">
        <w:rPr>
          <w:rFonts w:ascii="Times New Roman" w:eastAsia="Times New Roman" w:hAnsi="Times New Roman" w:cs="Times New Roman"/>
          <w:sz w:val="24"/>
          <w:szCs w:val="24"/>
          <w:lang w:eastAsia="sk-SK"/>
        </w:rPr>
        <w:t xml:space="preserve"> (ďalej len „smernica 2023/2673“)</w:t>
      </w:r>
      <w:r w:rsidR="00BE0B5B" w:rsidRPr="00BE0B5B">
        <w:rPr>
          <w:rFonts w:ascii="Times New Roman" w:eastAsia="Times New Roman" w:hAnsi="Times New Roman" w:cs="Times New Roman"/>
          <w:sz w:val="24"/>
          <w:szCs w:val="24"/>
          <w:lang w:eastAsia="sk-SK"/>
        </w:rPr>
        <w:t>.</w:t>
      </w:r>
      <w:r w:rsidR="00BE0B5B" w:rsidRPr="00BE0B5B">
        <w:rPr>
          <w:rStyle w:val="normaltextrun"/>
          <w:rFonts w:ascii="Times New Roman" w:eastAsia="Times New Roman" w:hAnsi="Times New Roman" w:cs="Times New Roman"/>
          <w:sz w:val="24"/>
          <w:szCs w:val="24"/>
          <w:lang w:eastAsia="sk-SK"/>
        </w:rPr>
        <w:t xml:space="preserve"> </w:t>
      </w:r>
    </w:p>
    <w:p w14:paraId="1CB5A860" w14:textId="77777777" w:rsidR="00121BD4" w:rsidRPr="00121BD4" w:rsidRDefault="00121BD4" w:rsidP="00121BD4">
      <w:pPr>
        <w:rPr>
          <w:rFonts w:ascii="Times New Roman" w:eastAsia="Calibri" w:hAnsi="Times New Roman" w:cs="Times New Roman"/>
          <w:i/>
          <w:sz w:val="24"/>
          <w:szCs w:val="24"/>
          <w:highlight w:val="yellow"/>
        </w:rPr>
      </w:pPr>
    </w:p>
    <w:p w14:paraId="00093788" w14:textId="60A948A6" w:rsidR="00121BD4" w:rsidRPr="00673F1C" w:rsidRDefault="00121BD4" w:rsidP="00121BD4">
      <w:pPr>
        <w:jc w:val="both"/>
        <w:rPr>
          <w:rFonts w:ascii="Times New Roman" w:eastAsia="Calibri" w:hAnsi="Times New Roman" w:cs="Times New Roman"/>
          <w:i/>
          <w:sz w:val="24"/>
          <w:szCs w:val="24"/>
          <w:u w:val="single"/>
        </w:rPr>
      </w:pPr>
      <w:r w:rsidRPr="00673F1C">
        <w:rPr>
          <w:rFonts w:ascii="Times New Roman" w:eastAsia="Calibri" w:hAnsi="Times New Roman" w:cs="Times New Roman"/>
          <w:i/>
          <w:sz w:val="24"/>
          <w:szCs w:val="24"/>
          <w:u w:val="single"/>
        </w:rPr>
        <w:t xml:space="preserve">Opatrenia (opisy regulácií) č. 1 až </w:t>
      </w:r>
      <w:r w:rsidR="00C06F77">
        <w:rPr>
          <w:rFonts w:ascii="Times New Roman" w:eastAsia="Calibri" w:hAnsi="Times New Roman" w:cs="Times New Roman"/>
          <w:i/>
          <w:sz w:val="24"/>
          <w:szCs w:val="24"/>
          <w:u w:val="single"/>
        </w:rPr>
        <w:t>13</w:t>
      </w:r>
    </w:p>
    <w:p w14:paraId="7CA408E9" w14:textId="74950807" w:rsidR="00121BD4" w:rsidRPr="00673F1C" w:rsidRDefault="00121BD4" w:rsidP="00121BD4">
      <w:pPr>
        <w:rPr>
          <w:rFonts w:ascii="Times New Roman" w:eastAsia="Calibri" w:hAnsi="Times New Roman" w:cs="Times New Roman"/>
          <w:i/>
          <w:sz w:val="24"/>
          <w:szCs w:val="24"/>
        </w:rPr>
      </w:pPr>
    </w:p>
    <w:p w14:paraId="1461DE7F" w14:textId="660BB403" w:rsidR="00673F1C" w:rsidRDefault="00673F1C" w:rsidP="00673F1C">
      <w:pPr>
        <w:pStyle w:val="Odsekzoznamu"/>
        <w:numPr>
          <w:ilvl w:val="0"/>
          <w:numId w:val="18"/>
        </w:numPr>
        <w:rPr>
          <w:rFonts w:ascii="Times New Roman" w:eastAsia="Calibri" w:hAnsi="Times New Roman" w:cs="Times New Roman"/>
          <w:i/>
          <w:sz w:val="24"/>
          <w:szCs w:val="24"/>
        </w:rPr>
      </w:pPr>
      <w:r w:rsidRPr="00673F1C">
        <w:rPr>
          <w:rFonts w:ascii="Times New Roman" w:eastAsia="Calibri" w:hAnsi="Times New Roman" w:cs="Times New Roman"/>
          <w:i/>
          <w:sz w:val="24"/>
          <w:szCs w:val="24"/>
        </w:rPr>
        <w:t>Rozšírenie predzmluvných informácií</w:t>
      </w:r>
    </w:p>
    <w:p w14:paraId="6A05B32D" w14:textId="7FB73C6F" w:rsidR="00673F1C" w:rsidRPr="00673F1C" w:rsidRDefault="00673F1C" w:rsidP="003D0048">
      <w:pPr>
        <w:jc w:val="both"/>
        <w:rPr>
          <w:rFonts w:ascii="Times New Roman" w:eastAsia="Calibri" w:hAnsi="Times New Roman" w:cs="Times New Roman"/>
          <w:sz w:val="24"/>
          <w:szCs w:val="24"/>
        </w:rPr>
      </w:pPr>
      <w:r w:rsidRPr="09F23372">
        <w:rPr>
          <w:rFonts w:ascii="Times New Roman" w:eastAsia="Calibri" w:hAnsi="Times New Roman" w:cs="Times New Roman"/>
          <w:sz w:val="24"/>
          <w:szCs w:val="24"/>
        </w:rPr>
        <w:t>Predmetná regulácia zvyšuje nepriame finančné náklady a administratívnu záťaž obchodníkov, ktorí poskytujú finančné služby na di</w:t>
      </w:r>
      <w:r w:rsidR="003D0048" w:rsidRPr="09F23372">
        <w:rPr>
          <w:rFonts w:ascii="Times New Roman" w:eastAsia="Calibri" w:hAnsi="Times New Roman" w:cs="Times New Roman"/>
          <w:sz w:val="24"/>
          <w:szCs w:val="24"/>
        </w:rPr>
        <w:t xml:space="preserve">aľku, a to konkrétne v zmene rozsahu a konkrétnych informácií, ktoré majú byť spotrebiteľovi poskytnuté pred uzavretím zmluvy, v porovnaní </w:t>
      </w:r>
      <w:r w:rsidR="004F548E" w:rsidRPr="09F23372">
        <w:rPr>
          <w:rFonts w:ascii="Times New Roman" w:eastAsia="Calibri" w:hAnsi="Times New Roman" w:cs="Times New Roman"/>
          <w:sz w:val="24"/>
          <w:szCs w:val="24"/>
        </w:rPr>
        <w:t>s</w:t>
      </w:r>
      <w:r w:rsidR="003D0048" w:rsidRPr="09F23372">
        <w:rPr>
          <w:rFonts w:ascii="Times New Roman" w:eastAsia="Calibri" w:hAnsi="Times New Roman" w:cs="Times New Roman"/>
          <w:sz w:val="24"/>
          <w:szCs w:val="24"/>
        </w:rPr>
        <w:t xml:space="preserve"> predchádzajúcou právnou úpravou. </w:t>
      </w:r>
      <w:r w:rsidR="00A755A1" w:rsidRPr="09F23372">
        <w:rPr>
          <w:rFonts w:ascii="Times New Roman" w:eastAsia="Calibri" w:hAnsi="Times New Roman" w:cs="Times New Roman"/>
          <w:sz w:val="24"/>
          <w:szCs w:val="24"/>
        </w:rPr>
        <w:t>Dotknuté subjekty budú povinné oboznámiť sa s jednotlivými pridanými požiadavkami</w:t>
      </w:r>
      <w:r w:rsidR="000E74C6" w:rsidRPr="09F23372">
        <w:rPr>
          <w:rFonts w:ascii="Times New Roman" w:eastAsia="Calibri" w:hAnsi="Times New Roman" w:cs="Times New Roman"/>
          <w:sz w:val="24"/>
          <w:szCs w:val="24"/>
        </w:rPr>
        <w:t xml:space="preserve"> regulácie</w:t>
      </w:r>
      <w:r w:rsidR="00A755A1" w:rsidRPr="09F23372">
        <w:rPr>
          <w:rFonts w:ascii="Times New Roman" w:eastAsia="Calibri" w:hAnsi="Times New Roman" w:cs="Times New Roman"/>
          <w:sz w:val="24"/>
          <w:szCs w:val="24"/>
        </w:rPr>
        <w:t>, vykonať analýzu vlastnej predzmluvnej dokumentácie a na základe výsledkov vytvoriť pre jednotlivé produkty nové</w:t>
      </w:r>
      <w:r w:rsidR="00CD4076" w:rsidRPr="09F23372">
        <w:rPr>
          <w:rFonts w:ascii="Times New Roman" w:eastAsia="Calibri" w:hAnsi="Times New Roman" w:cs="Times New Roman"/>
          <w:sz w:val="24"/>
          <w:szCs w:val="24"/>
        </w:rPr>
        <w:t xml:space="preserve"> vzory predzmluvných informácií.</w:t>
      </w:r>
      <w:r w:rsidR="00A755A1" w:rsidRPr="09F23372">
        <w:rPr>
          <w:rFonts w:ascii="Times New Roman" w:eastAsia="Calibri" w:hAnsi="Times New Roman" w:cs="Times New Roman"/>
          <w:sz w:val="24"/>
          <w:szCs w:val="24"/>
        </w:rPr>
        <w:t xml:space="preserve"> </w:t>
      </w:r>
      <w:r w:rsidR="00CD4076" w:rsidRPr="09F23372">
        <w:rPr>
          <w:rFonts w:ascii="Times New Roman" w:eastAsia="Calibri" w:hAnsi="Times New Roman" w:cs="Times New Roman"/>
          <w:sz w:val="24"/>
          <w:szCs w:val="24"/>
        </w:rPr>
        <w:t>V</w:t>
      </w:r>
      <w:r w:rsidR="00A755A1" w:rsidRPr="09F23372">
        <w:rPr>
          <w:rFonts w:ascii="Times New Roman" w:eastAsia="Calibri" w:hAnsi="Times New Roman" w:cs="Times New Roman"/>
          <w:sz w:val="24"/>
          <w:szCs w:val="24"/>
        </w:rPr>
        <w:t> prípade</w:t>
      </w:r>
      <w:r w:rsidR="7756FAAA" w:rsidRPr="09F23372">
        <w:rPr>
          <w:rFonts w:ascii="Times New Roman" w:eastAsia="Calibri" w:hAnsi="Times New Roman" w:cs="Times New Roman"/>
          <w:sz w:val="24"/>
          <w:szCs w:val="24"/>
        </w:rPr>
        <w:t>,</w:t>
      </w:r>
      <w:r w:rsidR="00A755A1" w:rsidRPr="09F23372">
        <w:rPr>
          <w:rFonts w:ascii="Times New Roman" w:eastAsia="Calibri" w:hAnsi="Times New Roman" w:cs="Times New Roman"/>
          <w:sz w:val="24"/>
          <w:szCs w:val="24"/>
        </w:rPr>
        <w:t xml:space="preserve"> ak dotknutý subjekt využíva poskytovanie predzmluvných informácií online, môže predmetná regulácia viesť k potrebe zásahu aj do technickej stránky v rámci informačných systémov obchodníka. </w:t>
      </w:r>
      <w:r w:rsidR="00FB3373" w:rsidRPr="09F23372">
        <w:rPr>
          <w:rFonts w:ascii="Times New Roman" w:eastAsia="Calibri" w:hAnsi="Times New Roman" w:cs="Times New Roman"/>
          <w:sz w:val="24"/>
          <w:szCs w:val="24"/>
        </w:rPr>
        <w:t>Zmeny však nebude potrebné vykonať pri všetkých produktoch, nakoľko z </w:t>
      </w:r>
      <w:r w:rsidR="000D68B6" w:rsidRPr="09F23372">
        <w:rPr>
          <w:rFonts w:ascii="Times New Roman" w:eastAsia="Calibri" w:hAnsi="Times New Roman" w:cs="Times New Roman"/>
          <w:sz w:val="24"/>
          <w:szCs w:val="24"/>
        </w:rPr>
        <w:t>hľadiska</w:t>
      </w:r>
      <w:r w:rsidR="00FB3373" w:rsidRPr="09F23372">
        <w:rPr>
          <w:rFonts w:ascii="Times New Roman" w:eastAsia="Calibri" w:hAnsi="Times New Roman" w:cs="Times New Roman"/>
          <w:sz w:val="24"/>
          <w:szCs w:val="24"/>
        </w:rPr>
        <w:t xml:space="preserve"> pôsobnosti </w:t>
      </w:r>
      <w:r w:rsidR="00CD4076" w:rsidRPr="09F23372">
        <w:rPr>
          <w:rFonts w:ascii="Times New Roman" w:eastAsia="Calibri" w:hAnsi="Times New Roman" w:cs="Times New Roman"/>
          <w:sz w:val="24"/>
          <w:szCs w:val="24"/>
        </w:rPr>
        <w:t xml:space="preserve">návrhu </w:t>
      </w:r>
      <w:r w:rsidR="00FB3373" w:rsidRPr="09F23372">
        <w:rPr>
          <w:rFonts w:ascii="Times New Roman" w:eastAsia="Calibri" w:hAnsi="Times New Roman" w:cs="Times New Roman"/>
          <w:sz w:val="24"/>
          <w:szCs w:val="24"/>
        </w:rPr>
        <w:t>zákona sa ustanovenie o </w:t>
      </w:r>
      <w:r w:rsidR="00CD4076" w:rsidRPr="09F23372">
        <w:rPr>
          <w:rFonts w:ascii="Times New Roman" w:eastAsia="Calibri" w:hAnsi="Times New Roman" w:cs="Times New Roman"/>
          <w:sz w:val="24"/>
          <w:szCs w:val="24"/>
        </w:rPr>
        <w:t>pred</w:t>
      </w:r>
      <w:r w:rsidR="00FB3373" w:rsidRPr="09F23372">
        <w:rPr>
          <w:rFonts w:ascii="Times New Roman" w:eastAsia="Calibri" w:hAnsi="Times New Roman" w:cs="Times New Roman"/>
          <w:sz w:val="24"/>
          <w:szCs w:val="24"/>
        </w:rPr>
        <w:t xml:space="preserve">zmluvných podmienkach v návrhu zákona nebude vzťahovať na produkty, ktorých predzmluvné informácie sú upravené v ich sektorových </w:t>
      </w:r>
      <w:r w:rsidR="000D68B6" w:rsidRPr="09F23372">
        <w:rPr>
          <w:rFonts w:ascii="Times New Roman" w:eastAsia="Calibri" w:hAnsi="Times New Roman" w:cs="Times New Roman"/>
          <w:sz w:val="24"/>
          <w:szCs w:val="24"/>
        </w:rPr>
        <w:t>predpisoch</w:t>
      </w:r>
      <w:r w:rsidR="00FB3373" w:rsidRPr="09F23372">
        <w:rPr>
          <w:rFonts w:ascii="Times New Roman" w:eastAsia="Calibri" w:hAnsi="Times New Roman" w:cs="Times New Roman"/>
          <w:sz w:val="24"/>
          <w:szCs w:val="24"/>
        </w:rPr>
        <w:t xml:space="preserve">, ako napríklad spotrebiteľské úvery, úvery na bývanie, platobné služby, poistné produkty a iné. </w:t>
      </w:r>
      <w:r w:rsidR="000D68B6" w:rsidRPr="09F23372">
        <w:rPr>
          <w:rFonts w:ascii="Times New Roman" w:eastAsia="Calibri" w:hAnsi="Times New Roman" w:cs="Times New Roman"/>
          <w:sz w:val="24"/>
          <w:szCs w:val="24"/>
        </w:rPr>
        <w:t>Nepriame finančné náklady môžu na základe expertného odhadu predstavovať v priemere výšku 10 000 eur</w:t>
      </w:r>
      <w:r w:rsidR="00521316" w:rsidRPr="09F23372">
        <w:rPr>
          <w:rFonts w:ascii="Times New Roman" w:eastAsia="Calibri" w:hAnsi="Times New Roman" w:cs="Times New Roman"/>
          <w:sz w:val="24"/>
          <w:szCs w:val="24"/>
        </w:rPr>
        <w:t xml:space="preserve"> na jedného podnikateľa</w:t>
      </w:r>
      <w:r w:rsidR="000D68B6" w:rsidRPr="09F23372">
        <w:rPr>
          <w:rFonts w:ascii="Times New Roman" w:eastAsia="Calibri" w:hAnsi="Times New Roman" w:cs="Times New Roman"/>
          <w:sz w:val="24"/>
          <w:szCs w:val="24"/>
        </w:rPr>
        <w:t xml:space="preserve">, pričom konkrétna výška nákladov bude závisieť od veľkosti dotknutého subjektu, miery jeho </w:t>
      </w:r>
      <w:r w:rsidR="00521316" w:rsidRPr="09F23372">
        <w:rPr>
          <w:rFonts w:ascii="Times New Roman" w:eastAsia="Calibri" w:hAnsi="Times New Roman" w:cs="Times New Roman"/>
          <w:sz w:val="24"/>
          <w:szCs w:val="24"/>
        </w:rPr>
        <w:t>digitalizácie</w:t>
      </w:r>
      <w:r w:rsidR="000D68B6" w:rsidRPr="09F23372">
        <w:rPr>
          <w:rFonts w:ascii="Times New Roman" w:eastAsia="Calibri" w:hAnsi="Times New Roman" w:cs="Times New Roman"/>
          <w:sz w:val="24"/>
          <w:szCs w:val="24"/>
        </w:rPr>
        <w:t xml:space="preserve"> a od počtu finančných produktov a služieb</w:t>
      </w:r>
      <w:r w:rsidR="1D607FF9" w:rsidRPr="09F23372">
        <w:rPr>
          <w:rFonts w:ascii="Times New Roman" w:eastAsia="Calibri" w:hAnsi="Times New Roman" w:cs="Times New Roman"/>
          <w:sz w:val="24"/>
          <w:szCs w:val="24"/>
        </w:rPr>
        <w:t>,</w:t>
      </w:r>
      <w:r w:rsidR="000D68B6" w:rsidRPr="09F23372">
        <w:rPr>
          <w:rFonts w:ascii="Times New Roman" w:eastAsia="Calibri" w:hAnsi="Times New Roman" w:cs="Times New Roman"/>
          <w:sz w:val="24"/>
          <w:szCs w:val="24"/>
        </w:rPr>
        <w:t xml:space="preserve"> na ktoré sa bude zmena spôsobená predmetnou reguláciou vzťahovať. Predpokladaný počet subjektov, ktorých sa regulácia dotkne vychádza z údajov zverejnených NBS (</w:t>
      </w:r>
      <w:r w:rsidR="0011588C" w:rsidRPr="09F23372">
        <w:rPr>
          <w:rFonts w:ascii="Times New Roman" w:eastAsia="Calibri" w:hAnsi="Times New Roman" w:cs="Times New Roman"/>
          <w:sz w:val="24"/>
          <w:szCs w:val="24"/>
        </w:rPr>
        <w:t>https://subjekty.nbs.sk/</w:t>
      </w:r>
      <w:r w:rsidR="000D68B6" w:rsidRPr="09F23372">
        <w:rPr>
          <w:rFonts w:ascii="Times New Roman" w:eastAsia="Calibri" w:hAnsi="Times New Roman" w:cs="Times New Roman"/>
          <w:sz w:val="24"/>
          <w:szCs w:val="24"/>
        </w:rPr>
        <w:t xml:space="preserve">) a bol určený expertným odhadom na základe združenia zverejnených údajov na cca </w:t>
      </w:r>
      <w:r w:rsidR="000E74C6" w:rsidRPr="09F23372">
        <w:rPr>
          <w:rFonts w:ascii="Times New Roman" w:eastAsia="Calibri" w:hAnsi="Times New Roman" w:cs="Times New Roman"/>
          <w:sz w:val="24"/>
          <w:szCs w:val="24"/>
        </w:rPr>
        <w:t>200, vychádzajúc z toho, že musíme započítať minimálne subjekty</w:t>
      </w:r>
      <w:r w:rsidR="7EFA955C" w:rsidRPr="09F23372">
        <w:rPr>
          <w:rFonts w:ascii="Times New Roman" w:eastAsia="Calibri" w:hAnsi="Times New Roman" w:cs="Times New Roman"/>
          <w:sz w:val="24"/>
          <w:szCs w:val="24"/>
        </w:rPr>
        <w:t>,</w:t>
      </w:r>
      <w:r w:rsidR="000E74C6" w:rsidRPr="09F23372">
        <w:rPr>
          <w:rFonts w:ascii="Times New Roman" w:eastAsia="Calibri" w:hAnsi="Times New Roman" w:cs="Times New Roman"/>
          <w:sz w:val="24"/>
          <w:szCs w:val="24"/>
        </w:rPr>
        <w:t xml:space="preserve"> ako sú banky</w:t>
      </w:r>
      <w:r w:rsidR="006A7B8B" w:rsidRPr="09F23372">
        <w:rPr>
          <w:rFonts w:ascii="Times New Roman" w:eastAsia="Calibri" w:hAnsi="Times New Roman" w:cs="Times New Roman"/>
          <w:sz w:val="24"/>
          <w:szCs w:val="24"/>
        </w:rPr>
        <w:t xml:space="preserve"> (počet cca 23)</w:t>
      </w:r>
      <w:r w:rsidR="000E74C6" w:rsidRPr="09F23372">
        <w:rPr>
          <w:rFonts w:ascii="Times New Roman" w:eastAsia="Calibri" w:hAnsi="Times New Roman" w:cs="Times New Roman"/>
          <w:sz w:val="24"/>
          <w:szCs w:val="24"/>
        </w:rPr>
        <w:t>, poi</w:t>
      </w:r>
      <w:r w:rsidR="00CD4076" w:rsidRPr="09F23372">
        <w:rPr>
          <w:rFonts w:ascii="Times New Roman" w:eastAsia="Calibri" w:hAnsi="Times New Roman" w:cs="Times New Roman"/>
          <w:sz w:val="24"/>
          <w:szCs w:val="24"/>
        </w:rPr>
        <w:t>sťovne</w:t>
      </w:r>
      <w:r w:rsidR="006A7B8B" w:rsidRPr="09F23372">
        <w:rPr>
          <w:rFonts w:ascii="Times New Roman" w:eastAsia="Calibri" w:hAnsi="Times New Roman" w:cs="Times New Roman"/>
          <w:sz w:val="24"/>
          <w:szCs w:val="24"/>
        </w:rPr>
        <w:t xml:space="preserve"> (počet cca 25)</w:t>
      </w:r>
      <w:r w:rsidR="00CD4076" w:rsidRPr="09F23372">
        <w:rPr>
          <w:rFonts w:ascii="Times New Roman" w:eastAsia="Calibri" w:hAnsi="Times New Roman" w:cs="Times New Roman"/>
          <w:sz w:val="24"/>
          <w:szCs w:val="24"/>
        </w:rPr>
        <w:t>, veritelia podľa zákona</w:t>
      </w:r>
      <w:r w:rsidR="000E74C6" w:rsidRPr="09F23372">
        <w:rPr>
          <w:rFonts w:ascii="Times New Roman" w:eastAsia="Calibri" w:hAnsi="Times New Roman" w:cs="Times New Roman"/>
          <w:sz w:val="24"/>
          <w:szCs w:val="24"/>
        </w:rPr>
        <w:t xml:space="preserve"> č. 129/2010 Z. z. o </w:t>
      </w:r>
      <w:r w:rsidR="000E74C6" w:rsidRPr="09F23372">
        <w:rPr>
          <w:rFonts w:ascii="Times New Roman" w:eastAsia="Calibri" w:hAnsi="Times New Roman" w:cs="Times New Roman"/>
          <w:sz w:val="24"/>
          <w:szCs w:val="24"/>
        </w:rPr>
        <w:lastRenderedPageBreak/>
        <w:t>spotrebiteľských úveroch a o iných úveroch a pôžičkách pre spotrebiteľov a o zmene a doplnení ni</w:t>
      </w:r>
      <w:r w:rsidR="00CD4076" w:rsidRPr="09F23372">
        <w:rPr>
          <w:rFonts w:ascii="Times New Roman" w:eastAsia="Calibri" w:hAnsi="Times New Roman" w:cs="Times New Roman"/>
          <w:sz w:val="24"/>
          <w:szCs w:val="24"/>
        </w:rPr>
        <w:t xml:space="preserve">ektorých zákonov (ďalej len </w:t>
      </w:r>
      <w:r w:rsidR="000E74C6" w:rsidRPr="09F23372">
        <w:rPr>
          <w:rFonts w:ascii="Times New Roman" w:eastAsia="Calibri" w:hAnsi="Times New Roman" w:cs="Times New Roman"/>
          <w:sz w:val="24"/>
          <w:szCs w:val="24"/>
        </w:rPr>
        <w:t>„zákon o spotrebiteľských úveroch“)</w:t>
      </w:r>
      <w:r w:rsidR="006A7B8B" w:rsidRPr="09F23372">
        <w:rPr>
          <w:rFonts w:ascii="Times New Roman" w:eastAsia="Calibri" w:hAnsi="Times New Roman" w:cs="Times New Roman"/>
          <w:sz w:val="24"/>
          <w:szCs w:val="24"/>
        </w:rPr>
        <w:t xml:space="preserve"> (počet cca 32)</w:t>
      </w:r>
      <w:r w:rsidR="000E74C6" w:rsidRPr="09F23372">
        <w:rPr>
          <w:rFonts w:ascii="Times New Roman" w:eastAsia="Calibri" w:hAnsi="Times New Roman" w:cs="Times New Roman"/>
          <w:sz w:val="24"/>
          <w:szCs w:val="24"/>
        </w:rPr>
        <w:t xml:space="preserve">, </w:t>
      </w:r>
      <w:proofErr w:type="spellStart"/>
      <w:r w:rsidR="000E74C6" w:rsidRPr="09F23372">
        <w:rPr>
          <w:rFonts w:ascii="Times New Roman" w:eastAsia="Calibri" w:hAnsi="Times New Roman" w:cs="Times New Roman"/>
          <w:sz w:val="24"/>
          <w:szCs w:val="24"/>
        </w:rPr>
        <w:t>fintech</w:t>
      </w:r>
      <w:proofErr w:type="spellEnd"/>
      <w:r w:rsidR="00C06F77" w:rsidRPr="09F23372">
        <w:rPr>
          <w:rFonts w:ascii="Times New Roman" w:eastAsia="Calibri" w:hAnsi="Times New Roman" w:cs="Times New Roman"/>
          <w:sz w:val="24"/>
          <w:szCs w:val="24"/>
        </w:rPr>
        <w:t xml:space="preserve"> spoločnosti </w:t>
      </w:r>
      <w:r w:rsidR="006A7B8B" w:rsidRPr="09F23372">
        <w:rPr>
          <w:rFonts w:ascii="Times New Roman" w:eastAsia="Calibri" w:hAnsi="Times New Roman" w:cs="Times New Roman"/>
          <w:sz w:val="24"/>
          <w:szCs w:val="24"/>
        </w:rPr>
        <w:t xml:space="preserve">(počet cca </w:t>
      </w:r>
      <w:r w:rsidR="007D0B4B" w:rsidRPr="09F23372">
        <w:rPr>
          <w:rFonts w:ascii="Times New Roman" w:eastAsia="Calibri" w:hAnsi="Times New Roman" w:cs="Times New Roman"/>
          <w:sz w:val="24"/>
          <w:szCs w:val="24"/>
        </w:rPr>
        <w:t>25</w:t>
      </w:r>
      <w:r w:rsidR="00DB7650" w:rsidRPr="09F23372">
        <w:rPr>
          <w:rFonts w:ascii="Times New Roman" w:eastAsia="Calibri" w:hAnsi="Times New Roman" w:cs="Times New Roman"/>
          <w:sz w:val="24"/>
          <w:szCs w:val="24"/>
        </w:rPr>
        <w:t xml:space="preserve"> – údaj podľa údajov Slovenskej </w:t>
      </w:r>
      <w:proofErr w:type="spellStart"/>
      <w:r w:rsidR="00DB7650" w:rsidRPr="09F23372">
        <w:rPr>
          <w:rFonts w:ascii="Times New Roman" w:eastAsia="Calibri" w:hAnsi="Times New Roman" w:cs="Times New Roman"/>
          <w:sz w:val="24"/>
          <w:szCs w:val="24"/>
        </w:rPr>
        <w:t>fintech</w:t>
      </w:r>
      <w:proofErr w:type="spellEnd"/>
      <w:r w:rsidR="00DB7650" w:rsidRPr="09F23372">
        <w:rPr>
          <w:rFonts w:ascii="Times New Roman" w:eastAsia="Calibri" w:hAnsi="Times New Roman" w:cs="Times New Roman"/>
          <w:sz w:val="24"/>
          <w:szCs w:val="24"/>
        </w:rPr>
        <w:t xml:space="preserve"> asociácie</w:t>
      </w:r>
      <w:r w:rsidR="006A7B8B" w:rsidRPr="09F23372">
        <w:rPr>
          <w:rFonts w:ascii="Times New Roman" w:eastAsia="Calibri" w:hAnsi="Times New Roman" w:cs="Times New Roman"/>
          <w:sz w:val="24"/>
          <w:szCs w:val="24"/>
        </w:rPr>
        <w:t>)</w:t>
      </w:r>
      <w:r w:rsidR="00C06F77" w:rsidRPr="09F23372">
        <w:rPr>
          <w:rFonts w:ascii="Times New Roman" w:eastAsia="Calibri" w:hAnsi="Times New Roman" w:cs="Times New Roman"/>
          <w:sz w:val="24"/>
          <w:szCs w:val="24"/>
        </w:rPr>
        <w:t>,</w:t>
      </w:r>
      <w:r w:rsidR="000E74C6" w:rsidRPr="09F23372">
        <w:rPr>
          <w:rFonts w:ascii="Times New Roman" w:eastAsia="Calibri" w:hAnsi="Times New Roman" w:cs="Times New Roman"/>
          <w:sz w:val="24"/>
          <w:szCs w:val="24"/>
        </w:rPr>
        <w:t xml:space="preserve"> poskytovatelia platobných služieb a iných finančných služieb</w:t>
      </w:r>
      <w:r w:rsidR="00C06F77" w:rsidRPr="09F23372">
        <w:rPr>
          <w:rFonts w:ascii="Times New Roman" w:eastAsia="Calibri" w:hAnsi="Times New Roman" w:cs="Times New Roman"/>
          <w:sz w:val="24"/>
          <w:szCs w:val="24"/>
        </w:rPr>
        <w:t xml:space="preserve"> (počet cca </w:t>
      </w:r>
      <w:r w:rsidR="007D0B4B" w:rsidRPr="09F23372">
        <w:rPr>
          <w:rFonts w:ascii="Times New Roman" w:eastAsia="Calibri" w:hAnsi="Times New Roman" w:cs="Times New Roman"/>
          <w:sz w:val="24"/>
          <w:szCs w:val="24"/>
        </w:rPr>
        <w:t>42</w:t>
      </w:r>
      <w:r w:rsidR="00C06F77" w:rsidRPr="09F23372">
        <w:rPr>
          <w:rFonts w:ascii="Times New Roman" w:eastAsia="Calibri" w:hAnsi="Times New Roman" w:cs="Times New Roman"/>
          <w:sz w:val="24"/>
          <w:szCs w:val="24"/>
        </w:rPr>
        <w:t>)</w:t>
      </w:r>
      <w:r w:rsidR="000E74C6" w:rsidRPr="09F23372">
        <w:rPr>
          <w:rFonts w:ascii="Times New Roman" w:eastAsia="Calibri" w:hAnsi="Times New Roman" w:cs="Times New Roman"/>
          <w:sz w:val="24"/>
          <w:szCs w:val="24"/>
        </w:rPr>
        <w:t xml:space="preserve">, obchodníci s cennými papiermi </w:t>
      </w:r>
      <w:r w:rsidR="00C06F77" w:rsidRPr="09F23372">
        <w:rPr>
          <w:rFonts w:ascii="Times New Roman" w:eastAsia="Calibri" w:hAnsi="Times New Roman" w:cs="Times New Roman"/>
          <w:sz w:val="24"/>
          <w:szCs w:val="24"/>
        </w:rPr>
        <w:t xml:space="preserve">(počet cca 27) </w:t>
      </w:r>
      <w:r w:rsidR="000E74C6" w:rsidRPr="09F23372">
        <w:rPr>
          <w:rFonts w:ascii="Times New Roman" w:eastAsia="Calibri" w:hAnsi="Times New Roman" w:cs="Times New Roman"/>
          <w:sz w:val="24"/>
          <w:szCs w:val="24"/>
        </w:rPr>
        <w:t>a investičné spoločnosti</w:t>
      </w:r>
      <w:r w:rsidR="00C06F77" w:rsidRPr="09F23372">
        <w:rPr>
          <w:rFonts w:ascii="Times New Roman" w:eastAsia="Calibri" w:hAnsi="Times New Roman" w:cs="Times New Roman"/>
          <w:sz w:val="24"/>
          <w:szCs w:val="24"/>
        </w:rPr>
        <w:t xml:space="preserve"> (počet cca 26)</w:t>
      </w:r>
      <w:r w:rsidR="000E74C6" w:rsidRPr="09F23372">
        <w:rPr>
          <w:rFonts w:ascii="Times New Roman" w:eastAsia="Calibri" w:hAnsi="Times New Roman" w:cs="Times New Roman"/>
          <w:sz w:val="24"/>
          <w:szCs w:val="24"/>
        </w:rPr>
        <w:t>.</w:t>
      </w:r>
      <w:r w:rsidR="007D0B4B" w:rsidRPr="09F23372">
        <w:rPr>
          <w:rFonts w:ascii="Times New Roman" w:eastAsia="Calibri" w:hAnsi="Times New Roman" w:cs="Times New Roman"/>
          <w:sz w:val="24"/>
          <w:szCs w:val="24"/>
        </w:rPr>
        <w:t xml:space="preserve"> </w:t>
      </w:r>
      <w:r w:rsidR="00DB7650" w:rsidRPr="09F23372">
        <w:rPr>
          <w:rFonts w:ascii="Times New Roman" w:eastAsia="Calibri" w:hAnsi="Times New Roman" w:cs="Times New Roman"/>
          <w:sz w:val="24"/>
          <w:szCs w:val="24"/>
        </w:rPr>
        <w:t>Počet je iba približný</w:t>
      </w:r>
      <w:r w:rsidR="103E66A1" w:rsidRPr="09F23372">
        <w:rPr>
          <w:rFonts w:ascii="Times New Roman" w:eastAsia="Calibri" w:hAnsi="Times New Roman" w:cs="Times New Roman"/>
          <w:sz w:val="24"/>
          <w:szCs w:val="24"/>
        </w:rPr>
        <w:t>,</w:t>
      </w:r>
      <w:r w:rsidR="00DB7650" w:rsidRPr="09F23372">
        <w:rPr>
          <w:rFonts w:ascii="Times New Roman" w:eastAsia="Calibri" w:hAnsi="Times New Roman" w:cs="Times New Roman"/>
          <w:sz w:val="24"/>
          <w:szCs w:val="24"/>
        </w:rPr>
        <w:t xml:space="preserve"> nakoľko Ministerstvo financií SR ani NBS nedisponuje štatistickými údajmi</w:t>
      </w:r>
      <w:r w:rsidR="3F8C4B74" w:rsidRPr="09F23372">
        <w:rPr>
          <w:rFonts w:ascii="Times New Roman" w:eastAsia="Calibri" w:hAnsi="Times New Roman" w:cs="Times New Roman"/>
          <w:sz w:val="24"/>
          <w:szCs w:val="24"/>
        </w:rPr>
        <w:t>,</w:t>
      </w:r>
      <w:r w:rsidR="00DB7650" w:rsidRPr="09F23372">
        <w:rPr>
          <w:rFonts w:ascii="Times New Roman" w:eastAsia="Calibri" w:hAnsi="Times New Roman" w:cs="Times New Roman"/>
          <w:sz w:val="24"/>
          <w:szCs w:val="24"/>
        </w:rPr>
        <w:t xml:space="preserve"> koľko obchodníkov poskytujúcich finančné služby na diaľku na území SR pôsobí, taktiež nie všetky vyššie uvedené subjekty musia poskytovať finančné služby na diaľku. Presný výpočet tak nie je možné určiť, možno však uviesť iba expertný odhad počtu týchto subjektov. </w:t>
      </w:r>
      <w:r w:rsidR="000E74C6" w:rsidRPr="09F23372">
        <w:rPr>
          <w:rFonts w:ascii="Times New Roman" w:eastAsia="Calibri" w:hAnsi="Times New Roman" w:cs="Times New Roman"/>
          <w:sz w:val="24"/>
          <w:szCs w:val="24"/>
        </w:rPr>
        <w:t xml:space="preserve">Nepriame finančné náklady, ako aj administratívna záťaž sa predpokladá jednorazovo. </w:t>
      </w:r>
    </w:p>
    <w:p w14:paraId="67336C6D" w14:textId="2BB378E3" w:rsidR="00673F1C" w:rsidRPr="00673F1C" w:rsidRDefault="00673F1C" w:rsidP="00673F1C">
      <w:pPr>
        <w:jc w:val="both"/>
        <w:rPr>
          <w:rFonts w:ascii="Times New Roman" w:eastAsia="Calibri" w:hAnsi="Times New Roman" w:cs="Times New Roman"/>
          <w:i/>
          <w:sz w:val="24"/>
          <w:szCs w:val="24"/>
        </w:rPr>
      </w:pPr>
    </w:p>
    <w:p w14:paraId="1F316AB1" w14:textId="4CE4A049" w:rsidR="00673F1C" w:rsidRDefault="00A755A1" w:rsidP="00A755A1">
      <w:pPr>
        <w:pStyle w:val="Odsekzoznamu"/>
        <w:numPr>
          <w:ilvl w:val="0"/>
          <w:numId w:val="18"/>
        </w:numPr>
        <w:jc w:val="both"/>
        <w:rPr>
          <w:rFonts w:ascii="Times New Roman" w:eastAsia="Calibri" w:hAnsi="Times New Roman" w:cs="Times New Roman"/>
          <w:i/>
          <w:sz w:val="24"/>
          <w:szCs w:val="24"/>
        </w:rPr>
      </w:pPr>
      <w:r w:rsidRPr="00A755A1">
        <w:rPr>
          <w:rFonts w:ascii="Times New Roman" w:eastAsia="Calibri" w:hAnsi="Times New Roman" w:cs="Times New Roman"/>
          <w:i/>
          <w:sz w:val="24"/>
          <w:szCs w:val="24"/>
        </w:rPr>
        <w:t>Nastavenie formy informácií pre spotrebiteľov so zdravotným postihnutím</w:t>
      </w:r>
    </w:p>
    <w:p w14:paraId="79E5EA35" w14:textId="4294C092" w:rsidR="00A755A1" w:rsidRDefault="00A755A1" w:rsidP="00A755A1">
      <w:pPr>
        <w:jc w:val="both"/>
        <w:rPr>
          <w:rFonts w:ascii="Times New Roman" w:eastAsia="Calibri" w:hAnsi="Times New Roman" w:cs="Times New Roman"/>
          <w:sz w:val="24"/>
          <w:szCs w:val="24"/>
        </w:rPr>
      </w:pPr>
      <w:r w:rsidRPr="09F23372">
        <w:rPr>
          <w:rFonts w:ascii="Times New Roman" w:eastAsia="Calibri" w:hAnsi="Times New Roman" w:cs="Times New Roman"/>
          <w:sz w:val="24"/>
          <w:szCs w:val="24"/>
        </w:rPr>
        <w:t>Regulá</w:t>
      </w:r>
      <w:r w:rsidR="00D71C21" w:rsidRPr="09F23372">
        <w:rPr>
          <w:rFonts w:ascii="Times New Roman" w:eastAsia="Calibri" w:hAnsi="Times New Roman" w:cs="Times New Roman"/>
          <w:sz w:val="24"/>
          <w:szCs w:val="24"/>
        </w:rPr>
        <w:t xml:space="preserve">cia zvyšuje nepriame finančné náklady a administratívnu záťaž dotknutých subjektov, ktorými sú obchodníci, ktorých expertný odhad bol učený rovnakých spôsobom ako v regulácii v bode 1 určený na 200 dotknutých subjektov – obchodníkov poskytujúcich finančné služby na diaľku. </w:t>
      </w:r>
      <w:r w:rsidR="00521316" w:rsidRPr="09F23372">
        <w:rPr>
          <w:rFonts w:ascii="Times New Roman" w:eastAsia="Calibri" w:hAnsi="Times New Roman" w:cs="Times New Roman"/>
          <w:sz w:val="24"/>
          <w:szCs w:val="24"/>
        </w:rPr>
        <w:t>Obchodníci budú povinní vytvoriť riešenie poskytovania predzmluvnej dokumentácie pre zdravotne postihnutých vo formáte, ktorý je pre to ktoré zdravotné postihnutie vhodný a bude pre daného spotrebiteľa zrozumiteľný. Následne bude potrebné riešenia zapracovať do vnútorných postupov a zabezpečiť, aby bol</w:t>
      </w:r>
      <w:r w:rsidR="0F15442A" w:rsidRPr="09F23372">
        <w:rPr>
          <w:rFonts w:ascii="Times New Roman" w:eastAsia="Calibri" w:hAnsi="Times New Roman" w:cs="Times New Roman"/>
          <w:sz w:val="24"/>
          <w:szCs w:val="24"/>
        </w:rPr>
        <w:t>i</w:t>
      </w:r>
      <w:r w:rsidR="00521316" w:rsidRPr="09F23372">
        <w:rPr>
          <w:rFonts w:ascii="Times New Roman" w:eastAsia="Calibri" w:hAnsi="Times New Roman" w:cs="Times New Roman"/>
          <w:sz w:val="24"/>
          <w:szCs w:val="24"/>
        </w:rPr>
        <w:t xml:space="preserve"> na požiadanie spotrebiteľa so zdravotným postihnutím aplikované. Predpokladaná výška nepriamych finančných nákladov sa odhaduje na 5</w:t>
      </w:r>
      <w:r w:rsidR="4E7CC771" w:rsidRPr="09F23372">
        <w:rPr>
          <w:rFonts w:ascii="Times New Roman" w:eastAsia="Calibri" w:hAnsi="Times New Roman" w:cs="Times New Roman"/>
          <w:sz w:val="24"/>
          <w:szCs w:val="24"/>
        </w:rPr>
        <w:t xml:space="preserve"> </w:t>
      </w:r>
      <w:r w:rsidR="00521316" w:rsidRPr="09F23372">
        <w:rPr>
          <w:rFonts w:ascii="Times New Roman" w:eastAsia="Calibri" w:hAnsi="Times New Roman" w:cs="Times New Roman"/>
          <w:sz w:val="24"/>
          <w:szCs w:val="24"/>
        </w:rPr>
        <w:t>000</w:t>
      </w:r>
      <w:r w:rsidR="59563C41" w:rsidRPr="09F23372">
        <w:rPr>
          <w:rFonts w:ascii="Times New Roman" w:eastAsia="Calibri" w:hAnsi="Times New Roman" w:cs="Times New Roman"/>
          <w:sz w:val="24"/>
          <w:szCs w:val="24"/>
        </w:rPr>
        <w:t>,-</w:t>
      </w:r>
      <w:r w:rsidR="00521316" w:rsidRPr="09F23372">
        <w:rPr>
          <w:rFonts w:ascii="Times New Roman" w:eastAsia="Calibri" w:hAnsi="Times New Roman" w:cs="Times New Roman"/>
          <w:sz w:val="24"/>
          <w:szCs w:val="24"/>
        </w:rPr>
        <w:t xml:space="preserve"> eur na 1 obchodníka, pričom konkrétna výška bude závisieť od toho, či už obchodník takýto systém má zavedený z vlastnej iniciatívy</w:t>
      </w:r>
      <w:r w:rsidR="00CD4076" w:rsidRPr="09F23372">
        <w:rPr>
          <w:rFonts w:ascii="Times New Roman" w:eastAsia="Calibri" w:hAnsi="Times New Roman" w:cs="Times New Roman"/>
          <w:sz w:val="24"/>
          <w:szCs w:val="24"/>
        </w:rPr>
        <w:t xml:space="preserve"> alebo nie</w:t>
      </w:r>
      <w:r w:rsidR="00521316" w:rsidRPr="09F23372">
        <w:rPr>
          <w:rFonts w:ascii="Times New Roman" w:eastAsia="Calibri" w:hAnsi="Times New Roman" w:cs="Times New Roman"/>
          <w:sz w:val="24"/>
          <w:szCs w:val="24"/>
        </w:rPr>
        <w:t>, od miery digitalizácie obchodníka a od počtu produktov, na ktoré bude povinný dané riešenie aplikovať. Nepriame finančné náklady</w:t>
      </w:r>
      <w:r w:rsidR="00CD4076" w:rsidRPr="09F23372">
        <w:rPr>
          <w:rFonts w:ascii="Times New Roman" w:eastAsia="Calibri" w:hAnsi="Times New Roman" w:cs="Times New Roman"/>
          <w:sz w:val="24"/>
          <w:szCs w:val="24"/>
        </w:rPr>
        <w:t>,</w:t>
      </w:r>
      <w:r w:rsidR="00521316" w:rsidRPr="09F23372">
        <w:rPr>
          <w:rFonts w:ascii="Times New Roman" w:eastAsia="Calibri" w:hAnsi="Times New Roman" w:cs="Times New Roman"/>
          <w:sz w:val="24"/>
          <w:szCs w:val="24"/>
        </w:rPr>
        <w:t xml:space="preserve"> ako aj administratívna záťaž sa predpokladajú jednorazovo.</w:t>
      </w:r>
    </w:p>
    <w:p w14:paraId="26C5615A" w14:textId="11F7F789" w:rsidR="00A755A1" w:rsidRDefault="00A755A1" w:rsidP="00A755A1">
      <w:pPr>
        <w:jc w:val="both"/>
        <w:rPr>
          <w:rFonts w:ascii="Times New Roman" w:eastAsia="Calibri" w:hAnsi="Times New Roman" w:cs="Times New Roman"/>
          <w:sz w:val="24"/>
          <w:szCs w:val="24"/>
        </w:rPr>
      </w:pPr>
    </w:p>
    <w:p w14:paraId="70DFFC89" w14:textId="58888BD4" w:rsidR="00A755A1" w:rsidRDefault="00A755A1" w:rsidP="00A755A1">
      <w:pPr>
        <w:pStyle w:val="Odsekzoznamu"/>
        <w:numPr>
          <w:ilvl w:val="0"/>
          <w:numId w:val="18"/>
        </w:numPr>
        <w:jc w:val="both"/>
        <w:rPr>
          <w:rFonts w:ascii="Times New Roman" w:eastAsia="Calibri" w:hAnsi="Times New Roman" w:cs="Times New Roman"/>
          <w:i/>
          <w:sz w:val="24"/>
          <w:szCs w:val="24"/>
        </w:rPr>
      </w:pPr>
      <w:r w:rsidRPr="00A755A1">
        <w:rPr>
          <w:rFonts w:ascii="Times New Roman" w:eastAsia="Calibri" w:hAnsi="Times New Roman" w:cs="Times New Roman"/>
          <w:i/>
          <w:sz w:val="24"/>
          <w:szCs w:val="24"/>
        </w:rPr>
        <w:t>Pripomenutie možnosti o</w:t>
      </w:r>
      <w:r>
        <w:rPr>
          <w:rFonts w:ascii="Times New Roman" w:eastAsia="Calibri" w:hAnsi="Times New Roman" w:cs="Times New Roman"/>
          <w:i/>
          <w:sz w:val="24"/>
          <w:szCs w:val="24"/>
        </w:rPr>
        <w:t> </w:t>
      </w:r>
      <w:r w:rsidRPr="00A755A1">
        <w:rPr>
          <w:rFonts w:ascii="Times New Roman" w:eastAsia="Calibri" w:hAnsi="Times New Roman" w:cs="Times New Roman"/>
          <w:i/>
          <w:sz w:val="24"/>
          <w:szCs w:val="24"/>
        </w:rPr>
        <w:t>odstúpení</w:t>
      </w:r>
    </w:p>
    <w:p w14:paraId="78B10737" w14:textId="4606C1B5" w:rsidR="00A755A1" w:rsidRPr="00521316" w:rsidRDefault="00521316" w:rsidP="00A755A1">
      <w:pPr>
        <w:jc w:val="both"/>
        <w:rPr>
          <w:rFonts w:ascii="Times New Roman" w:eastAsia="Calibri" w:hAnsi="Times New Roman" w:cs="Times New Roman"/>
          <w:sz w:val="24"/>
          <w:szCs w:val="24"/>
        </w:rPr>
      </w:pPr>
      <w:r w:rsidRPr="09F23372">
        <w:rPr>
          <w:rFonts w:ascii="Times New Roman" w:eastAsia="Calibri" w:hAnsi="Times New Roman" w:cs="Times New Roman"/>
          <w:sz w:val="24"/>
          <w:szCs w:val="24"/>
        </w:rPr>
        <w:t xml:space="preserve">Ustanovuje sa povinnosť obchodníka poskytujúceho finančné služby na diaľku pripomenúť spotrebiteľovi možnosť o odstúpení od zmluvy uzavretej na diaľku v prípade, </w:t>
      </w:r>
      <w:r w:rsidRPr="09F23372">
        <w:rPr>
          <w:rFonts w:ascii="Times New Roman" w:hAnsi="Times New Roman"/>
          <w:color w:val="000000" w:themeColor="text1"/>
          <w:sz w:val="24"/>
          <w:szCs w:val="24"/>
        </w:rPr>
        <w:t>ak sa</w:t>
      </w:r>
      <w:r w:rsidR="003817D2" w:rsidRPr="09F23372">
        <w:rPr>
          <w:rFonts w:ascii="Times New Roman" w:hAnsi="Times New Roman"/>
          <w:color w:val="000000" w:themeColor="text1"/>
          <w:sz w:val="24"/>
          <w:szCs w:val="24"/>
        </w:rPr>
        <w:t xml:space="preserve"> predzmluvné informácie</w:t>
      </w:r>
      <w:r w:rsidRPr="09F23372">
        <w:rPr>
          <w:rFonts w:ascii="Times New Roman" w:hAnsi="Times New Roman"/>
          <w:color w:val="000000" w:themeColor="text1"/>
          <w:sz w:val="24"/>
          <w:szCs w:val="24"/>
        </w:rPr>
        <w:t xml:space="preserve"> poskytnú spotrebiteľovi menej než jeden deň predtým, ako začne byť spotrebiteľ viazaný zmluvou uzavretou na diaľku alebo jej ponukou.</w:t>
      </w:r>
      <w:r w:rsidR="003817D2" w:rsidRPr="09F23372">
        <w:rPr>
          <w:rFonts w:ascii="Times New Roman" w:hAnsi="Times New Roman"/>
          <w:color w:val="000000" w:themeColor="text1"/>
          <w:sz w:val="24"/>
          <w:szCs w:val="24"/>
        </w:rPr>
        <w:t xml:space="preserve"> Zavedenie predmetnej regulácie bude predstavovať administratívnu záťaž v zmysle potreby oboznámenia sa s reguláciou, zapracovaním postupu do vnútorných procesov dotknutého subjektu a vytvorením systému na pripomenutie odstúpenia od zmluvy – konkrétna záťaž bude závisieť od toho, či dotknutý subjekt bude ako trvanlivé médium využívať digitálnu formu alebo listinnú formu. Predpokladané nepriame finančné náklady súvisiace s reguláciou sú odhadované na 5</w:t>
      </w:r>
      <w:r w:rsidR="6C2F506E" w:rsidRPr="09F23372">
        <w:rPr>
          <w:rFonts w:ascii="Times New Roman" w:hAnsi="Times New Roman"/>
          <w:color w:val="000000" w:themeColor="text1"/>
          <w:sz w:val="24"/>
          <w:szCs w:val="24"/>
        </w:rPr>
        <w:t xml:space="preserve"> </w:t>
      </w:r>
      <w:r w:rsidR="003817D2" w:rsidRPr="09F23372">
        <w:rPr>
          <w:rFonts w:ascii="Times New Roman" w:hAnsi="Times New Roman"/>
          <w:color w:val="000000" w:themeColor="text1"/>
          <w:sz w:val="24"/>
          <w:szCs w:val="24"/>
        </w:rPr>
        <w:t>000</w:t>
      </w:r>
      <w:r w:rsidR="14D2833C" w:rsidRPr="09F23372">
        <w:rPr>
          <w:rFonts w:ascii="Times New Roman" w:hAnsi="Times New Roman"/>
          <w:color w:val="000000" w:themeColor="text1"/>
          <w:sz w:val="24"/>
          <w:szCs w:val="24"/>
        </w:rPr>
        <w:t>,-</w:t>
      </w:r>
      <w:r w:rsidR="003817D2" w:rsidRPr="09F23372">
        <w:rPr>
          <w:rFonts w:ascii="Times New Roman" w:hAnsi="Times New Roman"/>
          <w:color w:val="000000" w:themeColor="text1"/>
          <w:sz w:val="24"/>
          <w:szCs w:val="24"/>
        </w:rPr>
        <w:t xml:space="preserve"> eur na jedného podnikateľa jednorazovo, pričom konkrétna výška bude závisieť hlavne od miery digitalizácie dotknutého subjektu a</w:t>
      </w:r>
      <w:r w:rsidR="00CD4076" w:rsidRPr="09F23372">
        <w:rPr>
          <w:rFonts w:ascii="Times New Roman" w:hAnsi="Times New Roman"/>
          <w:color w:val="000000" w:themeColor="text1"/>
          <w:sz w:val="24"/>
          <w:szCs w:val="24"/>
        </w:rPr>
        <w:t xml:space="preserve"> od</w:t>
      </w:r>
      <w:r w:rsidR="003817D2" w:rsidRPr="09F23372">
        <w:rPr>
          <w:rFonts w:ascii="Times New Roman" w:hAnsi="Times New Roman"/>
          <w:color w:val="000000" w:themeColor="text1"/>
          <w:sz w:val="24"/>
          <w:szCs w:val="24"/>
        </w:rPr>
        <w:t xml:space="preserve"> počtu finančných služieb, na ktoré dotknutý subjekt bude povinný reguláciu aplikovať. Rovnako ako v predchádzajúcich reguláciách, počet dotknutých subjektov predstavuje expertný odhad vychádzajúci z dát zverejnených NBS a je to 200 obchodníkov poskytujúcich finančné služby na diaľku. Administratívna záťaž sa taktiež predpokladá jednorazovo. </w:t>
      </w:r>
    </w:p>
    <w:p w14:paraId="1F090DB2" w14:textId="77777777" w:rsidR="00521316" w:rsidRDefault="00521316" w:rsidP="00A755A1">
      <w:pPr>
        <w:jc w:val="both"/>
        <w:rPr>
          <w:rFonts w:ascii="Times New Roman" w:eastAsia="Calibri" w:hAnsi="Times New Roman" w:cs="Times New Roman"/>
          <w:i/>
          <w:sz w:val="24"/>
          <w:szCs w:val="24"/>
        </w:rPr>
      </w:pPr>
    </w:p>
    <w:p w14:paraId="0CDF53FE" w14:textId="3A4A1A64" w:rsidR="00A755A1" w:rsidRDefault="00A755A1" w:rsidP="00A755A1">
      <w:pPr>
        <w:pStyle w:val="Odsekzoznamu"/>
        <w:numPr>
          <w:ilvl w:val="0"/>
          <w:numId w:val="18"/>
        </w:numPr>
        <w:jc w:val="both"/>
        <w:rPr>
          <w:rFonts w:ascii="Times New Roman" w:eastAsia="Calibri" w:hAnsi="Times New Roman" w:cs="Times New Roman"/>
          <w:i/>
          <w:sz w:val="24"/>
          <w:szCs w:val="24"/>
        </w:rPr>
      </w:pPr>
      <w:r w:rsidRPr="00A755A1">
        <w:rPr>
          <w:rFonts w:ascii="Times New Roman" w:eastAsia="Calibri" w:hAnsi="Times New Roman" w:cs="Times New Roman"/>
          <w:i/>
          <w:sz w:val="24"/>
          <w:szCs w:val="24"/>
        </w:rPr>
        <w:lastRenderedPageBreak/>
        <w:t>Zmena zobrazenia informácií elektronicky</w:t>
      </w:r>
      <w:r w:rsidR="00735821">
        <w:rPr>
          <w:rFonts w:ascii="Times New Roman" w:eastAsia="Calibri" w:hAnsi="Times New Roman" w:cs="Times New Roman"/>
          <w:i/>
          <w:sz w:val="24"/>
          <w:szCs w:val="24"/>
        </w:rPr>
        <w:t xml:space="preserve"> (nastavenie vrstvenia)</w:t>
      </w:r>
    </w:p>
    <w:p w14:paraId="3EE0383F" w14:textId="4AC1AD87" w:rsidR="00A755A1" w:rsidRDefault="00383DC2" w:rsidP="00541675">
      <w:pPr>
        <w:jc w:val="both"/>
        <w:rPr>
          <w:rFonts w:ascii="Times New Roman" w:eastAsia="Calibri" w:hAnsi="Times New Roman" w:cs="Times New Roman"/>
          <w:sz w:val="24"/>
          <w:szCs w:val="24"/>
        </w:rPr>
      </w:pPr>
      <w:r w:rsidRPr="09F23372">
        <w:rPr>
          <w:rFonts w:ascii="Times New Roman" w:eastAsia="Calibri" w:hAnsi="Times New Roman" w:cs="Times New Roman"/>
          <w:sz w:val="24"/>
          <w:szCs w:val="24"/>
        </w:rPr>
        <w:t>Zmena pr</w:t>
      </w:r>
      <w:r w:rsidR="00541675" w:rsidRPr="09F23372">
        <w:rPr>
          <w:rFonts w:ascii="Times New Roman" w:eastAsia="Calibri" w:hAnsi="Times New Roman" w:cs="Times New Roman"/>
          <w:sz w:val="24"/>
          <w:szCs w:val="24"/>
        </w:rPr>
        <w:t>edmetnej regulácie spôsobí</w:t>
      </w:r>
      <w:r w:rsidRPr="09F23372">
        <w:rPr>
          <w:rFonts w:ascii="Times New Roman" w:eastAsia="Calibri" w:hAnsi="Times New Roman" w:cs="Times New Roman"/>
          <w:sz w:val="24"/>
          <w:szCs w:val="24"/>
        </w:rPr>
        <w:t xml:space="preserve"> nepriame finančné náklady  a administratívnu záťaž pre dotknuté subjekty, ktorými sú obchodníci poskytujúcich finančné služby na diaľku, a to v dôsledku potreby oboznámenia sa s reguláciou, preskúmania vlastného nastavenia</w:t>
      </w:r>
      <w:r w:rsidR="268EDE01" w:rsidRPr="09F23372">
        <w:rPr>
          <w:rFonts w:ascii="Times New Roman" w:eastAsia="Calibri" w:hAnsi="Times New Roman" w:cs="Times New Roman"/>
          <w:sz w:val="24"/>
          <w:szCs w:val="24"/>
        </w:rPr>
        <w:t>,</w:t>
      </w:r>
      <w:r w:rsidRPr="09F23372">
        <w:rPr>
          <w:rFonts w:ascii="Times New Roman" w:eastAsia="Calibri" w:hAnsi="Times New Roman" w:cs="Times New Roman"/>
          <w:sz w:val="24"/>
          <w:szCs w:val="24"/>
        </w:rPr>
        <w:t xml:space="preserve"> tzv. vrstvenia pri konkrétnych produktoch a následne vypracovania riešenia a jeho zverejnenia v online prostredí. Predpokladané nepriame finančné náklady sú určené expertným odhadom a predstavujú výšku 10 000</w:t>
      </w:r>
      <w:r w:rsidR="10C55438" w:rsidRPr="09F23372">
        <w:rPr>
          <w:rFonts w:ascii="Times New Roman" w:eastAsia="Calibri" w:hAnsi="Times New Roman" w:cs="Times New Roman"/>
          <w:sz w:val="24"/>
          <w:szCs w:val="24"/>
        </w:rPr>
        <w:t>,-</w:t>
      </w:r>
      <w:r w:rsidRPr="09F23372">
        <w:rPr>
          <w:rFonts w:ascii="Times New Roman" w:eastAsia="Calibri" w:hAnsi="Times New Roman" w:cs="Times New Roman"/>
          <w:sz w:val="24"/>
          <w:szCs w:val="24"/>
        </w:rPr>
        <w:t xml:space="preserve"> eur na jedného podnikateľa, pričom konkrétna výška pri jednotlivých dotknutých subjektoch bude závisieť od miery digitalizácie konkrétneho subjektu a vzhľadom na to potreby zásahu do online prostredia, od toho</w:t>
      </w:r>
      <w:r w:rsidR="60DC7BF0" w:rsidRPr="09F23372">
        <w:rPr>
          <w:rFonts w:ascii="Times New Roman" w:eastAsia="Calibri" w:hAnsi="Times New Roman" w:cs="Times New Roman"/>
          <w:sz w:val="24"/>
          <w:szCs w:val="24"/>
        </w:rPr>
        <w:t>,</w:t>
      </w:r>
      <w:r w:rsidRPr="09F23372">
        <w:rPr>
          <w:rFonts w:ascii="Times New Roman" w:eastAsia="Calibri" w:hAnsi="Times New Roman" w:cs="Times New Roman"/>
          <w:sz w:val="24"/>
          <w:szCs w:val="24"/>
        </w:rPr>
        <w:t xml:space="preserve"> do akej miery už subjekt má regulačnú požiadavku splnenú a od toho, koľko poskytuje finančných služieb spadajúcich pod predmetnú reguláciu. </w:t>
      </w:r>
      <w:r w:rsidR="004C772A" w:rsidRPr="09F23372">
        <w:rPr>
          <w:rFonts w:ascii="Times New Roman" w:eastAsia="Calibri" w:hAnsi="Times New Roman" w:cs="Times New Roman"/>
          <w:sz w:val="24"/>
          <w:szCs w:val="24"/>
        </w:rPr>
        <w:t>Administratívna záťaž a nepriame finančné náklady sa predpokladajú jednorazovo a počet dotknutých subjektov vychádzajúc z postupov podľa predchádzajúcich regulácií sa odhaduje na 200.</w:t>
      </w:r>
      <w:r w:rsidRPr="09F23372">
        <w:rPr>
          <w:rFonts w:ascii="Times New Roman" w:eastAsia="Calibri" w:hAnsi="Times New Roman" w:cs="Times New Roman"/>
          <w:sz w:val="24"/>
          <w:szCs w:val="24"/>
        </w:rPr>
        <w:t xml:space="preserve"> </w:t>
      </w:r>
    </w:p>
    <w:p w14:paraId="4A15270F" w14:textId="77777777" w:rsidR="00764E20" w:rsidRPr="00764E20" w:rsidRDefault="00764E20" w:rsidP="00764E20">
      <w:pPr>
        <w:rPr>
          <w:rFonts w:ascii="Times New Roman" w:eastAsia="Calibri" w:hAnsi="Times New Roman" w:cs="Times New Roman"/>
          <w:sz w:val="24"/>
          <w:szCs w:val="24"/>
        </w:rPr>
      </w:pPr>
    </w:p>
    <w:p w14:paraId="658250A6" w14:textId="2ECCAD7A" w:rsidR="00A755A1" w:rsidRDefault="00A755A1" w:rsidP="00A755A1">
      <w:pPr>
        <w:pStyle w:val="Odsekzoznamu"/>
        <w:numPr>
          <w:ilvl w:val="0"/>
          <w:numId w:val="18"/>
        </w:numPr>
        <w:jc w:val="both"/>
        <w:rPr>
          <w:rFonts w:ascii="Times New Roman" w:eastAsia="Calibri" w:hAnsi="Times New Roman" w:cs="Times New Roman"/>
          <w:i/>
          <w:sz w:val="24"/>
          <w:szCs w:val="24"/>
        </w:rPr>
      </w:pPr>
      <w:r w:rsidRPr="00A755A1">
        <w:rPr>
          <w:rFonts w:ascii="Times New Roman" w:eastAsia="Calibri" w:hAnsi="Times New Roman" w:cs="Times New Roman"/>
          <w:i/>
          <w:sz w:val="24"/>
          <w:szCs w:val="24"/>
        </w:rPr>
        <w:t>Nastavenie systému poskytovania primeraných vysvetlení</w:t>
      </w:r>
    </w:p>
    <w:p w14:paraId="7D27E607" w14:textId="505884A2" w:rsidR="00A755A1" w:rsidRPr="00764E20" w:rsidRDefault="00764E20" w:rsidP="00A755A1">
      <w:pPr>
        <w:jc w:val="both"/>
        <w:rPr>
          <w:rFonts w:ascii="Times New Roman" w:eastAsia="Calibri" w:hAnsi="Times New Roman" w:cs="Times New Roman"/>
          <w:sz w:val="24"/>
          <w:szCs w:val="24"/>
        </w:rPr>
      </w:pPr>
      <w:r w:rsidRPr="09F23372">
        <w:rPr>
          <w:rFonts w:ascii="Times New Roman" w:eastAsia="Calibri" w:hAnsi="Times New Roman" w:cs="Times New Roman"/>
          <w:sz w:val="24"/>
          <w:szCs w:val="24"/>
        </w:rPr>
        <w:t xml:space="preserve">Predmetná regulácia </w:t>
      </w:r>
      <w:r w:rsidR="00541675" w:rsidRPr="09F23372">
        <w:rPr>
          <w:rFonts w:ascii="Times New Roman" w:eastAsia="Calibri" w:hAnsi="Times New Roman" w:cs="Times New Roman"/>
          <w:sz w:val="24"/>
          <w:szCs w:val="24"/>
        </w:rPr>
        <w:t>bude</w:t>
      </w:r>
      <w:r w:rsidRPr="09F23372">
        <w:rPr>
          <w:rFonts w:ascii="Times New Roman" w:eastAsia="Calibri" w:hAnsi="Times New Roman" w:cs="Times New Roman"/>
          <w:sz w:val="24"/>
          <w:szCs w:val="24"/>
        </w:rPr>
        <w:t xml:space="preserve"> predstavovať zvýšenie nepriamych finančných nákladov a administratívnej záťaže dotknutých subjektov, ktorými sú obchodníci poskytujúci finančné služby na diaľku. Pri nastavení primeraných vysvetlení bude dotknutý subjekt povinný sa v prvom rade oboznámiť</w:t>
      </w:r>
      <w:r w:rsidR="0012789B" w:rsidRPr="09F23372">
        <w:rPr>
          <w:rFonts w:ascii="Times New Roman" w:eastAsia="Calibri" w:hAnsi="Times New Roman" w:cs="Times New Roman"/>
          <w:sz w:val="24"/>
          <w:szCs w:val="24"/>
        </w:rPr>
        <w:t xml:space="preserve"> </w:t>
      </w:r>
      <w:r w:rsidRPr="09F23372">
        <w:rPr>
          <w:rFonts w:ascii="Times New Roman" w:eastAsia="Calibri" w:hAnsi="Times New Roman" w:cs="Times New Roman"/>
          <w:sz w:val="24"/>
          <w:szCs w:val="24"/>
        </w:rPr>
        <w:t xml:space="preserve">s reguláciou, následne vypracovať primerané vysvetlenia pre konkrétne finančné služby a produkty a zabezpečiť ich poskytnutie a zverejnenie v požadovanej forme. </w:t>
      </w:r>
      <w:r w:rsidR="00EE31C2" w:rsidRPr="09F23372">
        <w:rPr>
          <w:rFonts w:ascii="Times New Roman" w:eastAsia="Calibri" w:hAnsi="Times New Roman" w:cs="Times New Roman"/>
          <w:sz w:val="24"/>
          <w:szCs w:val="24"/>
        </w:rPr>
        <w:t>Celý tento proces bude následne potrebné zapracovať do vnútorných predpisov, aby sa tak zabezpečila aplikácia aj n</w:t>
      </w:r>
      <w:r w:rsidR="0012789B" w:rsidRPr="09F23372">
        <w:rPr>
          <w:rFonts w:ascii="Times New Roman" w:eastAsia="Calibri" w:hAnsi="Times New Roman" w:cs="Times New Roman"/>
          <w:sz w:val="24"/>
          <w:szCs w:val="24"/>
        </w:rPr>
        <w:t>a ďalšie nové finančné služby</w:t>
      </w:r>
      <w:r w:rsidR="00EE31C2" w:rsidRPr="09F23372">
        <w:rPr>
          <w:rFonts w:ascii="Times New Roman" w:eastAsia="Calibri" w:hAnsi="Times New Roman" w:cs="Times New Roman"/>
          <w:sz w:val="24"/>
          <w:szCs w:val="24"/>
        </w:rPr>
        <w:t>. Z toho dôvodu sa frekvencia administratívnych finančných nákladov predpokladá na nepravidelnej báze, podľa toho</w:t>
      </w:r>
      <w:r w:rsidR="639D4AB8" w:rsidRPr="09F23372">
        <w:rPr>
          <w:rFonts w:ascii="Times New Roman" w:eastAsia="Calibri" w:hAnsi="Times New Roman" w:cs="Times New Roman"/>
          <w:sz w:val="24"/>
          <w:szCs w:val="24"/>
        </w:rPr>
        <w:t>,</w:t>
      </w:r>
      <w:r w:rsidR="00EE31C2" w:rsidRPr="09F23372">
        <w:rPr>
          <w:rFonts w:ascii="Times New Roman" w:eastAsia="Calibri" w:hAnsi="Times New Roman" w:cs="Times New Roman"/>
          <w:sz w:val="24"/>
          <w:szCs w:val="24"/>
        </w:rPr>
        <w:t xml:space="preserve"> v akej frekvencii budú navrhované nové finančné produkty a služby u konkrétneho dotknutého subjektu. Predpokladané nepriame finančné náklady sú odhadované do výšky 20 000</w:t>
      </w:r>
      <w:r w:rsidR="6AB9C880" w:rsidRPr="09F23372">
        <w:rPr>
          <w:rFonts w:ascii="Times New Roman" w:eastAsia="Calibri" w:hAnsi="Times New Roman" w:cs="Times New Roman"/>
          <w:sz w:val="24"/>
          <w:szCs w:val="24"/>
        </w:rPr>
        <w:t>,-</w:t>
      </w:r>
      <w:r w:rsidR="00EE31C2" w:rsidRPr="09F23372">
        <w:rPr>
          <w:rFonts w:ascii="Times New Roman" w:eastAsia="Calibri" w:hAnsi="Times New Roman" w:cs="Times New Roman"/>
          <w:sz w:val="24"/>
          <w:szCs w:val="24"/>
        </w:rPr>
        <w:t xml:space="preserve"> eur na </w:t>
      </w:r>
      <w:r w:rsidR="00D803F3" w:rsidRPr="09F23372">
        <w:rPr>
          <w:rFonts w:ascii="Times New Roman" w:eastAsia="Calibri" w:hAnsi="Times New Roman" w:cs="Times New Roman"/>
          <w:sz w:val="24"/>
          <w:szCs w:val="24"/>
        </w:rPr>
        <w:t>jednej</w:t>
      </w:r>
      <w:r w:rsidR="00EE31C2" w:rsidRPr="09F23372">
        <w:rPr>
          <w:rFonts w:ascii="Times New Roman" w:eastAsia="Calibri" w:hAnsi="Times New Roman" w:cs="Times New Roman"/>
          <w:sz w:val="24"/>
          <w:szCs w:val="24"/>
        </w:rPr>
        <w:t xml:space="preserve"> dotknutý subjekt, pričom konkrétna výška bude závisieť od digitálnych možností dotknutého subjektu a od počtu finančných služieb a</w:t>
      </w:r>
      <w:r w:rsidR="0012789B" w:rsidRPr="09F23372">
        <w:rPr>
          <w:rFonts w:ascii="Times New Roman" w:eastAsia="Calibri" w:hAnsi="Times New Roman" w:cs="Times New Roman"/>
          <w:sz w:val="24"/>
          <w:szCs w:val="24"/>
        </w:rPr>
        <w:t> </w:t>
      </w:r>
      <w:r w:rsidR="00EE31C2" w:rsidRPr="09F23372">
        <w:rPr>
          <w:rFonts w:ascii="Times New Roman" w:eastAsia="Calibri" w:hAnsi="Times New Roman" w:cs="Times New Roman"/>
          <w:sz w:val="24"/>
          <w:szCs w:val="24"/>
        </w:rPr>
        <w:t>produktov</w:t>
      </w:r>
      <w:r w:rsidR="0012789B" w:rsidRPr="09F23372">
        <w:rPr>
          <w:rFonts w:ascii="Times New Roman" w:eastAsia="Calibri" w:hAnsi="Times New Roman" w:cs="Times New Roman"/>
          <w:sz w:val="24"/>
          <w:szCs w:val="24"/>
        </w:rPr>
        <w:t>,</w:t>
      </w:r>
      <w:r w:rsidR="00EE31C2" w:rsidRPr="09F23372">
        <w:rPr>
          <w:rFonts w:ascii="Times New Roman" w:eastAsia="Calibri" w:hAnsi="Times New Roman" w:cs="Times New Roman"/>
          <w:sz w:val="24"/>
          <w:szCs w:val="24"/>
        </w:rPr>
        <w:t xml:space="preserve"> na ktoré bude povinný predmetnú reguláciu aplikovať. </w:t>
      </w:r>
      <w:r w:rsidR="00D803F3" w:rsidRPr="09F23372">
        <w:rPr>
          <w:rFonts w:ascii="Times New Roman" w:eastAsia="Calibri" w:hAnsi="Times New Roman" w:cs="Times New Roman"/>
          <w:sz w:val="24"/>
          <w:szCs w:val="24"/>
        </w:rPr>
        <w:t>Nepriame finančné náklady sa predpokladajú jednorazovo</w:t>
      </w:r>
      <w:r w:rsidR="0012789B" w:rsidRPr="09F23372">
        <w:rPr>
          <w:rFonts w:ascii="Times New Roman" w:eastAsia="Calibri" w:hAnsi="Times New Roman" w:cs="Times New Roman"/>
          <w:sz w:val="24"/>
          <w:szCs w:val="24"/>
        </w:rPr>
        <w:t>,</w:t>
      </w:r>
      <w:r w:rsidR="00D803F3" w:rsidRPr="09F23372">
        <w:rPr>
          <w:rFonts w:ascii="Times New Roman" w:eastAsia="Calibri" w:hAnsi="Times New Roman" w:cs="Times New Roman"/>
          <w:sz w:val="24"/>
          <w:szCs w:val="24"/>
        </w:rPr>
        <w:t xml:space="preserve"> najmä na prispôsobenie systémov. Počet dotknutých subjektov sa rovnako ako v predchádzajúcich reguláciách odhaduje na 200 vychádzajúc z údajov zverejnených NBS.</w:t>
      </w:r>
    </w:p>
    <w:p w14:paraId="4F3D90C5" w14:textId="2E496CE5" w:rsidR="00A755A1" w:rsidRDefault="00A755A1" w:rsidP="00A755A1">
      <w:pPr>
        <w:jc w:val="both"/>
        <w:rPr>
          <w:rFonts w:ascii="Times New Roman" w:eastAsia="Calibri" w:hAnsi="Times New Roman" w:cs="Times New Roman"/>
          <w:i/>
          <w:sz w:val="24"/>
          <w:szCs w:val="24"/>
        </w:rPr>
      </w:pPr>
    </w:p>
    <w:p w14:paraId="51E349CF" w14:textId="72145C1D" w:rsidR="00A755A1" w:rsidRDefault="00A755A1" w:rsidP="00A755A1">
      <w:pPr>
        <w:pStyle w:val="Odsekzoznamu"/>
        <w:numPr>
          <w:ilvl w:val="0"/>
          <w:numId w:val="18"/>
        </w:numPr>
        <w:jc w:val="both"/>
        <w:rPr>
          <w:rFonts w:ascii="Times New Roman" w:eastAsia="Calibri" w:hAnsi="Times New Roman" w:cs="Times New Roman"/>
          <w:i/>
          <w:sz w:val="24"/>
          <w:szCs w:val="24"/>
        </w:rPr>
      </w:pPr>
      <w:r w:rsidRPr="00A755A1">
        <w:rPr>
          <w:rFonts w:ascii="Times New Roman" w:eastAsia="Calibri" w:hAnsi="Times New Roman" w:cs="Times New Roman"/>
          <w:i/>
          <w:sz w:val="24"/>
          <w:szCs w:val="24"/>
        </w:rPr>
        <w:t>Poskytnutie vysvetlení nie formou online rozhrania</w:t>
      </w:r>
    </w:p>
    <w:p w14:paraId="121EC604" w14:textId="1F9D3B22" w:rsidR="00A755A1" w:rsidRPr="00550874" w:rsidRDefault="00550874" w:rsidP="00A755A1">
      <w:pPr>
        <w:jc w:val="both"/>
        <w:rPr>
          <w:rFonts w:ascii="Times New Roman" w:eastAsia="Calibri" w:hAnsi="Times New Roman" w:cs="Times New Roman"/>
          <w:sz w:val="24"/>
          <w:szCs w:val="24"/>
        </w:rPr>
      </w:pPr>
      <w:r w:rsidRPr="09F23372">
        <w:rPr>
          <w:rFonts w:ascii="Times New Roman" w:eastAsia="Calibri" w:hAnsi="Times New Roman" w:cs="Times New Roman"/>
          <w:sz w:val="24"/>
          <w:szCs w:val="24"/>
        </w:rPr>
        <w:t xml:space="preserve">Nastavenie systému možnosti spotrebiteľa poskytnúť mu primerané vysvetlenia bez použitia online rozhrania </w:t>
      </w:r>
      <w:r w:rsidR="00541675" w:rsidRPr="09F23372">
        <w:rPr>
          <w:rFonts w:ascii="Times New Roman" w:eastAsia="Calibri" w:hAnsi="Times New Roman" w:cs="Times New Roman"/>
          <w:sz w:val="24"/>
          <w:szCs w:val="24"/>
        </w:rPr>
        <w:t>bude</w:t>
      </w:r>
      <w:r w:rsidRPr="09F23372">
        <w:rPr>
          <w:rFonts w:ascii="Times New Roman" w:eastAsia="Calibri" w:hAnsi="Times New Roman" w:cs="Times New Roman"/>
          <w:sz w:val="24"/>
          <w:szCs w:val="24"/>
        </w:rPr>
        <w:t xml:space="preserve"> predstavovať nepriame finančné náklady a administratívnu záťaž pre dotknuté subjekty, ktorými sú obchodníci poskytujúci finančné služby na diaľku. To, ktorých </w:t>
      </w:r>
      <w:r w:rsidR="009036EA" w:rsidRPr="09F23372">
        <w:rPr>
          <w:rFonts w:ascii="Times New Roman" w:eastAsia="Calibri" w:hAnsi="Times New Roman" w:cs="Times New Roman"/>
          <w:sz w:val="24"/>
          <w:szCs w:val="24"/>
        </w:rPr>
        <w:t>konkrétnych</w:t>
      </w:r>
      <w:r w:rsidRPr="09F23372">
        <w:rPr>
          <w:rFonts w:ascii="Times New Roman" w:eastAsia="Calibri" w:hAnsi="Times New Roman" w:cs="Times New Roman"/>
          <w:sz w:val="24"/>
          <w:szCs w:val="24"/>
        </w:rPr>
        <w:t xml:space="preserve"> subjektov sa regulácia dotkne</w:t>
      </w:r>
      <w:r w:rsidR="5A85FA4D" w:rsidRPr="09F23372">
        <w:rPr>
          <w:rFonts w:ascii="Times New Roman" w:eastAsia="Calibri" w:hAnsi="Times New Roman" w:cs="Times New Roman"/>
          <w:sz w:val="24"/>
          <w:szCs w:val="24"/>
        </w:rPr>
        <w:t>,</w:t>
      </w:r>
      <w:r w:rsidRPr="09F23372">
        <w:rPr>
          <w:rFonts w:ascii="Times New Roman" w:eastAsia="Calibri" w:hAnsi="Times New Roman" w:cs="Times New Roman"/>
          <w:sz w:val="24"/>
          <w:szCs w:val="24"/>
        </w:rPr>
        <w:t xml:space="preserve"> bude závisieť od toho, ktoré subjekty využívajú poradenstvo vo forme online rozhrania – ak takúto možnosť subjekt nevyužíva, predmetná regulácia sa ho nedotkne a nevzniknú mu žiadne náklady ani záťaž. </w:t>
      </w:r>
      <w:r w:rsidR="009036EA" w:rsidRPr="09F23372">
        <w:rPr>
          <w:rFonts w:ascii="Times New Roman" w:eastAsia="Calibri" w:hAnsi="Times New Roman" w:cs="Times New Roman"/>
          <w:sz w:val="24"/>
          <w:szCs w:val="24"/>
        </w:rPr>
        <w:t>V prípade</w:t>
      </w:r>
      <w:r w:rsidR="78DD16C3" w:rsidRPr="09F23372">
        <w:rPr>
          <w:rFonts w:ascii="Times New Roman" w:eastAsia="Calibri" w:hAnsi="Times New Roman" w:cs="Times New Roman"/>
          <w:sz w:val="24"/>
          <w:szCs w:val="24"/>
        </w:rPr>
        <w:t>,</w:t>
      </w:r>
      <w:r w:rsidR="009036EA" w:rsidRPr="09F23372">
        <w:rPr>
          <w:rFonts w:ascii="Times New Roman" w:eastAsia="Calibri" w:hAnsi="Times New Roman" w:cs="Times New Roman"/>
          <w:sz w:val="24"/>
          <w:szCs w:val="24"/>
        </w:rPr>
        <w:t xml:space="preserve"> ak subjekt využíva poradenstvo vo forme online rozhrania bude povinný sa oboznámiť z reguláciou, premietnuť zmenu vo svojich vnútorných predpisoch a nastaviť digitálny obsah tak, aby spotrebiteľ mal možnosť požiadať o tzv. ľudský zásah, čiže o online komunikáciu </w:t>
      </w:r>
      <w:r w:rsidR="002936A5" w:rsidRPr="09F23372">
        <w:rPr>
          <w:rFonts w:ascii="Times New Roman" w:eastAsia="Calibri" w:hAnsi="Times New Roman" w:cs="Times New Roman"/>
          <w:sz w:val="24"/>
          <w:szCs w:val="24"/>
        </w:rPr>
        <w:t>buď</w:t>
      </w:r>
      <w:r w:rsidR="009036EA" w:rsidRPr="09F23372">
        <w:rPr>
          <w:rFonts w:ascii="Times New Roman" w:eastAsia="Calibri" w:hAnsi="Times New Roman" w:cs="Times New Roman"/>
          <w:sz w:val="24"/>
          <w:szCs w:val="24"/>
        </w:rPr>
        <w:t xml:space="preserve"> priamo </w:t>
      </w:r>
      <w:r w:rsidR="00B96FC1" w:rsidRPr="09F23372">
        <w:rPr>
          <w:rFonts w:ascii="Times New Roman" w:eastAsia="Calibri" w:hAnsi="Times New Roman" w:cs="Times New Roman"/>
          <w:sz w:val="24"/>
          <w:szCs w:val="24"/>
        </w:rPr>
        <w:t>s dotknutým subjektom alebo s ní</w:t>
      </w:r>
      <w:r w:rsidR="009036EA" w:rsidRPr="09F23372">
        <w:rPr>
          <w:rFonts w:ascii="Times New Roman" w:eastAsia="Calibri" w:hAnsi="Times New Roman" w:cs="Times New Roman"/>
          <w:sz w:val="24"/>
          <w:szCs w:val="24"/>
        </w:rPr>
        <w:t xml:space="preserve">m určeným zamestnancom, pričom dotknuté subjekty na túto </w:t>
      </w:r>
      <w:r w:rsidR="009036EA" w:rsidRPr="09F23372">
        <w:rPr>
          <w:rFonts w:ascii="Times New Roman" w:eastAsia="Calibri" w:hAnsi="Times New Roman" w:cs="Times New Roman"/>
          <w:sz w:val="24"/>
          <w:szCs w:val="24"/>
        </w:rPr>
        <w:lastRenderedPageBreak/>
        <w:t>činnosť budú musieť zaškoliť a určiť konkrétnych zamestnancov</w:t>
      </w:r>
      <w:r w:rsidR="77B8C164" w:rsidRPr="09F23372">
        <w:rPr>
          <w:rFonts w:ascii="Times New Roman" w:eastAsia="Calibri" w:hAnsi="Times New Roman" w:cs="Times New Roman"/>
          <w:sz w:val="24"/>
          <w:szCs w:val="24"/>
        </w:rPr>
        <w:t>,</w:t>
      </w:r>
      <w:r w:rsidR="009036EA" w:rsidRPr="09F23372">
        <w:rPr>
          <w:rFonts w:ascii="Times New Roman" w:eastAsia="Calibri" w:hAnsi="Times New Roman" w:cs="Times New Roman"/>
          <w:sz w:val="24"/>
          <w:szCs w:val="24"/>
        </w:rPr>
        <w:t xml:space="preserve"> ak tento systém u nich doteraz nefungoval. To </w:t>
      </w:r>
      <w:r w:rsidR="00541675" w:rsidRPr="09F23372">
        <w:rPr>
          <w:rFonts w:ascii="Times New Roman" w:eastAsia="Calibri" w:hAnsi="Times New Roman" w:cs="Times New Roman"/>
          <w:sz w:val="24"/>
          <w:szCs w:val="24"/>
        </w:rPr>
        <w:t>bude</w:t>
      </w:r>
      <w:r w:rsidR="009036EA" w:rsidRPr="09F23372">
        <w:rPr>
          <w:rFonts w:ascii="Times New Roman" w:eastAsia="Calibri" w:hAnsi="Times New Roman" w:cs="Times New Roman"/>
          <w:sz w:val="24"/>
          <w:szCs w:val="24"/>
        </w:rPr>
        <w:t xml:space="preserve"> predstavovať časovú záťaž v priemere </w:t>
      </w:r>
      <w:r w:rsidR="00EC3EE3" w:rsidRPr="09F23372">
        <w:rPr>
          <w:rFonts w:ascii="Times New Roman" w:eastAsia="Calibri" w:hAnsi="Times New Roman" w:cs="Times New Roman"/>
          <w:sz w:val="24"/>
          <w:szCs w:val="24"/>
        </w:rPr>
        <w:t xml:space="preserve">odhadom 10-15 </w:t>
      </w:r>
      <w:proofErr w:type="spellStart"/>
      <w:r w:rsidRPr="0011460F">
        <w:rPr>
          <w:rFonts w:ascii="Times New Roman" w:eastAsia="Calibri" w:hAnsi="Times New Roman" w:cs="Times New Roman"/>
          <w:sz w:val="24"/>
          <w:szCs w:val="24"/>
        </w:rPr>
        <w:t>mondayov</w:t>
      </w:r>
      <w:proofErr w:type="spellEnd"/>
      <w:r w:rsidR="5E37BFFF" w:rsidRPr="09F23372">
        <w:rPr>
          <w:rFonts w:ascii="Times New Roman" w:eastAsia="Calibri" w:hAnsi="Times New Roman" w:cs="Times New Roman"/>
          <w:sz w:val="24"/>
          <w:szCs w:val="24"/>
          <w:highlight w:val="yellow"/>
        </w:rPr>
        <w:t xml:space="preserve"> </w:t>
      </w:r>
      <w:r w:rsidR="00EC3EE3" w:rsidRPr="09F23372">
        <w:rPr>
          <w:rFonts w:ascii="Times New Roman" w:eastAsia="Calibri" w:hAnsi="Times New Roman" w:cs="Times New Roman"/>
          <w:sz w:val="24"/>
          <w:szCs w:val="24"/>
        </w:rPr>
        <w:t xml:space="preserve">mesačne v závislosti od </w:t>
      </w:r>
      <w:r w:rsidR="009036EA" w:rsidRPr="09F23372">
        <w:rPr>
          <w:rFonts w:ascii="Times New Roman" w:eastAsia="Calibri" w:hAnsi="Times New Roman" w:cs="Times New Roman"/>
          <w:sz w:val="24"/>
          <w:szCs w:val="24"/>
        </w:rPr>
        <w:t>počtu finančných služieb konkrétneho dotknutého subjektu. Taktiež nepriame finančné náklady sa vzhľadom na vyššie uvedené môžu pohybovať okolo 10 000</w:t>
      </w:r>
      <w:r w:rsidR="7A41D373" w:rsidRPr="09F23372">
        <w:rPr>
          <w:rFonts w:ascii="Times New Roman" w:eastAsia="Calibri" w:hAnsi="Times New Roman" w:cs="Times New Roman"/>
          <w:sz w:val="24"/>
          <w:szCs w:val="24"/>
        </w:rPr>
        <w:t>,-</w:t>
      </w:r>
      <w:r w:rsidR="009036EA" w:rsidRPr="09F23372">
        <w:rPr>
          <w:rFonts w:ascii="Times New Roman" w:eastAsia="Calibri" w:hAnsi="Times New Roman" w:cs="Times New Roman"/>
          <w:sz w:val="24"/>
          <w:szCs w:val="24"/>
        </w:rPr>
        <w:t xml:space="preserve"> eur na jednej dotknutý subjekt mesačne, a to aj v závislosti od miery potreby úpravy digitálnych systémov. Administratívna záťaž sa v prieme predpokladá taktiež na mesačnej báze. Počet dotknutých subjektov sa predpokladá</w:t>
      </w:r>
      <w:r w:rsidR="00EC3EE3" w:rsidRPr="09F23372">
        <w:rPr>
          <w:rFonts w:ascii="Times New Roman" w:eastAsia="Calibri" w:hAnsi="Times New Roman" w:cs="Times New Roman"/>
          <w:sz w:val="24"/>
          <w:szCs w:val="24"/>
        </w:rPr>
        <w:t>,</w:t>
      </w:r>
      <w:r w:rsidR="009036EA" w:rsidRPr="09F23372">
        <w:rPr>
          <w:rFonts w:ascii="Times New Roman" w:eastAsia="Calibri" w:hAnsi="Times New Roman" w:cs="Times New Roman"/>
          <w:sz w:val="24"/>
          <w:szCs w:val="24"/>
        </w:rPr>
        <w:t xml:space="preserve"> rovnako ako pri vyššie uvedených reguláciách</w:t>
      </w:r>
      <w:r w:rsidR="00EC3EE3" w:rsidRPr="09F23372">
        <w:rPr>
          <w:rFonts w:ascii="Times New Roman" w:eastAsia="Calibri" w:hAnsi="Times New Roman" w:cs="Times New Roman"/>
          <w:sz w:val="24"/>
          <w:szCs w:val="24"/>
        </w:rPr>
        <w:t>,</w:t>
      </w:r>
      <w:r w:rsidR="009036EA" w:rsidRPr="09F23372">
        <w:rPr>
          <w:rFonts w:ascii="Times New Roman" w:eastAsia="Calibri" w:hAnsi="Times New Roman" w:cs="Times New Roman"/>
          <w:sz w:val="24"/>
          <w:szCs w:val="24"/>
        </w:rPr>
        <w:t xml:space="preserve"> na 200 </w:t>
      </w:r>
      <w:r w:rsidR="00EC3EE3" w:rsidRPr="09F23372">
        <w:rPr>
          <w:rFonts w:ascii="Times New Roman" w:eastAsia="Calibri" w:hAnsi="Times New Roman" w:cs="Times New Roman"/>
          <w:sz w:val="24"/>
          <w:szCs w:val="24"/>
        </w:rPr>
        <w:t xml:space="preserve">dotknutých subjektov </w:t>
      </w:r>
      <w:r w:rsidR="009036EA" w:rsidRPr="09F23372">
        <w:rPr>
          <w:rFonts w:ascii="Times New Roman" w:eastAsia="Calibri" w:hAnsi="Times New Roman" w:cs="Times New Roman"/>
          <w:sz w:val="24"/>
          <w:szCs w:val="24"/>
        </w:rPr>
        <w:t>a vychádza z údajov zverejnených NBS.</w:t>
      </w:r>
    </w:p>
    <w:p w14:paraId="2DF7D110" w14:textId="799975D4" w:rsidR="00A755A1" w:rsidRDefault="00A755A1" w:rsidP="00A755A1">
      <w:pPr>
        <w:jc w:val="both"/>
        <w:rPr>
          <w:rFonts w:ascii="Times New Roman" w:eastAsia="Calibri" w:hAnsi="Times New Roman" w:cs="Times New Roman"/>
          <w:i/>
          <w:sz w:val="24"/>
          <w:szCs w:val="24"/>
        </w:rPr>
      </w:pPr>
    </w:p>
    <w:p w14:paraId="071C93D6" w14:textId="63FCCB42" w:rsidR="00A755A1" w:rsidRDefault="00A755A1" w:rsidP="00A755A1">
      <w:pPr>
        <w:pStyle w:val="Odsekzoznamu"/>
        <w:numPr>
          <w:ilvl w:val="0"/>
          <w:numId w:val="18"/>
        </w:numPr>
        <w:jc w:val="both"/>
        <w:rPr>
          <w:rFonts w:ascii="Times New Roman" w:eastAsia="Calibri" w:hAnsi="Times New Roman" w:cs="Times New Roman"/>
          <w:i/>
          <w:sz w:val="24"/>
          <w:szCs w:val="24"/>
        </w:rPr>
      </w:pPr>
      <w:r w:rsidRPr="00A755A1">
        <w:rPr>
          <w:rFonts w:ascii="Times New Roman" w:eastAsia="Calibri" w:hAnsi="Times New Roman" w:cs="Times New Roman"/>
          <w:i/>
          <w:sz w:val="24"/>
          <w:szCs w:val="24"/>
        </w:rPr>
        <w:t>Nastavenie online rozhrania v súlade so zákonnými požiadavkami</w:t>
      </w:r>
    </w:p>
    <w:p w14:paraId="67550947" w14:textId="370A171C" w:rsidR="00A84D6C" w:rsidRDefault="00A84D6C" w:rsidP="00A84D6C">
      <w:pPr>
        <w:jc w:val="both"/>
        <w:rPr>
          <w:rFonts w:ascii="Times New Roman" w:eastAsia="Calibri" w:hAnsi="Times New Roman" w:cs="Times New Roman"/>
          <w:sz w:val="24"/>
          <w:szCs w:val="24"/>
        </w:rPr>
      </w:pPr>
      <w:r>
        <w:rPr>
          <w:rFonts w:ascii="Times New Roman" w:eastAsia="Calibri" w:hAnsi="Times New Roman" w:cs="Times New Roman"/>
          <w:sz w:val="24"/>
          <w:szCs w:val="24"/>
        </w:rPr>
        <w:t>Predmetná reguláci</w:t>
      </w:r>
      <w:r w:rsidR="00B552EA">
        <w:rPr>
          <w:rFonts w:ascii="Times New Roman" w:eastAsia="Calibri" w:hAnsi="Times New Roman" w:cs="Times New Roman"/>
          <w:sz w:val="24"/>
          <w:szCs w:val="24"/>
        </w:rPr>
        <w:t>a</w:t>
      </w:r>
      <w:r>
        <w:rPr>
          <w:rFonts w:ascii="Times New Roman" w:eastAsia="Calibri" w:hAnsi="Times New Roman" w:cs="Times New Roman"/>
          <w:sz w:val="24"/>
          <w:szCs w:val="24"/>
        </w:rPr>
        <w:t xml:space="preserve"> </w:t>
      </w:r>
      <w:r w:rsidR="00B552EA">
        <w:rPr>
          <w:rFonts w:ascii="Times New Roman" w:eastAsia="Calibri" w:hAnsi="Times New Roman" w:cs="Times New Roman"/>
          <w:sz w:val="24"/>
          <w:szCs w:val="24"/>
        </w:rPr>
        <w:t>zvýši</w:t>
      </w:r>
      <w:r>
        <w:rPr>
          <w:rFonts w:ascii="Times New Roman" w:eastAsia="Calibri" w:hAnsi="Times New Roman" w:cs="Times New Roman"/>
          <w:sz w:val="24"/>
          <w:szCs w:val="24"/>
        </w:rPr>
        <w:t xml:space="preserve"> nepriame finančné náklady a administratívnu záťaž vzhľadom na to, že dotknuté subjekty budú musieť prispôsobiť svoje online prostred</w:t>
      </w:r>
      <w:r w:rsidR="006C1E16">
        <w:rPr>
          <w:rFonts w:ascii="Times New Roman" w:eastAsia="Calibri" w:hAnsi="Times New Roman" w:cs="Times New Roman"/>
          <w:sz w:val="24"/>
          <w:szCs w:val="24"/>
        </w:rPr>
        <w:t>ie požiadavkám obsiahnutým v § 9</w:t>
      </w:r>
      <w:r>
        <w:rPr>
          <w:rFonts w:ascii="Times New Roman" w:eastAsia="Calibri" w:hAnsi="Times New Roman" w:cs="Times New Roman"/>
          <w:sz w:val="24"/>
          <w:szCs w:val="24"/>
        </w:rPr>
        <w:t xml:space="preserve"> a nastaviť systém aj vzhľadom na ponuku nových finančných služieb v budúcnosti. Dotknutými subjektmi sú všetci obchodníci poskytujúci finančné služby na diaľku, ktorých počet je odhadovaný na 200 a vychádza z údajov uvedených v predchádzajúcich reguláciách. </w:t>
      </w:r>
      <w:r w:rsidR="00B552EA">
        <w:rPr>
          <w:rFonts w:ascii="Times New Roman" w:eastAsia="Calibri" w:hAnsi="Times New Roman" w:cs="Times New Roman"/>
          <w:sz w:val="24"/>
          <w:szCs w:val="24"/>
        </w:rPr>
        <w:t>Podľa údajov poskytnutých Slovenskou bankovou asociáciou bude predmetná regulácia predstavovať:</w:t>
      </w:r>
    </w:p>
    <w:p w14:paraId="7892FCA2" w14:textId="6E1660CB" w:rsidR="00A84D6C" w:rsidRPr="00A84D6C" w:rsidRDefault="00B552EA" w:rsidP="00A84D6C">
      <w:pPr>
        <w:numPr>
          <w:ilvl w:val="0"/>
          <w:numId w:val="19"/>
        </w:numPr>
        <w:jc w:val="both"/>
        <w:rPr>
          <w:rFonts w:ascii="Times New Roman" w:eastAsia="Calibri" w:hAnsi="Times New Roman" w:cs="Times New Roman"/>
          <w:sz w:val="24"/>
          <w:szCs w:val="24"/>
        </w:rPr>
      </w:pPr>
      <w:r>
        <w:rPr>
          <w:rFonts w:ascii="Times New Roman" w:eastAsia="Calibri" w:hAnsi="Times New Roman" w:cs="Times New Roman"/>
          <w:sz w:val="24"/>
          <w:szCs w:val="24"/>
        </w:rPr>
        <w:t>Časovú náročnosť na implementačnú</w:t>
      </w:r>
      <w:r w:rsidR="00A84D6C" w:rsidRPr="00A84D6C">
        <w:rPr>
          <w:rFonts w:ascii="Times New Roman" w:eastAsia="Calibri" w:hAnsi="Times New Roman" w:cs="Times New Roman"/>
          <w:sz w:val="24"/>
          <w:szCs w:val="24"/>
        </w:rPr>
        <w:t xml:space="preserve"> komplexnosť požiadaviek zákona v rámci onl</w:t>
      </w:r>
      <w:r>
        <w:rPr>
          <w:rFonts w:ascii="Times New Roman" w:eastAsia="Calibri" w:hAnsi="Times New Roman" w:cs="Times New Roman"/>
          <w:sz w:val="24"/>
          <w:szCs w:val="24"/>
        </w:rPr>
        <w:t xml:space="preserve">ine rozhrania (implementácia môže byť až </w:t>
      </w:r>
      <w:r w:rsidR="00A84D6C" w:rsidRPr="00A84D6C">
        <w:rPr>
          <w:rFonts w:ascii="Times New Roman" w:eastAsia="Calibri" w:hAnsi="Times New Roman" w:cs="Times New Roman"/>
          <w:sz w:val="24"/>
          <w:szCs w:val="24"/>
        </w:rPr>
        <w:t>niekoľko mesiacov až rokov)</w:t>
      </w:r>
      <w:r>
        <w:rPr>
          <w:rFonts w:ascii="Times New Roman" w:eastAsia="Calibri" w:hAnsi="Times New Roman" w:cs="Times New Roman"/>
          <w:sz w:val="24"/>
          <w:szCs w:val="24"/>
        </w:rPr>
        <w:t>.</w:t>
      </w:r>
    </w:p>
    <w:p w14:paraId="222E26A5" w14:textId="6C10B385" w:rsidR="00A84D6C" w:rsidRPr="00A84D6C" w:rsidRDefault="00A84D6C" w:rsidP="00A84D6C">
      <w:pPr>
        <w:numPr>
          <w:ilvl w:val="0"/>
          <w:numId w:val="19"/>
        </w:numPr>
        <w:jc w:val="both"/>
        <w:rPr>
          <w:rFonts w:ascii="Times New Roman" w:eastAsia="Calibri" w:hAnsi="Times New Roman" w:cs="Times New Roman"/>
          <w:sz w:val="24"/>
          <w:szCs w:val="24"/>
        </w:rPr>
      </w:pPr>
      <w:r w:rsidRPr="09F23372">
        <w:rPr>
          <w:rFonts w:ascii="Times New Roman" w:eastAsia="Calibri" w:hAnsi="Times New Roman" w:cs="Times New Roman"/>
          <w:sz w:val="24"/>
          <w:szCs w:val="24"/>
        </w:rPr>
        <w:t xml:space="preserve">Náklady bude potrebné vynaložiť na úpravu exitujúcich systémov a procesov, náklady za zriaďovanie bežných účtov v online prostredí, náklady pre oblasť poskytovania úverov </w:t>
      </w:r>
      <w:r w:rsidR="3C1C53F0" w:rsidRPr="09F23372">
        <w:rPr>
          <w:rFonts w:ascii="Times New Roman" w:eastAsia="Calibri" w:hAnsi="Times New Roman" w:cs="Times New Roman"/>
          <w:sz w:val="24"/>
          <w:szCs w:val="24"/>
        </w:rPr>
        <w:t xml:space="preserve">pre spotrebiteľov </w:t>
      </w:r>
      <w:r w:rsidRPr="09F23372">
        <w:rPr>
          <w:rFonts w:ascii="Times New Roman" w:eastAsia="Calibri" w:hAnsi="Times New Roman" w:cs="Times New Roman"/>
          <w:sz w:val="24"/>
          <w:szCs w:val="24"/>
        </w:rPr>
        <w:t>a pre finančné sprostredkovanie poistný</w:t>
      </w:r>
      <w:r w:rsidR="00B552EA" w:rsidRPr="09F23372">
        <w:rPr>
          <w:rFonts w:ascii="Times New Roman" w:eastAsia="Calibri" w:hAnsi="Times New Roman" w:cs="Times New Roman"/>
          <w:sz w:val="24"/>
          <w:szCs w:val="24"/>
        </w:rPr>
        <w:t>ch produktov v online prostredí.</w:t>
      </w:r>
    </w:p>
    <w:p w14:paraId="5F8D533E" w14:textId="5FA37822" w:rsidR="00A84D6C" w:rsidRPr="00A84D6C" w:rsidRDefault="00A84D6C" w:rsidP="00A84D6C">
      <w:pPr>
        <w:numPr>
          <w:ilvl w:val="0"/>
          <w:numId w:val="19"/>
        </w:numPr>
        <w:jc w:val="both"/>
        <w:rPr>
          <w:rFonts w:ascii="Times New Roman" w:eastAsia="Calibri" w:hAnsi="Times New Roman" w:cs="Times New Roman"/>
          <w:sz w:val="24"/>
          <w:szCs w:val="24"/>
        </w:rPr>
      </w:pPr>
      <w:r w:rsidRPr="09F23372">
        <w:rPr>
          <w:rFonts w:ascii="Times New Roman" w:eastAsia="Calibri" w:hAnsi="Times New Roman" w:cs="Times New Roman"/>
          <w:sz w:val="24"/>
          <w:szCs w:val="24"/>
        </w:rPr>
        <w:t xml:space="preserve">Personálne náklady, ktoré </w:t>
      </w:r>
      <w:r w:rsidR="56EA0C04" w:rsidRPr="09F23372">
        <w:rPr>
          <w:rFonts w:ascii="Times New Roman" w:eastAsia="Calibri" w:hAnsi="Times New Roman" w:cs="Times New Roman"/>
          <w:sz w:val="24"/>
          <w:szCs w:val="24"/>
        </w:rPr>
        <w:t xml:space="preserve">nie </w:t>
      </w:r>
      <w:r w:rsidRPr="09F23372">
        <w:rPr>
          <w:rFonts w:ascii="Times New Roman" w:eastAsia="Calibri" w:hAnsi="Times New Roman" w:cs="Times New Roman"/>
          <w:sz w:val="24"/>
          <w:szCs w:val="24"/>
        </w:rPr>
        <w:t>je prakticky možné odhadovať, nakoľko závisia od pr</w:t>
      </w:r>
      <w:r w:rsidR="0C0C3D2B" w:rsidRPr="09F23372">
        <w:rPr>
          <w:rFonts w:ascii="Times New Roman" w:eastAsia="Calibri" w:hAnsi="Times New Roman" w:cs="Times New Roman"/>
          <w:sz w:val="24"/>
          <w:szCs w:val="24"/>
        </w:rPr>
        <w:t>á</w:t>
      </w:r>
      <w:r w:rsidRPr="09F23372">
        <w:rPr>
          <w:rFonts w:ascii="Times New Roman" w:eastAsia="Calibri" w:hAnsi="Times New Roman" w:cs="Times New Roman"/>
          <w:sz w:val="24"/>
          <w:szCs w:val="24"/>
        </w:rPr>
        <w:t>cnosti a množstva podnetov zo strany klientov.</w:t>
      </w:r>
    </w:p>
    <w:p w14:paraId="281DE336" w14:textId="31110678" w:rsidR="00A84D6C" w:rsidRDefault="00B552EA" w:rsidP="00A84D6C">
      <w:pPr>
        <w:jc w:val="both"/>
        <w:rPr>
          <w:rFonts w:ascii="Times New Roman" w:eastAsia="Calibri" w:hAnsi="Times New Roman" w:cs="Times New Roman"/>
          <w:sz w:val="24"/>
          <w:szCs w:val="24"/>
        </w:rPr>
      </w:pPr>
      <w:r w:rsidRPr="09F23372">
        <w:rPr>
          <w:rFonts w:ascii="Times New Roman" w:eastAsia="Calibri" w:hAnsi="Times New Roman" w:cs="Times New Roman"/>
          <w:sz w:val="24"/>
          <w:szCs w:val="24"/>
        </w:rPr>
        <w:t xml:space="preserve">Z vyššie uvedeného sa predpokladá </w:t>
      </w:r>
      <w:r w:rsidR="000875AD" w:rsidRPr="09F23372">
        <w:rPr>
          <w:rFonts w:ascii="Times New Roman" w:eastAsia="Calibri" w:hAnsi="Times New Roman" w:cs="Times New Roman"/>
          <w:sz w:val="24"/>
          <w:szCs w:val="24"/>
        </w:rPr>
        <w:t xml:space="preserve">jednorazové </w:t>
      </w:r>
      <w:r w:rsidRPr="09F23372">
        <w:rPr>
          <w:rFonts w:ascii="Times New Roman" w:eastAsia="Calibri" w:hAnsi="Times New Roman" w:cs="Times New Roman"/>
          <w:sz w:val="24"/>
          <w:szCs w:val="24"/>
        </w:rPr>
        <w:t>zvýšenie administratívnej záťaže z dôvodu potreby oboznámenia sa s reguláciou, vypracovanie projektu na úpravu existujúcich systémov a procesov a časový náklad externej služby, ak dotknutý subjekt využíva služby externého dodávateľa na úpravu informačných systémov. Odhad na jednorazové nepriame finančné náklady je priemerne 800 000</w:t>
      </w:r>
      <w:r w:rsidR="50844726" w:rsidRPr="09F23372">
        <w:rPr>
          <w:rFonts w:ascii="Times New Roman" w:eastAsia="Calibri" w:hAnsi="Times New Roman" w:cs="Times New Roman"/>
          <w:sz w:val="24"/>
          <w:szCs w:val="24"/>
        </w:rPr>
        <w:t>,-</w:t>
      </w:r>
      <w:r w:rsidRPr="09F23372">
        <w:rPr>
          <w:rFonts w:ascii="Times New Roman" w:eastAsia="Calibri" w:hAnsi="Times New Roman" w:cs="Times New Roman"/>
          <w:sz w:val="24"/>
          <w:szCs w:val="24"/>
        </w:rPr>
        <w:t xml:space="preserve"> eur</w:t>
      </w:r>
      <w:r w:rsidR="50B270C2" w:rsidRPr="09F23372">
        <w:rPr>
          <w:rFonts w:ascii="Times New Roman" w:eastAsia="Calibri" w:hAnsi="Times New Roman" w:cs="Times New Roman"/>
          <w:sz w:val="24"/>
          <w:szCs w:val="24"/>
        </w:rPr>
        <w:t xml:space="preserve"> (z pohľadu bankového sektora)</w:t>
      </w:r>
      <w:r w:rsidRPr="09F23372">
        <w:rPr>
          <w:rFonts w:ascii="Times New Roman" w:eastAsia="Calibri" w:hAnsi="Times New Roman" w:cs="Times New Roman"/>
          <w:sz w:val="24"/>
          <w:szCs w:val="24"/>
        </w:rPr>
        <w:t xml:space="preserve">, avšak </w:t>
      </w:r>
      <w:r w:rsidR="000875AD" w:rsidRPr="09F23372">
        <w:rPr>
          <w:rFonts w:ascii="Times New Roman" w:eastAsia="Calibri" w:hAnsi="Times New Roman" w:cs="Times New Roman"/>
          <w:sz w:val="24"/>
          <w:szCs w:val="24"/>
        </w:rPr>
        <w:t>konkrétna</w:t>
      </w:r>
      <w:r w:rsidRPr="09F23372">
        <w:rPr>
          <w:rFonts w:ascii="Times New Roman" w:eastAsia="Calibri" w:hAnsi="Times New Roman" w:cs="Times New Roman"/>
          <w:sz w:val="24"/>
          <w:szCs w:val="24"/>
        </w:rPr>
        <w:t xml:space="preserve"> suma bude závisieť najmä od veľkosti dotknutého subjektu, miery digitalizácie a potreby zásahu do informačných systémov a</w:t>
      </w:r>
      <w:r w:rsidR="000875AD" w:rsidRPr="09F23372">
        <w:rPr>
          <w:rFonts w:ascii="Times New Roman" w:eastAsia="Calibri" w:hAnsi="Times New Roman" w:cs="Times New Roman"/>
          <w:sz w:val="24"/>
          <w:szCs w:val="24"/>
        </w:rPr>
        <w:t xml:space="preserve"> od počtu produktov, ktorých sa regulácia dotkne. </w:t>
      </w:r>
    </w:p>
    <w:p w14:paraId="716AC2A6" w14:textId="77777777" w:rsidR="00A84D6C" w:rsidRPr="00A84D6C" w:rsidRDefault="00A84D6C" w:rsidP="00A84D6C">
      <w:pPr>
        <w:jc w:val="both"/>
        <w:rPr>
          <w:rFonts w:ascii="Times New Roman" w:eastAsia="Calibri" w:hAnsi="Times New Roman" w:cs="Times New Roman"/>
          <w:sz w:val="24"/>
          <w:szCs w:val="24"/>
        </w:rPr>
      </w:pPr>
    </w:p>
    <w:p w14:paraId="46E34A6C" w14:textId="56AF36DA" w:rsidR="00A84D6C" w:rsidRDefault="00A84D6C" w:rsidP="00A84D6C">
      <w:pPr>
        <w:pStyle w:val="Odsekzoznamu"/>
        <w:numPr>
          <w:ilvl w:val="0"/>
          <w:numId w:val="18"/>
        </w:numPr>
        <w:jc w:val="both"/>
        <w:rPr>
          <w:rFonts w:ascii="Times New Roman" w:eastAsia="Calibri" w:hAnsi="Times New Roman" w:cs="Times New Roman"/>
          <w:i/>
          <w:sz w:val="24"/>
          <w:szCs w:val="24"/>
        </w:rPr>
      </w:pPr>
      <w:r w:rsidRPr="00A84D6C">
        <w:rPr>
          <w:rFonts w:ascii="Times New Roman" w:eastAsia="Calibri" w:hAnsi="Times New Roman" w:cs="Times New Roman"/>
          <w:i/>
          <w:sz w:val="24"/>
          <w:szCs w:val="24"/>
        </w:rPr>
        <w:t>Prevádzkovanie online rozhrania v súlade so zákonnými požiadavkami</w:t>
      </w:r>
    </w:p>
    <w:p w14:paraId="1AD81DF1" w14:textId="12257153" w:rsidR="00A84D6C" w:rsidRPr="006C1E16" w:rsidRDefault="006C1E16" w:rsidP="00A84D6C">
      <w:pPr>
        <w:jc w:val="both"/>
        <w:rPr>
          <w:rFonts w:ascii="Times New Roman" w:eastAsia="Calibri" w:hAnsi="Times New Roman" w:cs="Times New Roman"/>
          <w:sz w:val="24"/>
          <w:szCs w:val="24"/>
        </w:rPr>
      </w:pPr>
      <w:r w:rsidRPr="006C1E16">
        <w:rPr>
          <w:rFonts w:ascii="Times New Roman" w:eastAsia="Calibri" w:hAnsi="Times New Roman" w:cs="Times New Roman"/>
          <w:sz w:val="24"/>
          <w:szCs w:val="24"/>
        </w:rPr>
        <w:t>Regulácia v bode 7 bude predstavovať nie len jednorazový náklad, ale aj pokračujúce náklady potrebné na jeho prev</w:t>
      </w:r>
      <w:r>
        <w:rPr>
          <w:rFonts w:ascii="Times New Roman" w:eastAsia="Calibri" w:hAnsi="Times New Roman" w:cs="Times New Roman"/>
          <w:sz w:val="24"/>
          <w:szCs w:val="24"/>
        </w:rPr>
        <w:t>ádzku systémov v súvislosti s reguláciou, a to v podobe administratívnej záťaže a nepriamych finančných nákladov. Dotknutými subjektmi sú všetci obchodníci poskytujúci finančné služby na diaľku, ktorých počet je odhadovaný na 200 a vychádza z údajov uvedených v predchádzajúcich reguláciách.</w:t>
      </w:r>
      <w:r w:rsidR="000A3194">
        <w:rPr>
          <w:rFonts w:ascii="Times New Roman" w:eastAsia="Calibri" w:hAnsi="Times New Roman" w:cs="Times New Roman"/>
          <w:sz w:val="24"/>
          <w:szCs w:val="24"/>
        </w:rPr>
        <w:t xml:space="preserve"> Podľa údajov poskytnutých Slovenskou bankovou asociáciou budú náklady v podobe:</w:t>
      </w:r>
    </w:p>
    <w:p w14:paraId="5A8F0A0D" w14:textId="5F095EC4" w:rsidR="00B552EA" w:rsidRPr="00A84D6C" w:rsidRDefault="00B552EA" w:rsidP="00B552EA">
      <w:pPr>
        <w:numPr>
          <w:ilvl w:val="0"/>
          <w:numId w:val="19"/>
        </w:numPr>
        <w:jc w:val="both"/>
        <w:rPr>
          <w:rFonts w:ascii="Times New Roman" w:eastAsia="Calibri" w:hAnsi="Times New Roman" w:cs="Times New Roman"/>
          <w:sz w:val="24"/>
          <w:szCs w:val="24"/>
        </w:rPr>
      </w:pPr>
      <w:r w:rsidRPr="09F23372">
        <w:rPr>
          <w:rFonts w:ascii="Times New Roman" w:eastAsia="Calibri" w:hAnsi="Times New Roman" w:cs="Times New Roman"/>
          <w:sz w:val="24"/>
          <w:szCs w:val="24"/>
        </w:rPr>
        <w:lastRenderedPageBreak/>
        <w:t>Zvýšenie administratívnej náročnosti vo vzťahu k spracovaniu požiadaviek klientov, nutnosť klienta ešte kontaktovať, v prípade</w:t>
      </w:r>
      <w:r w:rsidR="79671830" w:rsidRPr="09F23372">
        <w:rPr>
          <w:rFonts w:ascii="Times New Roman" w:eastAsia="Calibri" w:hAnsi="Times New Roman" w:cs="Times New Roman"/>
          <w:sz w:val="24"/>
          <w:szCs w:val="24"/>
        </w:rPr>
        <w:t>,</w:t>
      </w:r>
      <w:r w:rsidRPr="09F23372">
        <w:rPr>
          <w:rFonts w:ascii="Times New Roman" w:eastAsia="Calibri" w:hAnsi="Times New Roman" w:cs="Times New Roman"/>
          <w:sz w:val="24"/>
          <w:szCs w:val="24"/>
        </w:rPr>
        <w:t xml:space="preserve"> ak klient neuhradí dlžnú sumu, klienta vyzývať atď.</w:t>
      </w:r>
    </w:p>
    <w:p w14:paraId="3C818724" w14:textId="05934923" w:rsidR="00B552EA" w:rsidRPr="00A84D6C" w:rsidRDefault="00B552EA" w:rsidP="00B552EA">
      <w:pPr>
        <w:numPr>
          <w:ilvl w:val="0"/>
          <w:numId w:val="19"/>
        </w:numPr>
        <w:jc w:val="both"/>
        <w:rPr>
          <w:rFonts w:ascii="Times New Roman" w:eastAsia="Calibri" w:hAnsi="Times New Roman" w:cs="Times New Roman"/>
          <w:sz w:val="24"/>
          <w:szCs w:val="24"/>
        </w:rPr>
      </w:pPr>
      <w:r w:rsidRPr="00A84D6C">
        <w:rPr>
          <w:rFonts w:ascii="Times New Roman" w:eastAsia="Calibri" w:hAnsi="Times New Roman" w:cs="Times New Roman"/>
          <w:sz w:val="24"/>
          <w:szCs w:val="24"/>
        </w:rPr>
        <w:t xml:space="preserve">Možný nárast reklamácií a sťažností z dôvodu, že klient (aj napriek vysvetleniam v rámci online rozhrania) </w:t>
      </w:r>
      <w:r w:rsidR="000A3194">
        <w:rPr>
          <w:rFonts w:ascii="Times New Roman" w:eastAsia="Calibri" w:hAnsi="Times New Roman" w:cs="Times New Roman"/>
          <w:sz w:val="24"/>
          <w:szCs w:val="24"/>
        </w:rPr>
        <w:t xml:space="preserve">si neuvedomí </w:t>
      </w:r>
      <w:r w:rsidRPr="00A84D6C">
        <w:rPr>
          <w:rFonts w:ascii="Times New Roman" w:eastAsia="Calibri" w:hAnsi="Times New Roman" w:cs="Times New Roman"/>
          <w:sz w:val="24"/>
          <w:szCs w:val="24"/>
        </w:rPr>
        <w:t>všetky dôsledky svojho úkonu smerujúcemu k ukončeniu produktu. Napr. nezabezpečí dostatok peňažných prostriedkov na splatenie úveru pred lehotou splatnosti alebo si rozmyslí ukončenie produktu po odstúpení od zmluvy a pod.</w:t>
      </w:r>
    </w:p>
    <w:p w14:paraId="143C9DC9" w14:textId="77777777" w:rsidR="000A3194" w:rsidRDefault="000A3194" w:rsidP="000875AD">
      <w:pPr>
        <w:numPr>
          <w:ilvl w:val="0"/>
          <w:numId w:val="19"/>
        </w:num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Náklady bude predstavovať </w:t>
      </w:r>
      <w:r w:rsidR="000875AD" w:rsidRPr="00A84D6C">
        <w:rPr>
          <w:rFonts w:ascii="Times New Roman" w:eastAsia="Calibri" w:hAnsi="Times New Roman" w:cs="Times New Roman"/>
          <w:sz w:val="24"/>
          <w:szCs w:val="24"/>
        </w:rPr>
        <w:t>aj údržba riešenia</w:t>
      </w:r>
      <w:r>
        <w:rPr>
          <w:rFonts w:ascii="Times New Roman" w:eastAsia="Calibri" w:hAnsi="Times New Roman" w:cs="Times New Roman"/>
          <w:sz w:val="24"/>
          <w:szCs w:val="24"/>
        </w:rPr>
        <w:t>.</w:t>
      </w:r>
    </w:p>
    <w:p w14:paraId="5BEC16A0" w14:textId="70D15008" w:rsidR="00B552EA" w:rsidRDefault="000A3194" w:rsidP="09F23372">
      <w:pPr>
        <w:jc w:val="both"/>
        <w:rPr>
          <w:rFonts w:ascii="Times New Roman" w:eastAsia="Calibri" w:hAnsi="Times New Roman" w:cs="Times New Roman"/>
          <w:i/>
          <w:iCs/>
          <w:sz w:val="24"/>
          <w:szCs w:val="24"/>
        </w:rPr>
      </w:pPr>
      <w:r w:rsidRPr="09F23372">
        <w:rPr>
          <w:rFonts w:ascii="Times New Roman" w:eastAsia="Calibri" w:hAnsi="Times New Roman" w:cs="Times New Roman"/>
          <w:sz w:val="24"/>
          <w:szCs w:val="24"/>
        </w:rPr>
        <w:t>Na základe vyššie uvedeného sú nepriame finančné náklady odhadované v priemere</w:t>
      </w:r>
      <w:r w:rsidR="000875AD" w:rsidRPr="09F23372">
        <w:rPr>
          <w:rFonts w:ascii="Times New Roman" w:eastAsia="Calibri" w:hAnsi="Times New Roman" w:cs="Times New Roman"/>
          <w:sz w:val="24"/>
          <w:szCs w:val="24"/>
        </w:rPr>
        <w:t xml:space="preserve"> 25 000</w:t>
      </w:r>
      <w:r w:rsidR="0A948EC0" w:rsidRPr="09F23372">
        <w:rPr>
          <w:rFonts w:ascii="Times New Roman" w:eastAsia="Calibri" w:hAnsi="Times New Roman" w:cs="Times New Roman"/>
          <w:sz w:val="24"/>
          <w:szCs w:val="24"/>
        </w:rPr>
        <w:t>.-</w:t>
      </w:r>
      <w:r w:rsidR="000875AD" w:rsidRPr="09F23372">
        <w:rPr>
          <w:rFonts w:ascii="Times New Roman" w:eastAsia="Calibri" w:hAnsi="Times New Roman" w:cs="Times New Roman"/>
          <w:sz w:val="24"/>
          <w:szCs w:val="24"/>
        </w:rPr>
        <w:t xml:space="preserve"> </w:t>
      </w:r>
      <w:r w:rsidRPr="09F23372">
        <w:rPr>
          <w:rFonts w:ascii="Times New Roman" w:eastAsia="Calibri" w:hAnsi="Times New Roman" w:cs="Times New Roman"/>
          <w:sz w:val="24"/>
          <w:szCs w:val="24"/>
        </w:rPr>
        <w:t>eur ako</w:t>
      </w:r>
      <w:r w:rsidR="000875AD" w:rsidRPr="09F23372">
        <w:rPr>
          <w:rFonts w:ascii="Times New Roman" w:eastAsia="Calibri" w:hAnsi="Times New Roman" w:cs="Times New Roman"/>
          <w:sz w:val="24"/>
          <w:szCs w:val="24"/>
        </w:rPr>
        <w:t xml:space="preserve"> ročný prevádzkový náklad.</w:t>
      </w:r>
      <w:r w:rsidRPr="09F23372">
        <w:rPr>
          <w:rFonts w:ascii="Times New Roman" w:eastAsia="Calibri" w:hAnsi="Times New Roman" w:cs="Times New Roman"/>
          <w:sz w:val="24"/>
          <w:szCs w:val="24"/>
        </w:rPr>
        <w:t xml:space="preserve"> Administratívna záťaž je </w:t>
      </w:r>
      <w:r w:rsidR="00F408FB" w:rsidRPr="09F23372">
        <w:rPr>
          <w:rFonts w:ascii="Times New Roman" w:eastAsia="Calibri" w:hAnsi="Times New Roman" w:cs="Times New Roman"/>
          <w:sz w:val="24"/>
          <w:szCs w:val="24"/>
        </w:rPr>
        <w:t xml:space="preserve">na overenie súladu predmetnej regulácie s internými procesmi a na poskytnutie informácií v prípade podaní klientov, pričom sa odhaduje na mesačnej báze. </w:t>
      </w:r>
    </w:p>
    <w:p w14:paraId="59A7F553" w14:textId="77777777" w:rsidR="00B552EA" w:rsidRPr="00A84D6C" w:rsidRDefault="00B552EA" w:rsidP="00A84D6C">
      <w:pPr>
        <w:jc w:val="both"/>
        <w:rPr>
          <w:rFonts w:ascii="Times New Roman" w:eastAsia="Calibri" w:hAnsi="Times New Roman" w:cs="Times New Roman"/>
          <w:i/>
          <w:sz w:val="24"/>
          <w:szCs w:val="24"/>
        </w:rPr>
      </w:pPr>
    </w:p>
    <w:p w14:paraId="31BCF86E" w14:textId="49EEFA19" w:rsidR="00A755A1" w:rsidRDefault="00A755A1" w:rsidP="09F23372">
      <w:pPr>
        <w:pStyle w:val="Odsekzoznamu"/>
        <w:numPr>
          <w:ilvl w:val="0"/>
          <w:numId w:val="18"/>
        </w:numPr>
        <w:jc w:val="both"/>
        <w:rPr>
          <w:rFonts w:ascii="Times New Roman" w:eastAsia="Calibri" w:hAnsi="Times New Roman" w:cs="Times New Roman"/>
          <w:i/>
          <w:iCs/>
          <w:sz w:val="24"/>
          <w:szCs w:val="24"/>
        </w:rPr>
      </w:pPr>
      <w:r w:rsidRPr="09F23372">
        <w:rPr>
          <w:rFonts w:ascii="Times New Roman" w:eastAsia="Calibri" w:hAnsi="Times New Roman" w:cs="Times New Roman"/>
          <w:i/>
          <w:iCs/>
          <w:sz w:val="24"/>
          <w:szCs w:val="24"/>
        </w:rPr>
        <w:t>Zavedenie funkcie na odstúpenie od zmluvy</w:t>
      </w:r>
      <w:r w:rsidR="003558EA" w:rsidRPr="09F23372">
        <w:rPr>
          <w:rFonts w:ascii="Times New Roman" w:eastAsia="Calibri" w:hAnsi="Times New Roman" w:cs="Times New Roman"/>
          <w:i/>
          <w:iCs/>
          <w:sz w:val="24"/>
          <w:szCs w:val="24"/>
        </w:rPr>
        <w:t xml:space="preserve"> pre bank</w:t>
      </w:r>
      <w:r w:rsidR="0011460F">
        <w:rPr>
          <w:rFonts w:ascii="Times New Roman" w:eastAsia="Calibri" w:hAnsi="Times New Roman" w:cs="Times New Roman"/>
          <w:i/>
          <w:iCs/>
          <w:sz w:val="24"/>
          <w:szCs w:val="24"/>
        </w:rPr>
        <w:t>y a pobočky zahraničných bánk</w:t>
      </w:r>
    </w:p>
    <w:p w14:paraId="595B29A8" w14:textId="0259D146" w:rsidR="00A755A1" w:rsidRDefault="00C741FF" w:rsidP="00A755A1">
      <w:pPr>
        <w:jc w:val="both"/>
        <w:rPr>
          <w:rFonts w:ascii="Times New Roman" w:eastAsia="Calibri" w:hAnsi="Times New Roman" w:cs="Times New Roman"/>
          <w:sz w:val="24"/>
          <w:szCs w:val="24"/>
        </w:rPr>
      </w:pPr>
      <w:r w:rsidRPr="09F23372">
        <w:rPr>
          <w:rFonts w:ascii="Times New Roman" w:eastAsia="Calibri" w:hAnsi="Times New Roman" w:cs="Times New Roman"/>
          <w:sz w:val="24"/>
          <w:szCs w:val="24"/>
        </w:rPr>
        <w:t xml:space="preserve">Zavedenie a prevádzkovanie funkcie na odstúpenie od zmluvy </w:t>
      </w:r>
      <w:r w:rsidR="00541675" w:rsidRPr="09F23372">
        <w:rPr>
          <w:rFonts w:ascii="Times New Roman" w:eastAsia="Calibri" w:hAnsi="Times New Roman" w:cs="Times New Roman"/>
          <w:sz w:val="24"/>
          <w:szCs w:val="24"/>
        </w:rPr>
        <w:t>bude</w:t>
      </w:r>
      <w:r w:rsidRPr="09F23372">
        <w:rPr>
          <w:rFonts w:ascii="Times New Roman" w:eastAsia="Calibri" w:hAnsi="Times New Roman" w:cs="Times New Roman"/>
          <w:sz w:val="24"/>
          <w:szCs w:val="24"/>
        </w:rPr>
        <w:t xml:space="preserve"> predstavovať jednorazové zvýšeni</w:t>
      </w:r>
      <w:r w:rsidR="00C61A3F" w:rsidRPr="09F23372">
        <w:rPr>
          <w:rFonts w:ascii="Times New Roman" w:eastAsia="Calibri" w:hAnsi="Times New Roman" w:cs="Times New Roman"/>
          <w:sz w:val="24"/>
          <w:szCs w:val="24"/>
        </w:rPr>
        <w:t>e nepriamych finančných nákladov</w:t>
      </w:r>
      <w:r w:rsidRPr="09F23372">
        <w:rPr>
          <w:rFonts w:ascii="Times New Roman" w:eastAsia="Calibri" w:hAnsi="Times New Roman" w:cs="Times New Roman"/>
          <w:sz w:val="24"/>
          <w:szCs w:val="24"/>
        </w:rPr>
        <w:t xml:space="preserve"> a mesačné zvýšenie administratívnej záťaže pre dotknuté subjekty, ktorými sú </w:t>
      </w:r>
      <w:r w:rsidR="003558EA" w:rsidRPr="09F23372">
        <w:rPr>
          <w:rFonts w:ascii="Times New Roman" w:eastAsia="Calibri" w:hAnsi="Times New Roman" w:cs="Times New Roman"/>
          <w:sz w:val="24"/>
          <w:szCs w:val="24"/>
        </w:rPr>
        <w:t xml:space="preserve">banky </w:t>
      </w:r>
      <w:r w:rsidR="50F8A352" w:rsidRPr="09F23372">
        <w:rPr>
          <w:rFonts w:ascii="Times New Roman" w:eastAsia="Calibri" w:hAnsi="Times New Roman" w:cs="Times New Roman"/>
          <w:sz w:val="24"/>
          <w:szCs w:val="24"/>
        </w:rPr>
        <w:t xml:space="preserve">a pobočky zahraničných bánk </w:t>
      </w:r>
      <w:r w:rsidR="003558EA" w:rsidRPr="09F23372">
        <w:rPr>
          <w:rFonts w:ascii="Times New Roman" w:eastAsia="Calibri" w:hAnsi="Times New Roman" w:cs="Times New Roman"/>
          <w:sz w:val="24"/>
          <w:szCs w:val="24"/>
        </w:rPr>
        <w:t>poskytujúce služby na diaľku.</w:t>
      </w:r>
      <w:r w:rsidRPr="09F23372">
        <w:rPr>
          <w:rFonts w:ascii="Times New Roman" w:eastAsia="Calibri" w:hAnsi="Times New Roman" w:cs="Times New Roman"/>
          <w:sz w:val="24"/>
          <w:szCs w:val="24"/>
        </w:rPr>
        <w:t xml:space="preserve"> Počet dotkn</w:t>
      </w:r>
      <w:r w:rsidR="003558EA" w:rsidRPr="09F23372">
        <w:rPr>
          <w:rFonts w:ascii="Times New Roman" w:eastAsia="Calibri" w:hAnsi="Times New Roman" w:cs="Times New Roman"/>
          <w:sz w:val="24"/>
          <w:szCs w:val="24"/>
        </w:rPr>
        <w:t>utých subjektov sa odhaduje na 23</w:t>
      </w:r>
      <w:r w:rsidRPr="09F23372">
        <w:rPr>
          <w:rFonts w:ascii="Times New Roman" w:eastAsia="Calibri" w:hAnsi="Times New Roman" w:cs="Times New Roman"/>
          <w:sz w:val="24"/>
          <w:szCs w:val="24"/>
        </w:rPr>
        <w:t xml:space="preserve"> a výpočet vychádza z údajov </w:t>
      </w:r>
      <w:r w:rsidR="003558EA" w:rsidRPr="09F23372">
        <w:rPr>
          <w:rFonts w:ascii="Times New Roman" w:eastAsia="Calibri" w:hAnsi="Times New Roman" w:cs="Times New Roman"/>
          <w:sz w:val="24"/>
          <w:szCs w:val="24"/>
        </w:rPr>
        <w:t>zverejnených NBS v rámci dohliadaných subjektov</w:t>
      </w:r>
      <w:r w:rsidR="00C61A3F" w:rsidRPr="09F23372">
        <w:rPr>
          <w:rFonts w:ascii="Times New Roman" w:eastAsia="Calibri" w:hAnsi="Times New Roman" w:cs="Times New Roman"/>
          <w:sz w:val="24"/>
          <w:szCs w:val="24"/>
        </w:rPr>
        <w:t xml:space="preserve">. </w:t>
      </w:r>
      <w:r w:rsidR="006370FC" w:rsidRPr="09F23372">
        <w:rPr>
          <w:rFonts w:ascii="Times New Roman" w:eastAsia="Calibri" w:hAnsi="Times New Roman" w:cs="Times New Roman"/>
          <w:sz w:val="24"/>
          <w:szCs w:val="24"/>
        </w:rPr>
        <w:t xml:space="preserve">Administratívna záťaž bude v podobe oboznámenia sa s reguláciou, vypracovaní projektu v rámci technického riešenia regulačných požiadaviek a časového nákladu externej služby, pokiaľ dotknutý subjekt na činnosti v oblasti </w:t>
      </w:r>
      <w:r w:rsidR="00730EC9" w:rsidRPr="09F23372">
        <w:rPr>
          <w:rFonts w:ascii="Times New Roman" w:eastAsia="Calibri" w:hAnsi="Times New Roman" w:cs="Times New Roman"/>
          <w:sz w:val="24"/>
          <w:szCs w:val="24"/>
        </w:rPr>
        <w:t>digitalizácie</w:t>
      </w:r>
      <w:r w:rsidR="006370FC" w:rsidRPr="09F23372">
        <w:rPr>
          <w:rFonts w:ascii="Times New Roman" w:eastAsia="Calibri" w:hAnsi="Times New Roman" w:cs="Times New Roman"/>
          <w:sz w:val="24"/>
          <w:szCs w:val="24"/>
        </w:rPr>
        <w:t xml:space="preserve"> využíva externého dodávateľa. Po zavedení funkcie na odstúpenie od zmluvy sú predpokladané administratívne náklady hlavne v súvislosti s ukončením samotného produktu v prípade, ak spotrebiteľ využije funkciu na odstúpenie. </w:t>
      </w:r>
      <w:r w:rsidR="00730EC9" w:rsidRPr="09F23372">
        <w:rPr>
          <w:rFonts w:ascii="Times New Roman" w:eastAsia="Calibri" w:hAnsi="Times New Roman" w:cs="Times New Roman"/>
          <w:sz w:val="24"/>
          <w:szCs w:val="24"/>
        </w:rPr>
        <w:t>Nepriame finančné náklady sa jedn</w:t>
      </w:r>
      <w:r w:rsidR="00B932B2" w:rsidRPr="09F23372">
        <w:rPr>
          <w:rFonts w:ascii="Times New Roman" w:eastAsia="Calibri" w:hAnsi="Times New Roman" w:cs="Times New Roman"/>
          <w:sz w:val="24"/>
          <w:szCs w:val="24"/>
        </w:rPr>
        <w:t>orazovo predpokladajú na</w:t>
      </w:r>
      <w:r w:rsidR="00115267" w:rsidRPr="09F23372">
        <w:rPr>
          <w:rFonts w:ascii="Times New Roman" w:eastAsia="Calibri" w:hAnsi="Times New Roman" w:cs="Times New Roman"/>
          <w:sz w:val="24"/>
          <w:szCs w:val="24"/>
        </w:rPr>
        <w:t xml:space="preserve"> priemerne</w:t>
      </w:r>
      <w:r w:rsidR="00B932B2" w:rsidRPr="09F23372">
        <w:rPr>
          <w:rFonts w:ascii="Times New Roman" w:eastAsia="Calibri" w:hAnsi="Times New Roman" w:cs="Times New Roman"/>
          <w:sz w:val="24"/>
          <w:szCs w:val="24"/>
        </w:rPr>
        <w:t xml:space="preserve"> cca 500</w:t>
      </w:r>
      <w:r w:rsidR="00730EC9" w:rsidRPr="09F23372">
        <w:rPr>
          <w:rFonts w:ascii="Times New Roman" w:eastAsia="Calibri" w:hAnsi="Times New Roman" w:cs="Times New Roman"/>
          <w:sz w:val="24"/>
          <w:szCs w:val="24"/>
        </w:rPr>
        <w:t> 000</w:t>
      </w:r>
      <w:r w:rsidR="52A112AD" w:rsidRPr="09F23372">
        <w:rPr>
          <w:rFonts w:ascii="Times New Roman" w:eastAsia="Calibri" w:hAnsi="Times New Roman" w:cs="Times New Roman"/>
          <w:sz w:val="24"/>
          <w:szCs w:val="24"/>
        </w:rPr>
        <w:t>,-</w:t>
      </w:r>
      <w:r w:rsidR="00730EC9" w:rsidRPr="09F23372">
        <w:rPr>
          <w:rFonts w:ascii="Times New Roman" w:eastAsia="Calibri" w:hAnsi="Times New Roman" w:cs="Times New Roman"/>
          <w:sz w:val="24"/>
          <w:szCs w:val="24"/>
        </w:rPr>
        <w:t xml:space="preserve"> eur na jeden dotknutý subjekt, konkrétna su</w:t>
      </w:r>
      <w:r w:rsidR="00EC3EE3" w:rsidRPr="09F23372">
        <w:rPr>
          <w:rFonts w:ascii="Times New Roman" w:eastAsia="Calibri" w:hAnsi="Times New Roman" w:cs="Times New Roman"/>
          <w:sz w:val="24"/>
          <w:szCs w:val="24"/>
        </w:rPr>
        <w:t>ma však bude závisieť od viacerých</w:t>
      </w:r>
      <w:r w:rsidR="00730EC9" w:rsidRPr="09F23372">
        <w:rPr>
          <w:rFonts w:ascii="Times New Roman" w:eastAsia="Calibri" w:hAnsi="Times New Roman" w:cs="Times New Roman"/>
          <w:sz w:val="24"/>
          <w:szCs w:val="24"/>
        </w:rPr>
        <w:t xml:space="preserve"> faktorov, ako napríklad veľkosti dotknutého subjektu, technickej náročnosti, počtu produktov a pod. Výpočet </w:t>
      </w:r>
      <w:r w:rsidR="00EC3EE3" w:rsidRPr="09F23372">
        <w:rPr>
          <w:rFonts w:ascii="Times New Roman" w:eastAsia="Calibri" w:hAnsi="Times New Roman" w:cs="Times New Roman"/>
          <w:sz w:val="24"/>
          <w:szCs w:val="24"/>
        </w:rPr>
        <w:t xml:space="preserve">nepriamych finančných nákladov </w:t>
      </w:r>
      <w:r w:rsidR="00730EC9" w:rsidRPr="09F23372">
        <w:rPr>
          <w:rFonts w:ascii="Times New Roman" w:eastAsia="Calibri" w:hAnsi="Times New Roman" w:cs="Times New Roman"/>
          <w:sz w:val="24"/>
          <w:szCs w:val="24"/>
        </w:rPr>
        <w:t xml:space="preserve">bol určený na základe údajov poskytnutých Slovenskou bankovou asociáciou. </w:t>
      </w:r>
    </w:p>
    <w:p w14:paraId="1B367E22" w14:textId="0CE43976" w:rsidR="003558EA" w:rsidRDefault="003558EA" w:rsidP="00A755A1">
      <w:pPr>
        <w:jc w:val="both"/>
        <w:rPr>
          <w:rFonts w:ascii="Times New Roman" w:eastAsia="Calibri" w:hAnsi="Times New Roman" w:cs="Times New Roman"/>
          <w:sz w:val="24"/>
          <w:szCs w:val="24"/>
        </w:rPr>
      </w:pPr>
    </w:p>
    <w:p w14:paraId="2A7D1E3D" w14:textId="7963B1C3" w:rsidR="003558EA" w:rsidRPr="003558EA" w:rsidRDefault="003558EA" w:rsidP="003558EA">
      <w:pPr>
        <w:pStyle w:val="Odsekzoznamu"/>
        <w:numPr>
          <w:ilvl w:val="0"/>
          <w:numId w:val="18"/>
        </w:numPr>
        <w:jc w:val="both"/>
        <w:rPr>
          <w:rFonts w:ascii="Times New Roman" w:eastAsia="Calibri" w:hAnsi="Times New Roman" w:cs="Times New Roman"/>
          <w:i/>
          <w:sz w:val="24"/>
          <w:szCs w:val="24"/>
        </w:rPr>
      </w:pPr>
      <w:r w:rsidRPr="003558EA">
        <w:rPr>
          <w:rFonts w:ascii="Times New Roman" w:eastAsia="Calibri" w:hAnsi="Times New Roman" w:cs="Times New Roman"/>
          <w:i/>
          <w:sz w:val="24"/>
          <w:szCs w:val="24"/>
        </w:rPr>
        <w:t>Zavedenie funkcie na odstúpenie od zmluvy</w:t>
      </w:r>
      <w:r>
        <w:rPr>
          <w:rFonts w:ascii="Times New Roman" w:eastAsia="Calibri" w:hAnsi="Times New Roman" w:cs="Times New Roman"/>
          <w:i/>
          <w:sz w:val="24"/>
          <w:szCs w:val="24"/>
        </w:rPr>
        <w:t xml:space="preserve"> pre obchodníkov</w:t>
      </w:r>
    </w:p>
    <w:p w14:paraId="5BD35448" w14:textId="11A6DD32" w:rsidR="003558EA" w:rsidRDefault="003558EA" w:rsidP="003558EA">
      <w:pPr>
        <w:jc w:val="both"/>
        <w:rPr>
          <w:rFonts w:ascii="Times New Roman" w:eastAsia="Calibri" w:hAnsi="Times New Roman" w:cs="Times New Roman"/>
          <w:sz w:val="24"/>
          <w:szCs w:val="24"/>
        </w:rPr>
      </w:pPr>
      <w:r w:rsidRPr="09F23372">
        <w:rPr>
          <w:rFonts w:ascii="Times New Roman" w:eastAsia="Calibri" w:hAnsi="Times New Roman" w:cs="Times New Roman"/>
          <w:sz w:val="24"/>
          <w:szCs w:val="24"/>
        </w:rPr>
        <w:t>Zavedenie a prevádzkovanie funkcie na odstúpenie od zmluvy bude predstavovať jednorazové zvýšenie nepriamych finančných nákladov a mesačné zvýšenie administratívnej záťaže pre dotknuté subjekty, ktorými sú všetci obchodníci poskytujúci akékoľvek služby a tovary na diaľku</w:t>
      </w:r>
      <w:r w:rsidR="00B932B2" w:rsidRPr="09F23372">
        <w:rPr>
          <w:rFonts w:ascii="Times New Roman" w:eastAsia="Calibri" w:hAnsi="Times New Roman" w:cs="Times New Roman"/>
          <w:sz w:val="24"/>
          <w:szCs w:val="24"/>
        </w:rPr>
        <w:t>, okrem b</w:t>
      </w:r>
      <w:r w:rsidR="0011460F">
        <w:rPr>
          <w:rFonts w:ascii="Times New Roman" w:eastAsia="Calibri" w:hAnsi="Times New Roman" w:cs="Times New Roman"/>
          <w:sz w:val="24"/>
          <w:szCs w:val="24"/>
        </w:rPr>
        <w:t>ank a pobočiek zahraničných bánk</w:t>
      </w:r>
      <w:r w:rsidR="00B932B2" w:rsidRPr="09F23372">
        <w:rPr>
          <w:rFonts w:ascii="Times New Roman" w:eastAsia="Calibri" w:hAnsi="Times New Roman" w:cs="Times New Roman"/>
          <w:sz w:val="24"/>
          <w:szCs w:val="24"/>
        </w:rPr>
        <w:t xml:space="preserve">, ktorých vyčíslenie bolo uvedené v predchádzajúcej </w:t>
      </w:r>
      <w:r w:rsidR="00115267" w:rsidRPr="09F23372">
        <w:rPr>
          <w:rFonts w:ascii="Times New Roman" w:eastAsia="Calibri" w:hAnsi="Times New Roman" w:cs="Times New Roman"/>
          <w:sz w:val="24"/>
          <w:szCs w:val="24"/>
        </w:rPr>
        <w:t>regulácii – rozdelenie bolo potrebné z dôvodu rozdielnej výšky nepriamych finančných nákladov</w:t>
      </w:r>
      <w:r w:rsidRPr="09F23372">
        <w:rPr>
          <w:rFonts w:ascii="Times New Roman" w:eastAsia="Calibri" w:hAnsi="Times New Roman" w:cs="Times New Roman"/>
          <w:sz w:val="24"/>
          <w:szCs w:val="24"/>
        </w:rPr>
        <w:t xml:space="preserve">. Počet dotknutých subjektov sa odhaduje na </w:t>
      </w:r>
      <w:r w:rsidR="00115267" w:rsidRPr="09F23372">
        <w:rPr>
          <w:rFonts w:ascii="Times New Roman" w:eastAsia="Calibri" w:hAnsi="Times New Roman" w:cs="Times New Roman"/>
          <w:sz w:val="24"/>
          <w:szCs w:val="24"/>
        </w:rPr>
        <w:t>10 877</w:t>
      </w:r>
      <w:r w:rsidRPr="09F23372">
        <w:rPr>
          <w:rFonts w:ascii="Times New Roman" w:eastAsia="Calibri" w:hAnsi="Times New Roman" w:cs="Times New Roman"/>
          <w:sz w:val="24"/>
          <w:szCs w:val="24"/>
        </w:rPr>
        <w:t xml:space="preserve"> a výpočet vychádza z údajov uvedených v analýze vplyvov k zákonu č. 108/2025 Z. z. o ochrane spotrebiteľa a o zmene a doplnení niektorých zákonov</w:t>
      </w:r>
      <w:r w:rsidR="00115267" w:rsidRPr="09F23372">
        <w:rPr>
          <w:rFonts w:ascii="Times New Roman" w:eastAsia="Calibri" w:hAnsi="Times New Roman" w:cs="Times New Roman"/>
          <w:sz w:val="24"/>
          <w:szCs w:val="24"/>
        </w:rPr>
        <w:t xml:space="preserve"> po odpočítaní počtu bánk</w:t>
      </w:r>
      <w:r w:rsidR="181839D9" w:rsidRPr="09F23372">
        <w:rPr>
          <w:rFonts w:ascii="Times New Roman" w:eastAsia="Calibri" w:hAnsi="Times New Roman" w:cs="Times New Roman"/>
          <w:sz w:val="24"/>
          <w:szCs w:val="24"/>
        </w:rPr>
        <w:t xml:space="preserve"> a pobočiek zahraničných bánk</w:t>
      </w:r>
      <w:r w:rsidRPr="09F23372">
        <w:rPr>
          <w:rFonts w:ascii="Times New Roman" w:eastAsia="Calibri" w:hAnsi="Times New Roman" w:cs="Times New Roman"/>
          <w:sz w:val="24"/>
          <w:szCs w:val="24"/>
        </w:rPr>
        <w:t xml:space="preserve">. Administratívna záťaž bude v podobe oboznámenia sa s reguláciou, vypracovaní projektu v rámci technického riešenia regulačných požiadaviek a časového nákladu externej služby, </w:t>
      </w:r>
      <w:r w:rsidRPr="09F23372">
        <w:rPr>
          <w:rFonts w:ascii="Times New Roman" w:eastAsia="Calibri" w:hAnsi="Times New Roman" w:cs="Times New Roman"/>
          <w:sz w:val="24"/>
          <w:szCs w:val="24"/>
        </w:rPr>
        <w:lastRenderedPageBreak/>
        <w:t xml:space="preserve">pokiaľ dotknutý subjekt na činnosti v oblasti digitalizácie využíva externého dodávateľa. Po zavedení funkcie na odstúpenie od zmluvy sú predpokladané administratívne náklady hlavne v súvislosti s ukončením samotného produktu v prípade, ak spotrebiteľ využije funkciu na odstúpenie. Nepriame finančné náklady sa jednorazovo predpokladajú na </w:t>
      </w:r>
      <w:r w:rsidR="00115267" w:rsidRPr="09F23372">
        <w:rPr>
          <w:rFonts w:ascii="Times New Roman" w:eastAsia="Calibri" w:hAnsi="Times New Roman" w:cs="Times New Roman"/>
          <w:sz w:val="24"/>
          <w:szCs w:val="24"/>
        </w:rPr>
        <w:t xml:space="preserve">priemerne </w:t>
      </w:r>
      <w:r w:rsidRPr="09F23372">
        <w:rPr>
          <w:rFonts w:ascii="Times New Roman" w:eastAsia="Calibri" w:hAnsi="Times New Roman" w:cs="Times New Roman"/>
          <w:sz w:val="24"/>
          <w:szCs w:val="24"/>
        </w:rPr>
        <w:t>cca</w:t>
      </w:r>
      <w:r w:rsidR="096126EC" w:rsidRPr="09F23372">
        <w:rPr>
          <w:rFonts w:ascii="Times New Roman" w:eastAsia="Calibri" w:hAnsi="Times New Roman" w:cs="Times New Roman"/>
          <w:sz w:val="24"/>
          <w:szCs w:val="24"/>
        </w:rPr>
        <w:t>.</w:t>
      </w:r>
      <w:r w:rsidRPr="09F23372">
        <w:rPr>
          <w:rFonts w:ascii="Times New Roman" w:eastAsia="Calibri" w:hAnsi="Times New Roman" w:cs="Times New Roman"/>
          <w:sz w:val="24"/>
          <w:szCs w:val="24"/>
        </w:rPr>
        <w:t xml:space="preserve"> </w:t>
      </w:r>
      <w:r w:rsidR="00115267" w:rsidRPr="09F23372">
        <w:rPr>
          <w:rFonts w:ascii="Times New Roman" w:eastAsia="Calibri" w:hAnsi="Times New Roman" w:cs="Times New Roman"/>
          <w:sz w:val="24"/>
          <w:szCs w:val="24"/>
        </w:rPr>
        <w:t>10</w:t>
      </w:r>
      <w:r w:rsidRPr="09F23372">
        <w:rPr>
          <w:rFonts w:ascii="Times New Roman" w:eastAsia="Calibri" w:hAnsi="Times New Roman" w:cs="Times New Roman"/>
          <w:sz w:val="24"/>
          <w:szCs w:val="24"/>
        </w:rPr>
        <w:t> 000</w:t>
      </w:r>
      <w:r w:rsidR="2F087F69" w:rsidRPr="09F23372">
        <w:rPr>
          <w:rFonts w:ascii="Times New Roman" w:eastAsia="Calibri" w:hAnsi="Times New Roman" w:cs="Times New Roman"/>
          <w:sz w:val="24"/>
          <w:szCs w:val="24"/>
        </w:rPr>
        <w:t>,-</w:t>
      </w:r>
      <w:r w:rsidRPr="09F23372">
        <w:rPr>
          <w:rFonts w:ascii="Times New Roman" w:eastAsia="Calibri" w:hAnsi="Times New Roman" w:cs="Times New Roman"/>
          <w:sz w:val="24"/>
          <w:szCs w:val="24"/>
        </w:rPr>
        <w:t xml:space="preserve"> eur na jeden dotknutý subjekt, konkrétna suma však bude závisieť od viacerých faktorov, ako napríklad veľkosti dotknutého subjektu, technickej náročnosti, počtu produktov a pod. </w:t>
      </w:r>
    </w:p>
    <w:p w14:paraId="231E1E70" w14:textId="47DB62DA" w:rsidR="00A755A1" w:rsidRPr="00A755A1" w:rsidRDefault="00A755A1" w:rsidP="00A755A1">
      <w:pPr>
        <w:pStyle w:val="Odsekzoznamu"/>
        <w:numPr>
          <w:ilvl w:val="0"/>
          <w:numId w:val="18"/>
        </w:numPr>
        <w:jc w:val="both"/>
        <w:rPr>
          <w:rFonts w:ascii="Times New Roman" w:eastAsia="Calibri" w:hAnsi="Times New Roman" w:cs="Times New Roman"/>
          <w:i/>
          <w:sz w:val="24"/>
          <w:szCs w:val="24"/>
        </w:rPr>
      </w:pPr>
      <w:r w:rsidRPr="00A755A1">
        <w:rPr>
          <w:rFonts w:ascii="Times New Roman" w:eastAsia="Calibri" w:hAnsi="Times New Roman" w:cs="Times New Roman"/>
          <w:i/>
          <w:sz w:val="24"/>
          <w:szCs w:val="24"/>
        </w:rPr>
        <w:t>Zmena v prílohe v pokynoch na vyplnenie</w:t>
      </w:r>
    </w:p>
    <w:p w14:paraId="520176F4" w14:textId="13BFB853" w:rsidR="00A755A1" w:rsidRDefault="00730EC9" w:rsidP="00673F1C">
      <w:pPr>
        <w:jc w:val="both"/>
        <w:rPr>
          <w:rFonts w:ascii="Times New Roman" w:eastAsia="Calibri" w:hAnsi="Times New Roman" w:cs="Times New Roman"/>
          <w:sz w:val="24"/>
          <w:szCs w:val="24"/>
        </w:rPr>
      </w:pPr>
      <w:r w:rsidRPr="09F23372">
        <w:rPr>
          <w:rFonts w:ascii="Times New Roman" w:eastAsia="Calibri" w:hAnsi="Times New Roman" w:cs="Times New Roman"/>
          <w:sz w:val="24"/>
          <w:szCs w:val="24"/>
        </w:rPr>
        <w:t xml:space="preserve">Predmetná regulácia bude predstavovať zvýšenie nepriamych finančných nákladov a administratívnej záťaže pre dotknuté subjekty, ktorými sú všetci obchodníci poskytujúci tovary a služby na diaľku v predpokladanom počte 10 900, ktorý vychádza z rovnakých údajov ako v predchádzajúcej </w:t>
      </w:r>
      <w:r w:rsidR="009639C4" w:rsidRPr="09F23372">
        <w:rPr>
          <w:rFonts w:ascii="Times New Roman" w:eastAsia="Calibri" w:hAnsi="Times New Roman" w:cs="Times New Roman"/>
          <w:sz w:val="24"/>
          <w:szCs w:val="24"/>
        </w:rPr>
        <w:t>regulácii. Administratívna záťaž na zmenu príloh sa predpokladá v oblasti oboznámenia sa s reguláciou a vypracovaní dokumentu, konkrétne danej prílohy, ktorej zmena bude spôsobená návrhom zákona. Nepriame finančné náklady sa predpokladajú v</w:t>
      </w:r>
      <w:r w:rsidR="56D8415F" w:rsidRPr="09F23372">
        <w:rPr>
          <w:rFonts w:ascii="Times New Roman" w:eastAsia="Calibri" w:hAnsi="Times New Roman" w:cs="Times New Roman"/>
          <w:sz w:val="24"/>
          <w:szCs w:val="24"/>
        </w:rPr>
        <w:t xml:space="preserve"> priemernej</w:t>
      </w:r>
      <w:r w:rsidR="009639C4" w:rsidRPr="09F23372">
        <w:rPr>
          <w:rFonts w:ascii="Times New Roman" w:eastAsia="Calibri" w:hAnsi="Times New Roman" w:cs="Times New Roman"/>
          <w:sz w:val="24"/>
          <w:szCs w:val="24"/>
        </w:rPr>
        <w:t xml:space="preserve"> výške 1 000</w:t>
      </w:r>
      <w:r w:rsidR="76D4765B" w:rsidRPr="09F23372">
        <w:rPr>
          <w:rFonts w:ascii="Times New Roman" w:eastAsia="Calibri" w:hAnsi="Times New Roman" w:cs="Times New Roman"/>
          <w:sz w:val="24"/>
          <w:szCs w:val="24"/>
        </w:rPr>
        <w:t>,-</w:t>
      </w:r>
      <w:r w:rsidR="009639C4" w:rsidRPr="09F23372">
        <w:rPr>
          <w:rFonts w:ascii="Times New Roman" w:eastAsia="Calibri" w:hAnsi="Times New Roman" w:cs="Times New Roman"/>
          <w:sz w:val="24"/>
          <w:szCs w:val="24"/>
        </w:rPr>
        <w:t xml:space="preserve"> eur na jeden dotknutý subjekt, konkrétna výš</w:t>
      </w:r>
      <w:r w:rsidR="00EC3EE3" w:rsidRPr="09F23372">
        <w:rPr>
          <w:rFonts w:ascii="Times New Roman" w:eastAsia="Calibri" w:hAnsi="Times New Roman" w:cs="Times New Roman"/>
          <w:sz w:val="24"/>
          <w:szCs w:val="24"/>
        </w:rPr>
        <w:t>ka však bude závisieť od viacerých</w:t>
      </w:r>
      <w:r w:rsidR="009639C4" w:rsidRPr="09F23372">
        <w:rPr>
          <w:rFonts w:ascii="Times New Roman" w:eastAsia="Calibri" w:hAnsi="Times New Roman" w:cs="Times New Roman"/>
          <w:sz w:val="24"/>
          <w:szCs w:val="24"/>
        </w:rPr>
        <w:t xml:space="preserve"> faktorov, ako</w:t>
      </w:r>
      <w:r w:rsidR="000D7F86" w:rsidRPr="09F23372">
        <w:rPr>
          <w:rFonts w:ascii="Times New Roman" w:eastAsia="Calibri" w:hAnsi="Times New Roman" w:cs="Times New Roman"/>
          <w:sz w:val="24"/>
          <w:szCs w:val="24"/>
        </w:rPr>
        <w:t xml:space="preserve"> napríklad veľkosť dotknutého subjektu</w:t>
      </w:r>
      <w:r w:rsidR="2EF3CE30" w:rsidRPr="09F23372">
        <w:rPr>
          <w:rFonts w:ascii="Times New Roman" w:eastAsia="Calibri" w:hAnsi="Times New Roman" w:cs="Times New Roman"/>
          <w:sz w:val="24"/>
          <w:szCs w:val="24"/>
        </w:rPr>
        <w:t xml:space="preserve"> alebo</w:t>
      </w:r>
      <w:r w:rsidR="000D7F86" w:rsidRPr="09F23372">
        <w:rPr>
          <w:rFonts w:ascii="Times New Roman" w:eastAsia="Calibri" w:hAnsi="Times New Roman" w:cs="Times New Roman"/>
          <w:sz w:val="24"/>
          <w:szCs w:val="24"/>
        </w:rPr>
        <w:t xml:space="preserve"> </w:t>
      </w:r>
      <w:r w:rsidR="009639C4" w:rsidRPr="09F23372">
        <w:rPr>
          <w:rFonts w:ascii="Times New Roman" w:eastAsia="Calibri" w:hAnsi="Times New Roman" w:cs="Times New Roman"/>
          <w:sz w:val="24"/>
          <w:szCs w:val="24"/>
        </w:rPr>
        <w:t>forma</w:t>
      </w:r>
      <w:r w:rsidR="1D1FA52E" w:rsidRPr="09F23372">
        <w:rPr>
          <w:rFonts w:ascii="Times New Roman" w:eastAsia="Calibri" w:hAnsi="Times New Roman" w:cs="Times New Roman"/>
          <w:sz w:val="24"/>
          <w:szCs w:val="24"/>
        </w:rPr>
        <w:t>,</w:t>
      </w:r>
      <w:r w:rsidR="009639C4" w:rsidRPr="09F23372">
        <w:rPr>
          <w:rFonts w:ascii="Times New Roman" w:eastAsia="Calibri" w:hAnsi="Times New Roman" w:cs="Times New Roman"/>
          <w:sz w:val="24"/>
          <w:szCs w:val="24"/>
        </w:rPr>
        <w:t xml:space="preserve"> v akej formuláre využíva. </w:t>
      </w:r>
      <w:r w:rsidR="000D7F86" w:rsidRPr="09F23372">
        <w:rPr>
          <w:rFonts w:ascii="Times New Roman" w:eastAsia="Calibri" w:hAnsi="Times New Roman" w:cs="Times New Roman"/>
          <w:sz w:val="24"/>
          <w:szCs w:val="24"/>
        </w:rPr>
        <w:t xml:space="preserve">Náklad sa predpokladá jednorazovo, nakoľko potrebná bude len prvotná zmena formulára. </w:t>
      </w:r>
    </w:p>
    <w:p w14:paraId="67CA767E" w14:textId="15112FEA" w:rsidR="002936A5" w:rsidRDefault="002936A5" w:rsidP="00673F1C">
      <w:pPr>
        <w:jc w:val="both"/>
        <w:rPr>
          <w:rFonts w:ascii="Times New Roman" w:eastAsia="Calibri" w:hAnsi="Times New Roman" w:cs="Times New Roman"/>
          <w:sz w:val="24"/>
          <w:szCs w:val="24"/>
        </w:rPr>
      </w:pPr>
    </w:p>
    <w:p w14:paraId="4F67E0ED" w14:textId="52CBC0EF" w:rsidR="002936A5" w:rsidRPr="002936A5" w:rsidRDefault="002936A5" w:rsidP="002936A5">
      <w:pPr>
        <w:pStyle w:val="Odsekzoznamu"/>
        <w:numPr>
          <w:ilvl w:val="0"/>
          <w:numId w:val="18"/>
        </w:numPr>
        <w:jc w:val="both"/>
        <w:rPr>
          <w:rFonts w:ascii="Times New Roman" w:eastAsia="Calibri" w:hAnsi="Times New Roman" w:cs="Times New Roman"/>
          <w:i/>
          <w:sz w:val="24"/>
          <w:szCs w:val="24"/>
        </w:rPr>
      </w:pPr>
      <w:r w:rsidRPr="002936A5">
        <w:rPr>
          <w:rFonts w:ascii="Times New Roman" w:eastAsia="Calibri" w:hAnsi="Times New Roman" w:cs="Times New Roman"/>
          <w:i/>
          <w:sz w:val="24"/>
          <w:szCs w:val="24"/>
        </w:rPr>
        <w:t>Udelenie súhlasu pri komunikácii cez telefón</w:t>
      </w:r>
    </w:p>
    <w:p w14:paraId="3FB1450B" w14:textId="2DE3D27F" w:rsidR="001E24E8" w:rsidRDefault="002936A5" w:rsidP="00054C4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Predmetná regulácia spôsobujúca </w:t>
      </w:r>
      <w:proofErr w:type="spellStart"/>
      <w:r>
        <w:rPr>
          <w:rFonts w:ascii="Times New Roman" w:eastAsia="Calibri" w:hAnsi="Times New Roman" w:cs="Times New Roman"/>
          <w:sz w:val="24"/>
          <w:szCs w:val="24"/>
        </w:rPr>
        <w:t>goldplating</w:t>
      </w:r>
      <w:proofErr w:type="spellEnd"/>
      <w:r>
        <w:rPr>
          <w:rFonts w:ascii="Times New Roman" w:eastAsia="Calibri" w:hAnsi="Times New Roman" w:cs="Times New Roman"/>
          <w:sz w:val="24"/>
          <w:szCs w:val="24"/>
        </w:rPr>
        <w:t xml:space="preserve"> bude viesť k zvýšeniu administratívnej záťaže pre dotknuté subjekty, ktorými sú obchodníci poskytujúci finančné služby na diaľku. Počet dotknutých subjektov sa odhaduje na 200, a to na základe údajov uvedených v predchádzajúcich reguláciách. Administratívna záťaž bude spôsobená potrebou oboznámenia sa s reguláciou, zmenou vnútorných postupov, tak aby obchodníci požadovali následný súhlas spotrebiteľa na trvanlivou médiu v prípade ponuky cez telefón a vedenie týchto udelených súhlasov priemerne na mesačnej báze.</w:t>
      </w:r>
    </w:p>
    <w:p w14:paraId="180F1580" w14:textId="1AFB4E5B" w:rsidR="00756C88" w:rsidRDefault="00756C88" w:rsidP="00054C41">
      <w:pPr>
        <w:jc w:val="both"/>
        <w:rPr>
          <w:rFonts w:ascii="Times New Roman" w:eastAsia="Calibri" w:hAnsi="Times New Roman" w:cs="Times New Roman"/>
          <w:sz w:val="24"/>
          <w:szCs w:val="24"/>
        </w:rPr>
      </w:pPr>
    </w:p>
    <w:p w14:paraId="35F9A651" w14:textId="00F4345E" w:rsidR="00756C88" w:rsidRPr="00756C88" w:rsidRDefault="00756C88" w:rsidP="00756C88">
      <w:pPr>
        <w:pStyle w:val="Odsekzoznamu"/>
        <w:numPr>
          <w:ilvl w:val="0"/>
          <w:numId w:val="18"/>
        </w:numPr>
        <w:jc w:val="both"/>
        <w:rPr>
          <w:rFonts w:ascii="Times New Roman" w:eastAsia="Calibri" w:hAnsi="Times New Roman" w:cs="Times New Roman"/>
          <w:i/>
          <w:sz w:val="24"/>
          <w:szCs w:val="24"/>
        </w:rPr>
      </w:pPr>
      <w:r w:rsidRPr="00756C88">
        <w:rPr>
          <w:rFonts w:ascii="Times New Roman" w:eastAsia="Calibri" w:hAnsi="Times New Roman" w:cs="Times New Roman"/>
          <w:i/>
          <w:sz w:val="24"/>
          <w:szCs w:val="24"/>
        </w:rPr>
        <w:t>Povinnosť obchodníka zaslať informácie v listinnej podobe</w:t>
      </w:r>
    </w:p>
    <w:p w14:paraId="0D1AD590" w14:textId="0242A7E4" w:rsidR="00A57A0D" w:rsidRPr="00A57A0D" w:rsidRDefault="00756C88" w:rsidP="09F23372">
      <w:pPr>
        <w:jc w:val="both"/>
        <w:rPr>
          <w:rFonts w:ascii="Times New Roman" w:eastAsia="Calibri" w:hAnsi="Times New Roman" w:cs="Times New Roman"/>
          <w:color w:val="000000"/>
          <w:sz w:val="24"/>
          <w:szCs w:val="24"/>
        </w:rPr>
      </w:pPr>
      <w:r w:rsidRPr="09F23372">
        <w:rPr>
          <w:rFonts w:ascii="Times New Roman" w:eastAsia="Calibri" w:hAnsi="Times New Roman" w:cs="Times New Roman"/>
          <w:color w:val="000000" w:themeColor="text1"/>
          <w:sz w:val="24"/>
          <w:szCs w:val="24"/>
        </w:rPr>
        <w:t>P</w:t>
      </w:r>
      <w:r w:rsidR="00A57A0D" w:rsidRPr="09F23372">
        <w:rPr>
          <w:rFonts w:ascii="Times New Roman" w:eastAsia="Calibri" w:hAnsi="Times New Roman" w:cs="Times New Roman"/>
          <w:color w:val="000000" w:themeColor="text1"/>
          <w:sz w:val="24"/>
          <w:szCs w:val="24"/>
        </w:rPr>
        <w:t xml:space="preserve">redmetná regulácia bude predstavovať zvýšenie administratívnej záťaže z dôvodu, že dotknutý subjekt bude povinný nastaviť svoje systémy tak, aby v prípade, že nie je možné spotrebiteľovi možné zaslať predzmluvné informácie </w:t>
      </w:r>
      <w:r w:rsidR="00A57A0D" w:rsidRPr="09F23372">
        <w:rPr>
          <w:rFonts w:ascii="Times New Roman" w:hAnsi="Times New Roman"/>
          <w:color w:val="000000" w:themeColor="text1"/>
          <w:sz w:val="24"/>
          <w:szCs w:val="24"/>
        </w:rPr>
        <w:t>v listinnej podobe alebo na inom trvanlivom médiu z dôvodu konkrétneho prostriedku diaľkovej komunikácia prostredníctvom ktorého spotrebiteľ zmluvu uzatvoril</w:t>
      </w:r>
      <w:r w:rsidR="00A57A0D" w:rsidRPr="09F23372">
        <w:rPr>
          <w:rFonts w:ascii="Times New Roman" w:eastAsia="Calibri" w:hAnsi="Times New Roman" w:cs="Times New Roman"/>
          <w:color w:val="000000" w:themeColor="text1"/>
          <w:sz w:val="24"/>
          <w:szCs w:val="24"/>
        </w:rPr>
        <w:t xml:space="preserve">, zaslal tieto informácie v listinnej podobe alebo na inom trvanlivom médiu bezprostredne po uzavretí zmluvy uzavretej na diaľku. Konkrétna administratívna záťaž sa predpokladá v potrebe oboznámenia sa s reguláciou, zmenou vnútorných predpisov a vypracovaní a zaslaní dokumentu buď v listinnej podobe alebo na inom trvanlivom médiu. </w:t>
      </w:r>
      <w:r w:rsidR="00626769" w:rsidRPr="09F23372">
        <w:rPr>
          <w:rFonts w:ascii="Times New Roman" w:eastAsia="Calibri" w:hAnsi="Times New Roman" w:cs="Times New Roman"/>
          <w:color w:val="000000" w:themeColor="text1"/>
          <w:sz w:val="24"/>
          <w:szCs w:val="24"/>
        </w:rPr>
        <w:t xml:space="preserve">Frekvencia sa predpokladá priemerne mesačne. Počet dotknutých subjektov je 200 – všetci obchodníci poskytujúci finančné služby na diaľku, pričom tento odhad vychádza z údajov uvedených v predchádzajúcich reguláciách. </w:t>
      </w:r>
    </w:p>
    <w:p w14:paraId="28CA2658" w14:textId="38ED7211" w:rsidR="00BB5B3F" w:rsidRPr="00756C88" w:rsidRDefault="00BB5B3F" w:rsidP="00054C41">
      <w:pPr>
        <w:jc w:val="both"/>
        <w:rPr>
          <w:rFonts w:ascii="Times New Roman" w:eastAsia="Calibri" w:hAnsi="Times New Roman" w:cs="Times New Roman"/>
          <w:bCs/>
          <w:iCs/>
          <w:color w:val="000000"/>
          <w:sz w:val="24"/>
          <w:szCs w:val="24"/>
        </w:rPr>
      </w:pPr>
    </w:p>
    <w:p w14:paraId="136A9EB7" w14:textId="77777777" w:rsidR="00756C88" w:rsidRDefault="00756C88" w:rsidP="00054C41">
      <w:pPr>
        <w:jc w:val="both"/>
        <w:rPr>
          <w:rFonts w:ascii="Times New Roman" w:eastAsia="Calibri" w:hAnsi="Times New Roman" w:cs="Times New Roman"/>
          <w:bCs/>
          <w:i/>
          <w:iCs/>
          <w:color w:val="000000"/>
          <w:sz w:val="24"/>
          <w:szCs w:val="24"/>
        </w:rPr>
      </w:pPr>
    </w:p>
    <w:p w14:paraId="0EB298DB" w14:textId="77777777" w:rsidR="00512BA7" w:rsidRPr="001F1B43" w:rsidRDefault="00511F8F" w:rsidP="00512BA7">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w:t>
      </w:r>
      <w:proofErr w:type="spellStart"/>
      <w:r w:rsidR="008F6ADE" w:rsidRPr="00804BC8">
        <w:rPr>
          <w:rFonts w:ascii="Times New Roman" w:eastAsia="Calibri" w:hAnsi="Times New Roman" w:cs="Times New Roman"/>
          <w:b/>
          <w:bCs/>
          <w:i/>
          <w:sz w:val="24"/>
          <w:szCs w:val="24"/>
          <w:u w:val="single"/>
        </w:rPr>
        <w:t>goldplating</w:t>
      </w:r>
      <w:r w:rsidR="0016512E">
        <w:rPr>
          <w:rFonts w:ascii="Times New Roman" w:eastAsia="Calibri" w:hAnsi="Times New Roman" w:cs="Times New Roman"/>
          <w:b/>
          <w:bCs/>
          <w:i/>
          <w:sz w:val="24"/>
          <w:szCs w:val="24"/>
          <w:u w:val="single"/>
        </w:rPr>
        <w:t>u</w:t>
      </w:r>
      <w:proofErr w:type="spellEnd"/>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14:paraId="749EC593" w14:textId="77777777" w:rsidR="000C5419" w:rsidRPr="000C5419" w:rsidRDefault="000C5419" w:rsidP="000C5419">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w:t>
      </w:r>
      <w:proofErr w:type="spellStart"/>
      <w:r w:rsidRPr="000C5419">
        <w:rPr>
          <w:rFonts w:ascii="Times New Roman" w:eastAsia="Calibri" w:hAnsi="Times New Roman" w:cs="Times New Roman"/>
          <w:bCs/>
          <w:i/>
          <w:iCs/>
          <w:color w:val="000000"/>
          <w:sz w:val="24"/>
          <w:szCs w:val="24"/>
        </w:rPr>
        <w:t>goldplatingu</w:t>
      </w:r>
      <w:proofErr w:type="spellEnd"/>
      <w:r w:rsidRPr="000C5419">
        <w:rPr>
          <w:rFonts w:ascii="Times New Roman" w:eastAsia="Calibri" w:hAnsi="Times New Roman" w:cs="Times New Roman"/>
          <w:bCs/>
          <w:i/>
          <w:iCs/>
          <w:color w:val="000000"/>
          <w:sz w:val="24"/>
          <w:szCs w:val="24"/>
        </w:rPr>
        <w:t xml:space="preserve"> (ku každej hodnotenej regulácii s </w:t>
      </w:r>
      <w:proofErr w:type="spellStart"/>
      <w:r w:rsidRPr="000C5419">
        <w:rPr>
          <w:rFonts w:ascii="Times New Roman" w:eastAsia="Calibri" w:hAnsi="Times New Roman" w:cs="Times New Roman"/>
          <w:bCs/>
          <w:i/>
          <w:iCs/>
          <w:color w:val="000000"/>
          <w:sz w:val="24"/>
          <w:szCs w:val="24"/>
        </w:rPr>
        <w:t>goldplatingom</w:t>
      </w:r>
      <w:proofErr w:type="spellEnd"/>
      <w:r w:rsidRPr="000C5419">
        <w:rPr>
          <w:rFonts w:ascii="Times New Roman" w:eastAsia="Calibri" w:hAnsi="Times New Roman" w:cs="Times New Roman"/>
          <w:bCs/>
          <w:i/>
          <w:iCs/>
          <w:color w:val="000000"/>
          <w:sz w:val="24"/>
          <w:szCs w:val="24"/>
        </w:rPr>
        <w:t xml:space="preserve"> osobitne). </w:t>
      </w:r>
    </w:p>
    <w:p w14:paraId="0A0E8534" w14:textId="77777777" w:rsidR="0016512E" w:rsidRPr="000C5419" w:rsidRDefault="0016512E" w:rsidP="0016512E">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w:t>
      </w:r>
      <w:proofErr w:type="spellStart"/>
      <w:r w:rsidR="004239D1" w:rsidRPr="004239D1">
        <w:rPr>
          <w:rFonts w:ascii="Times New Roman" w:eastAsia="Calibri" w:hAnsi="Times New Roman" w:cs="Times New Roman"/>
          <w:bCs/>
          <w:i/>
          <w:iCs/>
          <w:color w:val="000000"/>
          <w:sz w:val="24"/>
          <w:szCs w:val="24"/>
        </w:rPr>
        <w:t>goldplatingu</w:t>
      </w:r>
      <w:proofErr w:type="spellEnd"/>
      <w:r w:rsidR="004239D1" w:rsidRPr="004239D1">
        <w:rPr>
          <w:rFonts w:ascii="Times New Roman" w:eastAsia="Calibri" w:hAnsi="Times New Roman" w:cs="Times New Roman"/>
          <w:bCs/>
          <w:i/>
          <w:iCs/>
          <w:color w:val="000000"/>
          <w:sz w:val="24"/>
          <w:szCs w:val="24"/>
        </w:rPr>
        <w:t xml:space="preserve"> </w:t>
      </w:r>
      <w:r w:rsidR="004239D1">
        <w:rPr>
          <w:rFonts w:ascii="Times New Roman" w:eastAsia="Calibri" w:hAnsi="Times New Roman" w:cs="Times New Roman"/>
          <w:bCs/>
          <w:i/>
          <w:iCs/>
          <w:color w:val="000000"/>
          <w:sz w:val="24"/>
          <w:szCs w:val="24"/>
        </w:rPr>
        <w:t xml:space="preserve">z 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5D39D8">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6A18C579" w14:textId="0633763E" w:rsidR="000C5419" w:rsidRPr="000C5419" w:rsidRDefault="00990813" w:rsidP="000C5419">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proofErr w:type="spellStart"/>
      <w:r w:rsidR="000C5419" w:rsidRPr="00284B8C">
        <w:rPr>
          <w:rFonts w:ascii="Times New Roman" w:eastAsia="Calibri" w:hAnsi="Times New Roman" w:cs="Times New Roman"/>
          <w:bCs/>
          <w:i/>
          <w:iCs/>
          <w:color w:val="000000"/>
          <w:sz w:val="24"/>
          <w:szCs w:val="24"/>
        </w:rPr>
        <w:t>goldplatingu</w:t>
      </w:r>
      <w:proofErr w:type="spellEnd"/>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14:paraId="535CABE4" w14:textId="77777777" w:rsidR="00D114ED" w:rsidRPr="00F244DC" w:rsidRDefault="00D114ED" w:rsidP="00751DA9">
      <w:pPr>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 xml:space="preserve">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7B66DEA5" w14:textId="13035EFB" w:rsidR="007030F1" w:rsidRPr="002936A5" w:rsidRDefault="00160CD9" w:rsidP="00054C41">
      <w:pPr>
        <w:jc w:val="both"/>
        <w:rPr>
          <w:rFonts w:ascii="Times New Roman" w:eastAsia="Times New Roman" w:hAnsi="Times New Roman" w:cs="Times New Roman"/>
          <w:sz w:val="24"/>
          <w:szCs w:val="24"/>
          <w:lang w:eastAsia="sk-SK"/>
        </w:rPr>
      </w:pPr>
      <w:proofErr w:type="spellStart"/>
      <w:r w:rsidRPr="09F23372">
        <w:rPr>
          <w:rFonts w:ascii="Times New Roman" w:eastAsia="Calibri" w:hAnsi="Times New Roman" w:cs="Times New Roman"/>
          <w:sz w:val="24"/>
          <w:szCs w:val="24"/>
        </w:rPr>
        <w:t>Golplating</w:t>
      </w:r>
      <w:proofErr w:type="spellEnd"/>
      <w:r w:rsidRPr="09F23372">
        <w:rPr>
          <w:rFonts w:ascii="Times New Roman" w:eastAsia="Calibri" w:hAnsi="Times New Roman" w:cs="Times New Roman"/>
          <w:sz w:val="24"/>
          <w:szCs w:val="24"/>
        </w:rPr>
        <w:t xml:space="preserve"> typu b) – navýšenie požiadaviek bol identifikovaný v § 10 odsek 2, ktorý je transpozíciou čl</w:t>
      </w:r>
      <w:r w:rsidR="4DB42404" w:rsidRPr="09F23372">
        <w:rPr>
          <w:rFonts w:ascii="Times New Roman" w:eastAsia="Calibri" w:hAnsi="Times New Roman" w:cs="Times New Roman"/>
          <w:sz w:val="24"/>
          <w:szCs w:val="24"/>
        </w:rPr>
        <w:t>.</w:t>
      </w:r>
      <w:r w:rsidRPr="09F23372">
        <w:rPr>
          <w:rFonts w:ascii="Times New Roman" w:eastAsia="Calibri" w:hAnsi="Times New Roman" w:cs="Times New Roman"/>
          <w:sz w:val="24"/>
          <w:szCs w:val="24"/>
        </w:rPr>
        <w:t xml:space="preserve"> 1 ods</w:t>
      </w:r>
      <w:r w:rsidR="6D9C086D" w:rsidRPr="09F23372">
        <w:rPr>
          <w:rFonts w:ascii="Times New Roman" w:eastAsia="Calibri" w:hAnsi="Times New Roman" w:cs="Times New Roman"/>
          <w:sz w:val="24"/>
          <w:szCs w:val="24"/>
        </w:rPr>
        <w:t>.</w:t>
      </w:r>
      <w:r w:rsidRPr="09F23372">
        <w:rPr>
          <w:rFonts w:ascii="Times New Roman" w:eastAsia="Calibri" w:hAnsi="Times New Roman" w:cs="Times New Roman"/>
          <w:sz w:val="24"/>
          <w:szCs w:val="24"/>
        </w:rPr>
        <w:t xml:space="preserve"> 1 </w:t>
      </w:r>
      <w:r w:rsidRPr="09F23372">
        <w:rPr>
          <w:rFonts w:ascii="Times New Roman" w:eastAsia="Times New Roman" w:hAnsi="Times New Roman" w:cs="Times New Roman"/>
          <w:sz w:val="24"/>
          <w:szCs w:val="24"/>
          <w:lang w:eastAsia="sk-SK"/>
        </w:rPr>
        <w:t>smernice 2023/2673 a čl</w:t>
      </w:r>
      <w:r w:rsidR="184766F3" w:rsidRPr="09F23372">
        <w:rPr>
          <w:rFonts w:ascii="Times New Roman" w:eastAsia="Times New Roman" w:hAnsi="Times New Roman" w:cs="Times New Roman"/>
          <w:sz w:val="24"/>
          <w:szCs w:val="24"/>
          <w:lang w:eastAsia="sk-SK"/>
        </w:rPr>
        <w:t>.</w:t>
      </w:r>
      <w:r w:rsidRPr="09F23372">
        <w:rPr>
          <w:rFonts w:ascii="Times New Roman" w:eastAsia="Times New Roman" w:hAnsi="Times New Roman" w:cs="Times New Roman"/>
          <w:sz w:val="24"/>
          <w:szCs w:val="24"/>
          <w:lang w:eastAsia="sk-SK"/>
        </w:rPr>
        <w:t xml:space="preserve"> 8 ods</w:t>
      </w:r>
      <w:r w:rsidR="2C22558A" w:rsidRPr="09F23372">
        <w:rPr>
          <w:rFonts w:ascii="Times New Roman" w:eastAsia="Times New Roman" w:hAnsi="Times New Roman" w:cs="Times New Roman"/>
          <w:sz w:val="24"/>
          <w:szCs w:val="24"/>
          <w:lang w:eastAsia="sk-SK"/>
        </w:rPr>
        <w:t>.</w:t>
      </w:r>
      <w:r w:rsidRPr="09F23372">
        <w:rPr>
          <w:rFonts w:ascii="Times New Roman" w:eastAsia="Times New Roman" w:hAnsi="Times New Roman" w:cs="Times New Roman"/>
          <w:sz w:val="24"/>
          <w:szCs w:val="24"/>
          <w:lang w:eastAsia="sk-SK"/>
        </w:rPr>
        <w:t xml:space="preserve"> 6 smernice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 11. 2011) v znení smernice Európskeho parlamentu a Rady (EÚ) 2015/2302 z 25. novembra 2015 (Ú. v. EÚ L 326, 11. 12. 2015), v znení smernice Európskeho parlamentu a Rady (EÚ) 2019/2161 z 27. novembra 2019 (Ú. v. EÚ L 328, 18. 12. 2019), v znení smernice Európskeho parlamentu a Rady (EÚ) 2023/2673 z 22. novembra 2023 (Ú. v. EÚ L, 2023/2673, 28. 11. 2023). V obdobnom znení už bolo ustanovenie transponované do zákona č. 108/2024 Z. z. o ochrane spotrebiteľa a o zmene a doplnení niektorých zákonov a z dôvodu zachovania kontinuity medzi oboma zákonmi bolo žiadúce ustanovenie prebrať v podobnom znení. Taktiež je právna úprava v tomto znení nevyhnutná z dôvodu zvýšenia ochrany spotrebiteľa, ktorý bude ponukou viazaný až vyjadrením následného súhlasu na trvalom nosiči, a tak spotrebiteľ nebude časovo limitovaný povinnosťou záväzne sa vyjadriť k ponuke už počas telefonického </w:t>
      </w:r>
      <w:r w:rsidRPr="09F23372">
        <w:rPr>
          <w:rFonts w:ascii="Times New Roman" w:eastAsia="Times New Roman" w:hAnsi="Times New Roman" w:cs="Times New Roman"/>
          <w:sz w:val="24"/>
          <w:szCs w:val="24"/>
          <w:lang w:eastAsia="sk-SK"/>
        </w:rPr>
        <w:lastRenderedPageBreak/>
        <w:t xml:space="preserve">rozhovoru. </w:t>
      </w:r>
      <w:r w:rsidR="0051156F" w:rsidRPr="09F23372">
        <w:rPr>
          <w:rFonts w:ascii="Times New Roman" w:eastAsia="Times New Roman" w:hAnsi="Times New Roman" w:cs="Times New Roman"/>
          <w:sz w:val="24"/>
          <w:szCs w:val="24"/>
          <w:lang w:eastAsia="sk-SK"/>
        </w:rPr>
        <w:t xml:space="preserve">Taktiež je </w:t>
      </w:r>
      <w:proofErr w:type="spellStart"/>
      <w:r w:rsidR="0051156F" w:rsidRPr="09F23372">
        <w:rPr>
          <w:rFonts w:ascii="Times New Roman" w:eastAsia="Times New Roman" w:hAnsi="Times New Roman" w:cs="Times New Roman"/>
          <w:sz w:val="24"/>
          <w:szCs w:val="24"/>
          <w:lang w:eastAsia="sk-SK"/>
        </w:rPr>
        <w:t>golplating</w:t>
      </w:r>
      <w:proofErr w:type="spellEnd"/>
      <w:r w:rsidR="0051156F" w:rsidRPr="09F23372">
        <w:rPr>
          <w:rFonts w:ascii="Times New Roman" w:eastAsia="Times New Roman" w:hAnsi="Times New Roman" w:cs="Times New Roman"/>
          <w:sz w:val="24"/>
          <w:szCs w:val="24"/>
          <w:lang w:eastAsia="sk-SK"/>
        </w:rPr>
        <w:t xml:space="preserve"> nevyhnutný z hľadiska právnej istoty, nakoľko vďaka súhlasu na trvalom nosiči bude môcť byť preukázateľný súhlas udelený spotrebiteľom v prípade</w:t>
      </w:r>
      <w:r w:rsidR="5737BECD" w:rsidRPr="09F23372">
        <w:rPr>
          <w:rFonts w:ascii="Times New Roman" w:eastAsia="Times New Roman" w:hAnsi="Times New Roman" w:cs="Times New Roman"/>
          <w:sz w:val="24"/>
          <w:szCs w:val="24"/>
          <w:lang w:eastAsia="sk-SK"/>
        </w:rPr>
        <w:t>,</w:t>
      </w:r>
      <w:r w:rsidR="0051156F" w:rsidRPr="09F23372">
        <w:rPr>
          <w:rFonts w:ascii="Times New Roman" w:eastAsia="Times New Roman" w:hAnsi="Times New Roman" w:cs="Times New Roman"/>
          <w:sz w:val="24"/>
          <w:szCs w:val="24"/>
          <w:lang w:eastAsia="sk-SK"/>
        </w:rPr>
        <w:t xml:space="preserve"> ak by vznikli spory, ako aj termín udelenia súhlasu, ktorý je potrebné identifikovať na účely plynutia lehôt, napríklad lehota na odstúpenie od zmluvy. Navýšenie požiadaviek bude predstavovať minimálne zvýšenie administratívnej záťaže obchodníka, avšak na účely preukazovania udelenia súhlasu spotrebiteľom je ustanovenie priaznivé aj pre podnikateľské prostredie. Navyše smernica 2023/2673 umožňuje členskému štátu navýšenie požiadaviek v zmysle možnosti stanoviť, aby potvrdenia boli vydávané na trvalom nosiči.</w:t>
      </w:r>
    </w:p>
    <w:p w14:paraId="4BD96D6C" w14:textId="77777777" w:rsidR="00024EE4" w:rsidRDefault="00024EE4" w:rsidP="00054C41">
      <w:pPr>
        <w:jc w:val="both"/>
        <w:rPr>
          <w:rFonts w:ascii="Times New Roman" w:eastAsia="Calibri" w:hAnsi="Times New Roman" w:cs="Times New Roman"/>
          <w:b/>
          <w:sz w:val="24"/>
          <w:szCs w:val="24"/>
        </w:rPr>
      </w:pPr>
    </w:p>
    <w:p w14:paraId="39D55FBC" w14:textId="44B0C098"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14:paraId="49C6776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ascii="Times New Roman" w:eastAsia="Calibri" w:hAnsi="Times New Roman" w:cs="Times New Roman"/>
          <w:i/>
          <w:sz w:val="24"/>
          <w:szCs w:val="24"/>
        </w:rPr>
        <w:t>link</w:t>
      </w:r>
      <w:proofErr w:type="spellEnd"/>
      <w:r w:rsidRPr="00D8247C">
        <w:rPr>
          <w:rFonts w:ascii="Times New Roman" w:eastAsia="Calibri" w:hAnsi="Times New Roman" w:cs="Times New Roman"/>
          <w:i/>
          <w:sz w:val="24"/>
          <w:szCs w:val="24"/>
        </w:rPr>
        <w:t xml:space="preserve"> na webovú stránku, na ktorej boli konzultácie zverejnené. </w:t>
      </w:r>
    </w:p>
    <w:p w14:paraId="5DDE9409"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3EE2084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064013B"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178FF6D3" w14:textId="61DD11B4" w:rsidR="00054C41" w:rsidRDefault="00054C41" w:rsidP="00054C41">
      <w:pPr>
        <w:spacing w:after="0"/>
        <w:jc w:val="both"/>
        <w:rPr>
          <w:rFonts w:ascii="Times New Roman" w:eastAsia="Calibri" w:hAnsi="Times New Roman" w:cs="Times New Roman"/>
          <w:i/>
          <w:sz w:val="24"/>
          <w:szCs w:val="24"/>
        </w:rPr>
      </w:pPr>
    </w:p>
    <w:p w14:paraId="6171ED94" w14:textId="6D3BE4BF" w:rsidR="00E30BB9" w:rsidRDefault="00121BD4" w:rsidP="00121BD4">
      <w:pPr>
        <w:pStyle w:val="Bezriadkovania"/>
        <w:jc w:val="both"/>
        <w:rPr>
          <w:rFonts w:ascii="Times New Roman" w:eastAsia="Times New Roman" w:hAnsi="Times New Roman" w:cs="Times New Roman"/>
          <w:sz w:val="24"/>
          <w:szCs w:val="24"/>
          <w:lang w:eastAsia="sk-SK"/>
        </w:rPr>
      </w:pPr>
      <w:r w:rsidRPr="09F23372">
        <w:rPr>
          <w:rFonts w:ascii="Times New Roman" w:eastAsia="Calibri" w:hAnsi="Times New Roman" w:cs="Times New Roman"/>
          <w:sz w:val="24"/>
          <w:szCs w:val="24"/>
        </w:rPr>
        <w:t xml:space="preserve">Dňa </w:t>
      </w:r>
      <w:r w:rsidR="00141E62" w:rsidRPr="09F23372">
        <w:rPr>
          <w:rFonts w:ascii="Times New Roman" w:eastAsia="Calibri" w:hAnsi="Times New Roman" w:cs="Times New Roman"/>
          <w:sz w:val="24"/>
          <w:szCs w:val="24"/>
        </w:rPr>
        <w:t>6. februára 2024</w:t>
      </w:r>
      <w:r w:rsidRPr="09F23372">
        <w:rPr>
          <w:rFonts w:ascii="Times New Roman" w:eastAsia="Calibri" w:hAnsi="Times New Roman" w:cs="Times New Roman"/>
          <w:sz w:val="24"/>
          <w:szCs w:val="24"/>
        </w:rPr>
        <w:t xml:space="preserve"> bola zverejnená predbežná informácia (</w:t>
      </w:r>
      <w:r w:rsidR="00141E62" w:rsidRPr="09F23372">
        <w:rPr>
          <w:rFonts w:ascii="Times New Roman" w:eastAsia="Calibri" w:hAnsi="Times New Roman" w:cs="Times New Roman"/>
          <w:sz w:val="24"/>
          <w:szCs w:val="24"/>
        </w:rPr>
        <w:t>PI/2024/33</w:t>
      </w:r>
      <w:r w:rsidRPr="09F23372">
        <w:rPr>
          <w:rFonts w:ascii="Times New Roman" w:eastAsia="Calibri" w:hAnsi="Times New Roman" w:cs="Times New Roman"/>
          <w:sz w:val="24"/>
          <w:szCs w:val="24"/>
        </w:rPr>
        <w:t>) podľa § 9 zákona č. 400/2015 Z. z. o tvorbe právnych predpisov a o Zbierke zákonov Slovenskej republiky a o zmene a doplnení niektorých zákonov k </w:t>
      </w:r>
      <w:r w:rsidR="0D2D9267" w:rsidRPr="09F23372">
        <w:rPr>
          <w:rFonts w:ascii="Times New Roman" w:eastAsia="Calibri" w:hAnsi="Times New Roman" w:cs="Times New Roman"/>
          <w:sz w:val="24"/>
          <w:szCs w:val="24"/>
        </w:rPr>
        <w:t xml:space="preserve">tomuto </w:t>
      </w:r>
      <w:r w:rsidRPr="09F23372">
        <w:rPr>
          <w:rFonts w:ascii="Times New Roman" w:eastAsia="Calibri" w:hAnsi="Times New Roman" w:cs="Times New Roman"/>
          <w:sz w:val="24"/>
          <w:szCs w:val="24"/>
        </w:rPr>
        <w:t>návrhu zákona</w:t>
      </w:r>
      <w:r w:rsidRPr="09F23372">
        <w:rPr>
          <w:rFonts w:ascii="Times New Roman" w:hAnsi="Times New Roman" w:cs="Times New Roman"/>
          <w:sz w:val="24"/>
          <w:szCs w:val="24"/>
        </w:rPr>
        <w:t xml:space="preserve">. Dôvodom vytvorenia návrhu zákona bola povinnosť implementácie </w:t>
      </w:r>
      <w:r w:rsidRPr="09F23372">
        <w:rPr>
          <w:rStyle w:val="normaltextrun"/>
          <w:rFonts w:ascii="Times New Roman" w:eastAsia="Times New Roman" w:hAnsi="Times New Roman" w:cs="Times New Roman"/>
          <w:sz w:val="24"/>
          <w:szCs w:val="24"/>
          <w:lang w:eastAsia="sk-SK"/>
        </w:rPr>
        <w:t xml:space="preserve">smernice </w:t>
      </w:r>
      <w:r w:rsidR="00141E62" w:rsidRPr="09F23372">
        <w:rPr>
          <w:rFonts w:ascii="Times New Roman" w:eastAsia="Times New Roman" w:hAnsi="Times New Roman" w:cs="Times New Roman"/>
          <w:sz w:val="24"/>
          <w:szCs w:val="24"/>
          <w:lang w:eastAsia="sk-SK"/>
        </w:rPr>
        <w:t>2023/2673</w:t>
      </w:r>
      <w:r w:rsidR="4E2B9766" w:rsidRPr="09F23372">
        <w:rPr>
          <w:rFonts w:ascii="Times New Roman" w:eastAsia="Times New Roman" w:hAnsi="Times New Roman" w:cs="Times New Roman"/>
          <w:sz w:val="24"/>
          <w:szCs w:val="24"/>
          <w:lang w:eastAsia="sk-SK"/>
        </w:rPr>
        <w:t>.</w:t>
      </w:r>
      <w:r w:rsidR="00E30BB9" w:rsidRPr="09F23372">
        <w:rPr>
          <w:rStyle w:val="normaltextrun"/>
          <w:rFonts w:ascii="Times New Roman" w:eastAsia="Times New Roman" w:hAnsi="Times New Roman" w:cs="Times New Roman"/>
          <w:sz w:val="24"/>
          <w:szCs w:val="24"/>
          <w:lang w:eastAsia="sk-SK"/>
        </w:rPr>
        <w:t>Na zverejnenú predbežnú informáciu reagovala</w:t>
      </w:r>
      <w:r w:rsidRPr="09F23372">
        <w:rPr>
          <w:rStyle w:val="normaltextrun"/>
          <w:rFonts w:ascii="Times New Roman" w:eastAsia="Times New Roman" w:hAnsi="Times New Roman" w:cs="Times New Roman"/>
          <w:sz w:val="24"/>
          <w:szCs w:val="24"/>
          <w:lang w:eastAsia="sk-SK"/>
        </w:rPr>
        <w:t xml:space="preserve"> </w:t>
      </w:r>
      <w:r w:rsidR="00E30BB9" w:rsidRPr="09F23372">
        <w:rPr>
          <w:rStyle w:val="normaltextrun"/>
          <w:rFonts w:ascii="Times New Roman" w:eastAsia="Times New Roman" w:hAnsi="Times New Roman" w:cs="Times New Roman"/>
          <w:sz w:val="24"/>
          <w:szCs w:val="24"/>
          <w:lang w:eastAsia="sk-SK"/>
        </w:rPr>
        <w:t>Slovenská banková asociácia (</w:t>
      </w:r>
      <w:r w:rsidR="4676C9E2" w:rsidRPr="09F23372">
        <w:rPr>
          <w:rStyle w:val="normaltextrun"/>
          <w:rFonts w:ascii="Times New Roman" w:eastAsia="Times New Roman" w:hAnsi="Times New Roman" w:cs="Times New Roman"/>
          <w:sz w:val="24"/>
          <w:szCs w:val="24"/>
          <w:lang w:eastAsia="sk-SK"/>
        </w:rPr>
        <w:t>ďalej len “</w:t>
      </w:r>
      <w:r w:rsidR="00E30BB9" w:rsidRPr="09F23372">
        <w:rPr>
          <w:rStyle w:val="normaltextrun"/>
          <w:rFonts w:ascii="Times New Roman" w:eastAsia="Times New Roman" w:hAnsi="Times New Roman" w:cs="Times New Roman"/>
          <w:sz w:val="24"/>
          <w:szCs w:val="24"/>
          <w:lang w:eastAsia="sk-SK"/>
        </w:rPr>
        <w:t>SBA</w:t>
      </w:r>
      <w:r w:rsidR="48724373" w:rsidRPr="09F23372">
        <w:rPr>
          <w:rStyle w:val="normaltextrun"/>
          <w:rFonts w:ascii="Times New Roman" w:eastAsia="Times New Roman" w:hAnsi="Times New Roman" w:cs="Times New Roman"/>
          <w:sz w:val="24"/>
          <w:szCs w:val="24"/>
          <w:lang w:eastAsia="sk-SK"/>
        </w:rPr>
        <w:t>”</w:t>
      </w:r>
      <w:r w:rsidR="00E30BB9" w:rsidRPr="09F23372">
        <w:rPr>
          <w:rStyle w:val="normaltextrun"/>
          <w:rFonts w:ascii="Times New Roman" w:eastAsia="Times New Roman" w:hAnsi="Times New Roman" w:cs="Times New Roman"/>
          <w:sz w:val="24"/>
          <w:szCs w:val="24"/>
          <w:lang w:eastAsia="sk-SK"/>
        </w:rPr>
        <w:t>)</w:t>
      </w:r>
      <w:r w:rsidR="00A226FD" w:rsidRPr="09F23372">
        <w:rPr>
          <w:rStyle w:val="normaltextrun"/>
          <w:rFonts w:ascii="Times New Roman" w:eastAsia="Times New Roman" w:hAnsi="Times New Roman" w:cs="Times New Roman"/>
          <w:sz w:val="24"/>
          <w:szCs w:val="24"/>
          <w:lang w:eastAsia="sk-SK"/>
        </w:rPr>
        <w:t xml:space="preserve">, </w:t>
      </w:r>
      <w:r w:rsidR="00A226FD" w:rsidRPr="09F23372">
        <w:rPr>
          <w:rFonts w:ascii="Times New Roman" w:eastAsia="Times New Roman" w:hAnsi="Times New Roman" w:cs="Times New Roman"/>
          <w:sz w:val="24"/>
          <w:szCs w:val="24"/>
          <w:lang w:eastAsia="sk-SK"/>
        </w:rPr>
        <w:t>Únia spotrebiteľov SR</w:t>
      </w:r>
      <w:r w:rsidR="00E30BB9" w:rsidRPr="09F23372">
        <w:rPr>
          <w:rStyle w:val="normaltextrun"/>
          <w:rFonts w:ascii="Times New Roman" w:eastAsia="Times New Roman" w:hAnsi="Times New Roman" w:cs="Times New Roman"/>
          <w:sz w:val="24"/>
          <w:szCs w:val="24"/>
          <w:lang w:eastAsia="sk-SK"/>
        </w:rPr>
        <w:t xml:space="preserve"> a </w:t>
      </w:r>
      <w:r w:rsidR="00E30BB9" w:rsidRPr="09F23372">
        <w:rPr>
          <w:rFonts w:ascii="Times New Roman" w:eastAsia="Times New Roman" w:hAnsi="Times New Roman" w:cs="Times New Roman"/>
          <w:sz w:val="24"/>
          <w:szCs w:val="24"/>
          <w:lang w:eastAsia="sk-SK"/>
        </w:rPr>
        <w:t>Inštitút moderného spotrebiteľa</w:t>
      </w:r>
      <w:r w:rsidR="00A226FD" w:rsidRPr="09F23372">
        <w:rPr>
          <w:rFonts w:ascii="Times New Roman" w:eastAsia="Times New Roman" w:hAnsi="Times New Roman" w:cs="Times New Roman"/>
          <w:sz w:val="24"/>
          <w:szCs w:val="24"/>
          <w:lang w:eastAsia="sk-SK"/>
        </w:rPr>
        <w:t xml:space="preserve">, ktorí </w:t>
      </w:r>
      <w:r w:rsidR="00E30BB9" w:rsidRPr="09F23372">
        <w:rPr>
          <w:rFonts w:ascii="Times New Roman" w:eastAsia="Times New Roman" w:hAnsi="Times New Roman" w:cs="Times New Roman"/>
          <w:sz w:val="24"/>
          <w:szCs w:val="24"/>
          <w:lang w:eastAsia="sk-SK"/>
        </w:rPr>
        <w:t xml:space="preserve">zároveň </w:t>
      </w:r>
      <w:r w:rsidR="00A226FD" w:rsidRPr="09F23372">
        <w:rPr>
          <w:rFonts w:ascii="Times New Roman" w:eastAsia="Times New Roman" w:hAnsi="Times New Roman" w:cs="Times New Roman"/>
          <w:sz w:val="24"/>
          <w:szCs w:val="24"/>
          <w:lang w:eastAsia="sk-SK"/>
        </w:rPr>
        <w:t xml:space="preserve">aj </w:t>
      </w:r>
      <w:r w:rsidR="00E30BB9" w:rsidRPr="09F23372">
        <w:rPr>
          <w:rFonts w:ascii="Times New Roman" w:eastAsia="Times New Roman" w:hAnsi="Times New Roman" w:cs="Times New Roman"/>
          <w:sz w:val="24"/>
          <w:szCs w:val="24"/>
          <w:lang w:eastAsia="sk-SK"/>
        </w:rPr>
        <w:t>prejavil</w:t>
      </w:r>
      <w:r w:rsidR="00A226FD" w:rsidRPr="09F23372">
        <w:rPr>
          <w:rFonts w:ascii="Times New Roman" w:eastAsia="Times New Roman" w:hAnsi="Times New Roman" w:cs="Times New Roman"/>
          <w:sz w:val="24"/>
          <w:szCs w:val="24"/>
          <w:lang w:eastAsia="sk-SK"/>
        </w:rPr>
        <w:t>i</w:t>
      </w:r>
      <w:r w:rsidR="00E30BB9" w:rsidRPr="09F23372">
        <w:rPr>
          <w:rFonts w:ascii="Times New Roman" w:eastAsia="Times New Roman" w:hAnsi="Times New Roman" w:cs="Times New Roman"/>
          <w:sz w:val="24"/>
          <w:szCs w:val="24"/>
          <w:lang w:eastAsia="sk-SK"/>
        </w:rPr>
        <w:t xml:space="preserve"> záujem o</w:t>
      </w:r>
      <w:r w:rsidR="00A226FD" w:rsidRPr="09F23372">
        <w:rPr>
          <w:rFonts w:ascii="Times New Roman" w:eastAsia="Times New Roman" w:hAnsi="Times New Roman" w:cs="Times New Roman"/>
          <w:sz w:val="24"/>
          <w:szCs w:val="24"/>
          <w:lang w:eastAsia="sk-SK"/>
        </w:rPr>
        <w:t> účasť na konzultáciách. Dňa 3.</w:t>
      </w:r>
      <w:r w:rsidR="31609828" w:rsidRPr="09F23372">
        <w:rPr>
          <w:rFonts w:ascii="Times New Roman" w:eastAsia="Times New Roman" w:hAnsi="Times New Roman" w:cs="Times New Roman"/>
          <w:sz w:val="24"/>
          <w:szCs w:val="24"/>
          <w:lang w:eastAsia="sk-SK"/>
        </w:rPr>
        <w:t xml:space="preserve"> júna</w:t>
      </w:r>
      <w:r w:rsidR="0011460F">
        <w:rPr>
          <w:rFonts w:ascii="Times New Roman" w:eastAsia="Times New Roman" w:hAnsi="Times New Roman" w:cs="Times New Roman"/>
          <w:sz w:val="24"/>
          <w:szCs w:val="24"/>
          <w:lang w:eastAsia="sk-SK"/>
        </w:rPr>
        <w:t xml:space="preserve"> </w:t>
      </w:r>
      <w:r w:rsidR="00A226FD" w:rsidRPr="09F23372">
        <w:rPr>
          <w:rFonts w:ascii="Times New Roman" w:eastAsia="Times New Roman" w:hAnsi="Times New Roman" w:cs="Times New Roman"/>
          <w:sz w:val="24"/>
          <w:szCs w:val="24"/>
          <w:lang w:eastAsia="sk-SK"/>
        </w:rPr>
        <w:t>2024 bola na webovej stránke Ministerstva hospodárstva Slovenskej republiky vyhlásená informácia o termínoch konania konzultácií, a to v období od 3.</w:t>
      </w:r>
      <w:r w:rsidR="1D847BE3" w:rsidRPr="09F23372">
        <w:rPr>
          <w:rFonts w:ascii="Times New Roman" w:eastAsia="Times New Roman" w:hAnsi="Times New Roman" w:cs="Times New Roman"/>
          <w:sz w:val="24"/>
          <w:szCs w:val="24"/>
          <w:lang w:eastAsia="sk-SK"/>
        </w:rPr>
        <w:t xml:space="preserve"> júna</w:t>
      </w:r>
      <w:r w:rsidR="00A226FD" w:rsidRPr="09F23372">
        <w:rPr>
          <w:rFonts w:ascii="Times New Roman" w:eastAsia="Times New Roman" w:hAnsi="Times New Roman" w:cs="Times New Roman"/>
          <w:sz w:val="24"/>
          <w:szCs w:val="24"/>
          <w:lang w:eastAsia="sk-SK"/>
        </w:rPr>
        <w:t xml:space="preserve"> do 1.</w:t>
      </w:r>
      <w:r w:rsidR="3E0B52B4" w:rsidRPr="09F23372">
        <w:rPr>
          <w:rFonts w:ascii="Times New Roman" w:eastAsia="Times New Roman" w:hAnsi="Times New Roman" w:cs="Times New Roman"/>
          <w:sz w:val="24"/>
          <w:szCs w:val="24"/>
          <w:lang w:eastAsia="sk-SK"/>
        </w:rPr>
        <w:t xml:space="preserve"> júla</w:t>
      </w:r>
      <w:r w:rsidR="00A226FD" w:rsidRPr="09F23372">
        <w:rPr>
          <w:rFonts w:ascii="Times New Roman" w:eastAsia="Times New Roman" w:hAnsi="Times New Roman" w:cs="Times New Roman"/>
          <w:sz w:val="24"/>
          <w:szCs w:val="24"/>
          <w:lang w:eastAsia="sk-SK"/>
        </w:rPr>
        <w:t xml:space="preserve">2024. </w:t>
      </w:r>
    </w:p>
    <w:p w14:paraId="5E9934E9" w14:textId="5E53ACE1" w:rsidR="00A70361" w:rsidRDefault="00A70361" w:rsidP="00A70361">
      <w:pPr>
        <w:pStyle w:val="Bezriadkovania"/>
        <w:jc w:val="both"/>
        <w:rPr>
          <w:rFonts w:ascii="Times New Roman" w:eastAsia="Times New Roman" w:hAnsi="Times New Roman" w:cs="Times New Roman"/>
          <w:sz w:val="24"/>
          <w:szCs w:val="24"/>
          <w:lang w:eastAsia="sk-SK"/>
        </w:rPr>
      </w:pPr>
      <w:r w:rsidRPr="09F23372">
        <w:rPr>
          <w:rFonts w:ascii="Times New Roman" w:eastAsia="Times New Roman" w:hAnsi="Times New Roman" w:cs="Times New Roman"/>
          <w:sz w:val="24"/>
          <w:szCs w:val="24"/>
          <w:lang w:eastAsia="sk-SK"/>
        </w:rPr>
        <w:t>Dňa 11.</w:t>
      </w:r>
      <w:r w:rsidR="005D1210" w:rsidRPr="09F23372">
        <w:rPr>
          <w:rFonts w:ascii="Times New Roman" w:eastAsia="Times New Roman" w:hAnsi="Times New Roman" w:cs="Times New Roman"/>
          <w:sz w:val="24"/>
          <w:szCs w:val="24"/>
          <w:lang w:eastAsia="sk-SK"/>
        </w:rPr>
        <w:t xml:space="preserve"> júna </w:t>
      </w:r>
      <w:r w:rsidRPr="09F23372">
        <w:rPr>
          <w:rFonts w:ascii="Times New Roman" w:eastAsia="Times New Roman" w:hAnsi="Times New Roman" w:cs="Times New Roman"/>
          <w:sz w:val="24"/>
          <w:szCs w:val="24"/>
          <w:lang w:eastAsia="sk-SK"/>
        </w:rPr>
        <w:t xml:space="preserve">2024 boli pozvané na osobné konzultácie všetky subjekty, ktoré prejavili záujem zúčastniť sa konzultácií. Tieto subjekty boli Inštitút moderného spotrebiteľa, Únia spotrebiteľov SR, </w:t>
      </w:r>
      <w:r w:rsidR="003938FF" w:rsidRPr="09F23372">
        <w:rPr>
          <w:rFonts w:ascii="Times New Roman" w:eastAsia="Times New Roman" w:hAnsi="Times New Roman" w:cs="Times New Roman"/>
          <w:sz w:val="24"/>
          <w:szCs w:val="24"/>
          <w:lang w:eastAsia="sk-SK"/>
        </w:rPr>
        <w:t>Asociácia slovenských inkasných spoločností (ďalej len „</w:t>
      </w:r>
      <w:r w:rsidRPr="09F23372">
        <w:rPr>
          <w:rFonts w:ascii="Times New Roman" w:eastAsia="Times New Roman" w:hAnsi="Times New Roman" w:cs="Times New Roman"/>
          <w:sz w:val="24"/>
          <w:szCs w:val="24"/>
          <w:lang w:eastAsia="sk-SK"/>
        </w:rPr>
        <w:t>ASINS</w:t>
      </w:r>
      <w:r w:rsidR="003938FF" w:rsidRPr="09F23372">
        <w:rPr>
          <w:rFonts w:ascii="Times New Roman" w:eastAsia="Times New Roman" w:hAnsi="Times New Roman" w:cs="Times New Roman"/>
          <w:sz w:val="24"/>
          <w:szCs w:val="24"/>
          <w:lang w:eastAsia="sk-SK"/>
        </w:rPr>
        <w:t>“)</w:t>
      </w:r>
      <w:r w:rsidRPr="09F23372">
        <w:rPr>
          <w:rFonts w:ascii="Times New Roman" w:eastAsia="Times New Roman" w:hAnsi="Times New Roman" w:cs="Times New Roman"/>
          <w:sz w:val="24"/>
          <w:szCs w:val="24"/>
          <w:lang w:eastAsia="sk-SK"/>
        </w:rPr>
        <w:t xml:space="preserve">, SBA, </w:t>
      </w:r>
      <w:r w:rsidR="003938FF" w:rsidRPr="09F23372">
        <w:rPr>
          <w:rFonts w:ascii="Times New Roman" w:eastAsia="Times New Roman" w:hAnsi="Times New Roman" w:cs="Times New Roman"/>
          <w:sz w:val="24"/>
          <w:szCs w:val="24"/>
          <w:lang w:eastAsia="sk-SK"/>
        </w:rPr>
        <w:t>Asociácia leasingových spoločností SR (ďalej len „</w:t>
      </w:r>
      <w:r w:rsidRPr="09F23372">
        <w:rPr>
          <w:rFonts w:ascii="Times New Roman" w:eastAsia="Times New Roman" w:hAnsi="Times New Roman" w:cs="Times New Roman"/>
          <w:sz w:val="24"/>
          <w:szCs w:val="24"/>
          <w:lang w:eastAsia="sk-SK"/>
        </w:rPr>
        <w:t>ALS</w:t>
      </w:r>
      <w:r w:rsidR="003938FF" w:rsidRPr="09F23372">
        <w:rPr>
          <w:rFonts w:ascii="Times New Roman" w:eastAsia="Times New Roman" w:hAnsi="Times New Roman" w:cs="Times New Roman"/>
          <w:sz w:val="24"/>
          <w:szCs w:val="24"/>
          <w:lang w:eastAsia="sk-SK"/>
        </w:rPr>
        <w:t>“)</w:t>
      </w:r>
      <w:r w:rsidRPr="09F23372">
        <w:rPr>
          <w:rFonts w:ascii="Times New Roman" w:eastAsia="Times New Roman" w:hAnsi="Times New Roman" w:cs="Times New Roman"/>
          <w:sz w:val="24"/>
          <w:szCs w:val="24"/>
          <w:lang w:eastAsia="sk-SK"/>
        </w:rPr>
        <w:t xml:space="preserve"> a </w:t>
      </w:r>
      <w:r w:rsidR="003938FF" w:rsidRPr="09F23372">
        <w:rPr>
          <w:rFonts w:ascii="Times New Roman" w:eastAsia="Times New Roman" w:hAnsi="Times New Roman" w:cs="Times New Roman"/>
          <w:sz w:val="24"/>
          <w:szCs w:val="24"/>
          <w:lang w:eastAsia="sk-SK"/>
        </w:rPr>
        <w:t>Asociácia priemyselných zväzov a dopravy (ďalej len „</w:t>
      </w:r>
      <w:r w:rsidRPr="09F23372">
        <w:rPr>
          <w:rFonts w:ascii="Times New Roman" w:eastAsia="Times New Roman" w:hAnsi="Times New Roman" w:cs="Times New Roman"/>
          <w:sz w:val="24"/>
          <w:szCs w:val="24"/>
          <w:lang w:eastAsia="sk-SK"/>
        </w:rPr>
        <w:t>APZD</w:t>
      </w:r>
      <w:r w:rsidR="003938FF" w:rsidRPr="09F23372">
        <w:rPr>
          <w:rFonts w:ascii="Times New Roman" w:eastAsia="Times New Roman" w:hAnsi="Times New Roman" w:cs="Times New Roman"/>
          <w:sz w:val="24"/>
          <w:szCs w:val="24"/>
          <w:lang w:eastAsia="sk-SK"/>
        </w:rPr>
        <w:t>“)</w:t>
      </w:r>
      <w:r w:rsidRPr="09F23372">
        <w:rPr>
          <w:rFonts w:ascii="Times New Roman" w:eastAsia="Times New Roman" w:hAnsi="Times New Roman" w:cs="Times New Roman"/>
          <w:sz w:val="24"/>
          <w:szCs w:val="24"/>
          <w:lang w:eastAsia="sk-SK"/>
        </w:rPr>
        <w:t>, pričom prizvaní boli aj predstavitelia M</w:t>
      </w:r>
      <w:r w:rsidR="003938FF" w:rsidRPr="09F23372">
        <w:rPr>
          <w:rFonts w:ascii="Times New Roman" w:eastAsia="Times New Roman" w:hAnsi="Times New Roman" w:cs="Times New Roman"/>
          <w:sz w:val="24"/>
          <w:szCs w:val="24"/>
          <w:lang w:eastAsia="sk-SK"/>
        </w:rPr>
        <w:t>inisterstva hospodárstva Slovenskej republiky (ďalej len „MHSR“)</w:t>
      </w:r>
      <w:r w:rsidRPr="09F23372">
        <w:rPr>
          <w:rFonts w:ascii="Times New Roman" w:eastAsia="Times New Roman" w:hAnsi="Times New Roman" w:cs="Times New Roman"/>
          <w:sz w:val="24"/>
          <w:szCs w:val="24"/>
          <w:lang w:eastAsia="sk-SK"/>
        </w:rPr>
        <w:t xml:space="preserve"> a NBS. Osobných konzultácií sa dňa 13.</w:t>
      </w:r>
      <w:r w:rsidR="2E3103F4" w:rsidRPr="09F23372">
        <w:rPr>
          <w:rFonts w:ascii="Times New Roman" w:eastAsia="Times New Roman" w:hAnsi="Times New Roman" w:cs="Times New Roman"/>
          <w:sz w:val="24"/>
          <w:szCs w:val="24"/>
          <w:lang w:eastAsia="sk-SK"/>
        </w:rPr>
        <w:t xml:space="preserve"> júna</w:t>
      </w:r>
      <w:r w:rsidRPr="09F23372">
        <w:rPr>
          <w:rFonts w:ascii="Times New Roman" w:eastAsia="Times New Roman" w:hAnsi="Times New Roman" w:cs="Times New Roman"/>
          <w:sz w:val="24"/>
          <w:szCs w:val="24"/>
          <w:lang w:eastAsia="sk-SK"/>
        </w:rPr>
        <w:t xml:space="preserve">2024 zúčastnili </w:t>
      </w:r>
      <w:r w:rsidR="005259E7" w:rsidRPr="09F23372">
        <w:rPr>
          <w:rFonts w:ascii="Times New Roman" w:eastAsia="Times New Roman" w:hAnsi="Times New Roman" w:cs="Times New Roman"/>
          <w:sz w:val="24"/>
          <w:szCs w:val="24"/>
          <w:lang w:eastAsia="sk-SK"/>
        </w:rPr>
        <w:t xml:space="preserve">ASINS, SBA, </w:t>
      </w:r>
      <w:r w:rsidRPr="09F23372">
        <w:rPr>
          <w:rFonts w:ascii="Times New Roman" w:eastAsia="Times New Roman" w:hAnsi="Times New Roman" w:cs="Times New Roman"/>
          <w:sz w:val="24"/>
          <w:szCs w:val="24"/>
          <w:lang w:eastAsia="sk-SK"/>
        </w:rPr>
        <w:t>MHSR a</w:t>
      </w:r>
      <w:r w:rsidR="005259E7" w:rsidRPr="09F23372">
        <w:rPr>
          <w:rFonts w:ascii="Times New Roman" w:eastAsia="Times New Roman" w:hAnsi="Times New Roman" w:cs="Times New Roman"/>
          <w:sz w:val="24"/>
          <w:szCs w:val="24"/>
          <w:lang w:eastAsia="sk-SK"/>
        </w:rPr>
        <w:t> </w:t>
      </w:r>
      <w:r w:rsidRPr="09F23372">
        <w:rPr>
          <w:rFonts w:ascii="Times New Roman" w:eastAsia="Times New Roman" w:hAnsi="Times New Roman" w:cs="Times New Roman"/>
          <w:sz w:val="24"/>
          <w:szCs w:val="24"/>
          <w:lang w:eastAsia="sk-SK"/>
        </w:rPr>
        <w:t>NBS</w:t>
      </w:r>
      <w:r w:rsidR="005259E7" w:rsidRPr="09F23372">
        <w:rPr>
          <w:rFonts w:ascii="Times New Roman" w:eastAsia="Times New Roman" w:hAnsi="Times New Roman" w:cs="Times New Roman"/>
          <w:sz w:val="24"/>
          <w:szCs w:val="24"/>
          <w:lang w:eastAsia="sk-SK"/>
        </w:rPr>
        <w:t xml:space="preserve"> a následne dňa 21.</w:t>
      </w:r>
      <w:r w:rsidR="6EF54813" w:rsidRPr="09F23372">
        <w:rPr>
          <w:rFonts w:ascii="Times New Roman" w:eastAsia="Times New Roman" w:hAnsi="Times New Roman" w:cs="Times New Roman"/>
          <w:sz w:val="24"/>
          <w:szCs w:val="24"/>
          <w:lang w:eastAsia="sk-SK"/>
        </w:rPr>
        <w:t xml:space="preserve"> júna</w:t>
      </w:r>
      <w:r w:rsidR="005259E7" w:rsidRPr="09F23372">
        <w:rPr>
          <w:rFonts w:ascii="Times New Roman" w:eastAsia="Times New Roman" w:hAnsi="Times New Roman" w:cs="Times New Roman"/>
          <w:sz w:val="24"/>
          <w:szCs w:val="24"/>
          <w:lang w:eastAsia="sk-SK"/>
        </w:rPr>
        <w:t xml:space="preserve">2024 sa dodatočných osobných konzultácií zúčastnili ALS a APZD. Konzultácie obsahovali všeobecnú prezentáciu hlavných cieľov budúcej právnej úpravy so zameraním sa na národné voľby, pričom následne prebiehala diskusia aj </w:t>
      </w:r>
      <w:r w:rsidR="005D1210" w:rsidRPr="09F23372">
        <w:rPr>
          <w:rFonts w:ascii="Times New Roman" w:eastAsia="Times New Roman" w:hAnsi="Times New Roman" w:cs="Times New Roman"/>
          <w:sz w:val="24"/>
          <w:szCs w:val="24"/>
          <w:lang w:eastAsia="sk-SK"/>
        </w:rPr>
        <w:t>o bodoch, ktoré dotknuté subjekty v rámci témy potrebovali prediskutovať</w:t>
      </w:r>
      <w:r w:rsidR="005259E7" w:rsidRPr="09F23372">
        <w:rPr>
          <w:rFonts w:ascii="Times New Roman" w:eastAsia="Times New Roman" w:hAnsi="Times New Roman" w:cs="Times New Roman"/>
          <w:sz w:val="24"/>
          <w:szCs w:val="24"/>
          <w:lang w:eastAsia="sk-SK"/>
        </w:rPr>
        <w:t xml:space="preserve">. </w:t>
      </w:r>
    </w:p>
    <w:p w14:paraId="21410BE7" w14:textId="214BC5DA" w:rsidR="005D1210" w:rsidRDefault="005D1210" w:rsidP="00A70361">
      <w:pPr>
        <w:pStyle w:val="Bezriadkovania"/>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Následne bol návrh zákona konzultovaný osobitne s MHSR, keďže sa dotkne aj zákonov v gescii MHSR – v tomto prípade konzultácie prebiehali prostredníctvom diaľkovej komunikácie vo forme pripomienok a návrhov zmien priamo v materiály. Rovnakou formou bol návrh zákona konzultovaný aj s NBS.</w:t>
      </w:r>
    </w:p>
    <w:p w14:paraId="2D75F10E" w14:textId="77777777" w:rsidR="00A70361" w:rsidRDefault="00A70361" w:rsidP="00121BD4">
      <w:pPr>
        <w:pStyle w:val="Bezriadkovania"/>
        <w:jc w:val="both"/>
        <w:rPr>
          <w:rFonts w:ascii="Times New Roman" w:eastAsia="Times New Roman" w:hAnsi="Times New Roman" w:cs="Times New Roman"/>
          <w:sz w:val="24"/>
          <w:szCs w:val="24"/>
          <w:lang w:eastAsia="sk-SK"/>
        </w:rPr>
      </w:pPr>
    </w:p>
    <w:p w14:paraId="08FCAD96" w14:textId="77777777" w:rsidR="00054C41" w:rsidRPr="00D8247C" w:rsidRDefault="00054C41" w:rsidP="00054C41">
      <w:pPr>
        <w:spacing w:after="0"/>
        <w:jc w:val="both"/>
        <w:rPr>
          <w:rFonts w:ascii="Times New Roman" w:eastAsia="Calibri" w:hAnsi="Times New Roman" w:cs="Times New Roman"/>
          <w:i/>
          <w:sz w:val="24"/>
          <w:szCs w:val="24"/>
        </w:rPr>
      </w:pPr>
    </w:p>
    <w:p w14:paraId="609C066C" w14:textId="77777777" w:rsidR="00054C41" w:rsidRPr="001F1B43" w:rsidRDefault="00054C41" w:rsidP="00054C41">
      <w:pPr>
        <w:jc w:val="both"/>
        <w:rPr>
          <w:rFonts w:ascii="Times New Roman" w:eastAsia="Calibri" w:hAnsi="Times New Roman" w:cs="Times New Roman"/>
          <w:b/>
          <w:sz w:val="24"/>
          <w:szCs w:val="24"/>
        </w:rPr>
      </w:pPr>
      <w:bookmarkStart w:id="0" w:name="_Hlk47698091"/>
      <w:r w:rsidRPr="001F1B43">
        <w:rPr>
          <w:rFonts w:ascii="Times New Roman" w:eastAsia="Calibri" w:hAnsi="Times New Roman" w:cs="Times New Roman"/>
          <w:b/>
          <w:sz w:val="24"/>
          <w:szCs w:val="24"/>
        </w:rPr>
        <w:t>3.3 Vplyvy na konkurencieschopnosť a produktivitu</w:t>
      </w:r>
    </w:p>
    <w:bookmarkEnd w:id="0"/>
    <w:p w14:paraId="5CAF52B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lastRenderedPageBreak/>
        <w:t xml:space="preserve">Dochádza k vytvoreniu resp. k zmene bariér na trhu? </w:t>
      </w:r>
    </w:p>
    <w:p w14:paraId="4D049DE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w:t>
      </w:r>
      <w:proofErr w:type="spellStart"/>
      <w:r w:rsidRPr="00D8247C">
        <w:rPr>
          <w:rFonts w:ascii="Times New Roman" w:eastAsia="Calibri" w:hAnsi="Times New Roman" w:cs="Times New Roman"/>
          <w:i/>
          <w:sz w:val="24"/>
          <w:szCs w:val="24"/>
        </w:rPr>
        <w:t>mikro</w:t>
      </w:r>
      <w:proofErr w:type="spellEnd"/>
      <w:r w:rsidRPr="00D8247C">
        <w:rPr>
          <w:rFonts w:ascii="Times New Roman" w:eastAsia="Calibri" w:hAnsi="Times New Roman" w:cs="Times New Roman"/>
          <w:i/>
          <w:sz w:val="24"/>
          <w:szCs w:val="24"/>
        </w:rPr>
        <w:t xml:space="preserve">, malé a stredné podniky tzv. MSP)? </w:t>
      </w:r>
    </w:p>
    <w:p w14:paraId="452A90F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0D074838" w14:textId="77777777"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6B6A3793" w14:textId="77777777" w:rsidR="007259CB"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64E2FB2F" w14:textId="77777777" w:rsidR="00BA19B0" w:rsidRPr="00D8247C" w:rsidRDefault="00BA19B0"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bol identifikovaný </w:t>
      </w:r>
      <w:proofErr w:type="spellStart"/>
      <w:r>
        <w:rPr>
          <w:rFonts w:ascii="Times New Roman" w:eastAsia="Calibri" w:hAnsi="Times New Roman" w:cs="Times New Roman"/>
          <w:i/>
          <w:sz w:val="24"/>
          <w:szCs w:val="24"/>
        </w:rPr>
        <w:t>goldplating</w:t>
      </w:r>
      <w:proofErr w:type="spellEnd"/>
      <w:r w:rsidR="00581EB9">
        <w:rPr>
          <w:rFonts w:ascii="Times New Roman" w:eastAsia="Calibri" w:hAnsi="Times New Roman" w:cs="Times New Roman"/>
          <w:i/>
          <w:sz w:val="24"/>
          <w:szCs w:val="24"/>
        </w:rPr>
        <w:t>,</w:t>
      </w:r>
      <w:r w:rsidR="00C14655">
        <w:rPr>
          <w:rFonts w:ascii="Times New Roman" w:eastAsia="Calibri" w:hAnsi="Times New Roman" w:cs="Times New Roman"/>
          <w:i/>
          <w:sz w:val="24"/>
          <w:szCs w:val="24"/>
        </w:rPr>
        <w:t xml:space="preserve"> prispieva k zníženiu konkurencieschopnosti a produktivity?</w:t>
      </w:r>
      <w:r w:rsidR="00581EB9">
        <w:rPr>
          <w:rFonts w:ascii="Times New Roman" w:eastAsia="Calibri" w:hAnsi="Times New Roman" w:cs="Times New Roman"/>
          <w:i/>
          <w:sz w:val="24"/>
          <w:szCs w:val="24"/>
        </w:rPr>
        <w:t xml:space="preserve"> Akým spôsobom?</w:t>
      </w:r>
    </w:p>
    <w:p w14:paraId="72CB32C8"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78681465" w14:textId="77777777" w:rsidR="00054C41" w:rsidRPr="00D8247C" w:rsidRDefault="00054C41" w:rsidP="00054C41">
      <w:pPr>
        <w:spacing w:after="0"/>
        <w:jc w:val="both"/>
        <w:rPr>
          <w:rFonts w:ascii="Times New Roman" w:eastAsia="Calibri" w:hAnsi="Times New Roman" w:cs="Times New Roman"/>
          <w:i/>
          <w:sz w:val="24"/>
          <w:szCs w:val="24"/>
        </w:rPr>
      </w:pPr>
    </w:p>
    <w:p w14:paraId="4BE35CB4"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6C68428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6CD0669" w14:textId="7785B5F2" w:rsidR="00054C41" w:rsidRPr="00D8247C" w:rsidRDefault="00000000"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Content>
          <w:sdt>
            <w:sdtPr>
              <w:rPr>
                <w:rFonts w:ascii="Times New Roman" w:eastAsia="Calibri" w:hAnsi="Times New Roman" w:cs="Times New Roman"/>
                <w:i/>
                <w:sz w:val="24"/>
                <w:szCs w:val="24"/>
              </w:rPr>
              <w:id w:val="1729873660"/>
            </w:sdt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Content>
          <w:sdt>
            <w:sdtPr>
              <w:rPr>
                <w:rFonts w:ascii="Times New Roman" w:eastAsia="Calibri" w:hAnsi="Times New Roman" w:cs="Times New Roman"/>
                <w:i/>
                <w:sz w:val="24"/>
                <w:szCs w:val="24"/>
              </w:rPr>
              <w:id w:val="-80300261"/>
            </w:sdtPr>
            <w:sdtContent>
              <w:r w:rsidR="00121BD4">
                <w:rPr>
                  <w:rFonts w:ascii="Segoe UI Symbol" w:eastAsia="Calibri" w:hAnsi="Segoe UI Symbol" w:cs="Segoe UI Symbol"/>
                  <w:i/>
                  <w:sz w:val="24"/>
                  <w:szCs w:val="24"/>
                </w:rPr>
                <w:t>X</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Content>
          <w:sdt>
            <w:sdtPr>
              <w:rPr>
                <w:rFonts w:ascii="Times New Roman" w:eastAsia="Calibri" w:hAnsi="Times New Roman" w:cs="Times New Roman"/>
                <w:i/>
                <w:sz w:val="24"/>
                <w:szCs w:val="24"/>
              </w:rPr>
              <w:id w:val="-1706551548"/>
            </w:sdt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327BF48A" w14:textId="77777777" w:rsidR="00054C41" w:rsidRPr="00D8247C" w:rsidRDefault="00054C41" w:rsidP="00054C41">
      <w:pPr>
        <w:spacing w:after="0"/>
        <w:jc w:val="both"/>
        <w:rPr>
          <w:rFonts w:ascii="Times New Roman" w:eastAsia="Calibri" w:hAnsi="Times New Roman" w:cs="Times New Roman"/>
          <w:i/>
          <w:sz w:val="24"/>
          <w:szCs w:val="24"/>
        </w:rPr>
      </w:pPr>
    </w:p>
    <w:p w14:paraId="5861187D"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FF562C2"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23DA5CCF" w14:textId="77777777" w:rsidR="00054C41" w:rsidRPr="00D8247C" w:rsidRDefault="00054C41" w:rsidP="00054C41">
      <w:pPr>
        <w:spacing w:after="0"/>
        <w:jc w:val="both"/>
        <w:rPr>
          <w:rFonts w:ascii="Times New Roman" w:eastAsia="Calibri" w:hAnsi="Times New Roman" w:cs="Times New Roman"/>
          <w:i/>
          <w:sz w:val="24"/>
          <w:szCs w:val="24"/>
        </w:rPr>
      </w:pPr>
    </w:p>
    <w:p w14:paraId="0B272ABF"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789FA80A" w14:textId="31F68755" w:rsidR="00054C41" w:rsidRPr="00D8247C" w:rsidRDefault="00000000"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Content>
          <w:sdt>
            <w:sdtPr>
              <w:rPr>
                <w:rFonts w:ascii="Times New Roman" w:eastAsia="Calibri" w:hAnsi="Times New Roman" w:cs="Times New Roman"/>
                <w:i/>
                <w:sz w:val="24"/>
                <w:szCs w:val="24"/>
              </w:rPr>
              <w:id w:val="825715010"/>
            </w:sdt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Content>
          <w:sdt>
            <w:sdtPr>
              <w:rPr>
                <w:rFonts w:ascii="Times New Roman" w:eastAsia="Calibri" w:hAnsi="Times New Roman" w:cs="Times New Roman"/>
                <w:i/>
                <w:sz w:val="24"/>
                <w:szCs w:val="24"/>
              </w:rPr>
              <w:id w:val="-1222205104"/>
            </w:sdtPr>
            <w:sdtContent>
              <w:r w:rsidR="00121BD4">
                <w:rPr>
                  <w:rFonts w:ascii="Segoe UI Symbol" w:eastAsia="Calibri" w:hAnsi="Segoe UI Symbol" w:cs="Segoe UI Symbol"/>
                  <w:i/>
                  <w:sz w:val="24"/>
                  <w:szCs w:val="24"/>
                </w:rPr>
                <w:t>X</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Content>
          <w:sdt>
            <w:sdtPr>
              <w:rPr>
                <w:rFonts w:ascii="Times New Roman" w:eastAsia="Calibri" w:hAnsi="Times New Roman" w:cs="Times New Roman"/>
                <w:i/>
                <w:sz w:val="24"/>
                <w:szCs w:val="24"/>
              </w:rPr>
              <w:id w:val="-623767955"/>
            </w:sdt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1FFE92DA" w14:textId="77777777" w:rsidR="00054C41" w:rsidRPr="00D8247C" w:rsidRDefault="00054C41" w:rsidP="00054C41">
      <w:pPr>
        <w:spacing w:after="0"/>
        <w:jc w:val="both"/>
        <w:rPr>
          <w:rFonts w:ascii="Times New Roman" w:eastAsia="Calibri" w:hAnsi="Times New Roman" w:cs="Times New Roman"/>
          <w:i/>
          <w:sz w:val="24"/>
          <w:szCs w:val="24"/>
        </w:rPr>
      </w:pPr>
    </w:p>
    <w:p w14:paraId="0F05F45F" w14:textId="1664B121"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727C9A0E" w14:textId="77777777"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12EF81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71F108B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46E907D6" w14:textId="77777777" w:rsidR="00FF414B" w:rsidRPr="00F244DC"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r w:rsidR="00E214C0" w:rsidRPr="00F244DC">
        <w:rPr>
          <w:rFonts w:ascii="Times New Roman" w:eastAsia="Calibri" w:hAnsi="Times New Roman" w:cs="Times New Roman"/>
          <w:i/>
          <w:sz w:val="24"/>
          <w:szCs w:val="24"/>
        </w:rPr>
        <w:t>,</w:t>
      </w:r>
    </w:p>
    <w:p w14:paraId="74DE7A2D" w14:textId="6B4D00C9" w:rsidR="00D114ED" w:rsidRDefault="00D114ED" w:rsidP="00D114ED">
      <w:pPr>
        <w:pStyle w:val="Odsekzoznamu"/>
        <w:numPr>
          <w:ilvl w:val="0"/>
          <w:numId w:val="6"/>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 xml:space="preserve">iné vplyvy podľa písm. a) až c), ktoré sú </w:t>
      </w:r>
      <w:proofErr w:type="spellStart"/>
      <w:r w:rsidRPr="00F244DC">
        <w:rPr>
          <w:rFonts w:ascii="Times New Roman" w:eastAsia="Calibri" w:hAnsi="Times New Roman" w:cs="Times New Roman"/>
          <w:i/>
          <w:sz w:val="24"/>
          <w:szCs w:val="24"/>
        </w:rPr>
        <w:t>goldplatingom</w:t>
      </w:r>
      <w:proofErr w:type="spellEnd"/>
      <w:r w:rsidRPr="00F244DC">
        <w:rPr>
          <w:rFonts w:ascii="Times New Roman" w:eastAsia="Calibri" w:hAnsi="Times New Roman" w:cs="Times New Roman"/>
          <w:i/>
          <w:sz w:val="24"/>
          <w:szCs w:val="24"/>
        </w:rPr>
        <w:t>.</w:t>
      </w:r>
    </w:p>
    <w:p w14:paraId="0424157C" w14:textId="7FD5BB4B" w:rsidR="00121BD4" w:rsidRDefault="00121BD4" w:rsidP="00121BD4">
      <w:pPr>
        <w:spacing w:after="0" w:line="254" w:lineRule="auto"/>
        <w:jc w:val="both"/>
        <w:rPr>
          <w:rFonts w:ascii="Times New Roman" w:eastAsia="Calibri" w:hAnsi="Times New Roman" w:cs="Times New Roman"/>
          <w:i/>
          <w:sz w:val="24"/>
          <w:szCs w:val="24"/>
        </w:rPr>
      </w:pPr>
    </w:p>
    <w:p w14:paraId="7BBA9EE1" w14:textId="700B9D8F" w:rsidR="003E6635" w:rsidRDefault="00121BD4" w:rsidP="00121BD4">
      <w:pPr>
        <w:spacing w:after="0"/>
        <w:jc w:val="both"/>
        <w:rPr>
          <w:rFonts w:ascii="Times New Roman" w:eastAsia="Calibri" w:hAnsi="Times New Roman" w:cs="Times New Roman"/>
          <w:sz w:val="24"/>
          <w:szCs w:val="24"/>
        </w:rPr>
      </w:pPr>
      <w:r w:rsidRPr="09F23372">
        <w:rPr>
          <w:rFonts w:ascii="Times New Roman" w:eastAsia="Calibri" w:hAnsi="Times New Roman" w:cs="Times New Roman"/>
          <w:sz w:val="24"/>
          <w:szCs w:val="24"/>
        </w:rPr>
        <w:t>Návrh zákona môže mať negatívny vplyv na finančné náklady</w:t>
      </w:r>
      <w:r w:rsidR="003E6635" w:rsidRPr="09F23372">
        <w:rPr>
          <w:rFonts w:ascii="Times New Roman" w:eastAsia="Calibri" w:hAnsi="Times New Roman" w:cs="Times New Roman"/>
          <w:sz w:val="24"/>
          <w:szCs w:val="24"/>
        </w:rPr>
        <w:t xml:space="preserve"> obchodníkov</w:t>
      </w:r>
      <w:r w:rsidR="005B5FEA" w:rsidRPr="09F23372">
        <w:rPr>
          <w:rFonts w:ascii="Times New Roman" w:eastAsia="Calibri" w:hAnsi="Times New Roman" w:cs="Times New Roman"/>
          <w:sz w:val="24"/>
          <w:szCs w:val="24"/>
        </w:rPr>
        <w:t xml:space="preserve"> poskytujúcich finančné služby na diaľku</w:t>
      </w:r>
      <w:r w:rsidR="003E6635" w:rsidRPr="09F23372">
        <w:rPr>
          <w:rFonts w:ascii="Times New Roman" w:eastAsia="Calibri" w:hAnsi="Times New Roman" w:cs="Times New Roman"/>
          <w:sz w:val="24"/>
          <w:szCs w:val="24"/>
        </w:rPr>
        <w:t xml:space="preserve">, nakoľko nová regulácia bude dohliadaná NBS podľa zákona č. 747/2004 Z. z. o dohľade nad finančným trhom a o zmene a doplnení niektorých zákonov. V prípade nedodržania požiadaviek </w:t>
      </w:r>
      <w:r w:rsidR="005B5FEA" w:rsidRPr="09F23372">
        <w:rPr>
          <w:rFonts w:ascii="Times New Roman" w:eastAsia="Calibri" w:hAnsi="Times New Roman" w:cs="Times New Roman"/>
          <w:sz w:val="24"/>
          <w:szCs w:val="24"/>
        </w:rPr>
        <w:t xml:space="preserve">návrhu zákona </w:t>
      </w:r>
      <w:r w:rsidR="003E6635" w:rsidRPr="09F23372">
        <w:rPr>
          <w:rFonts w:ascii="Times New Roman" w:eastAsia="Calibri" w:hAnsi="Times New Roman" w:cs="Times New Roman"/>
          <w:sz w:val="24"/>
          <w:szCs w:val="24"/>
        </w:rPr>
        <w:t>môže byť na základe dohľadu NBS uložená pokuta</w:t>
      </w:r>
      <w:r w:rsidR="6A2F3954" w:rsidRPr="09F23372">
        <w:rPr>
          <w:rFonts w:ascii="Times New Roman" w:eastAsia="Calibri" w:hAnsi="Times New Roman" w:cs="Times New Roman"/>
          <w:sz w:val="24"/>
          <w:szCs w:val="24"/>
        </w:rPr>
        <w:t xml:space="preserve"> alebo iná sankcia</w:t>
      </w:r>
      <w:r w:rsidR="003E6635" w:rsidRPr="09F23372">
        <w:rPr>
          <w:rFonts w:ascii="Times New Roman" w:eastAsia="Calibri" w:hAnsi="Times New Roman" w:cs="Times New Roman"/>
          <w:sz w:val="24"/>
          <w:szCs w:val="24"/>
        </w:rPr>
        <w:t xml:space="preserve">. V prípade funkcie na odstúpenie od zmluvy </w:t>
      </w:r>
      <w:r w:rsidR="005B5FEA" w:rsidRPr="09F23372">
        <w:rPr>
          <w:rFonts w:ascii="Times New Roman" w:eastAsia="Calibri" w:hAnsi="Times New Roman" w:cs="Times New Roman"/>
          <w:sz w:val="24"/>
          <w:szCs w:val="24"/>
        </w:rPr>
        <w:t xml:space="preserve">a zmeny formulára </w:t>
      </w:r>
      <w:r w:rsidR="003E6635" w:rsidRPr="09F23372">
        <w:rPr>
          <w:rFonts w:ascii="Times New Roman" w:eastAsia="Calibri" w:hAnsi="Times New Roman" w:cs="Times New Roman"/>
          <w:sz w:val="24"/>
          <w:szCs w:val="24"/>
        </w:rPr>
        <w:t>môže byť porušenie regulácie sankcionované zo strán viacerých subjektov dohľadu, podľa toho v akej oblasti a u akého obchodníka porušenie nastane.</w:t>
      </w:r>
    </w:p>
    <w:p w14:paraId="0F543A6A" w14:textId="67E8097C" w:rsidR="004E3CFF" w:rsidRDefault="004E3CFF" w:rsidP="00121BD4">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Predmetná regulácia v rámci návrhu zákona je zameraná hlavne na zvýšenie ochrany spotrebiteľa, ale predpokladá aj istý pozitívny vplyv na podnikateľské prostredie, ktorý však nie je možné vyčísliť, nakoľko ide o veľmi abstraktný vplyv, ktorého účinky nie je možné dopredu definovať. Pozitívne môže byť umožnenie digitalizácie procesov vo vyššej miere, ako </w:t>
      </w:r>
      <w:r>
        <w:rPr>
          <w:rFonts w:ascii="Times New Roman" w:eastAsia="Calibri" w:hAnsi="Times New Roman" w:cs="Times New Roman"/>
          <w:sz w:val="24"/>
          <w:szCs w:val="24"/>
        </w:rPr>
        <w:lastRenderedPageBreak/>
        <w:t>aj zvýšenie právnej istoty v danej oblasti, definovaním jasných a aktuálnych požiadaviek v digitálnej oblasti pri poskytovaní finančných služieb na diaľku.</w:t>
      </w:r>
    </w:p>
    <w:p w14:paraId="6C89E613" w14:textId="68330665" w:rsidR="00BE0B5B" w:rsidRDefault="00BE0B5B" w:rsidP="00F15EE3">
      <w:pPr>
        <w:spacing w:after="0" w:line="240" w:lineRule="auto"/>
        <w:rPr>
          <w:rFonts w:ascii="Times New Roman" w:eastAsia="Times New Roman" w:hAnsi="Times New Roman" w:cs="Times New Roman"/>
          <w:b/>
          <w:sz w:val="28"/>
          <w:szCs w:val="28"/>
          <w:lang w:eastAsia="sk-SK"/>
        </w:rPr>
      </w:pPr>
    </w:p>
    <w:sectPr w:rsidR="00BE0B5B"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D1750" w14:textId="77777777" w:rsidR="004F53A8" w:rsidRDefault="004F53A8" w:rsidP="00054C41">
      <w:pPr>
        <w:spacing w:after="0" w:line="240" w:lineRule="auto"/>
      </w:pPr>
      <w:r>
        <w:separator/>
      </w:r>
    </w:p>
  </w:endnote>
  <w:endnote w:type="continuationSeparator" w:id="0">
    <w:p w14:paraId="011CD717" w14:textId="77777777" w:rsidR="004F53A8" w:rsidRDefault="004F53A8"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altName w:val="Arial"/>
    <w:panose1 w:val="020B0502040204020203"/>
    <w:charset w:val="EE"/>
    <w:family w:val="swiss"/>
    <w:pitch w:val="variable"/>
    <w:sig w:usb0="E4002EFF" w:usb1="C000E47F" w:usb2="00000009" w:usb3="00000000" w:csb0="000001FF" w:csb1="00000000"/>
  </w:font>
  <w:font w:name="Segoe UI Symbol">
    <w:altName w:val="Century Gothic"/>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6035099"/>
      <w:docPartObj>
        <w:docPartGallery w:val="Page Numbers (Bottom of Page)"/>
        <w:docPartUnique/>
      </w:docPartObj>
    </w:sdtPr>
    <w:sdtEndPr>
      <w:rPr>
        <w:rFonts w:ascii="Times New Roman" w:hAnsi="Times New Roman" w:cs="Times New Roman"/>
        <w:sz w:val="24"/>
        <w:szCs w:val="24"/>
      </w:rPr>
    </w:sdtEndPr>
    <w:sdtContent>
      <w:p w14:paraId="5D55F2F5" w14:textId="39254747" w:rsidR="00A755A1" w:rsidRPr="006045CB" w:rsidRDefault="00A755A1"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0F5824">
          <w:rPr>
            <w:rFonts w:ascii="Times New Roman" w:hAnsi="Times New Roman" w:cs="Times New Roman"/>
            <w:noProof/>
            <w:sz w:val="24"/>
            <w:szCs w:val="24"/>
          </w:rPr>
          <w:t>2</w:t>
        </w:r>
        <w:r w:rsidRPr="006045CB">
          <w:rPr>
            <w:rFonts w:ascii="Times New Roman" w:hAnsi="Times New Roman" w:cs="Times New Roman"/>
            <w:sz w:val="24"/>
            <w:szCs w:val="24"/>
          </w:rPr>
          <w:fldChar w:fldCharType="end"/>
        </w:r>
      </w:p>
    </w:sdtContent>
  </w:sdt>
  <w:p w14:paraId="4556761F" w14:textId="77777777" w:rsidR="00A755A1" w:rsidRPr="00FF7125" w:rsidRDefault="00A755A1" w:rsidP="00054C41">
    <w:pPr>
      <w:pStyle w:val="Pta"/>
      <w:rPr>
        <w:sz w:val="24"/>
        <w:szCs w:val="24"/>
      </w:rPr>
    </w:pPr>
  </w:p>
  <w:p w14:paraId="20FE6A4A" w14:textId="77777777" w:rsidR="00A755A1" w:rsidRDefault="00A755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C196A" w14:textId="77777777" w:rsidR="004F53A8" w:rsidRDefault="004F53A8" w:rsidP="00054C41">
      <w:pPr>
        <w:spacing w:after="0" w:line="240" w:lineRule="auto"/>
      </w:pPr>
      <w:r>
        <w:separator/>
      </w:r>
    </w:p>
  </w:footnote>
  <w:footnote w:type="continuationSeparator" w:id="0">
    <w:p w14:paraId="44659577" w14:textId="77777777" w:rsidR="004F53A8" w:rsidRDefault="004F53A8" w:rsidP="00054C41">
      <w:pPr>
        <w:spacing w:after="0" w:line="240" w:lineRule="auto"/>
      </w:pPr>
      <w:r>
        <w:continuationSeparator/>
      </w:r>
    </w:p>
  </w:footnote>
  <w:footnote w:id="1">
    <w:p w14:paraId="6CC680CB" w14:textId="6BF8CDC6" w:rsidR="00A755A1" w:rsidRPr="000A6B7F" w:rsidRDefault="00A755A1"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14:paraId="1647D7DF" w14:textId="77777777" w:rsidR="00A755A1" w:rsidRPr="00804BC8" w:rsidRDefault="00A755A1"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p w14:paraId="5D313DAF" w14:textId="77777777" w:rsidR="00A755A1" w:rsidRDefault="00A755A1" w:rsidP="00512BA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D8E6B" w14:textId="77777777" w:rsidR="00A755A1" w:rsidRPr="006045CB" w:rsidRDefault="00A755A1"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14:paraId="4B2D726A" w14:textId="77777777" w:rsidR="00A755A1" w:rsidRPr="006045CB" w:rsidRDefault="00A755A1"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2F62655"/>
    <w:multiLevelType w:val="hybridMultilevel"/>
    <w:tmpl w:val="046E2D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9655D9C"/>
    <w:multiLevelType w:val="hybridMultilevel"/>
    <w:tmpl w:val="A7EA27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298681C"/>
    <w:multiLevelType w:val="hybridMultilevel"/>
    <w:tmpl w:val="043829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6907CF5"/>
    <w:multiLevelType w:val="hybridMultilevel"/>
    <w:tmpl w:val="B1126AEE"/>
    <w:lvl w:ilvl="0" w:tplc="8E2CDA3C">
      <w:start w:val="1"/>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E52040B"/>
    <w:multiLevelType w:val="hybridMultilevel"/>
    <w:tmpl w:val="05DC0FA6"/>
    <w:lvl w:ilvl="0" w:tplc="A6DEFB26">
      <w:start w:val="1"/>
      <w:numFmt w:val="decimal"/>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1499611038">
    <w:abstractNumId w:val="2"/>
  </w:num>
  <w:num w:numId="2" w16cid:durableId="1043288705">
    <w:abstractNumId w:val="14"/>
  </w:num>
  <w:num w:numId="3" w16cid:durableId="1523738039">
    <w:abstractNumId w:val="15"/>
  </w:num>
  <w:num w:numId="4" w16cid:durableId="1946306346">
    <w:abstractNumId w:val="13"/>
  </w:num>
  <w:num w:numId="5" w16cid:durableId="451746424">
    <w:abstractNumId w:val="9"/>
  </w:num>
  <w:num w:numId="6" w16cid:durableId="1547063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8120747">
    <w:abstractNumId w:val="15"/>
  </w:num>
  <w:num w:numId="8" w16cid:durableId="10008114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6793808">
    <w:abstractNumId w:val="11"/>
  </w:num>
  <w:num w:numId="10" w16cid:durableId="888538936">
    <w:abstractNumId w:val="5"/>
  </w:num>
  <w:num w:numId="11" w16cid:durableId="198788936">
    <w:abstractNumId w:val="6"/>
  </w:num>
  <w:num w:numId="12" w16cid:durableId="989870023">
    <w:abstractNumId w:val="0"/>
  </w:num>
  <w:num w:numId="13" w16cid:durableId="354890402">
    <w:abstractNumId w:val="16"/>
  </w:num>
  <w:num w:numId="14" w16cid:durableId="558327970">
    <w:abstractNumId w:val="8"/>
  </w:num>
  <w:num w:numId="15" w16cid:durableId="538788436">
    <w:abstractNumId w:val="7"/>
  </w:num>
  <w:num w:numId="16" w16cid:durableId="1418406362">
    <w:abstractNumId w:val="4"/>
  </w:num>
  <w:num w:numId="17" w16cid:durableId="1404445391">
    <w:abstractNumId w:val="1"/>
  </w:num>
  <w:num w:numId="18" w16cid:durableId="1769890509">
    <w:abstractNumId w:val="12"/>
  </w:num>
  <w:num w:numId="19" w16cid:durableId="4524111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C41"/>
    <w:rsid w:val="0002425A"/>
    <w:rsid w:val="00024EE4"/>
    <w:rsid w:val="00047C70"/>
    <w:rsid w:val="00050AAB"/>
    <w:rsid w:val="00054A53"/>
    <w:rsid w:val="00054C41"/>
    <w:rsid w:val="00060DA1"/>
    <w:rsid w:val="00061E85"/>
    <w:rsid w:val="000820E0"/>
    <w:rsid w:val="000875AD"/>
    <w:rsid w:val="00091A43"/>
    <w:rsid w:val="0009490E"/>
    <w:rsid w:val="000A3194"/>
    <w:rsid w:val="000A6B7F"/>
    <w:rsid w:val="000C5419"/>
    <w:rsid w:val="000C5E9A"/>
    <w:rsid w:val="000D15F0"/>
    <w:rsid w:val="000D68B6"/>
    <w:rsid w:val="000D7F86"/>
    <w:rsid w:val="000E74C6"/>
    <w:rsid w:val="000F5824"/>
    <w:rsid w:val="00100CE6"/>
    <w:rsid w:val="0011003B"/>
    <w:rsid w:val="001133DA"/>
    <w:rsid w:val="0011460F"/>
    <w:rsid w:val="00115267"/>
    <w:rsid w:val="0011588C"/>
    <w:rsid w:val="00121BD4"/>
    <w:rsid w:val="00126A2B"/>
    <w:rsid w:val="0012789B"/>
    <w:rsid w:val="00141E62"/>
    <w:rsid w:val="00142154"/>
    <w:rsid w:val="001476A4"/>
    <w:rsid w:val="00160CD9"/>
    <w:rsid w:val="00162C6C"/>
    <w:rsid w:val="0016512E"/>
    <w:rsid w:val="0018715C"/>
    <w:rsid w:val="001A1561"/>
    <w:rsid w:val="001B4C03"/>
    <w:rsid w:val="001C7B91"/>
    <w:rsid w:val="001D1083"/>
    <w:rsid w:val="001D3FA0"/>
    <w:rsid w:val="001E24E8"/>
    <w:rsid w:val="001E53CB"/>
    <w:rsid w:val="001F4966"/>
    <w:rsid w:val="0020776E"/>
    <w:rsid w:val="00207F43"/>
    <w:rsid w:val="002232D3"/>
    <w:rsid w:val="00225A83"/>
    <w:rsid w:val="00231B8F"/>
    <w:rsid w:val="00270EA5"/>
    <w:rsid w:val="002712B9"/>
    <w:rsid w:val="00284B8C"/>
    <w:rsid w:val="002936A5"/>
    <w:rsid w:val="0029483F"/>
    <w:rsid w:val="002C2FC0"/>
    <w:rsid w:val="002E6766"/>
    <w:rsid w:val="00302A17"/>
    <w:rsid w:val="00314D25"/>
    <w:rsid w:val="00315BE2"/>
    <w:rsid w:val="003322EE"/>
    <w:rsid w:val="00337630"/>
    <w:rsid w:val="00340CFD"/>
    <w:rsid w:val="003413D5"/>
    <w:rsid w:val="00342621"/>
    <w:rsid w:val="003558EA"/>
    <w:rsid w:val="00357F22"/>
    <w:rsid w:val="0036748D"/>
    <w:rsid w:val="00376039"/>
    <w:rsid w:val="003817D2"/>
    <w:rsid w:val="0038255E"/>
    <w:rsid w:val="00383DC2"/>
    <w:rsid w:val="00391648"/>
    <w:rsid w:val="0039304E"/>
    <w:rsid w:val="0039334E"/>
    <w:rsid w:val="003938FF"/>
    <w:rsid w:val="00394AD2"/>
    <w:rsid w:val="003A02AF"/>
    <w:rsid w:val="003A3124"/>
    <w:rsid w:val="003A686F"/>
    <w:rsid w:val="003D0048"/>
    <w:rsid w:val="003E58B8"/>
    <w:rsid w:val="003E6635"/>
    <w:rsid w:val="003F06D7"/>
    <w:rsid w:val="00400224"/>
    <w:rsid w:val="00400BA5"/>
    <w:rsid w:val="00410E62"/>
    <w:rsid w:val="00414FA7"/>
    <w:rsid w:val="00420090"/>
    <w:rsid w:val="004239D1"/>
    <w:rsid w:val="00445638"/>
    <w:rsid w:val="00446432"/>
    <w:rsid w:val="00446512"/>
    <w:rsid w:val="00466D7A"/>
    <w:rsid w:val="0048237B"/>
    <w:rsid w:val="00484D16"/>
    <w:rsid w:val="00491853"/>
    <w:rsid w:val="004941E5"/>
    <w:rsid w:val="004A14CD"/>
    <w:rsid w:val="004A2C6B"/>
    <w:rsid w:val="004C1BFE"/>
    <w:rsid w:val="004C772A"/>
    <w:rsid w:val="004D20CB"/>
    <w:rsid w:val="004D65B2"/>
    <w:rsid w:val="004D681D"/>
    <w:rsid w:val="004E2324"/>
    <w:rsid w:val="004E3CFF"/>
    <w:rsid w:val="004E4C87"/>
    <w:rsid w:val="004F53A8"/>
    <w:rsid w:val="004F548E"/>
    <w:rsid w:val="004F63E6"/>
    <w:rsid w:val="005103DA"/>
    <w:rsid w:val="0051156F"/>
    <w:rsid w:val="00511F8F"/>
    <w:rsid w:val="00512BA7"/>
    <w:rsid w:val="00515726"/>
    <w:rsid w:val="00521316"/>
    <w:rsid w:val="005259E7"/>
    <w:rsid w:val="00541675"/>
    <w:rsid w:val="00550874"/>
    <w:rsid w:val="00562527"/>
    <w:rsid w:val="00562A1E"/>
    <w:rsid w:val="00563427"/>
    <w:rsid w:val="00581EB9"/>
    <w:rsid w:val="005B4E6E"/>
    <w:rsid w:val="005B56E4"/>
    <w:rsid w:val="005B5FEA"/>
    <w:rsid w:val="005C795C"/>
    <w:rsid w:val="005D0E50"/>
    <w:rsid w:val="005D1210"/>
    <w:rsid w:val="005D39D8"/>
    <w:rsid w:val="005D40F5"/>
    <w:rsid w:val="0061097B"/>
    <w:rsid w:val="0061612F"/>
    <w:rsid w:val="006177C8"/>
    <w:rsid w:val="0062600A"/>
    <w:rsid w:val="00626769"/>
    <w:rsid w:val="006370FC"/>
    <w:rsid w:val="0063777D"/>
    <w:rsid w:val="00643358"/>
    <w:rsid w:val="00646084"/>
    <w:rsid w:val="006564C3"/>
    <w:rsid w:val="00656789"/>
    <w:rsid w:val="006578CB"/>
    <w:rsid w:val="00673F1C"/>
    <w:rsid w:val="00677B6D"/>
    <w:rsid w:val="006A4E85"/>
    <w:rsid w:val="006A60C0"/>
    <w:rsid w:val="006A712F"/>
    <w:rsid w:val="006A7B8B"/>
    <w:rsid w:val="006B5D74"/>
    <w:rsid w:val="006C1E16"/>
    <w:rsid w:val="006C25BE"/>
    <w:rsid w:val="006C3B39"/>
    <w:rsid w:val="006D7AD8"/>
    <w:rsid w:val="006E0FAF"/>
    <w:rsid w:val="006F1D57"/>
    <w:rsid w:val="006F4915"/>
    <w:rsid w:val="007030F1"/>
    <w:rsid w:val="0070364C"/>
    <w:rsid w:val="00710EDF"/>
    <w:rsid w:val="0072221D"/>
    <w:rsid w:val="0072357C"/>
    <w:rsid w:val="007259CB"/>
    <w:rsid w:val="00726031"/>
    <w:rsid w:val="00730EC9"/>
    <w:rsid w:val="00735821"/>
    <w:rsid w:val="00751DA9"/>
    <w:rsid w:val="00755E69"/>
    <w:rsid w:val="00756C88"/>
    <w:rsid w:val="007648EE"/>
    <w:rsid w:val="00764E20"/>
    <w:rsid w:val="00767B33"/>
    <w:rsid w:val="0077106D"/>
    <w:rsid w:val="00780ACC"/>
    <w:rsid w:val="00787A11"/>
    <w:rsid w:val="00797B40"/>
    <w:rsid w:val="007A0C9D"/>
    <w:rsid w:val="007B40FB"/>
    <w:rsid w:val="007B62AF"/>
    <w:rsid w:val="007D0B4B"/>
    <w:rsid w:val="007D2A1D"/>
    <w:rsid w:val="007E24B2"/>
    <w:rsid w:val="007E2DA4"/>
    <w:rsid w:val="007E6815"/>
    <w:rsid w:val="007E7632"/>
    <w:rsid w:val="007F1C84"/>
    <w:rsid w:val="007F4579"/>
    <w:rsid w:val="00801596"/>
    <w:rsid w:val="00804BC8"/>
    <w:rsid w:val="00806E23"/>
    <w:rsid w:val="00807981"/>
    <w:rsid w:val="00823F5A"/>
    <w:rsid w:val="00845D3B"/>
    <w:rsid w:val="008634E9"/>
    <w:rsid w:val="008801B5"/>
    <w:rsid w:val="00880578"/>
    <w:rsid w:val="00882407"/>
    <w:rsid w:val="008920C3"/>
    <w:rsid w:val="00894052"/>
    <w:rsid w:val="008A7B87"/>
    <w:rsid w:val="008ACCCB"/>
    <w:rsid w:val="008B4AA1"/>
    <w:rsid w:val="008C1C71"/>
    <w:rsid w:val="008E1AD0"/>
    <w:rsid w:val="008E315F"/>
    <w:rsid w:val="008E6B82"/>
    <w:rsid w:val="008F6ADE"/>
    <w:rsid w:val="009036EA"/>
    <w:rsid w:val="0091269B"/>
    <w:rsid w:val="00923C0C"/>
    <w:rsid w:val="0095170D"/>
    <w:rsid w:val="00952CF6"/>
    <w:rsid w:val="00960413"/>
    <w:rsid w:val="009621EF"/>
    <w:rsid w:val="009639C4"/>
    <w:rsid w:val="00981995"/>
    <w:rsid w:val="00981C7F"/>
    <w:rsid w:val="00985515"/>
    <w:rsid w:val="00990813"/>
    <w:rsid w:val="0099544D"/>
    <w:rsid w:val="00997513"/>
    <w:rsid w:val="009A0E2C"/>
    <w:rsid w:val="009A4D56"/>
    <w:rsid w:val="009B1F04"/>
    <w:rsid w:val="009E09F7"/>
    <w:rsid w:val="009E2D5C"/>
    <w:rsid w:val="009E3E44"/>
    <w:rsid w:val="009F4175"/>
    <w:rsid w:val="009F66A4"/>
    <w:rsid w:val="009F6C80"/>
    <w:rsid w:val="00A000DA"/>
    <w:rsid w:val="00A1736E"/>
    <w:rsid w:val="00A216DF"/>
    <w:rsid w:val="00A226FD"/>
    <w:rsid w:val="00A33F2C"/>
    <w:rsid w:val="00A50EE3"/>
    <w:rsid w:val="00A57A0D"/>
    <w:rsid w:val="00A70361"/>
    <w:rsid w:val="00A755A1"/>
    <w:rsid w:val="00A75F80"/>
    <w:rsid w:val="00A83E11"/>
    <w:rsid w:val="00A84D6C"/>
    <w:rsid w:val="00A94A0F"/>
    <w:rsid w:val="00AA3C6D"/>
    <w:rsid w:val="00AB57C4"/>
    <w:rsid w:val="00AE0D64"/>
    <w:rsid w:val="00B11CF5"/>
    <w:rsid w:val="00B209FA"/>
    <w:rsid w:val="00B21D1F"/>
    <w:rsid w:val="00B3385B"/>
    <w:rsid w:val="00B410BA"/>
    <w:rsid w:val="00B43D68"/>
    <w:rsid w:val="00B44A3A"/>
    <w:rsid w:val="00B552EA"/>
    <w:rsid w:val="00B5600C"/>
    <w:rsid w:val="00B66E33"/>
    <w:rsid w:val="00B72FB1"/>
    <w:rsid w:val="00B932B2"/>
    <w:rsid w:val="00B953DA"/>
    <w:rsid w:val="00B96FC1"/>
    <w:rsid w:val="00BA19B0"/>
    <w:rsid w:val="00BB3870"/>
    <w:rsid w:val="00BB45A7"/>
    <w:rsid w:val="00BB5B3F"/>
    <w:rsid w:val="00BD0EF7"/>
    <w:rsid w:val="00BD6778"/>
    <w:rsid w:val="00BE0B5B"/>
    <w:rsid w:val="00C01599"/>
    <w:rsid w:val="00C048D1"/>
    <w:rsid w:val="00C05563"/>
    <w:rsid w:val="00C06F77"/>
    <w:rsid w:val="00C11132"/>
    <w:rsid w:val="00C115B9"/>
    <w:rsid w:val="00C12FDD"/>
    <w:rsid w:val="00C145AA"/>
    <w:rsid w:val="00C14655"/>
    <w:rsid w:val="00C21399"/>
    <w:rsid w:val="00C446E2"/>
    <w:rsid w:val="00C535F5"/>
    <w:rsid w:val="00C560C4"/>
    <w:rsid w:val="00C61A3F"/>
    <w:rsid w:val="00C6748F"/>
    <w:rsid w:val="00C741FF"/>
    <w:rsid w:val="00C74337"/>
    <w:rsid w:val="00C75DC8"/>
    <w:rsid w:val="00C929AE"/>
    <w:rsid w:val="00CA4344"/>
    <w:rsid w:val="00CA6348"/>
    <w:rsid w:val="00CB1232"/>
    <w:rsid w:val="00CB17A0"/>
    <w:rsid w:val="00CC1C37"/>
    <w:rsid w:val="00CC3B7D"/>
    <w:rsid w:val="00CD4076"/>
    <w:rsid w:val="00CD5AE4"/>
    <w:rsid w:val="00CD5E86"/>
    <w:rsid w:val="00CE3B21"/>
    <w:rsid w:val="00CF4D09"/>
    <w:rsid w:val="00D005F2"/>
    <w:rsid w:val="00D03A8E"/>
    <w:rsid w:val="00D114ED"/>
    <w:rsid w:val="00D24B1F"/>
    <w:rsid w:val="00D3032C"/>
    <w:rsid w:val="00D31A3B"/>
    <w:rsid w:val="00D5309D"/>
    <w:rsid w:val="00D631FA"/>
    <w:rsid w:val="00D71064"/>
    <w:rsid w:val="00D71C21"/>
    <w:rsid w:val="00D803F3"/>
    <w:rsid w:val="00D811BB"/>
    <w:rsid w:val="00D82356"/>
    <w:rsid w:val="00D84EEE"/>
    <w:rsid w:val="00D90A61"/>
    <w:rsid w:val="00D946EF"/>
    <w:rsid w:val="00D95553"/>
    <w:rsid w:val="00DB7650"/>
    <w:rsid w:val="00DC355F"/>
    <w:rsid w:val="00DD1664"/>
    <w:rsid w:val="00DD1E4C"/>
    <w:rsid w:val="00DD417C"/>
    <w:rsid w:val="00DE331A"/>
    <w:rsid w:val="00DE6ACB"/>
    <w:rsid w:val="00DF02CE"/>
    <w:rsid w:val="00DF1462"/>
    <w:rsid w:val="00E030DA"/>
    <w:rsid w:val="00E052C7"/>
    <w:rsid w:val="00E214C0"/>
    <w:rsid w:val="00E30BB9"/>
    <w:rsid w:val="00E30D85"/>
    <w:rsid w:val="00E444EB"/>
    <w:rsid w:val="00E77A69"/>
    <w:rsid w:val="00E81A42"/>
    <w:rsid w:val="00E961E8"/>
    <w:rsid w:val="00E96244"/>
    <w:rsid w:val="00E96DE0"/>
    <w:rsid w:val="00EA29C2"/>
    <w:rsid w:val="00EB2BEC"/>
    <w:rsid w:val="00EB74BF"/>
    <w:rsid w:val="00EC0704"/>
    <w:rsid w:val="00EC3EE3"/>
    <w:rsid w:val="00EC508B"/>
    <w:rsid w:val="00ED6B5D"/>
    <w:rsid w:val="00EE31C2"/>
    <w:rsid w:val="00EE4C99"/>
    <w:rsid w:val="00F153D7"/>
    <w:rsid w:val="00F1599C"/>
    <w:rsid w:val="00F15EE3"/>
    <w:rsid w:val="00F2433F"/>
    <w:rsid w:val="00F244DC"/>
    <w:rsid w:val="00F378F4"/>
    <w:rsid w:val="00F408FB"/>
    <w:rsid w:val="00F47912"/>
    <w:rsid w:val="00F541B6"/>
    <w:rsid w:val="00F57702"/>
    <w:rsid w:val="00F61361"/>
    <w:rsid w:val="00F613E8"/>
    <w:rsid w:val="00F74D3C"/>
    <w:rsid w:val="00F74FC9"/>
    <w:rsid w:val="00F91F47"/>
    <w:rsid w:val="00FA4F36"/>
    <w:rsid w:val="00FA6FFE"/>
    <w:rsid w:val="00FB3373"/>
    <w:rsid w:val="00FC121B"/>
    <w:rsid w:val="00FD3DFB"/>
    <w:rsid w:val="00FF0272"/>
    <w:rsid w:val="00FF414B"/>
    <w:rsid w:val="00FF4B7A"/>
    <w:rsid w:val="00FF6FF5"/>
    <w:rsid w:val="00FF7E81"/>
    <w:rsid w:val="0139A39B"/>
    <w:rsid w:val="021B4D0B"/>
    <w:rsid w:val="029EE1EB"/>
    <w:rsid w:val="096126EC"/>
    <w:rsid w:val="09F23372"/>
    <w:rsid w:val="0A948EC0"/>
    <w:rsid w:val="0C0C3D2B"/>
    <w:rsid w:val="0D2D9267"/>
    <w:rsid w:val="0EA21820"/>
    <w:rsid w:val="0F15442A"/>
    <w:rsid w:val="102CE2BA"/>
    <w:rsid w:val="103E66A1"/>
    <w:rsid w:val="10C55438"/>
    <w:rsid w:val="1176189B"/>
    <w:rsid w:val="1418A8C0"/>
    <w:rsid w:val="14D2833C"/>
    <w:rsid w:val="1713110A"/>
    <w:rsid w:val="181839D9"/>
    <w:rsid w:val="184766F3"/>
    <w:rsid w:val="19FE1159"/>
    <w:rsid w:val="1D1FA52E"/>
    <w:rsid w:val="1D607FF9"/>
    <w:rsid w:val="1D847BE3"/>
    <w:rsid w:val="1E56C1E3"/>
    <w:rsid w:val="223C4B88"/>
    <w:rsid w:val="2372076F"/>
    <w:rsid w:val="268EDE01"/>
    <w:rsid w:val="2B52F6AB"/>
    <w:rsid w:val="2C22558A"/>
    <w:rsid w:val="2E3103F4"/>
    <w:rsid w:val="2EF3CE30"/>
    <w:rsid w:val="2F087F69"/>
    <w:rsid w:val="2FA2BD41"/>
    <w:rsid w:val="31609828"/>
    <w:rsid w:val="32CAC8D8"/>
    <w:rsid w:val="339C7211"/>
    <w:rsid w:val="3607E80E"/>
    <w:rsid w:val="370BAC85"/>
    <w:rsid w:val="377A29BD"/>
    <w:rsid w:val="3851EFE8"/>
    <w:rsid w:val="3C1C53F0"/>
    <w:rsid w:val="3E0B52B4"/>
    <w:rsid w:val="3F8C4B74"/>
    <w:rsid w:val="4676C9E2"/>
    <w:rsid w:val="48724373"/>
    <w:rsid w:val="4DB42404"/>
    <w:rsid w:val="4E2B9766"/>
    <w:rsid w:val="4E69D645"/>
    <w:rsid w:val="4E7CC771"/>
    <w:rsid w:val="4EF66590"/>
    <w:rsid w:val="50844726"/>
    <w:rsid w:val="50B270C2"/>
    <w:rsid w:val="50F8A352"/>
    <w:rsid w:val="52473A8B"/>
    <w:rsid w:val="52A112AD"/>
    <w:rsid w:val="545E97C5"/>
    <w:rsid w:val="56D8415F"/>
    <w:rsid w:val="56EA0C04"/>
    <w:rsid w:val="5737BECD"/>
    <w:rsid w:val="59563C41"/>
    <w:rsid w:val="5A85FA4D"/>
    <w:rsid w:val="5C0CEE1B"/>
    <w:rsid w:val="5C1630EE"/>
    <w:rsid w:val="5E37BFFF"/>
    <w:rsid w:val="5E7DC840"/>
    <w:rsid w:val="6082ED91"/>
    <w:rsid w:val="60DC7BF0"/>
    <w:rsid w:val="61FCF6BB"/>
    <w:rsid w:val="639D4AB8"/>
    <w:rsid w:val="6645C4CB"/>
    <w:rsid w:val="6A2F3954"/>
    <w:rsid w:val="6AB9C880"/>
    <w:rsid w:val="6C2F506E"/>
    <w:rsid w:val="6D9C086D"/>
    <w:rsid w:val="6EF54813"/>
    <w:rsid w:val="6F07499A"/>
    <w:rsid w:val="716CFBA8"/>
    <w:rsid w:val="74EAB26F"/>
    <w:rsid w:val="76D4765B"/>
    <w:rsid w:val="773ECE76"/>
    <w:rsid w:val="7756FAAA"/>
    <w:rsid w:val="777AACAA"/>
    <w:rsid w:val="77B8C164"/>
    <w:rsid w:val="7820292D"/>
    <w:rsid w:val="78DD16C3"/>
    <w:rsid w:val="79671830"/>
    <w:rsid w:val="7A41D373"/>
    <w:rsid w:val="7AB4C76C"/>
    <w:rsid w:val="7C847AE5"/>
    <w:rsid w:val="7EFA95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A8"/>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4C41"/>
  </w:style>
  <w:style w:type="paragraph" w:styleId="Nadpis1">
    <w:name w:val="heading 1"/>
    <w:basedOn w:val="Normlny"/>
    <w:next w:val="Normlny"/>
    <w:link w:val="Nadpis1Char"/>
    <w:uiPriority w:val="9"/>
    <w:qFormat/>
    <w:rsid w:val="00141E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3938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 w:type="paragraph" w:styleId="Bezriadkovania">
    <w:name w:val="No Spacing"/>
    <w:uiPriority w:val="1"/>
    <w:qFormat/>
    <w:rsid w:val="00121BD4"/>
    <w:pPr>
      <w:spacing w:after="0" w:line="240" w:lineRule="auto"/>
    </w:pPr>
  </w:style>
  <w:style w:type="character" w:customStyle="1" w:styleId="normaltextrun">
    <w:name w:val="normaltextrun"/>
    <w:basedOn w:val="Predvolenpsmoodseku"/>
    <w:rsid w:val="00121BD4"/>
  </w:style>
  <w:style w:type="character" w:customStyle="1" w:styleId="Nadpis1Char">
    <w:name w:val="Nadpis 1 Char"/>
    <w:basedOn w:val="Predvolenpsmoodseku"/>
    <w:link w:val="Nadpis1"/>
    <w:uiPriority w:val="9"/>
    <w:rsid w:val="00141E62"/>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3938F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3659">
      <w:bodyDiv w:val="1"/>
      <w:marLeft w:val="0"/>
      <w:marRight w:val="0"/>
      <w:marTop w:val="0"/>
      <w:marBottom w:val="0"/>
      <w:divBdr>
        <w:top w:val="none" w:sz="0" w:space="0" w:color="auto"/>
        <w:left w:val="none" w:sz="0" w:space="0" w:color="auto"/>
        <w:bottom w:val="none" w:sz="0" w:space="0" w:color="auto"/>
        <w:right w:val="none" w:sz="0" w:space="0" w:color="auto"/>
      </w:divBdr>
    </w:div>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168302334">
      <w:bodyDiv w:val="1"/>
      <w:marLeft w:val="0"/>
      <w:marRight w:val="0"/>
      <w:marTop w:val="0"/>
      <w:marBottom w:val="0"/>
      <w:divBdr>
        <w:top w:val="none" w:sz="0" w:space="0" w:color="auto"/>
        <w:left w:val="none" w:sz="0" w:space="0" w:color="auto"/>
        <w:bottom w:val="none" w:sz="0" w:space="0" w:color="auto"/>
        <w:right w:val="none" w:sz="0" w:space="0" w:color="auto"/>
      </w:divBdr>
    </w:div>
    <w:div w:id="197550198">
      <w:bodyDiv w:val="1"/>
      <w:marLeft w:val="0"/>
      <w:marRight w:val="0"/>
      <w:marTop w:val="0"/>
      <w:marBottom w:val="0"/>
      <w:divBdr>
        <w:top w:val="none" w:sz="0" w:space="0" w:color="auto"/>
        <w:left w:val="none" w:sz="0" w:space="0" w:color="auto"/>
        <w:bottom w:val="none" w:sz="0" w:space="0" w:color="auto"/>
        <w:right w:val="none" w:sz="0" w:space="0" w:color="auto"/>
      </w:divBdr>
    </w:div>
    <w:div w:id="266470059">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545291948">
      <w:bodyDiv w:val="1"/>
      <w:marLeft w:val="0"/>
      <w:marRight w:val="0"/>
      <w:marTop w:val="0"/>
      <w:marBottom w:val="0"/>
      <w:divBdr>
        <w:top w:val="none" w:sz="0" w:space="0" w:color="auto"/>
        <w:left w:val="none" w:sz="0" w:space="0" w:color="auto"/>
        <w:bottom w:val="none" w:sz="0" w:space="0" w:color="auto"/>
        <w:right w:val="none" w:sz="0" w:space="0" w:color="auto"/>
      </w:divBdr>
    </w:div>
    <w:div w:id="613833323">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632713291">
      <w:bodyDiv w:val="1"/>
      <w:marLeft w:val="0"/>
      <w:marRight w:val="0"/>
      <w:marTop w:val="0"/>
      <w:marBottom w:val="0"/>
      <w:divBdr>
        <w:top w:val="none" w:sz="0" w:space="0" w:color="auto"/>
        <w:left w:val="none" w:sz="0" w:space="0" w:color="auto"/>
        <w:bottom w:val="none" w:sz="0" w:space="0" w:color="auto"/>
        <w:right w:val="none" w:sz="0" w:space="0" w:color="auto"/>
      </w:divBdr>
    </w:div>
    <w:div w:id="695732572">
      <w:bodyDiv w:val="1"/>
      <w:marLeft w:val="0"/>
      <w:marRight w:val="0"/>
      <w:marTop w:val="0"/>
      <w:marBottom w:val="0"/>
      <w:divBdr>
        <w:top w:val="none" w:sz="0" w:space="0" w:color="auto"/>
        <w:left w:val="none" w:sz="0" w:space="0" w:color="auto"/>
        <w:bottom w:val="none" w:sz="0" w:space="0" w:color="auto"/>
        <w:right w:val="none" w:sz="0" w:space="0" w:color="auto"/>
      </w:divBdr>
    </w:div>
    <w:div w:id="704478732">
      <w:bodyDiv w:val="1"/>
      <w:marLeft w:val="0"/>
      <w:marRight w:val="0"/>
      <w:marTop w:val="0"/>
      <w:marBottom w:val="0"/>
      <w:divBdr>
        <w:top w:val="none" w:sz="0" w:space="0" w:color="auto"/>
        <w:left w:val="none" w:sz="0" w:space="0" w:color="auto"/>
        <w:bottom w:val="none" w:sz="0" w:space="0" w:color="auto"/>
        <w:right w:val="none" w:sz="0" w:space="0" w:color="auto"/>
      </w:divBdr>
    </w:div>
    <w:div w:id="728529347">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12522420">
      <w:bodyDiv w:val="1"/>
      <w:marLeft w:val="0"/>
      <w:marRight w:val="0"/>
      <w:marTop w:val="0"/>
      <w:marBottom w:val="0"/>
      <w:divBdr>
        <w:top w:val="none" w:sz="0" w:space="0" w:color="auto"/>
        <w:left w:val="none" w:sz="0" w:space="0" w:color="auto"/>
        <w:bottom w:val="none" w:sz="0" w:space="0" w:color="auto"/>
        <w:right w:val="none" w:sz="0" w:space="0" w:color="auto"/>
      </w:divBdr>
    </w:div>
    <w:div w:id="821123948">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156914093">
      <w:bodyDiv w:val="1"/>
      <w:marLeft w:val="0"/>
      <w:marRight w:val="0"/>
      <w:marTop w:val="0"/>
      <w:marBottom w:val="0"/>
      <w:divBdr>
        <w:top w:val="none" w:sz="0" w:space="0" w:color="auto"/>
        <w:left w:val="none" w:sz="0" w:space="0" w:color="auto"/>
        <w:bottom w:val="none" w:sz="0" w:space="0" w:color="auto"/>
        <w:right w:val="none" w:sz="0" w:space="0" w:color="auto"/>
      </w:divBdr>
    </w:div>
    <w:div w:id="1260872240">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352560942">
      <w:bodyDiv w:val="1"/>
      <w:marLeft w:val="0"/>
      <w:marRight w:val="0"/>
      <w:marTop w:val="0"/>
      <w:marBottom w:val="0"/>
      <w:divBdr>
        <w:top w:val="none" w:sz="0" w:space="0" w:color="auto"/>
        <w:left w:val="none" w:sz="0" w:space="0" w:color="auto"/>
        <w:bottom w:val="none" w:sz="0" w:space="0" w:color="auto"/>
        <w:right w:val="none" w:sz="0" w:space="0" w:color="auto"/>
      </w:divBdr>
    </w:div>
    <w:div w:id="1443065207">
      <w:bodyDiv w:val="1"/>
      <w:marLeft w:val="0"/>
      <w:marRight w:val="0"/>
      <w:marTop w:val="0"/>
      <w:marBottom w:val="0"/>
      <w:divBdr>
        <w:top w:val="none" w:sz="0" w:space="0" w:color="auto"/>
        <w:left w:val="none" w:sz="0" w:space="0" w:color="auto"/>
        <w:bottom w:val="none" w:sz="0" w:space="0" w:color="auto"/>
        <w:right w:val="none" w:sz="0" w:space="0" w:color="auto"/>
      </w:divBdr>
    </w:div>
    <w:div w:id="1453329395">
      <w:bodyDiv w:val="1"/>
      <w:marLeft w:val="0"/>
      <w:marRight w:val="0"/>
      <w:marTop w:val="0"/>
      <w:marBottom w:val="0"/>
      <w:divBdr>
        <w:top w:val="none" w:sz="0" w:space="0" w:color="auto"/>
        <w:left w:val="none" w:sz="0" w:space="0" w:color="auto"/>
        <w:bottom w:val="none" w:sz="0" w:space="0" w:color="auto"/>
        <w:right w:val="none" w:sz="0" w:space="0" w:color="auto"/>
      </w:divBdr>
    </w:div>
    <w:div w:id="1615863281">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iloha-3a-AVnaPP-do-MPK"/>
    <f:field ref="objsubject" par="" edit="true" text=""/>
    <f:field ref="objcreatedby" par="" text="Pavlíková, Katarína, Mgr."/>
    <f:field ref="objcreatedat" par="" text="10.11.2022 9:46:51"/>
    <f:field ref="objchangedby" par="" text="Administrator, System"/>
    <f:field ref="objmodifiedat" par="" text="10.11.2022 9:46: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B7E318B-E65D-4A0E-BD3C-04BF3A8D2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4976</Words>
  <Characters>28364</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natalia.sihelnikova@mfsr.sk</dc:creator>
  <cp:lastModifiedBy>Sihelnikova Natalia</cp:lastModifiedBy>
  <cp:revision>50</cp:revision>
  <dcterms:created xsi:type="dcterms:W3CDTF">2023-09-13T07:31:00Z</dcterms:created>
  <dcterms:modified xsi:type="dcterms:W3CDTF">2024-09-26T12:40:00Z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COO.2145.1000.3.5328105</vt:lpwstr>
  </property>
  <property fmtid="{D5CDD505-2E9C-101B-9397-08002B2CF9AE}" pid="152" name="FSC#FSCFOLIO@1.1001:docpropproject">
    <vt:lpwstr/>
  </property>
</Properties>
</file>