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A283" w14:textId="77777777"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AF84A90" w14:textId="77777777" w:rsidR="00054C41" w:rsidRPr="00895898" w:rsidRDefault="00054C41" w:rsidP="00054C41">
      <w:pPr>
        <w:jc w:val="both"/>
        <w:rPr>
          <w:rFonts w:ascii="Times New Roman" w:eastAsia="Calibri" w:hAnsi="Times New Roman" w:cs="Times New Roman"/>
          <w:b/>
          <w:sz w:val="24"/>
          <w:szCs w:val="24"/>
        </w:rPr>
      </w:pPr>
    </w:p>
    <w:p w14:paraId="22516163" w14:textId="2A817ED0"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BB5B3F">
        <w:rPr>
          <w:rFonts w:ascii="Times New Roman" w:eastAsia="Calibri" w:hAnsi="Times New Roman" w:cs="Times New Roman"/>
          <w:b/>
          <w:sz w:val="24"/>
          <w:szCs w:val="24"/>
        </w:rPr>
        <w:t xml:space="preserve"> </w:t>
      </w:r>
      <w:r w:rsidR="00BB5B3F" w:rsidRPr="00BB5B3F">
        <w:rPr>
          <w:rFonts w:ascii="Times New Roman" w:eastAsia="Calibri" w:hAnsi="Times New Roman" w:cs="Times New Roman"/>
          <w:sz w:val="24"/>
          <w:szCs w:val="24"/>
        </w:rPr>
        <w:t>Návrh zákona o ochrane spotrebiteľa pri finančných službách na diaľku a o zmene a doplnení niektorých zákonov (ďalej len „návrh zákona“)</w:t>
      </w:r>
    </w:p>
    <w:p w14:paraId="215E4944" w14:textId="77777777" w:rsidR="00BB5B3F" w:rsidRPr="00BB5B3F" w:rsidRDefault="00054C41" w:rsidP="00BB5B3F">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sidR="00BB5B3F">
        <w:rPr>
          <w:rFonts w:ascii="Times New Roman" w:eastAsia="Calibri" w:hAnsi="Times New Roman" w:cs="Times New Roman"/>
          <w:b/>
          <w:sz w:val="24"/>
          <w:szCs w:val="24"/>
        </w:rPr>
        <w:t xml:space="preserve"> </w:t>
      </w:r>
      <w:r w:rsidR="00BB5B3F" w:rsidRPr="00BB5B3F">
        <w:rPr>
          <w:rFonts w:ascii="Times New Roman" w:eastAsia="Calibri" w:hAnsi="Times New Roman" w:cs="Times New Roman"/>
          <w:sz w:val="24"/>
          <w:szCs w:val="24"/>
        </w:rPr>
        <w:t>Ministerstvo financií Slovenskej republiky</w:t>
      </w:r>
    </w:p>
    <w:p w14:paraId="73384937" w14:textId="77777777" w:rsidR="00054C41" w:rsidRPr="001F1B43" w:rsidRDefault="00054C41" w:rsidP="00054C41">
      <w:pPr>
        <w:jc w:val="both"/>
        <w:rPr>
          <w:rFonts w:ascii="Times New Roman" w:eastAsia="Calibri" w:hAnsi="Times New Roman" w:cs="Times New Roman"/>
          <w:b/>
          <w:sz w:val="24"/>
          <w:szCs w:val="24"/>
        </w:rPr>
      </w:pPr>
    </w:p>
    <w:p w14:paraId="515DBCE3" w14:textId="77777777"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14:paraId="14243EB0" w14:textId="77777777"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14:paraId="4D85A0D5"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proofErr w:type="spellStart"/>
      <w:r w:rsidR="00C929AE" w:rsidRPr="00804BC8">
        <w:rPr>
          <w:rFonts w:ascii="Times New Roman" w:eastAsia="Calibri" w:hAnsi="Times New Roman" w:cs="Times New Roman"/>
          <w:i/>
          <w:sz w:val="24"/>
          <w:szCs w:val="24"/>
        </w:rPr>
        <w:t>goldplatingu</w:t>
      </w:r>
      <w:proofErr w:type="spellEnd"/>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14:paraId="1A77DC61" w14:textId="77777777"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8300" w:type="dxa"/>
        <w:tblCellMar>
          <w:left w:w="70" w:type="dxa"/>
          <w:right w:w="70" w:type="dxa"/>
        </w:tblCellMar>
        <w:tblLook w:val="04A0" w:firstRow="1" w:lastRow="0" w:firstColumn="1" w:lastColumn="0" w:noHBand="0" w:noVBand="1"/>
      </w:tblPr>
      <w:tblGrid>
        <w:gridCol w:w="4540"/>
        <w:gridCol w:w="1880"/>
        <w:gridCol w:w="1880"/>
      </w:tblGrid>
      <w:tr w:rsidR="000F5824" w:rsidRPr="000F5824" w14:paraId="7C213B79" w14:textId="77777777" w:rsidTr="000F5824">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F3F2657" w14:textId="77777777" w:rsidR="000F5824" w:rsidRPr="000F5824" w:rsidRDefault="000F5824" w:rsidP="000F5824">
            <w:pPr>
              <w:spacing w:after="0" w:line="240" w:lineRule="auto"/>
              <w:jc w:val="center"/>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74AEB6E9"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DAC0AA5"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Zníženie nákladov v € na PP</w:t>
            </w:r>
          </w:p>
        </w:tc>
      </w:tr>
      <w:tr w:rsidR="000F5824" w:rsidRPr="000F5824" w14:paraId="1A67591E" w14:textId="77777777" w:rsidTr="000F5824">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21F38194"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proofErr w:type="spellStart"/>
            <w:r w:rsidRPr="000F5824">
              <w:rPr>
                <w:rFonts w:ascii="Times New Roman" w:eastAsia="Times New Roman" w:hAnsi="Times New Roman" w:cs="Times New Roman"/>
                <w:b/>
                <w:bCs/>
                <w:i/>
                <w:iCs/>
                <w:color w:val="000000"/>
                <w:sz w:val="20"/>
                <w:szCs w:val="20"/>
                <w:lang w:eastAsia="sk-SK"/>
              </w:rPr>
              <w:t>A.Dane</w:t>
            </w:r>
            <w:proofErr w:type="spellEnd"/>
            <w:r w:rsidRPr="000F5824">
              <w:rPr>
                <w:rFonts w:ascii="Times New Roman" w:eastAsia="Times New Roman" w:hAnsi="Times New Roman" w:cs="Times New Roman"/>
                <w:b/>
                <w:bCs/>
                <w:i/>
                <w:iCs/>
                <w:color w:val="000000"/>
                <w:sz w:val="20"/>
                <w:szCs w:val="20"/>
                <w:lang w:eastAsia="sk-SK"/>
              </w:rPr>
              <w:t xml:space="preserve">, odvody, clá a poplatky, ktorých cieľom je znižovať negatívne </w:t>
            </w:r>
            <w:proofErr w:type="spellStart"/>
            <w:r w:rsidRPr="000F5824">
              <w:rPr>
                <w:rFonts w:ascii="Times New Roman" w:eastAsia="Times New Roman" w:hAnsi="Times New Roman" w:cs="Times New Roman"/>
                <w:b/>
                <w:bCs/>
                <w:i/>
                <w:iCs/>
                <w:color w:val="000000"/>
                <w:sz w:val="20"/>
                <w:szCs w:val="20"/>
                <w:lang w:eastAsia="sk-SK"/>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15BEBE8B"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51A0A1AD"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708EFD11" w14:textId="77777777" w:rsidTr="000F5824">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09D2A3A0"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70DBEECA"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064A80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23E012F6" w14:textId="77777777" w:rsidTr="000F5824">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388F5DED"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6F132489"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c>
          <w:tcPr>
            <w:tcW w:w="1880" w:type="dxa"/>
            <w:tcBorders>
              <w:top w:val="nil"/>
              <w:left w:val="nil"/>
              <w:bottom w:val="single" w:sz="4" w:space="0" w:color="auto"/>
              <w:right w:val="single" w:sz="8" w:space="0" w:color="auto"/>
            </w:tcBorders>
            <w:shd w:val="clear" w:color="000000" w:fill="92D050"/>
            <w:vAlign w:val="center"/>
            <w:hideMark/>
          </w:tcPr>
          <w:p w14:paraId="4C6D9AFF"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39AE7F7B" w14:textId="77777777" w:rsidTr="000F5824">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644378A"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6213909B"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104 292 500</w:t>
            </w:r>
          </w:p>
        </w:tc>
        <w:tc>
          <w:tcPr>
            <w:tcW w:w="1880" w:type="dxa"/>
            <w:tcBorders>
              <w:top w:val="nil"/>
              <w:left w:val="nil"/>
              <w:bottom w:val="single" w:sz="4" w:space="0" w:color="auto"/>
              <w:right w:val="single" w:sz="8" w:space="0" w:color="auto"/>
            </w:tcBorders>
            <w:shd w:val="clear" w:color="000000" w:fill="92D050"/>
            <w:vAlign w:val="center"/>
            <w:hideMark/>
          </w:tcPr>
          <w:p w14:paraId="239F8498"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12459E9F" w14:textId="77777777" w:rsidTr="000F5824">
        <w:trPr>
          <w:trHeight w:val="300"/>
        </w:trPr>
        <w:tc>
          <w:tcPr>
            <w:tcW w:w="4540" w:type="dxa"/>
            <w:tcBorders>
              <w:top w:val="nil"/>
              <w:left w:val="single" w:sz="8" w:space="0" w:color="auto"/>
              <w:bottom w:val="nil"/>
              <w:right w:val="single" w:sz="4" w:space="0" w:color="auto"/>
            </w:tcBorders>
            <w:shd w:val="clear" w:color="auto" w:fill="auto"/>
            <w:vAlign w:val="center"/>
            <w:hideMark/>
          </w:tcPr>
          <w:p w14:paraId="765D575D"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E. Administratívne náklady</w:t>
            </w:r>
          </w:p>
        </w:tc>
        <w:tc>
          <w:tcPr>
            <w:tcW w:w="1880" w:type="dxa"/>
            <w:tcBorders>
              <w:top w:val="nil"/>
              <w:left w:val="nil"/>
              <w:bottom w:val="nil"/>
              <w:right w:val="single" w:sz="4" w:space="0" w:color="auto"/>
            </w:tcBorders>
            <w:shd w:val="clear" w:color="000000" w:fill="FFC000"/>
            <w:vAlign w:val="center"/>
            <w:hideMark/>
          </w:tcPr>
          <w:p w14:paraId="75ED8823"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43 261 871</w:t>
            </w:r>
          </w:p>
        </w:tc>
        <w:tc>
          <w:tcPr>
            <w:tcW w:w="1880" w:type="dxa"/>
            <w:tcBorders>
              <w:top w:val="nil"/>
              <w:left w:val="nil"/>
              <w:bottom w:val="nil"/>
              <w:right w:val="single" w:sz="8" w:space="0" w:color="auto"/>
            </w:tcBorders>
            <w:shd w:val="clear" w:color="000000" w:fill="92D050"/>
            <w:vAlign w:val="center"/>
            <w:hideMark/>
          </w:tcPr>
          <w:p w14:paraId="348CA293"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0C56BF5D" w14:textId="77777777" w:rsidTr="000F5824">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E2FC9A"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6015453"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147 554 371</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7C0CA65A"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051D3FDA" w14:textId="77777777" w:rsidTr="000F5824">
        <w:trPr>
          <w:trHeight w:val="300"/>
        </w:trPr>
        <w:tc>
          <w:tcPr>
            <w:tcW w:w="4540" w:type="dxa"/>
            <w:tcBorders>
              <w:top w:val="nil"/>
              <w:left w:val="nil"/>
              <w:bottom w:val="nil"/>
              <w:right w:val="nil"/>
            </w:tcBorders>
            <w:shd w:val="clear" w:color="auto" w:fill="auto"/>
            <w:vAlign w:val="center"/>
            <w:hideMark/>
          </w:tcPr>
          <w:p w14:paraId="76F7FF3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2306D62C"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58530CC1"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r>
      <w:tr w:rsidR="000F5824" w:rsidRPr="000F5824" w14:paraId="72F5DF21" w14:textId="77777777" w:rsidTr="000F5824">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E274BB6"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49063D3"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42528645"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Zníženie nákladov v € na PP</w:t>
            </w:r>
          </w:p>
        </w:tc>
      </w:tr>
      <w:tr w:rsidR="000F5824" w:rsidRPr="000F5824" w14:paraId="7AE79219" w14:textId="77777777" w:rsidTr="000F5824">
        <w:trPr>
          <w:trHeight w:val="990"/>
        </w:trPr>
        <w:tc>
          <w:tcPr>
            <w:tcW w:w="4540" w:type="dxa"/>
            <w:tcBorders>
              <w:top w:val="nil"/>
              <w:left w:val="single" w:sz="8" w:space="0" w:color="auto"/>
              <w:bottom w:val="nil"/>
              <w:right w:val="single" w:sz="4" w:space="0" w:color="auto"/>
            </w:tcBorders>
            <w:shd w:val="clear" w:color="auto" w:fill="auto"/>
            <w:vAlign w:val="center"/>
            <w:hideMark/>
          </w:tcPr>
          <w:p w14:paraId="5D7DDB90"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F. Úplná harmonizácia práva EÚ</w:t>
            </w:r>
            <w:r w:rsidRPr="000F5824">
              <w:rPr>
                <w:rFonts w:ascii="Times New Roman" w:eastAsia="Times New Roman" w:hAnsi="Times New Roman" w:cs="Times New Roman"/>
                <w:b/>
                <w:bCs/>
                <w:i/>
                <w:iCs/>
                <w:color w:val="000000"/>
                <w:sz w:val="20"/>
                <w:szCs w:val="20"/>
                <w:lang w:eastAsia="sk-SK"/>
              </w:rPr>
              <w:br/>
            </w:r>
            <w:r w:rsidRPr="000F5824">
              <w:rPr>
                <w:rFonts w:ascii="Times New Roman" w:eastAsia="Times New Roman" w:hAnsi="Times New Roman" w:cs="Times New Roman"/>
                <w:i/>
                <w:iCs/>
                <w:color w:val="000000"/>
                <w:sz w:val="16"/>
                <w:szCs w:val="16"/>
                <w:lang w:eastAsia="sk-SK"/>
              </w:rPr>
              <w:t xml:space="preserve">(okrem daní, odvodov, ciel a poplatkov, ktorých cieľom je znižovať negatívne </w:t>
            </w:r>
            <w:proofErr w:type="spellStart"/>
            <w:r w:rsidRPr="000F5824">
              <w:rPr>
                <w:rFonts w:ascii="Times New Roman" w:eastAsia="Times New Roman" w:hAnsi="Times New Roman" w:cs="Times New Roman"/>
                <w:i/>
                <w:iCs/>
                <w:color w:val="000000"/>
                <w:sz w:val="16"/>
                <w:szCs w:val="16"/>
                <w:lang w:eastAsia="sk-SK"/>
              </w:rPr>
              <w:t>externality</w:t>
            </w:r>
            <w:proofErr w:type="spellEnd"/>
            <w:r w:rsidRPr="000F5824">
              <w:rPr>
                <w:rFonts w:ascii="Times New Roman" w:eastAsia="Times New Roman" w:hAnsi="Times New Roman" w:cs="Times New Roman"/>
                <w:i/>
                <w:iCs/>
                <w:color w:val="000000"/>
                <w:sz w:val="16"/>
                <w:szCs w:val="16"/>
                <w:lang w:eastAsia="sk-SK"/>
              </w:rPr>
              <w:t>)</w:t>
            </w:r>
          </w:p>
        </w:tc>
        <w:tc>
          <w:tcPr>
            <w:tcW w:w="1880" w:type="dxa"/>
            <w:tcBorders>
              <w:top w:val="nil"/>
              <w:left w:val="nil"/>
              <w:bottom w:val="nil"/>
              <w:right w:val="single" w:sz="4" w:space="0" w:color="auto"/>
            </w:tcBorders>
            <w:shd w:val="clear" w:color="000000" w:fill="FFC000"/>
            <w:vAlign w:val="center"/>
            <w:hideMark/>
          </w:tcPr>
          <w:p w14:paraId="405D16C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147 043 113</w:t>
            </w:r>
          </w:p>
        </w:tc>
        <w:tc>
          <w:tcPr>
            <w:tcW w:w="1880" w:type="dxa"/>
            <w:tcBorders>
              <w:top w:val="nil"/>
              <w:left w:val="nil"/>
              <w:bottom w:val="nil"/>
              <w:right w:val="single" w:sz="8" w:space="0" w:color="auto"/>
            </w:tcBorders>
            <w:shd w:val="clear" w:color="000000" w:fill="92D050"/>
            <w:vAlign w:val="center"/>
            <w:hideMark/>
          </w:tcPr>
          <w:p w14:paraId="4E3FA69C"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661FF9A8" w14:textId="77777777" w:rsidTr="000F5824">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0DCCAB6" w14:textId="77777777" w:rsidR="000F5824" w:rsidRPr="000F5824" w:rsidRDefault="000F5824" w:rsidP="000F5824">
            <w:pPr>
              <w:spacing w:after="0" w:line="240" w:lineRule="auto"/>
              <w:rPr>
                <w:rFonts w:ascii="Times New Roman" w:eastAsia="Times New Roman" w:hAnsi="Times New Roman" w:cs="Times New Roman"/>
                <w:b/>
                <w:bCs/>
                <w:i/>
                <w:iCs/>
                <w:color w:val="000000"/>
                <w:sz w:val="20"/>
                <w:szCs w:val="20"/>
                <w:lang w:eastAsia="sk-SK"/>
              </w:rPr>
            </w:pPr>
            <w:r w:rsidRPr="000F5824">
              <w:rPr>
                <w:rFonts w:ascii="Times New Roman" w:eastAsia="Times New Roman" w:hAnsi="Times New Roman" w:cs="Times New Roman"/>
                <w:b/>
                <w:bCs/>
                <w:i/>
                <w:iCs/>
                <w:color w:val="000000"/>
                <w:sz w:val="20"/>
                <w:szCs w:val="20"/>
                <w:lang w:eastAsia="sk-SK"/>
              </w:rPr>
              <w:t xml:space="preserve">G. </w:t>
            </w:r>
            <w:proofErr w:type="spellStart"/>
            <w:r w:rsidRPr="000F5824">
              <w:rPr>
                <w:rFonts w:ascii="Times New Roman" w:eastAsia="Times New Roman" w:hAnsi="Times New Roman" w:cs="Times New Roman"/>
                <w:b/>
                <w:bCs/>
                <w:i/>
                <w:iCs/>
                <w:color w:val="000000"/>
                <w:sz w:val="20"/>
                <w:szCs w:val="20"/>
                <w:lang w:eastAsia="sk-SK"/>
              </w:rPr>
              <w:t>Goldplating</w:t>
            </w:r>
            <w:proofErr w:type="spellEnd"/>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515964E2"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511 258</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D8017DA"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r w:rsidR="000F5824" w:rsidRPr="000F5824" w14:paraId="0F49DD73" w14:textId="77777777" w:rsidTr="000F5824">
        <w:trPr>
          <w:trHeight w:val="270"/>
        </w:trPr>
        <w:tc>
          <w:tcPr>
            <w:tcW w:w="4540" w:type="dxa"/>
            <w:tcBorders>
              <w:top w:val="nil"/>
              <w:left w:val="nil"/>
              <w:bottom w:val="nil"/>
              <w:right w:val="nil"/>
            </w:tcBorders>
            <w:shd w:val="clear" w:color="auto" w:fill="auto"/>
            <w:noWrap/>
            <w:vAlign w:val="bottom"/>
            <w:hideMark/>
          </w:tcPr>
          <w:p w14:paraId="73B99EC9"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330D6F6B"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25783304"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r>
      <w:tr w:rsidR="000F5824" w:rsidRPr="000F5824" w14:paraId="5E69EDDD" w14:textId="77777777" w:rsidTr="000F5824">
        <w:trPr>
          <w:trHeight w:val="270"/>
        </w:trPr>
        <w:tc>
          <w:tcPr>
            <w:tcW w:w="4540" w:type="dxa"/>
            <w:tcBorders>
              <w:top w:val="nil"/>
              <w:left w:val="nil"/>
              <w:bottom w:val="nil"/>
              <w:right w:val="nil"/>
            </w:tcBorders>
            <w:shd w:val="clear" w:color="auto" w:fill="auto"/>
            <w:noWrap/>
            <w:vAlign w:val="bottom"/>
            <w:hideMark/>
          </w:tcPr>
          <w:p w14:paraId="1FC132B6"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51C330DB"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48361900" w14:textId="77777777" w:rsidR="000F5824" w:rsidRPr="000F5824" w:rsidRDefault="000F5824" w:rsidP="000F5824">
            <w:pPr>
              <w:spacing w:after="0" w:line="240" w:lineRule="auto"/>
              <w:rPr>
                <w:rFonts w:ascii="Times New Roman" w:eastAsia="Times New Roman" w:hAnsi="Times New Roman" w:cs="Times New Roman"/>
                <w:sz w:val="20"/>
                <w:szCs w:val="20"/>
                <w:lang w:eastAsia="sk-SK"/>
              </w:rPr>
            </w:pPr>
          </w:p>
        </w:tc>
      </w:tr>
      <w:tr w:rsidR="000F5824" w:rsidRPr="000F5824" w14:paraId="6C1DDD80" w14:textId="77777777" w:rsidTr="000F5824">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0D72176" w14:textId="77777777" w:rsidR="000F5824" w:rsidRPr="000F5824" w:rsidRDefault="000F5824" w:rsidP="000F5824">
            <w:pPr>
              <w:spacing w:after="0" w:line="240" w:lineRule="auto"/>
              <w:rPr>
                <w:rFonts w:ascii="Times New Roman" w:eastAsia="Times New Roman" w:hAnsi="Times New Roman" w:cs="Times New Roman"/>
                <w:i/>
                <w:iCs/>
                <w:color w:val="000000"/>
                <w:sz w:val="20"/>
                <w:szCs w:val="20"/>
                <w:lang w:eastAsia="sk-SK"/>
              </w:rPr>
            </w:pPr>
            <w:r w:rsidRPr="000F5824">
              <w:rPr>
                <w:rFonts w:ascii="Times New Roman" w:eastAsia="Times New Roman" w:hAnsi="Times New Roman" w:cs="Times New Roman"/>
                <w:i/>
                <w:iCs/>
                <w:color w:val="000000"/>
                <w:sz w:val="20"/>
                <w:szCs w:val="20"/>
                <w:lang w:eastAsia="sk-SK"/>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782B6E1A"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352BCB2A"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OUT</w:t>
            </w:r>
          </w:p>
        </w:tc>
      </w:tr>
      <w:tr w:rsidR="000F5824" w:rsidRPr="000F5824" w14:paraId="6864616A" w14:textId="77777777" w:rsidTr="000F5824">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50C77022" w14:textId="77777777" w:rsidR="000F5824" w:rsidRPr="000F5824" w:rsidRDefault="000F5824" w:rsidP="000F5824">
            <w:pPr>
              <w:spacing w:after="0" w:line="240" w:lineRule="auto"/>
              <w:rPr>
                <w:rFonts w:ascii="Times New Roman" w:eastAsia="Times New Roman" w:hAnsi="Times New Roman" w:cs="Times New Roman"/>
                <w:i/>
                <w:iCs/>
                <w:color w:val="000000"/>
                <w:sz w:val="20"/>
                <w:szCs w:val="20"/>
                <w:lang w:eastAsia="sk-SK"/>
              </w:rPr>
            </w:pPr>
            <w:r w:rsidRPr="000F5824">
              <w:rPr>
                <w:rFonts w:ascii="Times New Roman" w:eastAsia="Times New Roman" w:hAnsi="Times New Roman" w:cs="Times New Roman"/>
                <w:i/>
                <w:iCs/>
                <w:color w:val="000000"/>
                <w:sz w:val="20"/>
                <w:szCs w:val="20"/>
                <w:lang w:eastAsia="sk-SK"/>
              </w:rPr>
              <w:t>H</w:t>
            </w:r>
            <w:r w:rsidRPr="000F5824">
              <w:rPr>
                <w:rFonts w:ascii="Times New Roman" w:eastAsia="Times New Roman" w:hAnsi="Times New Roman" w:cs="Times New Roman"/>
                <w:b/>
                <w:bCs/>
                <w:i/>
                <w:iCs/>
                <w:color w:val="000000"/>
                <w:sz w:val="20"/>
                <w:szCs w:val="20"/>
                <w:lang w:eastAsia="sk-SK"/>
              </w:rPr>
              <w:t>.</w:t>
            </w:r>
            <w:r w:rsidRPr="000F5824">
              <w:rPr>
                <w:rFonts w:ascii="Times New Roman" w:eastAsia="Times New Roman" w:hAnsi="Times New Roman" w:cs="Times New Roman"/>
                <w:i/>
                <w:iCs/>
                <w:color w:val="000000"/>
                <w:sz w:val="20"/>
                <w:szCs w:val="20"/>
                <w:lang w:eastAsia="sk-SK"/>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0E25B34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511 258</w:t>
            </w:r>
          </w:p>
        </w:tc>
        <w:tc>
          <w:tcPr>
            <w:tcW w:w="1880" w:type="dxa"/>
            <w:tcBorders>
              <w:top w:val="nil"/>
              <w:left w:val="nil"/>
              <w:bottom w:val="single" w:sz="8" w:space="0" w:color="auto"/>
              <w:right w:val="single" w:sz="8" w:space="0" w:color="auto"/>
            </w:tcBorders>
            <w:shd w:val="clear" w:color="000000" w:fill="92D050"/>
            <w:vAlign w:val="center"/>
            <w:hideMark/>
          </w:tcPr>
          <w:p w14:paraId="575B65FC"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0</w:t>
            </w:r>
          </w:p>
        </w:tc>
      </w:tr>
    </w:tbl>
    <w:p w14:paraId="0C4E1024" w14:textId="77777777"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lastRenderedPageBreak/>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14:paraId="5E02E2DD" w14:textId="77777777"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0" w:type="auto"/>
        <w:tblCellMar>
          <w:left w:w="70" w:type="dxa"/>
          <w:right w:w="70" w:type="dxa"/>
        </w:tblCellMar>
        <w:tblLook w:val="04A0" w:firstRow="1" w:lastRow="0" w:firstColumn="1" w:lastColumn="0" w:noHBand="0" w:noVBand="1"/>
      </w:tblPr>
      <w:tblGrid>
        <w:gridCol w:w="452"/>
        <w:gridCol w:w="1776"/>
        <w:gridCol w:w="892"/>
        <w:gridCol w:w="1133"/>
        <w:gridCol w:w="1380"/>
        <w:gridCol w:w="952"/>
        <w:gridCol w:w="1108"/>
        <w:gridCol w:w="1007"/>
        <w:gridCol w:w="1209"/>
        <w:gridCol w:w="1239"/>
        <w:gridCol w:w="884"/>
        <w:gridCol w:w="785"/>
        <w:gridCol w:w="1177"/>
      </w:tblGrid>
      <w:tr w:rsidR="000F5824" w:rsidRPr="000F5824" w14:paraId="0945A9F2" w14:textId="77777777" w:rsidTr="000F5824">
        <w:trPr>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3BA11C6"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F5824">
              <w:rPr>
                <w:rFonts w:ascii="Times New Roman" w:eastAsia="Times New Roman" w:hAnsi="Times New Roman" w:cs="Times New Roman"/>
                <w:b/>
                <w:bCs/>
                <w:color w:val="000000"/>
                <w:sz w:val="20"/>
                <w:szCs w:val="20"/>
                <w:lang w:eastAsia="sk-SK"/>
              </w:rPr>
              <w:t>P.č</w:t>
            </w:r>
            <w:proofErr w:type="spellEnd"/>
            <w:r w:rsidRPr="000F5824">
              <w:rPr>
                <w:rFonts w:ascii="Times New Roman" w:eastAsia="Times New Roman" w:hAnsi="Times New Roman" w:cs="Times New Roman"/>
                <w:b/>
                <w:bCs/>
                <w:color w:val="000000"/>
                <w:sz w:val="20"/>
                <w:szCs w:val="20"/>
                <w:lang w:eastAsia="sk-SK"/>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4896BF"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Zrozumiteľný a stručný opis regulácie </w:t>
            </w:r>
            <w:r w:rsidRPr="000F5824">
              <w:rPr>
                <w:rFonts w:ascii="Times New Roman" w:eastAsia="Times New Roman" w:hAnsi="Times New Roman" w:cs="Times New Roman"/>
                <w:b/>
                <w:bCs/>
                <w:color w:val="000000"/>
                <w:sz w:val="20"/>
                <w:szCs w:val="20"/>
                <w:lang w:eastAsia="sk-SK"/>
              </w:rPr>
              <w:br/>
              <w:t xml:space="preserve">(dôvod zvýšenia/zníženia nákladov na PP a dôvod ponechania nákladov na PP, ktoré </w:t>
            </w:r>
            <w:proofErr w:type="spellStart"/>
            <w:r w:rsidRPr="000F5824">
              <w:rPr>
                <w:rFonts w:ascii="Times New Roman" w:eastAsia="Times New Roman" w:hAnsi="Times New Roman" w:cs="Times New Roman"/>
                <w:b/>
                <w:bCs/>
                <w:color w:val="000000"/>
                <w:sz w:val="20"/>
                <w:szCs w:val="20"/>
                <w:lang w:eastAsia="sk-SK"/>
              </w:rPr>
              <w:t>su</w:t>
            </w:r>
            <w:proofErr w:type="spellEnd"/>
            <w:r w:rsidRPr="000F5824">
              <w:rPr>
                <w:rFonts w:ascii="Times New Roman" w:eastAsia="Times New Roman" w:hAnsi="Times New Roman" w:cs="Times New Roman"/>
                <w:b/>
                <w:bCs/>
                <w:color w:val="000000"/>
                <w:sz w:val="20"/>
                <w:szCs w:val="20"/>
                <w:lang w:eastAsia="sk-SK"/>
              </w:rPr>
              <w:t xml:space="preserve"> </w:t>
            </w:r>
            <w:proofErr w:type="spellStart"/>
            <w:r w:rsidRPr="000F5824">
              <w:rPr>
                <w:rFonts w:ascii="Times New Roman" w:eastAsia="Times New Roman" w:hAnsi="Times New Roman" w:cs="Times New Roman"/>
                <w:b/>
                <w:bCs/>
                <w:color w:val="000000"/>
                <w:sz w:val="20"/>
                <w:szCs w:val="20"/>
                <w:lang w:eastAsia="sk-SK"/>
              </w:rPr>
              <w:t>goldplatingom</w:t>
            </w:r>
            <w:proofErr w:type="spellEnd"/>
            <w:r w:rsidRPr="000F5824">
              <w:rPr>
                <w:rFonts w:ascii="Times New Roman" w:eastAsia="Times New Roman" w:hAnsi="Times New Roman" w:cs="Times New Roman"/>
                <w:b/>
                <w:bCs/>
                <w:color w:val="000000"/>
                <w:sz w:val="20"/>
                <w:szCs w:val="20"/>
                <w:lang w:eastAsia="sk-SK"/>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5FCBF19B"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Číslo normy</w:t>
            </w:r>
            <w:r w:rsidRPr="000F5824">
              <w:rPr>
                <w:rFonts w:ascii="Times New Roman" w:eastAsia="Times New Roman" w:hAnsi="Times New Roman" w:cs="Times New Roman"/>
                <w:b/>
                <w:bCs/>
                <w:color w:val="000000"/>
                <w:sz w:val="20"/>
                <w:szCs w:val="20"/>
                <w:lang w:eastAsia="sk-SK"/>
              </w:rPr>
              <w:br/>
            </w:r>
            <w:r w:rsidRPr="000F5824">
              <w:rPr>
                <w:rFonts w:ascii="Times New Roman" w:eastAsia="Times New Roman" w:hAnsi="Times New Roman" w:cs="Times New Roman"/>
                <w:color w:val="000000"/>
                <w:sz w:val="20"/>
                <w:szCs w:val="20"/>
                <w:lang w:eastAsia="sk-SK"/>
              </w:rPr>
              <w:t>(zákona, vyhlášky a pod.)</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2E00A771"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Lokalizácia</w:t>
            </w:r>
            <w:r w:rsidRPr="000F5824">
              <w:rPr>
                <w:rFonts w:ascii="Times New Roman" w:eastAsia="Times New Roman" w:hAnsi="Times New Roman" w:cs="Times New Roman"/>
                <w:b/>
                <w:bCs/>
                <w:color w:val="000000"/>
                <w:sz w:val="20"/>
                <w:szCs w:val="20"/>
                <w:lang w:eastAsia="sk-SK"/>
              </w:rPr>
              <w:br/>
              <w:t>(§, ods., čl.,...)</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A24759C"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Pôvod regulácie: </w:t>
            </w:r>
            <w:r w:rsidRPr="000F5824">
              <w:rPr>
                <w:rFonts w:ascii="Times New Roman" w:eastAsia="Times New Roman" w:hAnsi="Times New Roman" w:cs="Times New Roman"/>
                <w:b/>
                <w:bCs/>
                <w:color w:val="000000"/>
                <w:sz w:val="20"/>
                <w:szCs w:val="20"/>
                <w:lang w:eastAsia="sk-SK"/>
              </w:rPr>
              <w:br/>
            </w:r>
            <w:r w:rsidRPr="000F5824">
              <w:rPr>
                <w:rFonts w:ascii="Times New Roman" w:eastAsia="Times New Roman" w:hAnsi="Times New Roman" w:cs="Times New Roman"/>
                <w:color w:val="000000"/>
                <w:sz w:val="20"/>
                <w:szCs w:val="20"/>
                <w:lang w:eastAsia="sk-SK"/>
              </w:rPr>
              <w:t xml:space="preserve">SK/EÚ úplná </w:t>
            </w:r>
            <w:proofErr w:type="spellStart"/>
            <w:r w:rsidRPr="000F5824">
              <w:rPr>
                <w:rFonts w:ascii="Times New Roman" w:eastAsia="Times New Roman" w:hAnsi="Times New Roman" w:cs="Times New Roman"/>
                <w:color w:val="000000"/>
                <w:sz w:val="20"/>
                <w:szCs w:val="20"/>
                <w:lang w:eastAsia="sk-SK"/>
              </w:rPr>
              <w:t>harm</w:t>
            </w:r>
            <w:proofErr w:type="spellEnd"/>
            <w:r w:rsidRPr="000F5824">
              <w:rPr>
                <w:rFonts w:ascii="Times New Roman" w:eastAsia="Times New Roman" w:hAnsi="Times New Roman" w:cs="Times New Roman"/>
                <w:color w:val="000000"/>
                <w:sz w:val="20"/>
                <w:szCs w:val="20"/>
                <w:lang w:eastAsia="sk-SK"/>
              </w:rPr>
              <w:t>./</w:t>
            </w:r>
            <w:r w:rsidRPr="000F5824">
              <w:rPr>
                <w:rFonts w:ascii="Times New Roman" w:eastAsia="Times New Roman" w:hAnsi="Times New Roman" w:cs="Times New Roman"/>
                <w:color w:val="000000"/>
                <w:sz w:val="20"/>
                <w:szCs w:val="20"/>
                <w:lang w:eastAsia="sk-SK"/>
              </w:rPr>
              <w:br/>
            </w:r>
            <w:proofErr w:type="spellStart"/>
            <w:r w:rsidRPr="000F5824">
              <w:rPr>
                <w:rFonts w:ascii="Times New Roman" w:eastAsia="Times New Roman" w:hAnsi="Times New Roman" w:cs="Times New Roman"/>
                <w:color w:val="000000"/>
                <w:sz w:val="20"/>
                <w:szCs w:val="20"/>
                <w:lang w:eastAsia="sk-SK"/>
              </w:rPr>
              <w:t>goldplating</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C0E08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Účinnosť regulácie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972625F"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Kategória </w:t>
            </w:r>
            <w:proofErr w:type="spellStart"/>
            <w:r w:rsidRPr="000F5824">
              <w:rPr>
                <w:rFonts w:ascii="Times New Roman" w:eastAsia="Times New Roman" w:hAnsi="Times New Roman" w:cs="Times New Roman"/>
                <w:b/>
                <w:bCs/>
                <w:color w:val="000000"/>
                <w:sz w:val="20"/>
                <w:szCs w:val="20"/>
                <w:lang w:eastAsia="sk-SK"/>
              </w:rPr>
              <w:t>dotk</w:t>
            </w:r>
            <w:proofErr w:type="spellEnd"/>
            <w:r w:rsidRPr="000F5824">
              <w:rPr>
                <w:rFonts w:ascii="Times New Roman" w:eastAsia="Times New Roman" w:hAnsi="Times New Roman" w:cs="Times New Roman"/>
                <w:b/>
                <w:bCs/>
                <w:color w:val="000000"/>
                <w:sz w:val="20"/>
                <w:szCs w:val="20"/>
                <w:lang w:eastAsia="sk-SK"/>
              </w:rPr>
              <w:t>. subjektov</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434D3B7"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Počet </w:t>
            </w:r>
            <w:proofErr w:type="spellStart"/>
            <w:r w:rsidRPr="000F5824">
              <w:rPr>
                <w:rFonts w:ascii="Times New Roman" w:eastAsia="Times New Roman" w:hAnsi="Times New Roman" w:cs="Times New Roman"/>
                <w:b/>
                <w:bCs/>
                <w:color w:val="000000"/>
                <w:sz w:val="20"/>
                <w:szCs w:val="20"/>
                <w:lang w:eastAsia="sk-SK"/>
              </w:rPr>
              <w:t>dotk</w:t>
            </w:r>
            <w:proofErr w:type="spellEnd"/>
            <w:r w:rsidRPr="000F5824">
              <w:rPr>
                <w:rFonts w:ascii="Times New Roman" w:eastAsia="Times New Roman" w:hAnsi="Times New Roman" w:cs="Times New Roman"/>
                <w:b/>
                <w:bCs/>
                <w:color w:val="000000"/>
                <w:sz w:val="20"/>
                <w:szCs w:val="20"/>
                <w:lang w:eastAsia="sk-SK"/>
              </w:rPr>
              <w:t xml:space="preserve">. subjektov spolu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9AB0153"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Vplyv na 1 podnik. v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05EB1EF"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Vplyv na kategóriu </w:t>
            </w:r>
            <w:proofErr w:type="spellStart"/>
            <w:r w:rsidRPr="000F5824">
              <w:rPr>
                <w:rFonts w:ascii="Times New Roman" w:eastAsia="Times New Roman" w:hAnsi="Times New Roman" w:cs="Times New Roman"/>
                <w:b/>
                <w:bCs/>
                <w:color w:val="000000"/>
                <w:sz w:val="20"/>
                <w:szCs w:val="20"/>
                <w:lang w:eastAsia="sk-SK"/>
              </w:rPr>
              <w:t>dotk</w:t>
            </w:r>
            <w:proofErr w:type="spellEnd"/>
            <w:r w:rsidRPr="000F5824">
              <w:rPr>
                <w:rFonts w:ascii="Times New Roman" w:eastAsia="Times New Roman" w:hAnsi="Times New Roman" w:cs="Times New Roman"/>
                <w:b/>
                <w:bCs/>
                <w:color w:val="000000"/>
                <w:sz w:val="20"/>
                <w:szCs w:val="20"/>
                <w:lang w:eastAsia="sk-SK"/>
              </w:rPr>
              <w:t>. subjektov v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BDCDD11"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Druh vplyvu</w:t>
            </w:r>
            <w:r w:rsidRPr="000F5824">
              <w:rPr>
                <w:rFonts w:ascii="Times New Roman" w:eastAsia="Times New Roman" w:hAnsi="Times New Roman" w:cs="Times New Roman"/>
                <w:b/>
                <w:bCs/>
                <w:color w:val="000000"/>
                <w:sz w:val="20"/>
                <w:szCs w:val="20"/>
                <w:lang w:eastAsia="sk-SK"/>
              </w:rPr>
              <w:br/>
            </w:r>
            <w:r w:rsidRPr="000F5824">
              <w:rPr>
                <w:rFonts w:ascii="Times New Roman" w:eastAsia="Times New Roman" w:hAnsi="Times New Roman" w:cs="Times New Roman"/>
                <w:color w:val="000000"/>
                <w:sz w:val="20"/>
                <w:szCs w:val="20"/>
                <w:lang w:eastAsia="sk-SK"/>
              </w:rPr>
              <w:t xml:space="preserve">In (zvyšuje náklady) / </w:t>
            </w:r>
            <w:r w:rsidRPr="000F5824">
              <w:rPr>
                <w:rFonts w:ascii="Times New Roman" w:eastAsia="Times New Roman" w:hAnsi="Times New Roman" w:cs="Times New Roman"/>
                <w:color w:val="000000"/>
                <w:sz w:val="20"/>
                <w:szCs w:val="20"/>
                <w:lang w:eastAsia="sk-SK"/>
              </w:rPr>
              <w:br/>
            </w:r>
            <w:proofErr w:type="spellStart"/>
            <w:r w:rsidRPr="000F5824">
              <w:rPr>
                <w:rFonts w:ascii="Times New Roman" w:eastAsia="Times New Roman" w:hAnsi="Times New Roman" w:cs="Times New Roman"/>
                <w:color w:val="000000"/>
                <w:sz w:val="20"/>
                <w:szCs w:val="20"/>
                <w:lang w:eastAsia="sk-SK"/>
              </w:rPr>
              <w:t>Out</w:t>
            </w:r>
            <w:proofErr w:type="spellEnd"/>
            <w:r w:rsidRPr="000F5824">
              <w:rPr>
                <w:rFonts w:ascii="Times New Roman" w:eastAsia="Times New Roman" w:hAnsi="Times New Roman" w:cs="Times New Roman"/>
                <w:color w:val="000000"/>
                <w:sz w:val="20"/>
                <w:szCs w:val="20"/>
                <w:lang w:eastAsia="sk-SK"/>
              </w:rPr>
              <w:t xml:space="preserve"> (znižuje náklady) / Nemení sa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99458"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r w:rsidRPr="000F5824">
              <w:rPr>
                <w:rFonts w:ascii="Times New Roman" w:eastAsia="Times New Roman" w:hAnsi="Times New Roman" w:cs="Times New Roman"/>
                <w:b/>
                <w:bCs/>
                <w:color w:val="000000"/>
                <w:sz w:val="20"/>
                <w:szCs w:val="20"/>
                <w:lang w:eastAsia="sk-SK"/>
              </w:rPr>
              <w:t xml:space="preserve">1in2out </w:t>
            </w:r>
            <w:r w:rsidRPr="000F5824">
              <w:rPr>
                <w:rFonts w:ascii="Times New Roman" w:eastAsia="Times New Roman" w:hAnsi="Times New Roman" w:cs="Times New Roman"/>
                <w:b/>
                <w:bCs/>
                <w:color w:val="000000"/>
                <w:sz w:val="20"/>
                <w:szCs w:val="20"/>
                <w:lang w:eastAsia="sk-SK"/>
              </w:rPr>
              <w:br/>
              <w:t>celkom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5CAC2B" w14:textId="77777777" w:rsidR="000F5824" w:rsidRPr="000F5824" w:rsidRDefault="000F5824" w:rsidP="000F5824">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0F5824">
              <w:rPr>
                <w:rFonts w:ascii="Times New Roman" w:eastAsia="Times New Roman" w:hAnsi="Times New Roman" w:cs="Times New Roman"/>
                <w:b/>
                <w:bCs/>
                <w:color w:val="000000"/>
                <w:sz w:val="20"/>
                <w:szCs w:val="20"/>
                <w:lang w:eastAsia="sk-SK"/>
              </w:rPr>
              <w:t>Goldplating</w:t>
            </w:r>
            <w:proofErr w:type="spellEnd"/>
            <w:r w:rsidRPr="000F5824">
              <w:rPr>
                <w:rFonts w:ascii="Times New Roman" w:eastAsia="Times New Roman" w:hAnsi="Times New Roman" w:cs="Times New Roman"/>
                <w:b/>
                <w:bCs/>
                <w:color w:val="000000"/>
                <w:sz w:val="20"/>
                <w:szCs w:val="20"/>
                <w:lang w:eastAsia="sk-SK"/>
              </w:rPr>
              <w:t xml:space="preserve"> celkom</w:t>
            </w:r>
          </w:p>
        </w:tc>
      </w:tr>
      <w:tr w:rsidR="000F5824" w:rsidRPr="000F5824" w14:paraId="66EFFAE1" w14:textId="77777777" w:rsidTr="000F582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5557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D69EB"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D5103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DC28DB"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844B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0A400"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0828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BFF28"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888F7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41A86"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A682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AD2CC"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5B725"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r>
      <w:tr w:rsidR="000F5824" w:rsidRPr="000F5824" w14:paraId="6B60B7BA" w14:textId="77777777" w:rsidTr="000F582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86DEB"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DA497"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4014FE"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72097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23F72"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8E61C"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0970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E3BF0"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E249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F0D8C"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7996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44986"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57C5C"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r>
      <w:tr w:rsidR="000F5824" w:rsidRPr="000F5824" w14:paraId="1A587324" w14:textId="77777777" w:rsidTr="000F582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54065"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45D33"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E846C5"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FB3DA"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3AC8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F8ED1"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6A97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0F7C7"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E5F32"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6A2BB"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DC828"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9499C5"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C027E"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r>
      <w:tr w:rsidR="000F5824" w:rsidRPr="000F5824" w14:paraId="4AEBF4C7" w14:textId="77777777" w:rsidTr="000F582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5FDF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D27C0"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5AD8F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42BBC6"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A6350"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B95F"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44C07"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56C33"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4E18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DD656"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45B4F"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FDD22"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34FDF"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r>
      <w:tr w:rsidR="000F5824" w:rsidRPr="000F5824" w14:paraId="34E09462" w14:textId="77777777" w:rsidTr="000F5824">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A5D2B"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52385"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E08A8C"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2FDF8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FCAA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E9633"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51672"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AC6E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CEA80"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D09E4"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13E0D"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66AD7"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D8629" w14:textId="77777777" w:rsidR="000F5824" w:rsidRPr="000F5824" w:rsidRDefault="000F5824" w:rsidP="000F5824">
            <w:pPr>
              <w:spacing w:after="0" w:line="240" w:lineRule="auto"/>
              <w:rPr>
                <w:rFonts w:ascii="Times New Roman" w:eastAsia="Times New Roman" w:hAnsi="Times New Roman" w:cs="Times New Roman"/>
                <w:b/>
                <w:bCs/>
                <w:color w:val="000000"/>
                <w:sz w:val="20"/>
                <w:szCs w:val="20"/>
                <w:lang w:eastAsia="sk-SK"/>
              </w:rPr>
            </w:pPr>
          </w:p>
        </w:tc>
      </w:tr>
      <w:tr w:rsidR="000F5824" w:rsidRPr="000F5824" w14:paraId="341B5064" w14:textId="77777777" w:rsidTr="000F5824">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A9440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w:t>
            </w:r>
          </w:p>
        </w:tc>
        <w:tc>
          <w:tcPr>
            <w:tcW w:w="0" w:type="auto"/>
            <w:tcBorders>
              <w:top w:val="nil"/>
              <w:left w:val="nil"/>
              <w:bottom w:val="single" w:sz="4" w:space="0" w:color="auto"/>
              <w:right w:val="single" w:sz="4" w:space="0" w:color="auto"/>
            </w:tcBorders>
            <w:shd w:val="clear" w:color="auto" w:fill="auto"/>
            <w:vAlign w:val="center"/>
            <w:hideMark/>
          </w:tcPr>
          <w:p w14:paraId="46A28A0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Rozšírenie predzmluvných informácií</w:t>
            </w:r>
          </w:p>
        </w:tc>
        <w:tc>
          <w:tcPr>
            <w:tcW w:w="0" w:type="auto"/>
            <w:tcBorders>
              <w:top w:val="nil"/>
              <w:left w:val="nil"/>
              <w:bottom w:val="single" w:sz="4" w:space="0" w:color="auto"/>
              <w:right w:val="single" w:sz="4" w:space="0" w:color="auto"/>
            </w:tcBorders>
            <w:shd w:val="clear" w:color="auto" w:fill="auto"/>
            <w:vAlign w:val="center"/>
            <w:hideMark/>
          </w:tcPr>
          <w:p w14:paraId="6495A95F"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Čl. I </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5C8F8D4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3 ods. 1</w:t>
            </w:r>
          </w:p>
        </w:tc>
        <w:tc>
          <w:tcPr>
            <w:tcW w:w="0" w:type="auto"/>
            <w:tcBorders>
              <w:top w:val="nil"/>
              <w:left w:val="nil"/>
              <w:bottom w:val="single" w:sz="4" w:space="0" w:color="auto"/>
              <w:right w:val="single" w:sz="4" w:space="0" w:color="auto"/>
            </w:tcBorders>
            <w:shd w:val="clear" w:color="auto" w:fill="auto"/>
            <w:vAlign w:val="center"/>
            <w:hideMark/>
          </w:tcPr>
          <w:p w14:paraId="0A2AFE7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2E70B46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34C5D4D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24824A5E"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000000" w:fill="FFFFFF"/>
            <w:vAlign w:val="center"/>
            <w:hideMark/>
          </w:tcPr>
          <w:p w14:paraId="356BB5F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2 532</w:t>
            </w:r>
          </w:p>
        </w:tc>
        <w:tc>
          <w:tcPr>
            <w:tcW w:w="0" w:type="auto"/>
            <w:tcBorders>
              <w:top w:val="nil"/>
              <w:left w:val="nil"/>
              <w:bottom w:val="single" w:sz="4" w:space="0" w:color="auto"/>
              <w:right w:val="single" w:sz="4" w:space="0" w:color="auto"/>
            </w:tcBorders>
            <w:shd w:val="clear" w:color="auto" w:fill="auto"/>
            <w:vAlign w:val="center"/>
            <w:hideMark/>
          </w:tcPr>
          <w:p w14:paraId="003098F4"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506 391</w:t>
            </w:r>
          </w:p>
        </w:tc>
        <w:tc>
          <w:tcPr>
            <w:tcW w:w="0" w:type="auto"/>
            <w:tcBorders>
              <w:top w:val="nil"/>
              <w:left w:val="nil"/>
              <w:bottom w:val="single" w:sz="4" w:space="0" w:color="auto"/>
              <w:right w:val="single" w:sz="4" w:space="0" w:color="auto"/>
            </w:tcBorders>
            <w:shd w:val="clear" w:color="auto" w:fill="auto"/>
            <w:vAlign w:val="center"/>
            <w:hideMark/>
          </w:tcPr>
          <w:p w14:paraId="6368826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3B5FD1B5"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65FCF3A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334102CE"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7CB3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w:t>
            </w:r>
          </w:p>
        </w:tc>
        <w:tc>
          <w:tcPr>
            <w:tcW w:w="0" w:type="auto"/>
            <w:tcBorders>
              <w:top w:val="nil"/>
              <w:left w:val="nil"/>
              <w:bottom w:val="single" w:sz="4" w:space="0" w:color="auto"/>
              <w:right w:val="single" w:sz="4" w:space="0" w:color="auto"/>
            </w:tcBorders>
            <w:shd w:val="clear" w:color="auto" w:fill="auto"/>
            <w:vAlign w:val="center"/>
            <w:hideMark/>
          </w:tcPr>
          <w:p w14:paraId="556AFFD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Nastavenie formy informácií pre spotrebiteľov so zdravotným postihnutím</w:t>
            </w:r>
          </w:p>
        </w:tc>
        <w:tc>
          <w:tcPr>
            <w:tcW w:w="0" w:type="auto"/>
            <w:tcBorders>
              <w:top w:val="nil"/>
              <w:left w:val="nil"/>
              <w:bottom w:val="single" w:sz="4" w:space="0" w:color="auto"/>
              <w:right w:val="single" w:sz="4" w:space="0" w:color="auto"/>
            </w:tcBorders>
            <w:shd w:val="clear" w:color="auto" w:fill="auto"/>
            <w:vAlign w:val="center"/>
            <w:hideMark/>
          </w:tcPr>
          <w:p w14:paraId="04E61B0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0AA6897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3 ods. 2</w:t>
            </w:r>
          </w:p>
        </w:tc>
        <w:tc>
          <w:tcPr>
            <w:tcW w:w="0" w:type="auto"/>
            <w:tcBorders>
              <w:top w:val="nil"/>
              <w:left w:val="nil"/>
              <w:bottom w:val="single" w:sz="4" w:space="0" w:color="auto"/>
              <w:right w:val="single" w:sz="4" w:space="0" w:color="auto"/>
            </w:tcBorders>
            <w:shd w:val="clear" w:color="auto" w:fill="auto"/>
            <w:vAlign w:val="center"/>
            <w:hideMark/>
          </w:tcPr>
          <w:p w14:paraId="31F3A7F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6B7F887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16A43AD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357227B1"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7769861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1 309</w:t>
            </w:r>
          </w:p>
        </w:tc>
        <w:tc>
          <w:tcPr>
            <w:tcW w:w="0" w:type="auto"/>
            <w:tcBorders>
              <w:top w:val="nil"/>
              <w:left w:val="nil"/>
              <w:bottom w:val="single" w:sz="4" w:space="0" w:color="auto"/>
              <w:right w:val="single" w:sz="4" w:space="0" w:color="auto"/>
            </w:tcBorders>
            <w:shd w:val="clear" w:color="auto" w:fill="auto"/>
            <w:vAlign w:val="center"/>
            <w:hideMark/>
          </w:tcPr>
          <w:p w14:paraId="264B1E6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261 868</w:t>
            </w:r>
          </w:p>
        </w:tc>
        <w:tc>
          <w:tcPr>
            <w:tcW w:w="0" w:type="auto"/>
            <w:tcBorders>
              <w:top w:val="nil"/>
              <w:left w:val="nil"/>
              <w:bottom w:val="single" w:sz="4" w:space="0" w:color="auto"/>
              <w:right w:val="single" w:sz="4" w:space="0" w:color="auto"/>
            </w:tcBorders>
            <w:shd w:val="clear" w:color="auto" w:fill="auto"/>
            <w:vAlign w:val="center"/>
            <w:hideMark/>
          </w:tcPr>
          <w:p w14:paraId="2ADAA98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21A6F597"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1D286F4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019C76E0"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156BC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3</w:t>
            </w:r>
          </w:p>
        </w:tc>
        <w:tc>
          <w:tcPr>
            <w:tcW w:w="0" w:type="auto"/>
            <w:tcBorders>
              <w:top w:val="nil"/>
              <w:left w:val="nil"/>
              <w:bottom w:val="single" w:sz="4" w:space="0" w:color="auto"/>
              <w:right w:val="single" w:sz="4" w:space="0" w:color="auto"/>
            </w:tcBorders>
            <w:shd w:val="clear" w:color="auto" w:fill="auto"/>
            <w:vAlign w:val="center"/>
            <w:hideMark/>
          </w:tcPr>
          <w:p w14:paraId="30D4B46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Pripomenutie možnosti o odstúpení</w:t>
            </w:r>
          </w:p>
        </w:tc>
        <w:tc>
          <w:tcPr>
            <w:tcW w:w="0" w:type="auto"/>
            <w:tcBorders>
              <w:top w:val="nil"/>
              <w:left w:val="nil"/>
              <w:bottom w:val="single" w:sz="4" w:space="0" w:color="auto"/>
              <w:right w:val="single" w:sz="4" w:space="0" w:color="auto"/>
            </w:tcBorders>
            <w:shd w:val="clear" w:color="auto" w:fill="auto"/>
            <w:vAlign w:val="center"/>
            <w:hideMark/>
          </w:tcPr>
          <w:p w14:paraId="6B1A41C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6959CE5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3 ods. 5</w:t>
            </w:r>
          </w:p>
        </w:tc>
        <w:tc>
          <w:tcPr>
            <w:tcW w:w="0" w:type="auto"/>
            <w:tcBorders>
              <w:top w:val="nil"/>
              <w:left w:val="nil"/>
              <w:bottom w:val="single" w:sz="4" w:space="0" w:color="auto"/>
              <w:right w:val="single" w:sz="4" w:space="0" w:color="auto"/>
            </w:tcBorders>
            <w:shd w:val="clear" w:color="auto" w:fill="auto"/>
            <w:vAlign w:val="center"/>
            <w:hideMark/>
          </w:tcPr>
          <w:p w14:paraId="354D22F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6B441FC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2F83BCE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6BF3D3BF"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040F25B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1 309</w:t>
            </w:r>
          </w:p>
        </w:tc>
        <w:tc>
          <w:tcPr>
            <w:tcW w:w="0" w:type="auto"/>
            <w:tcBorders>
              <w:top w:val="nil"/>
              <w:left w:val="nil"/>
              <w:bottom w:val="single" w:sz="4" w:space="0" w:color="auto"/>
              <w:right w:val="single" w:sz="4" w:space="0" w:color="auto"/>
            </w:tcBorders>
            <w:shd w:val="clear" w:color="auto" w:fill="auto"/>
            <w:vAlign w:val="center"/>
            <w:hideMark/>
          </w:tcPr>
          <w:p w14:paraId="5425F94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261 868</w:t>
            </w:r>
          </w:p>
        </w:tc>
        <w:tc>
          <w:tcPr>
            <w:tcW w:w="0" w:type="auto"/>
            <w:tcBorders>
              <w:top w:val="nil"/>
              <w:left w:val="nil"/>
              <w:bottom w:val="single" w:sz="4" w:space="0" w:color="auto"/>
              <w:right w:val="single" w:sz="4" w:space="0" w:color="auto"/>
            </w:tcBorders>
            <w:shd w:val="clear" w:color="auto" w:fill="auto"/>
            <w:vAlign w:val="center"/>
            <w:hideMark/>
          </w:tcPr>
          <w:p w14:paraId="4FD9DE6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74370B88"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7EC25DF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27FE1C20"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9194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4</w:t>
            </w:r>
          </w:p>
        </w:tc>
        <w:tc>
          <w:tcPr>
            <w:tcW w:w="0" w:type="auto"/>
            <w:tcBorders>
              <w:top w:val="nil"/>
              <w:left w:val="nil"/>
              <w:bottom w:val="single" w:sz="4" w:space="0" w:color="auto"/>
              <w:right w:val="single" w:sz="4" w:space="0" w:color="auto"/>
            </w:tcBorders>
            <w:shd w:val="clear" w:color="auto" w:fill="auto"/>
            <w:vAlign w:val="center"/>
            <w:hideMark/>
          </w:tcPr>
          <w:p w14:paraId="289AE76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Zmena zobrazenia informácií elektronicky</w:t>
            </w:r>
          </w:p>
        </w:tc>
        <w:tc>
          <w:tcPr>
            <w:tcW w:w="0" w:type="auto"/>
            <w:tcBorders>
              <w:top w:val="nil"/>
              <w:left w:val="nil"/>
              <w:bottom w:val="single" w:sz="4" w:space="0" w:color="auto"/>
              <w:right w:val="single" w:sz="4" w:space="0" w:color="auto"/>
            </w:tcBorders>
            <w:shd w:val="clear" w:color="auto" w:fill="auto"/>
            <w:vAlign w:val="center"/>
            <w:hideMark/>
          </w:tcPr>
          <w:p w14:paraId="59ACF57F"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5B52EC1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3 ods. 8</w:t>
            </w:r>
          </w:p>
        </w:tc>
        <w:tc>
          <w:tcPr>
            <w:tcW w:w="0" w:type="auto"/>
            <w:tcBorders>
              <w:top w:val="nil"/>
              <w:left w:val="nil"/>
              <w:bottom w:val="single" w:sz="4" w:space="0" w:color="auto"/>
              <w:right w:val="single" w:sz="4" w:space="0" w:color="auto"/>
            </w:tcBorders>
            <w:shd w:val="clear" w:color="auto" w:fill="auto"/>
            <w:vAlign w:val="center"/>
            <w:hideMark/>
          </w:tcPr>
          <w:p w14:paraId="173912B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038FCBD4"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3E8B333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7D38D5D0"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086F910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2 550</w:t>
            </w:r>
          </w:p>
        </w:tc>
        <w:tc>
          <w:tcPr>
            <w:tcW w:w="0" w:type="auto"/>
            <w:tcBorders>
              <w:top w:val="nil"/>
              <w:left w:val="nil"/>
              <w:bottom w:val="single" w:sz="4" w:space="0" w:color="auto"/>
              <w:right w:val="single" w:sz="4" w:space="0" w:color="auto"/>
            </w:tcBorders>
            <w:shd w:val="clear" w:color="auto" w:fill="auto"/>
            <w:vAlign w:val="center"/>
            <w:hideMark/>
          </w:tcPr>
          <w:p w14:paraId="3B1BE58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510 043</w:t>
            </w:r>
          </w:p>
        </w:tc>
        <w:tc>
          <w:tcPr>
            <w:tcW w:w="0" w:type="auto"/>
            <w:tcBorders>
              <w:top w:val="nil"/>
              <w:left w:val="nil"/>
              <w:bottom w:val="single" w:sz="4" w:space="0" w:color="auto"/>
              <w:right w:val="single" w:sz="4" w:space="0" w:color="auto"/>
            </w:tcBorders>
            <w:shd w:val="clear" w:color="auto" w:fill="auto"/>
            <w:vAlign w:val="center"/>
            <w:hideMark/>
          </w:tcPr>
          <w:p w14:paraId="38405A8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17DDF6FD"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39590ABF"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3CC9893D"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9D03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7404B61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Nastavenie systému poskytovania primeraných vysvetlení</w:t>
            </w:r>
          </w:p>
        </w:tc>
        <w:tc>
          <w:tcPr>
            <w:tcW w:w="0" w:type="auto"/>
            <w:tcBorders>
              <w:top w:val="nil"/>
              <w:left w:val="nil"/>
              <w:bottom w:val="single" w:sz="4" w:space="0" w:color="auto"/>
              <w:right w:val="single" w:sz="4" w:space="0" w:color="auto"/>
            </w:tcBorders>
            <w:shd w:val="clear" w:color="auto" w:fill="auto"/>
            <w:vAlign w:val="center"/>
            <w:hideMark/>
          </w:tcPr>
          <w:p w14:paraId="73CAD62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4786F77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4 ods. 1</w:t>
            </w:r>
          </w:p>
        </w:tc>
        <w:tc>
          <w:tcPr>
            <w:tcW w:w="0" w:type="auto"/>
            <w:tcBorders>
              <w:top w:val="nil"/>
              <w:left w:val="nil"/>
              <w:bottom w:val="single" w:sz="4" w:space="0" w:color="auto"/>
              <w:right w:val="single" w:sz="4" w:space="0" w:color="auto"/>
            </w:tcBorders>
            <w:shd w:val="clear" w:color="auto" w:fill="auto"/>
            <w:vAlign w:val="center"/>
            <w:hideMark/>
          </w:tcPr>
          <w:p w14:paraId="1FD0E4A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2BE0B2A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6631D42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20A3E9AE"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4B487D1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5 237</w:t>
            </w:r>
          </w:p>
        </w:tc>
        <w:tc>
          <w:tcPr>
            <w:tcW w:w="0" w:type="auto"/>
            <w:tcBorders>
              <w:top w:val="nil"/>
              <w:left w:val="nil"/>
              <w:bottom w:val="single" w:sz="4" w:space="0" w:color="auto"/>
              <w:right w:val="single" w:sz="4" w:space="0" w:color="auto"/>
            </w:tcBorders>
            <w:shd w:val="clear" w:color="auto" w:fill="auto"/>
            <w:vAlign w:val="center"/>
            <w:hideMark/>
          </w:tcPr>
          <w:p w14:paraId="36F2F29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1 047 474</w:t>
            </w:r>
          </w:p>
        </w:tc>
        <w:tc>
          <w:tcPr>
            <w:tcW w:w="0" w:type="auto"/>
            <w:tcBorders>
              <w:top w:val="nil"/>
              <w:left w:val="nil"/>
              <w:bottom w:val="single" w:sz="4" w:space="0" w:color="auto"/>
              <w:right w:val="single" w:sz="4" w:space="0" w:color="auto"/>
            </w:tcBorders>
            <w:shd w:val="clear" w:color="auto" w:fill="auto"/>
            <w:vAlign w:val="center"/>
            <w:hideMark/>
          </w:tcPr>
          <w:p w14:paraId="215200B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61F18514"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098B36FF"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22BFE203"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A2B04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6</w:t>
            </w:r>
          </w:p>
        </w:tc>
        <w:tc>
          <w:tcPr>
            <w:tcW w:w="0" w:type="auto"/>
            <w:tcBorders>
              <w:top w:val="nil"/>
              <w:left w:val="nil"/>
              <w:bottom w:val="single" w:sz="4" w:space="0" w:color="auto"/>
              <w:right w:val="single" w:sz="4" w:space="0" w:color="auto"/>
            </w:tcBorders>
            <w:shd w:val="clear" w:color="auto" w:fill="auto"/>
            <w:vAlign w:val="center"/>
            <w:hideMark/>
          </w:tcPr>
          <w:p w14:paraId="6E51090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Poskytnutie vysvetlení nie formou online rozhrania</w:t>
            </w:r>
          </w:p>
        </w:tc>
        <w:tc>
          <w:tcPr>
            <w:tcW w:w="0" w:type="auto"/>
            <w:tcBorders>
              <w:top w:val="nil"/>
              <w:left w:val="nil"/>
              <w:bottom w:val="single" w:sz="4" w:space="0" w:color="auto"/>
              <w:right w:val="single" w:sz="4" w:space="0" w:color="auto"/>
            </w:tcBorders>
            <w:shd w:val="clear" w:color="auto" w:fill="auto"/>
            <w:vAlign w:val="center"/>
            <w:hideMark/>
          </w:tcPr>
          <w:p w14:paraId="35D33F3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042CB7F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4 ods. 3</w:t>
            </w:r>
          </w:p>
        </w:tc>
        <w:tc>
          <w:tcPr>
            <w:tcW w:w="0" w:type="auto"/>
            <w:tcBorders>
              <w:top w:val="nil"/>
              <w:left w:val="nil"/>
              <w:bottom w:val="single" w:sz="4" w:space="0" w:color="auto"/>
              <w:right w:val="single" w:sz="4" w:space="0" w:color="auto"/>
            </w:tcBorders>
            <w:shd w:val="clear" w:color="auto" w:fill="auto"/>
            <w:vAlign w:val="center"/>
            <w:hideMark/>
          </w:tcPr>
          <w:p w14:paraId="429B0F5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51A78F4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2430BCD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7CC924FF"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4B9D40E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122 410</w:t>
            </w:r>
          </w:p>
        </w:tc>
        <w:tc>
          <w:tcPr>
            <w:tcW w:w="0" w:type="auto"/>
            <w:tcBorders>
              <w:top w:val="nil"/>
              <w:left w:val="nil"/>
              <w:bottom w:val="single" w:sz="4" w:space="0" w:color="auto"/>
              <w:right w:val="single" w:sz="4" w:space="0" w:color="auto"/>
            </w:tcBorders>
            <w:shd w:val="clear" w:color="auto" w:fill="auto"/>
            <w:vAlign w:val="center"/>
            <w:hideMark/>
          </w:tcPr>
          <w:p w14:paraId="6ACE9D2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24 482 043</w:t>
            </w:r>
          </w:p>
        </w:tc>
        <w:tc>
          <w:tcPr>
            <w:tcW w:w="0" w:type="auto"/>
            <w:tcBorders>
              <w:top w:val="nil"/>
              <w:left w:val="nil"/>
              <w:bottom w:val="single" w:sz="4" w:space="0" w:color="auto"/>
              <w:right w:val="single" w:sz="4" w:space="0" w:color="auto"/>
            </w:tcBorders>
            <w:shd w:val="clear" w:color="auto" w:fill="auto"/>
            <w:vAlign w:val="center"/>
            <w:hideMark/>
          </w:tcPr>
          <w:p w14:paraId="136EC6F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1BD3D2C4"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2849654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7A803478"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E58E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7</w:t>
            </w:r>
          </w:p>
        </w:tc>
        <w:tc>
          <w:tcPr>
            <w:tcW w:w="0" w:type="auto"/>
            <w:tcBorders>
              <w:top w:val="nil"/>
              <w:left w:val="nil"/>
              <w:bottom w:val="single" w:sz="4" w:space="0" w:color="auto"/>
              <w:right w:val="single" w:sz="4" w:space="0" w:color="auto"/>
            </w:tcBorders>
            <w:shd w:val="clear" w:color="auto" w:fill="auto"/>
            <w:vAlign w:val="center"/>
            <w:hideMark/>
          </w:tcPr>
          <w:p w14:paraId="76B6025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Nastavenie online rozhrania v súlade so zákonnými požiadavkami</w:t>
            </w:r>
          </w:p>
        </w:tc>
        <w:tc>
          <w:tcPr>
            <w:tcW w:w="0" w:type="auto"/>
            <w:tcBorders>
              <w:top w:val="nil"/>
              <w:left w:val="nil"/>
              <w:bottom w:val="single" w:sz="4" w:space="0" w:color="auto"/>
              <w:right w:val="single" w:sz="4" w:space="0" w:color="auto"/>
            </w:tcBorders>
            <w:shd w:val="clear" w:color="auto" w:fill="auto"/>
            <w:vAlign w:val="center"/>
            <w:hideMark/>
          </w:tcPr>
          <w:p w14:paraId="3F83BA3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3B8A987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9</w:t>
            </w:r>
          </w:p>
        </w:tc>
        <w:tc>
          <w:tcPr>
            <w:tcW w:w="0" w:type="auto"/>
            <w:tcBorders>
              <w:top w:val="nil"/>
              <w:left w:val="nil"/>
              <w:bottom w:val="single" w:sz="4" w:space="0" w:color="auto"/>
              <w:right w:val="single" w:sz="4" w:space="0" w:color="auto"/>
            </w:tcBorders>
            <w:shd w:val="clear" w:color="auto" w:fill="auto"/>
            <w:vAlign w:val="center"/>
            <w:hideMark/>
          </w:tcPr>
          <w:p w14:paraId="4F0886B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1525FB9F"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6D32B90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4DF06F0C"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1BE0F9C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200047,1696</w:t>
            </w:r>
          </w:p>
        </w:tc>
        <w:tc>
          <w:tcPr>
            <w:tcW w:w="0" w:type="auto"/>
            <w:tcBorders>
              <w:top w:val="nil"/>
              <w:left w:val="nil"/>
              <w:bottom w:val="single" w:sz="4" w:space="0" w:color="auto"/>
              <w:right w:val="single" w:sz="4" w:space="0" w:color="auto"/>
            </w:tcBorders>
            <w:shd w:val="clear" w:color="auto" w:fill="auto"/>
            <w:vAlign w:val="center"/>
            <w:hideMark/>
          </w:tcPr>
          <w:p w14:paraId="20DBEA2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40009433,93</w:t>
            </w:r>
          </w:p>
        </w:tc>
        <w:tc>
          <w:tcPr>
            <w:tcW w:w="0" w:type="auto"/>
            <w:tcBorders>
              <w:top w:val="nil"/>
              <w:left w:val="nil"/>
              <w:bottom w:val="single" w:sz="4" w:space="0" w:color="auto"/>
              <w:right w:val="single" w:sz="4" w:space="0" w:color="auto"/>
            </w:tcBorders>
            <w:shd w:val="clear" w:color="auto" w:fill="auto"/>
            <w:vAlign w:val="center"/>
            <w:hideMark/>
          </w:tcPr>
          <w:p w14:paraId="2FB32C0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07AD733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242A014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4E93FD4A" w14:textId="77777777" w:rsidTr="000F582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9CF7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8</w:t>
            </w:r>
          </w:p>
        </w:tc>
        <w:tc>
          <w:tcPr>
            <w:tcW w:w="0" w:type="auto"/>
            <w:tcBorders>
              <w:top w:val="nil"/>
              <w:left w:val="nil"/>
              <w:bottom w:val="single" w:sz="4" w:space="0" w:color="auto"/>
              <w:right w:val="single" w:sz="4" w:space="0" w:color="auto"/>
            </w:tcBorders>
            <w:shd w:val="clear" w:color="auto" w:fill="auto"/>
            <w:vAlign w:val="center"/>
            <w:hideMark/>
          </w:tcPr>
          <w:p w14:paraId="2D48C30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Prevádzkovanie online rozhrania v súlade so zákonnými požiadavkami</w:t>
            </w:r>
          </w:p>
        </w:tc>
        <w:tc>
          <w:tcPr>
            <w:tcW w:w="0" w:type="auto"/>
            <w:tcBorders>
              <w:top w:val="nil"/>
              <w:left w:val="nil"/>
              <w:bottom w:val="single" w:sz="4" w:space="0" w:color="auto"/>
              <w:right w:val="single" w:sz="4" w:space="0" w:color="auto"/>
            </w:tcBorders>
            <w:shd w:val="clear" w:color="auto" w:fill="auto"/>
            <w:vAlign w:val="center"/>
            <w:hideMark/>
          </w:tcPr>
          <w:p w14:paraId="5B6F93C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6284184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9</w:t>
            </w:r>
          </w:p>
        </w:tc>
        <w:tc>
          <w:tcPr>
            <w:tcW w:w="0" w:type="auto"/>
            <w:tcBorders>
              <w:top w:val="nil"/>
              <w:left w:val="nil"/>
              <w:bottom w:val="single" w:sz="4" w:space="0" w:color="auto"/>
              <w:right w:val="single" w:sz="4" w:space="0" w:color="auto"/>
            </w:tcBorders>
            <w:shd w:val="clear" w:color="auto" w:fill="auto"/>
            <w:vAlign w:val="center"/>
            <w:hideMark/>
          </w:tcPr>
          <w:p w14:paraId="00A4020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2EEDD2A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74B6446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0F6B0790"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180DDCF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26 023</w:t>
            </w:r>
          </w:p>
        </w:tc>
        <w:tc>
          <w:tcPr>
            <w:tcW w:w="0" w:type="auto"/>
            <w:tcBorders>
              <w:top w:val="nil"/>
              <w:left w:val="nil"/>
              <w:bottom w:val="single" w:sz="4" w:space="0" w:color="auto"/>
              <w:right w:val="single" w:sz="4" w:space="0" w:color="auto"/>
            </w:tcBorders>
            <w:shd w:val="clear" w:color="auto" w:fill="auto"/>
            <w:vAlign w:val="center"/>
            <w:hideMark/>
          </w:tcPr>
          <w:p w14:paraId="66E34F7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5 204 503</w:t>
            </w:r>
          </w:p>
        </w:tc>
        <w:tc>
          <w:tcPr>
            <w:tcW w:w="0" w:type="auto"/>
            <w:tcBorders>
              <w:top w:val="nil"/>
              <w:left w:val="nil"/>
              <w:bottom w:val="single" w:sz="4" w:space="0" w:color="auto"/>
              <w:right w:val="single" w:sz="4" w:space="0" w:color="auto"/>
            </w:tcBorders>
            <w:shd w:val="clear" w:color="auto" w:fill="auto"/>
            <w:vAlign w:val="center"/>
            <w:hideMark/>
          </w:tcPr>
          <w:p w14:paraId="396C709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1028C520"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071F15C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5FDFCC4B" w14:textId="77777777" w:rsidTr="000F582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68D2F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9</w:t>
            </w:r>
          </w:p>
        </w:tc>
        <w:tc>
          <w:tcPr>
            <w:tcW w:w="0" w:type="auto"/>
            <w:tcBorders>
              <w:top w:val="nil"/>
              <w:left w:val="nil"/>
              <w:bottom w:val="single" w:sz="4" w:space="0" w:color="auto"/>
              <w:right w:val="single" w:sz="4" w:space="0" w:color="auto"/>
            </w:tcBorders>
            <w:shd w:val="clear" w:color="auto" w:fill="auto"/>
            <w:vAlign w:val="center"/>
            <w:hideMark/>
          </w:tcPr>
          <w:p w14:paraId="3672AB8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Zavedenie funkcie na odstúpenie od zmluvy pre banky</w:t>
            </w:r>
          </w:p>
        </w:tc>
        <w:tc>
          <w:tcPr>
            <w:tcW w:w="0" w:type="auto"/>
            <w:tcBorders>
              <w:top w:val="nil"/>
              <w:left w:val="nil"/>
              <w:bottom w:val="single" w:sz="4" w:space="0" w:color="auto"/>
              <w:right w:val="single" w:sz="4" w:space="0" w:color="auto"/>
            </w:tcBorders>
            <w:shd w:val="clear" w:color="auto" w:fill="auto"/>
            <w:vAlign w:val="center"/>
            <w:hideMark/>
          </w:tcPr>
          <w:p w14:paraId="682AD9F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proofErr w:type="spellStart"/>
            <w:r w:rsidRPr="000F5824">
              <w:rPr>
                <w:rFonts w:ascii="Times New Roman" w:eastAsia="Times New Roman" w:hAnsi="Times New Roman" w:cs="Times New Roman"/>
                <w:color w:val="000000"/>
                <w:sz w:val="20"/>
                <w:szCs w:val="20"/>
                <w:lang w:eastAsia="sk-SK"/>
              </w:rPr>
              <w:t>Čl</w:t>
            </w:r>
            <w:proofErr w:type="spellEnd"/>
            <w:r w:rsidRPr="000F5824">
              <w:rPr>
                <w:rFonts w:ascii="Times New Roman" w:eastAsia="Times New Roman" w:hAnsi="Times New Roman" w:cs="Times New Roman"/>
                <w:color w:val="000000"/>
                <w:sz w:val="20"/>
                <w:szCs w:val="20"/>
                <w:lang w:eastAsia="sk-SK"/>
              </w:rPr>
              <w:t xml:space="preserve"> II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4EF8D1F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20a</w:t>
            </w:r>
          </w:p>
        </w:tc>
        <w:tc>
          <w:tcPr>
            <w:tcW w:w="0" w:type="auto"/>
            <w:tcBorders>
              <w:top w:val="nil"/>
              <w:left w:val="nil"/>
              <w:bottom w:val="single" w:sz="4" w:space="0" w:color="auto"/>
              <w:right w:val="single" w:sz="4" w:space="0" w:color="auto"/>
            </w:tcBorders>
            <w:shd w:val="clear" w:color="auto" w:fill="auto"/>
            <w:vAlign w:val="center"/>
            <w:hideMark/>
          </w:tcPr>
          <w:p w14:paraId="3A9BC68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051BDBB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18C80D6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banky</w:t>
            </w:r>
          </w:p>
        </w:tc>
        <w:tc>
          <w:tcPr>
            <w:tcW w:w="0" w:type="auto"/>
            <w:tcBorders>
              <w:top w:val="nil"/>
              <w:left w:val="nil"/>
              <w:bottom w:val="single" w:sz="4" w:space="0" w:color="auto"/>
              <w:right w:val="single" w:sz="4" w:space="0" w:color="auto"/>
            </w:tcBorders>
            <w:shd w:val="clear" w:color="auto" w:fill="auto"/>
            <w:vAlign w:val="center"/>
            <w:hideMark/>
          </w:tcPr>
          <w:p w14:paraId="4DB75580"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23 </w:t>
            </w:r>
          </w:p>
        </w:tc>
        <w:tc>
          <w:tcPr>
            <w:tcW w:w="0" w:type="auto"/>
            <w:tcBorders>
              <w:top w:val="nil"/>
              <w:left w:val="nil"/>
              <w:bottom w:val="single" w:sz="4" w:space="0" w:color="auto"/>
              <w:right w:val="single" w:sz="4" w:space="0" w:color="auto"/>
            </w:tcBorders>
            <w:shd w:val="clear" w:color="auto" w:fill="auto"/>
            <w:vAlign w:val="center"/>
            <w:hideMark/>
          </w:tcPr>
          <w:p w14:paraId="0D57FFF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127 264</w:t>
            </w:r>
          </w:p>
        </w:tc>
        <w:tc>
          <w:tcPr>
            <w:tcW w:w="0" w:type="auto"/>
            <w:tcBorders>
              <w:top w:val="nil"/>
              <w:left w:val="nil"/>
              <w:bottom w:val="single" w:sz="4" w:space="0" w:color="auto"/>
              <w:right w:val="single" w:sz="4" w:space="0" w:color="auto"/>
            </w:tcBorders>
            <w:shd w:val="clear" w:color="auto" w:fill="auto"/>
            <w:vAlign w:val="center"/>
            <w:hideMark/>
          </w:tcPr>
          <w:p w14:paraId="0403993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2 927 075</w:t>
            </w:r>
          </w:p>
        </w:tc>
        <w:tc>
          <w:tcPr>
            <w:tcW w:w="0" w:type="auto"/>
            <w:tcBorders>
              <w:top w:val="nil"/>
              <w:left w:val="nil"/>
              <w:bottom w:val="single" w:sz="4" w:space="0" w:color="auto"/>
              <w:right w:val="single" w:sz="4" w:space="0" w:color="auto"/>
            </w:tcBorders>
            <w:shd w:val="clear" w:color="auto" w:fill="auto"/>
            <w:vAlign w:val="center"/>
            <w:hideMark/>
          </w:tcPr>
          <w:p w14:paraId="1919E82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11EC5F8A"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3419E12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074CB44D" w14:textId="77777777" w:rsidTr="000F582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AD3064"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10</w:t>
            </w:r>
          </w:p>
        </w:tc>
        <w:tc>
          <w:tcPr>
            <w:tcW w:w="0" w:type="auto"/>
            <w:tcBorders>
              <w:top w:val="nil"/>
              <w:left w:val="nil"/>
              <w:bottom w:val="single" w:sz="4" w:space="0" w:color="auto"/>
              <w:right w:val="single" w:sz="4" w:space="0" w:color="auto"/>
            </w:tcBorders>
            <w:shd w:val="clear" w:color="auto" w:fill="auto"/>
            <w:vAlign w:val="center"/>
            <w:hideMark/>
          </w:tcPr>
          <w:p w14:paraId="3A26295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Zavedenie funkcie na odstúpenie od zmluvy pre obchodníkov</w:t>
            </w:r>
          </w:p>
        </w:tc>
        <w:tc>
          <w:tcPr>
            <w:tcW w:w="0" w:type="auto"/>
            <w:tcBorders>
              <w:top w:val="nil"/>
              <w:left w:val="nil"/>
              <w:bottom w:val="single" w:sz="4" w:space="0" w:color="auto"/>
              <w:right w:val="single" w:sz="4" w:space="0" w:color="auto"/>
            </w:tcBorders>
            <w:shd w:val="clear" w:color="auto" w:fill="auto"/>
            <w:vAlign w:val="center"/>
            <w:hideMark/>
          </w:tcPr>
          <w:p w14:paraId="650C031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proofErr w:type="spellStart"/>
            <w:r w:rsidRPr="000F5824">
              <w:rPr>
                <w:rFonts w:ascii="Times New Roman" w:eastAsia="Times New Roman" w:hAnsi="Times New Roman" w:cs="Times New Roman"/>
                <w:color w:val="000000"/>
                <w:sz w:val="20"/>
                <w:szCs w:val="20"/>
                <w:lang w:eastAsia="sk-SK"/>
              </w:rPr>
              <w:t>Čl</w:t>
            </w:r>
            <w:proofErr w:type="spellEnd"/>
            <w:r w:rsidRPr="000F5824">
              <w:rPr>
                <w:rFonts w:ascii="Times New Roman" w:eastAsia="Times New Roman" w:hAnsi="Times New Roman" w:cs="Times New Roman"/>
                <w:color w:val="000000"/>
                <w:sz w:val="20"/>
                <w:szCs w:val="20"/>
                <w:lang w:eastAsia="sk-SK"/>
              </w:rPr>
              <w:t xml:space="preserve"> II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18DF23B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20a</w:t>
            </w:r>
          </w:p>
        </w:tc>
        <w:tc>
          <w:tcPr>
            <w:tcW w:w="0" w:type="auto"/>
            <w:tcBorders>
              <w:top w:val="nil"/>
              <w:left w:val="nil"/>
              <w:bottom w:val="single" w:sz="4" w:space="0" w:color="auto"/>
              <w:right w:val="single" w:sz="4" w:space="0" w:color="auto"/>
            </w:tcBorders>
            <w:shd w:val="clear" w:color="auto" w:fill="auto"/>
            <w:vAlign w:val="center"/>
            <w:hideMark/>
          </w:tcPr>
          <w:p w14:paraId="436A946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6ACAFFB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08C1DFD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w:t>
            </w:r>
          </w:p>
        </w:tc>
        <w:tc>
          <w:tcPr>
            <w:tcW w:w="0" w:type="auto"/>
            <w:tcBorders>
              <w:top w:val="nil"/>
              <w:left w:val="nil"/>
              <w:bottom w:val="single" w:sz="4" w:space="0" w:color="auto"/>
              <w:right w:val="single" w:sz="4" w:space="0" w:color="auto"/>
            </w:tcBorders>
            <w:shd w:val="clear" w:color="auto" w:fill="auto"/>
            <w:vAlign w:val="center"/>
            <w:hideMark/>
          </w:tcPr>
          <w:p w14:paraId="10B4D70F"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10 877 </w:t>
            </w:r>
          </w:p>
        </w:tc>
        <w:tc>
          <w:tcPr>
            <w:tcW w:w="0" w:type="auto"/>
            <w:tcBorders>
              <w:top w:val="nil"/>
              <w:left w:val="nil"/>
              <w:bottom w:val="single" w:sz="4" w:space="0" w:color="auto"/>
              <w:right w:val="single" w:sz="4" w:space="0" w:color="auto"/>
            </w:tcBorders>
            <w:shd w:val="clear" w:color="auto" w:fill="auto"/>
            <w:vAlign w:val="center"/>
            <w:hideMark/>
          </w:tcPr>
          <w:p w14:paraId="04AB046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4 764</w:t>
            </w:r>
          </w:p>
        </w:tc>
        <w:tc>
          <w:tcPr>
            <w:tcW w:w="0" w:type="auto"/>
            <w:tcBorders>
              <w:top w:val="nil"/>
              <w:left w:val="nil"/>
              <w:bottom w:val="single" w:sz="4" w:space="0" w:color="auto"/>
              <w:right w:val="single" w:sz="4" w:space="0" w:color="auto"/>
            </w:tcBorders>
            <w:shd w:val="clear" w:color="auto" w:fill="auto"/>
            <w:vAlign w:val="center"/>
            <w:hideMark/>
          </w:tcPr>
          <w:p w14:paraId="2FD4FF3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51 819 585</w:t>
            </w:r>
          </w:p>
        </w:tc>
        <w:tc>
          <w:tcPr>
            <w:tcW w:w="0" w:type="auto"/>
            <w:tcBorders>
              <w:top w:val="nil"/>
              <w:left w:val="nil"/>
              <w:bottom w:val="single" w:sz="4" w:space="0" w:color="auto"/>
              <w:right w:val="single" w:sz="4" w:space="0" w:color="auto"/>
            </w:tcBorders>
            <w:shd w:val="clear" w:color="auto" w:fill="auto"/>
            <w:vAlign w:val="center"/>
            <w:hideMark/>
          </w:tcPr>
          <w:p w14:paraId="194EECD8"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03E0DF7B"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64EA305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59278F2B" w14:textId="77777777" w:rsidTr="000F582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ADA0C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11</w:t>
            </w:r>
          </w:p>
        </w:tc>
        <w:tc>
          <w:tcPr>
            <w:tcW w:w="0" w:type="auto"/>
            <w:tcBorders>
              <w:top w:val="nil"/>
              <w:left w:val="nil"/>
              <w:bottom w:val="single" w:sz="4" w:space="0" w:color="auto"/>
              <w:right w:val="single" w:sz="4" w:space="0" w:color="auto"/>
            </w:tcBorders>
            <w:shd w:val="clear" w:color="auto" w:fill="auto"/>
            <w:vAlign w:val="center"/>
            <w:hideMark/>
          </w:tcPr>
          <w:p w14:paraId="33FDAB9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Zmena v prílohe v pokynoch na vyplnenie</w:t>
            </w:r>
          </w:p>
        </w:tc>
        <w:tc>
          <w:tcPr>
            <w:tcW w:w="0" w:type="auto"/>
            <w:tcBorders>
              <w:top w:val="nil"/>
              <w:left w:val="nil"/>
              <w:bottom w:val="single" w:sz="4" w:space="0" w:color="auto"/>
              <w:right w:val="single" w:sz="4" w:space="0" w:color="auto"/>
            </w:tcBorders>
            <w:shd w:val="clear" w:color="auto" w:fill="auto"/>
            <w:vAlign w:val="center"/>
            <w:hideMark/>
          </w:tcPr>
          <w:p w14:paraId="25AD7E2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proofErr w:type="spellStart"/>
            <w:r w:rsidRPr="000F5824">
              <w:rPr>
                <w:rFonts w:ascii="Times New Roman" w:eastAsia="Times New Roman" w:hAnsi="Times New Roman" w:cs="Times New Roman"/>
                <w:color w:val="000000"/>
                <w:sz w:val="20"/>
                <w:szCs w:val="20"/>
                <w:lang w:eastAsia="sk-SK"/>
              </w:rPr>
              <w:t>Čl</w:t>
            </w:r>
            <w:proofErr w:type="spellEnd"/>
            <w:r w:rsidRPr="000F5824">
              <w:rPr>
                <w:rFonts w:ascii="Times New Roman" w:eastAsia="Times New Roman" w:hAnsi="Times New Roman" w:cs="Times New Roman"/>
                <w:color w:val="000000"/>
                <w:sz w:val="20"/>
                <w:szCs w:val="20"/>
                <w:lang w:eastAsia="sk-SK"/>
              </w:rPr>
              <w:t xml:space="preserve"> II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0BCD6906"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Príloha č. 3</w:t>
            </w:r>
          </w:p>
        </w:tc>
        <w:tc>
          <w:tcPr>
            <w:tcW w:w="0" w:type="auto"/>
            <w:tcBorders>
              <w:top w:val="nil"/>
              <w:left w:val="nil"/>
              <w:bottom w:val="single" w:sz="4" w:space="0" w:color="auto"/>
              <w:right w:val="single" w:sz="4" w:space="0" w:color="auto"/>
            </w:tcBorders>
            <w:shd w:val="clear" w:color="auto" w:fill="auto"/>
            <w:vAlign w:val="center"/>
            <w:hideMark/>
          </w:tcPr>
          <w:p w14:paraId="6242D043"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383C865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04F97B1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w:t>
            </w:r>
          </w:p>
        </w:tc>
        <w:tc>
          <w:tcPr>
            <w:tcW w:w="0" w:type="auto"/>
            <w:tcBorders>
              <w:top w:val="nil"/>
              <w:left w:val="nil"/>
              <w:bottom w:val="single" w:sz="4" w:space="0" w:color="auto"/>
              <w:right w:val="single" w:sz="4" w:space="0" w:color="auto"/>
            </w:tcBorders>
            <w:shd w:val="clear" w:color="auto" w:fill="auto"/>
            <w:vAlign w:val="center"/>
            <w:hideMark/>
          </w:tcPr>
          <w:p w14:paraId="71F3D487"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10 900 </w:t>
            </w:r>
          </w:p>
        </w:tc>
        <w:tc>
          <w:tcPr>
            <w:tcW w:w="0" w:type="auto"/>
            <w:tcBorders>
              <w:top w:val="nil"/>
              <w:left w:val="nil"/>
              <w:bottom w:val="single" w:sz="4" w:space="0" w:color="auto"/>
              <w:right w:val="single" w:sz="4" w:space="0" w:color="auto"/>
            </w:tcBorders>
            <w:shd w:val="clear" w:color="auto" w:fill="auto"/>
            <w:vAlign w:val="center"/>
            <w:hideMark/>
          </w:tcPr>
          <w:p w14:paraId="322D4192"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1 784</w:t>
            </w:r>
          </w:p>
        </w:tc>
        <w:tc>
          <w:tcPr>
            <w:tcW w:w="0" w:type="auto"/>
            <w:tcBorders>
              <w:top w:val="nil"/>
              <w:left w:val="nil"/>
              <w:bottom w:val="single" w:sz="4" w:space="0" w:color="auto"/>
              <w:right w:val="single" w:sz="4" w:space="0" w:color="auto"/>
            </w:tcBorders>
            <w:shd w:val="clear" w:color="auto" w:fill="auto"/>
            <w:vAlign w:val="center"/>
            <w:hideMark/>
          </w:tcPr>
          <w:p w14:paraId="0D3941B4"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19 443 141</w:t>
            </w:r>
          </w:p>
        </w:tc>
        <w:tc>
          <w:tcPr>
            <w:tcW w:w="0" w:type="auto"/>
            <w:tcBorders>
              <w:top w:val="nil"/>
              <w:left w:val="nil"/>
              <w:bottom w:val="single" w:sz="4" w:space="0" w:color="auto"/>
              <w:right w:val="single" w:sz="4" w:space="0" w:color="auto"/>
            </w:tcBorders>
            <w:shd w:val="clear" w:color="auto" w:fill="auto"/>
            <w:vAlign w:val="center"/>
            <w:hideMark/>
          </w:tcPr>
          <w:p w14:paraId="689A4AB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023039E7"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0F29FEFB"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r w:rsidR="000F5824" w:rsidRPr="000F5824" w14:paraId="6E8D897B" w14:textId="77777777" w:rsidTr="000F582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C470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12</w:t>
            </w:r>
          </w:p>
        </w:tc>
        <w:tc>
          <w:tcPr>
            <w:tcW w:w="0" w:type="auto"/>
            <w:tcBorders>
              <w:top w:val="nil"/>
              <w:left w:val="nil"/>
              <w:bottom w:val="single" w:sz="4" w:space="0" w:color="auto"/>
              <w:right w:val="single" w:sz="4" w:space="0" w:color="auto"/>
            </w:tcBorders>
            <w:shd w:val="clear" w:color="auto" w:fill="auto"/>
            <w:vAlign w:val="center"/>
            <w:hideMark/>
          </w:tcPr>
          <w:p w14:paraId="352CB7C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Udelenie súhlasu pri komunikácii cez telefón</w:t>
            </w:r>
          </w:p>
        </w:tc>
        <w:tc>
          <w:tcPr>
            <w:tcW w:w="0" w:type="auto"/>
            <w:tcBorders>
              <w:top w:val="nil"/>
              <w:left w:val="nil"/>
              <w:bottom w:val="single" w:sz="4" w:space="0" w:color="auto"/>
              <w:right w:val="single" w:sz="4" w:space="0" w:color="auto"/>
            </w:tcBorders>
            <w:shd w:val="clear" w:color="auto" w:fill="auto"/>
            <w:vAlign w:val="center"/>
            <w:hideMark/>
          </w:tcPr>
          <w:p w14:paraId="0F93DD1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36945B0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8</w:t>
            </w:r>
          </w:p>
        </w:tc>
        <w:tc>
          <w:tcPr>
            <w:tcW w:w="0" w:type="auto"/>
            <w:tcBorders>
              <w:top w:val="nil"/>
              <w:left w:val="nil"/>
              <w:bottom w:val="single" w:sz="4" w:space="0" w:color="auto"/>
              <w:right w:val="single" w:sz="4" w:space="0" w:color="auto"/>
            </w:tcBorders>
            <w:shd w:val="clear" w:color="auto" w:fill="auto"/>
            <w:vAlign w:val="center"/>
            <w:hideMark/>
          </w:tcPr>
          <w:p w14:paraId="7474AF1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3a) Rozšírenie rozsahu pôsobnosti smernice na subjekty nad rámec minimálnych </w:t>
            </w:r>
            <w:r w:rsidRPr="000F5824">
              <w:rPr>
                <w:rFonts w:ascii="Times New Roman" w:eastAsia="Times New Roman" w:hAnsi="Times New Roman" w:cs="Times New Roman"/>
                <w:color w:val="000000"/>
                <w:sz w:val="20"/>
                <w:szCs w:val="20"/>
                <w:lang w:eastAsia="sk-SK"/>
              </w:rPr>
              <w:lastRenderedPageBreak/>
              <w:t>požiadaviek smernice EÚ</w:t>
            </w:r>
          </w:p>
        </w:tc>
        <w:tc>
          <w:tcPr>
            <w:tcW w:w="0" w:type="auto"/>
            <w:tcBorders>
              <w:top w:val="nil"/>
              <w:left w:val="nil"/>
              <w:bottom w:val="single" w:sz="4" w:space="0" w:color="auto"/>
              <w:right w:val="single" w:sz="4" w:space="0" w:color="auto"/>
            </w:tcBorders>
            <w:shd w:val="clear" w:color="auto" w:fill="auto"/>
            <w:vAlign w:val="center"/>
            <w:hideMark/>
          </w:tcPr>
          <w:p w14:paraId="3B6E3B9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lastRenderedPageBreak/>
              <w:t>19.06.26</w:t>
            </w:r>
          </w:p>
        </w:tc>
        <w:tc>
          <w:tcPr>
            <w:tcW w:w="0" w:type="auto"/>
            <w:tcBorders>
              <w:top w:val="nil"/>
              <w:left w:val="nil"/>
              <w:bottom w:val="single" w:sz="4" w:space="0" w:color="auto"/>
              <w:right w:val="single" w:sz="4" w:space="0" w:color="auto"/>
            </w:tcBorders>
            <w:shd w:val="clear" w:color="auto" w:fill="auto"/>
            <w:vAlign w:val="center"/>
            <w:hideMark/>
          </w:tcPr>
          <w:p w14:paraId="0EF0936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3E52B852"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0675F19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2 556</w:t>
            </w:r>
          </w:p>
        </w:tc>
        <w:tc>
          <w:tcPr>
            <w:tcW w:w="0" w:type="auto"/>
            <w:tcBorders>
              <w:top w:val="nil"/>
              <w:left w:val="nil"/>
              <w:bottom w:val="single" w:sz="4" w:space="0" w:color="auto"/>
              <w:right w:val="single" w:sz="4" w:space="0" w:color="auto"/>
            </w:tcBorders>
            <w:shd w:val="clear" w:color="auto" w:fill="auto"/>
            <w:vAlign w:val="center"/>
            <w:hideMark/>
          </w:tcPr>
          <w:p w14:paraId="75C1F27D"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511 258</w:t>
            </w:r>
          </w:p>
        </w:tc>
        <w:tc>
          <w:tcPr>
            <w:tcW w:w="0" w:type="auto"/>
            <w:tcBorders>
              <w:top w:val="nil"/>
              <w:left w:val="nil"/>
              <w:bottom w:val="single" w:sz="4" w:space="0" w:color="auto"/>
              <w:right w:val="single" w:sz="4" w:space="0" w:color="auto"/>
            </w:tcBorders>
            <w:shd w:val="clear" w:color="auto" w:fill="auto"/>
            <w:vAlign w:val="center"/>
            <w:hideMark/>
          </w:tcPr>
          <w:p w14:paraId="2C808DF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5AD1F2A6"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511 258</w:t>
            </w:r>
          </w:p>
        </w:tc>
        <w:tc>
          <w:tcPr>
            <w:tcW w:w="0" w:type="auto"/>
            <w:tcBorders>
              <w:top w:val="nil"/>
              <w:left w:val="nil"/>
              <w:bottom w:val="single" w:sz="4" w:space="0" w:color="auto"/>
              <w:right w:val="single" w:sz="4" w:space="0" w:color="auto"/>
            </w:tcBorders>
            <w:shd w:val="clear" w:color="auto" w:fill="auto"/>
            <w:vAlign w:val="center"/>
            <w:hideMark/>
          </w:tcPr>
          <w:p w14:paraId="4356A89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511 258</w:t>
            </w:r>
          </w:p>
        </w:tc>
      </w:tr>
      <w:tr w:rsidR="000F5824" w:rsidRPr="000F5824" w14:paraId="1509BCDE" w14:textId="77777777" w:rsidTr="000F5824">
        <w:trPr>
          <w:trHeight w:val="27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E0267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13</w:t>
            </w:r>
          </w:p>
        </w:tc>
        <w:tc>
          <w:tcPr>
            <w:tcW w:w="0" w:type="auto"/>
            <w:tcBorders>
              <w:top w:val="nil"/>
              <w:left w:val="nil"/>
              <w:bottom w:val="single" w:sz="4" w:space="0" w:color="auto"/>
              <w:right w:val="single" w:sz="4" w:space="0" w:color="auto"/>
            </w:tcBorders>
            <w:shd w:val="clear" w:color="auto" w:fill="auto"/>
            <w:vAlign w:val="center"/>
            <w:hideMark/>
          </w:tcPr>
          <w:p w14:paraId="2030D44A"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Povinnosť obchodníka zaslať informácie v listinnej podobe</w:t>
            </w:r>
          </w:p>
        </w:tc>
        <w:tc>
          <w:tcPr>
            <w:tcW w:w="0" w:type="auto"/>
            <w:tcBorders>
              <w:top w:val="nil"/>
              <w:left w:val="nil"/>
              <w:bottom w:val="single" w:sz="4" w:space="0" w:color="auto"/>
              <w:right w:val="single" w:sz="4" w:space="0" w:color="auto"/>
            </w:tcBorders>
            <w:shd w:val="clear" w:color="auto" w:fill="auto"/>
            <w:vAlign w:val="center"/>
            <w:hideMark/>
          </w:tcPr>
          <w:p w14:paraId="0C4CD6AE"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Čl. I</w:t>
            </w:r>
            <w:r w:rsidRPr="000F5824">
              <w:rPr>
                <w:rFonts w:ascii="Times New Roman" w:eastAsia="Times New Roman" w:hAnsi="Times New Roman" w:cs="Times New Roman"/>
                <w:color w:val="000000"/>
                <w:sz w:val="20"/>
                <w:szCs w:val="20"/>
                <w:lang w:eastAsia="sk-SK"/>
              </w:rPr>
              <w:br/>
              <w:t>Návrh zákona</w:t>
            </w:r>
          </w:p>
        </w:tc>
        <w:tc>
          <w:tcPr>
            <w:tcW w:w="0" w:type="auto"/>
            <w:tcBorders>
              <w:top w:val="nil"/>
              <w:left w:val="nil"/>
              <w:bottom w:val="single" w:sz="4" w:space="0" w:color="auto"/>
              <w:right w:val="single" w:sz="4" w:space="0" w:color="auto"/>
            </w:tcBorders>
            <w:shd w:val="clear" w:color="auto" w:fill="auto"/>
            <w:vAlign w:val="center"/>
            <w:hideMark/>
          </w:tcPr>
          <w:p w14:paraId="7AD482B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3 ods. 7</w:t>
            </w:r>
          </w:p>
        </w:tc>
        <w:tc>
          <w:tcPr>
            <w:tcW w:w="0" w:type="auto"/>
            <w:tcBorders>
              <w:top w:val="nil"/>
              <w:left w:val="nil"/>
              <w:bottom w:val="single" w:sz="4" w:space="0" w:color="auto"/>
              <w:right w:val="single" w:sz="4" w:space="0" w:color="auto"/>
            </w:tcBorders>
            <w:shd w:val="clear" w:color="auto" w:fill="auto"/>
            <w:vAlign w:val="center"/>
            <w:hideMark/>
          </w:tcPr>
          <w:p w14:paraId="45A868F9"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EÚ úplná harmonizácia</w:t>
            </w:r>
          </w:p>
        </w:tc>
        <w:tc>
          <w:tcPr>
            <w:tcW w:w="0" w:type="auto"/>
            <w:tcBorders>
              <w:top w:val="nil"/>
              <w:left w:val="nil"/>
              <w:bottom w:val="single" w:sz="4" w:space="0" w:color="auto"/>
              <w:right w:val="single" w:sz="4" w:space="0" w:color="auto"/>
            </w:tcBorders>
            <w:shd w:val="clear" w:color="auto" w:fill="auto"/>
            <w:vAlign w:val="center"/>
            <w:hideMark/>
          </w:tcPr>
          <w:p w14:paraId="68CFE9E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19.06.26</w:t>
            </w:r>
          </w:p>
        </w:tc>
        <w:tc>
          <w:tcPr>
            <w:tcW w:w="0" w:type="auto"/>
            <w:tcBorders>
              <w:top w:val="nil"/>
              <w:left w:val="nil"/>
              <w:bottom w:val="single" w:sz="4" w:space="0" w:color="auto"/>
              <w:right w:val="single" w:sz="4" w:space="0" w:color="auto"/>
            </w:tcBorders>
            <w:shd w:val="clear" w:color="auto" w:fill="auto"/>
            <w:vAlign w:val="center"/>
            <w:hideMark/>
          </w:tcPr>
          <w:p w14:paraId="0B4D2DC5"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obchodníci s finančnými službami na diaľku</w:t>
            </w:r>
          </w:p>
        </w:tc>
        <w:tc>
          <w:tcPr>
            <w:tcW w:w="0" w:type="auto"/>
            <w:tcBorders>
              <w:top w:val="nil"/>
              <w:left w:val="nil"/>
              <w:bottom w:val="single" w:sz="4" w:space="0" w:color="auto"/>
              <w:right w:val="single" w:sz="4" w:space="0" w:color="auto"/>
            </w:tcBorders>
            <w:shd w:val="clear" w:color="auto" w:fill="auto"/>
            <w:vAlign w:val="center"/>
            <w:hideMark/>
          </w:tcPr>
          <w:p w14:paraId="2AE192CB" w14:textId="77777777" w:rsidR="000F5824" w:rsidRPr="000F5824" w:rsidRDefault="000F5824" w:rsidP="000F5824">
            <w:pPr>
              <w:spacing w:after="0" w:line="240" w:lineRule="auto"/>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 xml:space="preserve">               200 </w:t>
            </w:r>
          </w:p>
        </w:tc>
        <w:tc>
          <w:tcPr>
            <w:tcW w:w="0" w:type="auto"/>
            <w:tcBorders>
              <w:top w:val="nil"/>
              <w:left w:val="nil"/>
              <w:bottom w:val="single" w:sz="4" w:space="0" w:color="auto"/>
              <w:right w:val="single" w:sz="4" w:space="0" w:color="auto"/>
            </w:tcBorders>
            <w:shd w:val="clear" w:color="auto" w:fill="auto"/>
            <w:vAlign w:val="center"/>
            <w:hideMark/>
          </w:tcPr>
          <w:p w14:paraId="2AC94060"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2 848</w:t>
            </w:r>
          </w:p>
        </w:tc>
        <w:tc>
          <w:tcPr>
            <w:tcW w:w="0" w:type="auto"/>
            <w:tcBorders>
              <w:top w:val="nil"/>
              <w:left w:val="nil"/>
              <w:bottom w:val="single" w:sz="4" w:space="0" w:color="auto"/>
              <w:right w:val="single" w:sz="4" w:space="0" w:color="auto"/>
            </w:tcBorders>
            <w:shd w:val="clear" w:color="auto" w:fill="auto"/>
            <w:vAlign w:val="center"/>
            <w:hideMark/>
          </w:tcPr>
          <w:p w14:paraId="05B7796C"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569 688</w:t>
            </w:r>
          </w:p>
        </w:tc>
        <w:tc>
          <w:tcPr>
            <w:tcW w:w="0" w:type="auto"/>
            <w:tcBorders>
              <w:top w:val="nil"/>
              <w:left w:val="nil"/>
              <w:bottom w:val="single" w:sz="4" w:space="0" w:color="auto"/>
              <w:right w:val="single" w:sz="4" w:space="0" w:color="auto"/>
            </w:tcBorders>
            <w:shd w:val="clear" w:color="auto" w:fill="auto"/>
            <w:vAlign w:val="center"/>
            <w:hideMark/>
          </w:tcPr>
          <w:p w14:paraId="6AB9CFD7"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In (zvyšuje náklady)</w:t>
            </w:r>
          </w:p>
        </w:tc>
        <w:tc>
          <w:tcPr>
            <w:tcW w:w="0" w:type="auto"/>
            <w:tcBorders>
              <w:top w:val="nil"/>
              <w:left w:val="nil"/>
              <w:bottom w:val="single" w:sz="4" w:space="0" w:color="auto"/>
              <w:right w:val="single" w:sz="4" w:space="0" w:color="auto"/>
            </w:tcBorders>
            <w:shd w:val="clear" w:color="auto" w:fill="auto"/>
            <w:vAlign w:val="center"/>
            <w:hideMark/>
          </w:tcPr>
          <w:p w14:paraId="7567605E" w14:textId="77777777" w:rsidR="000F5824" w:rsidRPr="000F5824" w:rsidRDefault="000F5824" w:rsidP="000F5824">
            <w:pPr>
              <w:spacing w:after="0" w:line="240" w:lineRule="auto"/>
              <w:jc w:val="center"/>
              <w:rPr>
                <w:rFonts w:ascii="Times New Roman" w:eastAsia="Times New Roman" w:hAnsi="Times New Roman" w:cs="Times New Roman"/>
                <w:sz w:val="20"/>
                <w:szCs w:val="20"/>
                <w:lang w:eastAsia="sk-SK"/>
              </w:rPr>
            </w:pPr>
            <w:r w:rsidRPr="000F5824">
              <w:rPr>
                <w:rFonts w:ascii="Times New Roman" w:eastAsia="Times New Roman" w:hAnsi="Times New Roman" w:cs="Times New Roman"/>
                <w:sz w:val="20"/>
                <w:szCs w:val="20"/>
                <w:lang w:eastAsia="sk-SK"/>
              </w:rPr>
              <w:t>0</w:t>
            </w:r>
          </w:p>
        </w:tc>
        <w:tc>
          <w:tcPr>
            <w:tcW w:w="0" w:type="auto"/>
            <w:tcBorders>
              <w:top w:val="nil"/>
              <w:left w:val="nil"/>
              <w:bottom w:val="single" w:sz="4" w:space="0" w:color="auto"/>
              <w:right w:val="single" w:sz="4" w:space="0" w:color="auto"/>
            </w:tcBorders>
            <w:shd w:val="clear" w:color="auto" w:fill="auto"/>
            <w:vAlign w:val="center"/>
            <w:hideMark/>
          </w:tcPr>
          <w:p w14:paraId="19E8DA41" w14:textId="77777777" w:rsidR="000F5824" w:rsidRPr="000F5824" w:rsidRDefault="000F5824" w:rsidP="000F5824">
            <w:pPr>
              <w:spacing w:after="0" w:line="240" w:lineRule="auto"/>
              <w:jc w:val="center"/>
              <w:rPr>
                <w:rFonts w:ascii="Times New Roman" w:eastAsia="Times New Roman" w:hAnsi="Times New Roman" w:cs="Times New Roman"/>
                <w:color w:val="000000"/>
                <w:sz w:val="20"/>
                <w:szCs w:val="20"/>
                <w:lang w:eastAsia="sk-SK"/>
              </w:rPr>
            </w:pPr>
            <w:r w:rsidRPr="000F5824">
              <w:rPr>
                <w:rFonts w:ascii="Times New Roman" w:eastAsia="Times New Roman" w:hAnsi="Times New Roman" w:cs="Times New Roman"/>
                <w:color w:val="000000"/>
                <w:sz w:val="20"/>
                <w:szCs w:val="20"/>
                <w:lang w:eastAsia="sk-SK"/>
              </w:rPr>
              <w:t>0</w:t>
            </w:r>
          </w:p>
        </w:tc>
      </w:tr>
    </w:tbl>
    <w:p w14:paraId="520734CD" w14:textId="77777777" w:rsidR="00054C41" w:rsidRPr="00895898" w:rsidRDefault="00054C41" w:rsidP="00054C41">
      <w:pPr>
        <w:jc w:val="both"/>
        <w:rPr>
          <w:rFonts w:ascii="Times New Roman" w:eastAsia="Calibri" w:hAnsi="Times New Roman" w:cs="Times New Roman"/>
          <w:i/>
        </w:rPr>
      </w:pPr>
    </w:p>
    <w:p w14:paraId="798179FB" w14:textId="77777777"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14:paraId="77318665" w14:textId="77777777" w:rsidR="00054C41" w:rsidRPr="001F1B43"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lastRenderedPageBreak/>
        <w:t xml:space="preserve">3.1.3 </w:t>
      </w:r>
      <w:r w:rsidR="00054C41"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668FE7AA" w:rsidR="00054C41" w:rsidRDefault="00054C41" w:rsidP="00054C41">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D8247C">
        <w:rPr>
          <w:rFonts w:ascii="Times New Roman" w:eastAsia="Calibri" w:hAnsi="Times New Roman" w:cs="Times New Roman"/>
          <w:bCs/>
          <w:i/>
          <w:iCs/>
          <w:color w:val="000000"/>
          <w:sz w:val="24"/>
          <w:szCs w:val="24"/>
        </w:rPr>
        <w:t>link</w:t>
      </w:r>
      <w:proofErr w:type="spellEnd"/>
      <w:r w:rsidRPr="00D8247C">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Pr>
          <w:rFonts w:ascii="Times New Roman" w:eastAsia="Calibri" w:hAnsi="Times New Roman" w:cs="Times New Roman"/>
          <w:bCs/>
          <w:i/>
          <w:iCs/>
          <w:color w:val="000000"/>
          <w:sz w:val="24"/>
          <w:szCs w:val="24"/>
        </w:rPr>
        <w:t xml:space="preserve"> </w:t>
      </w:r>
      <w:r w:rsidR="00A000DA" w:rsidRPr="00A000DA">
        <w:rPr>
          <w:rFonts w:ascii="Times New Roman" w:eastAsia="Calibri" w:hAnsi="Times New Roman" w:cs="Times New Roman"/>
          <w:bCs/>
          <w:i/>
          <w:iCs/>
          <w:color w:val="000000"/>
          <w:sz w:val="24"/>
          <w:szCs w:val="24"/>
        </w:rPr>
        <w:t xml:space="preserve">a poplatky, ktorých cieľom je znižovať negatívne </w:t>
      </w:r>
      <w:proofErr w:type="spellStart"/>
      <w:r w:rsidR="00A000DA" w:rsidRPr="00A000DA">
        <w:rPr>
          <w:rFonts w:ascii="Times New Roman" w:eastAsia="Calibri" w:hAnsi="Times New Roman" w:cs="Times New Roman"/>
          <w:bCs/>
          <w:i/>
          <w:iCs/>
          <w:color w:val="000000"/>
          <w:sz w:val="24"/>
          <w:szCs w:val="24"/>
        </w:rPr>
        <w:t>externality</w:t>
      </w:r>
      <w:proofErr w:type="spellEnd"/>
      <w:r w:rsidRPr="00D8247C">
        <w:rPr>
          <w:rFonts w:ascii="Times New Roman" w:eastAsia="Calibri" w:hAnsi="Times New Roman" w:cs="Times New Roman"/>
          <w:bCs/>
          <w:i/>
          <w:iCs/>
          <w:color w:val="000000"/>
          <w:sz w:val="24"/>
          <w:szCs w:val="24"/>
        </w:rPr>
        <w:t xml:space="preserve">, B. </w:t>
      </w:r>
      <w:r w:rsidR="00A000DA">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oplatky</w:t>
      </w:r>
      <w:r w:rsidRPr="00952CF6">
        <w:rPr>
          <w:rFonts w:ascii="Times New Roman" w:eastAsia="Calibri" w:hAnsi="Times New Roman" w:cs="Times New Roman"/>
          <w:bCs/>
          <w:i/>
          <w:iCs/>
          <w:color w:val="000000"/>
          <w:sz w:val="24"/>
          <w:szCs w:val="24"/>
        </w:rPr>
        <w:t>,</w:t>
      </w:r>
      <w:r w:rsidRPr="00D8247C">
        <w:rPr>
          <w:rFonts w:ascii="Times New Roman" w:eastAsia="Calibri" w:hAnsi="Times New Roman" w:cs="Times New Roman"/>
          <w:bCs/>
          <w:i/>
          <w:iCs/>
          <w:color w:val="000000"/>
          <w:sz w:val="24"/>
          <w:szCs w:val="24"/>
        </w:rPr>
        <w:t xml:space="preserve"> C. </w:t>
      </w:r>
      <w:r w:rsidR="00024EE4">
        <w:rPr>
          <w:rFonts w:ascii="Times New Roman" w:eastAsia="Calibri" w:hAnsi="Times New Roman" w:cs="Times New Roman"/>
          <w:bCs/>
          <w:i/>
          <w:iCs/>
          <w:color w:val="000000"/>
          <w:sz w:val="24"/>
          <w:szCs w:val="24"/>
        </w:rPr>
        <w:t>Sankcie</w:t>
      </w:r>
      <w:r w:rsidRPr="00D8247C">
        <w:rPr>
          <w:rFonts w:ascii="Times New Roman" w:eastAsia="Calibri" w:hAnsi="Times New Roman" w:cs="Times New Roman"/>
          <w:bCs/>
          <w:i/>
          <w:iCs/>
          <w:color w:val="000000"/>
          <w:sz w:val="24"/>
          <w:szCs w:val="24"/>
        </w:rPr>
        <w:t xml:space="preserve">, D. </w:t>
      </w:r>
      <w:r w:rsidR="00024EE4">
        <w:rPr>
          <w:rFonts w:ascii="Times New Roman" w:eastAsia="Calibri" w:hAnsi="Times New Roman" w:cs="Times New Roman"/>
          <w:bCs/>
          <w:i/>
          <w:iCs/>
          <w:color w:val="000000"/>
          <w:sz w:val="24"/>
          <w:szCs w:val="24"/>
        </w:rPr>
        <w:t>Nepriame finančné náklady</w:t>
      </w:r>
      <w:r w:rsidR="00A94A0F">
        <w:rPr>
          <w:rFonts w:ascii="Times New Roman" w:eastAsia="Calibri" w:hAnsi="Times New Roman" w:cs="Times New Roman"/>
          <w:bCs/>
          <w:i/>
          <w:iCs/>
          <w:color w:val="000000"/>
          <w:sz w:val="24"/>
          <w:szCs w:val="24"/>
        </w:rPr>
        <w:t xml:space="preserve">, E. </w:t>
      </w:r>
      <w:r w:rsidRPr="00D8247C">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0E48DF92" w14:textId="541E2BEE" w:rsidR="00121BD4" w:rsidRPr="00BE0B5B" w:rsidRDefault="00121BD4" w:rsidP="00BE0B5B">
      <w:pPr>
        <w:jc w:val="both"/>
        <w:rPr>
          <w:rFonts w:ascii="Times New Roman" w:eastAsia="Calibri" w:hAnsi="Times New Roman" w:cs="Times New Roman"/>
          <w:sz w:val="24"/>
          <w:szCs w:val="24"/>
        </w:rPr>
      </w:pPr>
      <w:r w:rsidRPr="00BE0B5B">
        <w:rPr>
          <w:rFonts w:ascii="Times New Roman" w:eastAsia="Times New Roman" w:hAnsi="Times New Roman" w:cs="Times New Roman"/>
          <w:sz w:val="24"/>
          <w:szCs w:val="24"/>
          <w:lang w:eastAsia="sk-SK"/>
        </w:rPr>
        <w:t xml:space="preserve">V predkladanom návrhu zákona bolo identifikovaných </w:t>
      </w:r>
      <w:r w:rsidR="0011588C">
        <w:rPr>
          <w:rFonts w:ascii="Times New Roman" w:eastAsia="Times New Roman" w:hAnsi="Times New Roman" w:cs="Times New Roman"/>
          <w:sz w:val="24"/>
          <w:szCs w:val="24"/>
          <w:lang w:eastAsia="sk-SK"/>
        </w:rPr>
        <w:t>1</w:t>
      </w:r>
      <w:r w:rsidR="00C06F77">
        <w:rPr>
          <w:rFonts w:ascii="Times New Roman" w:eastAsia="Times New Roman" w:hAnsi="Times New Roman" w:cs="Times New Roman"/>
          <w:sz w:val="24"/>
          <w:szCs w:val="24"/>
          <w:lang w:eastAsia="sk-SK"/>
        </w:rPr>
        <w:t>3</w:t>
      </w:r>
      <w:r w:rsidRPr="00BE0B5B">
        <w:rPr>
          <w:rFonts w:ascii="Times New Roman" w:eastAsia="Times New Roman" w:hAnsi="Times New Roman" w:cs="Times New Roman"/>
          <w:sz w:val="24"/>
          <w:szCs w:val="24"/>
          <w:lang w:eastAsia="sk-SK"/>
        </w:rPr>
        <w:t xml:space="preserve"> regulácií s vplyvom na podnikateľs</w:t>
      </w:r>
      <w:r w:rsidR="00BE0B5B" w:rsidRPr="00BE0B5B">
        <w:rPr>
          <w:rFonts w:ascii="Times New Roman" w:eastAsia="Times New Roman" w:hAnsi="Times New Roman" w:cs="Times New Roman"/>
          <w:sz w:val="24"/>
          <w:szCs w:val="24"/>
          <w:lang w:eastAsia="sk-SK"/>
        </w:rPr>
        <w:t>ké prostredie, z ktorých žiadne</w:t>
      </w:r>
      <w:r w:rsidRPr="00BE0B5B">
        <w:rPr>
          <w:rFonts w:ascii="Times New Roman" w:eastAsia="Times New Roman" w:hAnsi="Times New Roman" w:cs="Times New Roman"/>
          <w:sz w:val="24"/>
          <w:szCs w:val="24"/>
          <w:lang w:eastAsia="sk-SK"/>
        </w:rPr>
        <w:t xml:space="preserve"> </w:t>
      </w:r>
      <w:r w:rsidR="00BE0B5B" w:rsidRPr="00BE0B5B">
        <w:rPr>
          <w:rFonts w:ascii="Times New Roman" w:eastAsia="Times New Roman" w:hAnsi="Times New Roman" w:cs="Times New Roman"/>
          <w:sz w:val="24"/>
          <w:szCs w:val="24"/>
          <w:lang w:eastAsia="sk-SK"/>
        </w:rPr>
        <w:t>neznižuje náklady</w:t>
      </w:r>
      <w:r w:rsidRPr="00BE0B5B">
        <w:rPr>
          <w:rFonts w:ascii="Times New Roman" w:eastAsia="Times New Roman" w:hAnsi="Times New Roman" w:cs="Times New Roman"/>
          <w:sz w:val="24"/>
          <w:szCs w:val="24"/>
          <w:lang w:eastAsia="sk-SK"/>
        </w:rPr>
        <w:t xml:space="preserve"> pre dotknuté subjekty. </w:t>
      </w:r>
      <w:r w:rsidRPr="00BE0B5B">
        <w:rPr>
          <w:rFonts w:ascii="Times New Roman" w:eastAsia="Calibri" w:hAnsi="Times New Roman" w:cs="Times New Roman"/>
          <w:sz w:val="24"/>
          <w:szCs w:val="24"/>
        </w:rPr>
        <w:t xml:space="preserve">Predmetom kalkulačky nákladov sú regulácie súvisiace so zvýšením nepriamych finančných nákladov a administratívnej záťaže </w:t>
      </w:r>
      <w:r w:rsidR="00BE0B5B" w:rsidRPr="00BE0B5B">
        <w:rPr>
          <w:rFonts w:ascii="Times New Roman" w:eastAsia="Calibri" w:hAnsi="Times New Roman" w:cs="Times New Roman"/>
          <w:sz w:val="24"/>
          <w:szCs w:val="24"/>
        </w:rPr>
        <w:t xml:space="preserve">v časti regulácie pre obchodníkov s finančnými službami na diaľku a v časti pre všetkých obchodníkov </w:t>
      </w:r>
      <w:r w:rsidRPr="00BE0B5B">
        <w:rPr>
          <w:rFonts w:ascii="Times New Roman" w:eastAsia="Calibri" w:hAnsi="Times New Roman" w:cs="Times New Roman"/>
          <w:sz w:val="24"/>
          <w:szCs w:val="24"/>
        </w:rPr>
        <w:t xml:space="preserve">v súvislosti s ich povinnosťami vyplývajúcimi z implementovanej smernice </w:t>
      </w:r>
      <w:r w:rsidR="00BE0B5B" w:rsidRPr="00BE0B5B">
        <w:rPr>
          <w:rFonts w:ascii="Times New Roman" w:eastAsia="Times New Roman" w:hAnsi="Times New Roman" w:cs="Times New Roman"/>
          <w:sz w:val="24"/>
          <w:szCs w:val="24"/>
          <w:lang w:eastAsia="sk-SK"/>
        </w:rPr>
        <w:t>Európskeho parlamentu a Rady (EÚ) 2023/2673 z 22. novembra 2023, ktorou sa mení smernica 2011/83/EÚ, pokiaľ ide o zmluvy o finančných službách uzavreté na diaľku, a ktorou sa zrušuje smernica 2002/65/ES</w:t>
      </w:r>
      <w:r w:rsidR="00160CD9">
        <w:rPr>
          <w:rFonts w:ascii="Times New Roman" w:eastAsia="Times New Roman" w:hAnsi="Times New Roman" w:cs="Times New Roman"/>
          <w:sz w:val="24"/>
          <w:szCs w:val="24"/>
          <w:lang w:eastAsia="sk-SK"/>
        </w:rPr>
        <w:t xml:space="preserve"> (ďalej len „smernica 2023/2673“)</w:t>
      </w:r>
      <w:r w:rsidR="00BE0B5B" w:rsidRPr="00BE0B5B">
        <w:rPr>
          <w:rFonts w:ascii="Times New Roman" w:eastAsia="Times New Roman" w:hAnsi="Times New Roman" w:cs="Times New Roman"/>
          <w:sz w:val="24"/>
          <w:szCs w:val="24"/>
          <w:lang w:eastAsia="sk-SK"/>
        </w:rPr>
        <w:t>.</w:t>
      </w:r>
      <w:r w:rsidR="00BE0B5B" w:rsidRPr="00BE0B5B">
        <w:rPr>
          <w:rStyle w:val="normaltextrun"/>
          <w:rFonts w:ascii="Times New Roman" w:eastAsia="Times New Roman" w:hAnsi="Times New Roman" w:cs="Times New Roman"/>
          <w:sz w:val="24"/>
          <w:szCs w:val="24"/>
          <w:lang w:eastAsia="sk-SK"/>
        </w:rPr>
        <w:t xml:space="preserve"> </w:t>
      </w:r>
    </w:p>
    <w:p w14:paraId="1CB5A860" w14:textId="77777777" w:rsidR="00121BD4" w:rsidRPr="00121BD4" w:rsidRDefault="00121BD4" w:rsidP="00121BD4">
      <w:pPr>
        <w:rPr>
          <w:rFonts w:ascii="Times New Roman" w:eastAsia="Calibri" w:hAnsi="Times New Roman" w:cs="Times New Roman"/>
          <w:i/>
          <w:sz w:val="24"/>
          <w:szCs w:val="24"/>
          <w:highlight w:val="yellow"/>
        </w:rPr>
      </w:pPr>
    </w:p>
    <w:p w14:paraId="00093788" w14:textId="60A948A6" w:rsidR="00121BD4" w:rsidRPr="00673F1C" w:rsidRDefault="00121BD4" w:rsidP="00121BD4">
      <w:pPr>
        <w:jc w:val="both"/>
        <w:rPr>
          <w:rFonts w:ascii="Times New Roman" w:eastAsia="Calibri" w:hAnsi="Times New Roman" w:cs="Times New Roman"/>
          <w:i/>
          <w:sz w:val="24"/>
          <w:szCs w:val="24"/>
          <w:u w:val="single"/>
        </w:rPr>
      </w:pPr>
      <w:r w:rsidRPr="00673F1C">
        <w:rPr>
          <w:rFonts w:ascii="Times New Roman" w:eastAsia="Calibri" w:hAnsi="Times New Roman" w:cs="Times New Roman"/>
          <w:i/>
          <w:sz w:val="24"/>
          <w:szCs w:val="24"/>
          <w:u w:val="single"/>
        </w:rPr>
        <w:t xml:space="preserve">Opatrenia (opisy regulácií) č. 1 až </w:t>
      </w:r>
      <w:r w:rsidR="00C06F77">
        <w:rPr>
          <w:rFonts w:ascii="Times New Roman" w:eastAsia="Calibri" w:hAnsi="Times New Roman" w:cs="Times New Roman"/>
          <w:i/>
          <w:sz w:val="24"/>
          <w:szCs w:val="24"/>
          <w:u w:val="single"/>
        </w:rPr>
        <w:t>13</w:t>
      </w:r>
    </w:p>
    <w:p w14:paraId="7CA408E9" w14:textId="74950807" w:rsidR="00121BD4" w:rsidRPr="00673F1C" w:rsidRDefault="00121BD4" w:rsidP="00121BD4">
      <w:pPr>
        <w:rPr>
          <w:rFonts w:ascii="Times New Roman" w:eastAsia="Calibri" w:hAnsi="Times New Roman" w:cs="Times New Roman"/>
          <w:i/>
          <w:sz w:val="24"/>
          <w:szCs w:val="24"/>
        </w:rPr>
      </w:pPr>
    </w:p>
    <w:p w14:paraId="1461DE7F" w14:textId="660BB403" w:rsidR="00673F1C" w:rsidRDefault="00673F1C" w:rsidP="00673F1C">
      <w:pPr>
        <w:pStyle w:val="Odsekzoznamu"/>
        <w:numPr>
          <w:ilvl w:val="0"/>
          <w:numId w:val="18"/>
        </w:numPr>
        <w:rPr>
          <w:rFonts w:ascii="Times New Roman" w:eastAsia="Calibri" w:hAnsi="Times New Roman" w:cs="Times New Roman"/>
          <w:i/>
          <w:sz w:val="24"/>
          <w:szCs w:val="24"/>
        </w:rPr>
      </w:pPr>
      <w:r w:rsidRPr="00673F1C">
        <w:rPr>
          <w:rFonts w:ascii="Times New Roman" w:eastAsia="Calibri" w:hAnsi="Times New Roman" w:cs="Times New Roman"/>
          <w:i/>
          <w:sz w:val="24"/>
          <w:szCs w:val="24"/>
        </w:rPr>
        <w:t>Rozšírenie predzmluvných informácií</w:t>
      </w:r>
    </w:p>
    <w:p w14:paraId="6A05B32D" w14:textId="7FB73C6F" w:rsidR="00673F1C" w:rsidRPr="00673F1C" w:rsidRDefault="00673F1C" w:rsidP="003D0048">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Predmetná regulácia zvyšuje nepriame finančné náklady a administratívnu záťaž obchodníkov, ktorí poskytujú finančné služby na di</w:t>
      </w:r>
      <w:r w:rsidR="003D0048" w:rsidRPr="09F23372">
        <w:rPr>
          <w:rFonts w:ascii="Times New Roman" w:eastAsia="Calibri" w:hAnsi="Times New Roman" w:cs="Times New Roman"/>
          <w:sz w:val="24"/>
          <w:szCs w:val="24"/>
        </w:rPr>
        <w:t xml:space="preserve">aľku, a to konkrétne v zmene rozsahu a konkrétnych informácií, ktoré majú byť spotrebiteľovi poskytnuté pred uzavretím zmluvy, v porovnaní </w:t>
      </w:r>
      <w:r w:rsidR="004F548E" w:rsidRPr="09F23372">
        <w:rPr>
          <w:rFonts w:ascii="Times New Roman" w:eastAsia="Calibri" w:hAnsi="Times New Roman" w:cs="Times New Roman"/>
          <w:sz w:val="24"/>
          <w:szCs w:val="24"/>
        </w:rPr>
        <w:t>s</w:t>
      </w:r>
      <w:r w:rsidR="003D0048" w:rsidRPr="09F23372">
        <w:rPr>
          <w:rFonts w:ascii="Times New Roman" w:eastAsia="Calibri" w:hAnsi="Times New Roman" w:cs="Times New Roman"/>
          <w:sz w:val="24"/>
          <w:szCs w:val="24"/>
        </w:rPr>
        <w:t xml:space="preserve"> predchádzajúcou právnou úpravou. </w:t>
      </w:r>
      <w:r w:rsidR="00A755A1" w:rsidRPr="09F23372">
        <w:rPr>
          <w:rFonts w:ascii="Times New Roman" w:eastAsia="Calibri" w:hAnsi="Times New Roman" w:cs="Times New Roman"/>
          <w:sz w:val="24"/>
          <w:szCs w:val="24"/>
        </w:rPr>
        <w:t>Dotknuté subjekty budú povinné oboznámiť sa s jednotlivými pridanými požiadavkami</w:t>
      </w:r>
      <w:r w:rsidR="000E74C6" w:rsidRPr="09F23372">
        <w:rPr>
          <w:rFonts w:ascii="Times New Roman" w:eastAsia="Calibri" w:hAnsi="Times New Roman" w:cs="Times New Roman"/>
          <w:sz w:val="24"/>
          <w:szCs w:val="24"/>
        </w:rPr>
        <w:t xml:space="preserve"> regulácie</w:t>
      </w:r>
      <w:r w:rsidR="00A755A1" w:rsidRPr="09F23372">
        <w:rPr>
          <w:rFonts w:ascii="Times New Roman" w:eastAsia="Calibri" w:hAnsi="Times New Roman" w:cs="Times New Roman"/>
          <w:sz w:val="24"/>
          <w:szCs w:val="24"/>
        </w:rPr>
        <w:t>, vykonať analýzu vlastnej predzmluvnej dokumentácie a na základe výsledkov vytvoriť pre jednotlivé produkty nové</w:t>
      </w:r>
      <w:r w:rsidR="00CD4076" w:rsidRPr="09F23372">
        <w:rPr>
          <w:rFonts w:ascii="Times New Roman" w:eastAsia="Calibri" w:hAnsi="Times New Roman" w:cs="Times New Roman"/>
          <w:sz w:val="24"/>
          <w:szCs w:val="24"/>
        </w:rPr>
        <w:t xml:space="preserve"> vzory predzmluvných informácií.</w:t>
      </w:r>
      <w:r w:rsidR="00A755A1" w:rsidRPr="09F23372">
        <w:rPr>
          <w:rFonts w:ascii="Times New Roman" w:eastAsia="Calibri" w:hAnsi="Times New Roman" w:cs="Times New Roman"/>
          <w:sz w:val="24"/>
          <w:szCs w:val="24"/>
        </w:rPr>
        <w:t xml:space="preserve"> </w:t>
      </w:r>
      <w:r w:rsidR="00CD4076" w:rsidRPr="09F23372">
        <w:rPr>
          <w:rFonts w:ascii="Times New Roman" w:eastAsia="Calibri" w:hAnsi="Times New Roman" w:cs="Times New Roman"/>
          <w:sz w:val="24"/>
          <w:szCs w:val="24"/>
        </w:rPr>
        <w:t>V</w:t>
      </w:r>
      <w:r w:rsidR="00A755A1" w:rsidRPr="09F23372">
        <w:rPr>
          <w:rFonts w:ascii="Times New Roman" w:eastAsia="Calibri" w:hAnsi="Times New Roman" w:cs="Times New Roman"/>
          <w:sz w:val="24"/>
          <w:szCs w:val="24"/>
        </w:rPr>
        <w:t> prípade</w:t>
      </w:r>
      <w:r w:rsidR="7756FAAA" w:rsidRPr="09F23372">
        <w:rPr>
          <w:rFonts w:ascii="Times New Roman" w:eastAsia="Calibri" w:hAnsi="Times New Roman" w:cs="Times New Roman"/>
          <w:sz w:val="24"/>
          <w:szCs w:val="24"/>
        </w:rPr>
        <w:t>,</w:t>
      </w:r>
      <w:r w:rsidR="00A755A1" w:rsidRPr="09F23372">
        <w:rPr>
          <w:rFonts w:ascii="Times New Roman" w:eastAsia="Calibri" w:hAnsi="Times New Roman" w:cs="Times New Roman"/>
          <w:sz w:val="24"/>
          <w:szCs w:val="24"/>
        </w:rPr>
        <w:t xml:space="preserve"> ak dotknutý subjekt využíva poskytovanie predzmluvných informácií online, môže predmetná regulácia viesť k potrebe zásahu aj do technickej stránky v rámci informačných systémov obchodníka. </w:t>
      </w:r>
      <w:r w:rsidR="00FB3373" w:rsidRPr="09F23372">
        <w:rPr>
          <w:rFonts w:ascii="Times New Roman" w:eastAsia="Calibri" w:hAnsi="Times New Roman" w:cs="Times New Roman"/>
          <w:sz w:val="24"/>
          <w:szCs w:val="24"/>
        </w:rPr>
        <w:t>Zmeny však nebude potrebné vykonať pri všetkých produktoch, nakoľko z </w:t>
      </w:r>
      <w:r w:rsidR="000D68B6" w:rsidRPr="09F23372">
        <w:rPr>
          <w:rFonts w:ascii="Times New Roman" w:eastAsia="Calibri" w:hAnsi="Times New Roman" w:cs="Times New Roman"/>
          <w:sz w:val="24"/>
          <w:szCs w:val="24"/>
        </w:rPr>
        <w:t>hľadiska</w:t>
      </w:r>
      <w:r w:rsidR="00FB3373" w:rsidRPr="09F23372">
        <w:rPr>
          <w:rFonts w:ascii="Times New Roman" w:eastAsia="Calibri" w:hAnsi="Times New Roman" w:cs="Times New Roman"/>
          <w:sz w:val="24"/>
          <w:szCs w:val="24"/>
        </w:rPr>
        <w:t xml:space="preserve"> pôsobnosti </w:t>
      </w:r>
      <w:r w:rsidR="00CD4076" w:rsidRPr="09F23372">
        <w:rPr>
          <w:rFonts w:ascii="Times New Roman" w:eastAsia="Calibri" w:hAnsi="Times New Roman" w:cs="Times New Roman"/>
          <w:sz w:val="24"/>
          <w:szCs w:val="24"/>
        </w:rPr>
        <w:t xml:space="preserve">návrhu </w:t>
      </w:r>
      <w:r w:rsidR="00FB3373" w:rsidRPr="09F23372">
        <w:rPr>
          <w:rFonts w:ascii="Times New Roman" w:eastAsia="Calibri" w:hAnsi="Times New Roman" w:cs="Times New Roman"/>
          <w:sz w:val="24"/>
          <w:szCs w:val="24"/>
        </w:rPr>
        <w:t>zákona sa ustanovenie o </w:t>
      </w:r>
      <w:r w:rsidR="00CD4076" w:rsidRPr="09F23372">
        <w:rPr>
          <w:rFonts w:ascii="Times New Roman" w:eastAsia="Calibri" w:hAnsi="Times New Roman" w:cs="Times New Roman"/>
          <w:sz w:val="24"/>
          <w:szCs w:val="24"/>
        </w:rPr>
        <w:t>pred</w:t>
      </w:r>
      <w:r w:rsidR="00FB3373" w:rsidRPr="09F23372">
        <w:rPr>
          <w:rFonts w:ascii="Times New Roman" w:eastAsia="Calibri" w:hAnsi="Times New Roman" w:cs="Times New Roman"/>
          <w:sz w:val="24"/>
          <w:szCs w:val="24"/>
        </w:rPr>
        <w:t xml:space="preserve">zmluvných podmienkach v návrhu zákona nebude vzťahovať na produkty, ktorých predzmluvné informácie sú upravené v ich sektorových </w:t>
      </w:r>
      <w:r w:rsidR="000D68B6" w:rsidRPr="09F23372">
        <w:rPr>
          <w:rFonts w:ascii="Times New Roman" w:eastAsia="Calibri" w:hAnsi="Times New Roman" w:cs="Times New Roman"/>
          <w:sz w:val="24"/>
          <w:szCs w:val="24"/>
        </w:rPr>
        <w:t>predpisoch</w:t>
      </w:r>
      <w:r w:rsidR="00FB3373" w:rsidRPr="09F23372">
        <w:rPr>
          <w:rFonts w:ascii="Times New Roman" w:eastAsia="Calibri" w:hAnsi="Times New Roman" w:cs="Times New Roman"/>
          <w:sz w:val="24"/>
          <w:szCs w:val="24"/>
        </w:rPr>
        <w:t xml:space="preserve">, ako napríklad spotrebiteľské úvery, úvery na bývanie, platobné služby, poistné produkty a iné. </w:t>
      </w:r>
      <w:r w:rsidR="000D68B6" w:rsidRPr="09F23372">
        <w:rPr>
          <w:rFonts w:ascii="Times New Roman" w:eastAsia="Calibri" w:hAnsi="Times New Roman" w:cs="Times New Roman"/>
          <w:sz w:val="24"/>
          <w:szCs w:val="24"/>
        </w:rPr>
        <w:t>Nepriame finančné náklady môžu na základe expertného odhadu predstavovať v priemere výšku 10 000 eur</w:t>
      </w:r>
      <w:r w:rsidR="00521316" w:rsidRPr="09F23372">
        <w:rPr>
          <w:rFonts w:ascii="Times New Roman" w:eastAsia="Calibri" w:hAnsi="Times New Roman" w:cs="Times New Roman"/>
          <w:sz w:val="24"/>
          <w:szCs w:val="24"/>
        </w:rPr>
        <w:t xml:space="preserve"> na jedného podnikateľa</w:t>
      </w:r>
      <w:r w:rsidR="000D68B6" w:rsidRPr="09F23372">
        <w:rPr>
          <w:rFonts w:ascii="Times New Roman" w:eastAsia="Calibri" w:hAnsi="Times New Roman" w:cs="Times New Roman"/>
          <w:sz w:val="24"/>
          <w:szCs w:val="24"/>
        </w:rPr>
        <w:t xml:space="preserve">, pričom konkrétna výška nákladov bude závisieť od veľkosti dotknutého subjektu, miery jeho </w:t>
      </w:r>
      <w:r w:rsidR="00521316" w:rsidRPr="09F23372">
        <w:rPr>
          <w:rFonts w:ascii="Times New Roman" w:eastAsia="Calibri" w:hAnsi="Times New Roman" w:cs="Times New Roman"/>
          <w:sz w:val="24"/>
          <w:szCs w:val="24"/>
        </w:rPr>
        <w:t>digitalizácie</w:t>
      </w:r>
      <w:r w:rsidR="000D68B6" w:rsidRPr="09F23372">
        <w:rPr>
          <w:rFonts w:ascii="Times New Roman" w:eastAsia="Calibri" w:hAnsi="Times New Roman" w:cs="Times New Roman"/>
          <w:sz w:val="24"/>
          <w:szCs w:val="24"/>
        </w:rPr>
        <w:t xml:space="preserve"> a od počtu finančných produktov a služieb</w:t>
      </w:r>
      <w:r w:rsidR="1D607FF9" w:rsidRPr="09F23372">
        <w:rPr>
          <w:rFonts w:ascii="Times New Roman" w:eastAsia="Calibri" w:hAnsi="Times New Roman" w:cs="Times New Roman"/>
          <w:sz w:val="24"/>
          <w:szCs w:val="24"/>
        </w:rPr>
        <w:t>,</w:t>
      </w:r>
      <w:r w:rsidR="000D68B6" w:rsidRPr="09F23372">
        <w:rPr>
          <w:rFonts w:ascii="Times New Roman" w:eastAsia="Calibri" w:hAnsi="Times New Roman" w:cs="Times New Roman"/>
          <w:sz w:val="24"/>
          <w:szCs w:val="24"/>
        </w:rPr>
        <w:t xml:space="preserve"> na ktoré sa bude zmena spôsobená predmetnou reguláciou vzťahovať. Predpokladaný počet subjektov, ktorých sa regulácia dotkne vychádza z údajov zverejnených NBS (</w:t>
      </w:r>
      <w:r w:rsidR="0011588C" w:rsidRPr="09F23372">
        <w:rPr>
          <w:rFonts w:ascii="Times New Roman" w:eastAsia="Calibri" w:hAnsi="Times New Roman" w:cs="Times New Roman"/>
          <w:sz w:val="24"/>
          <w:szCs w:val="24"/>
        </w:rPr>
        <w:t>https://subjekty.nbs.sk/</w:t>
      </w:r>
      <w:r w:rsidR="000D68B6" w:rsidRPr="09F23372">
        <w:rPr>
          <w:rFonts w:ascii="Times New Roman" w:eastAsia="Calibri" w:hAnsi="Times New Roman" w:cs="Times New Roman"/>
          <w:sz w:val="24"/>
          <w:szCs w:val="24"/>
        </w:rPr>
        <w:t xml:space="preserve">) a bol určený expertným odhadom na základe združenia zverejnených údajov na cca </w:t>
      </w:r>
      <w:r w:rsidR="000E74C6" w:rsidRPr="09F23372">
        <w:rPr>
          <w:rFonts w:ascii="Times New Roman" w:eastAsia="Calibri" w:hAnsi="Times New Roman" w:cs="Times New Roman"/>
          <w:sz w:val="24"/>
          <w:szCs w:val="24"/>
        </w:rPr>
        <w:t>200, vychádzajúc z toho, že musíme započítať minimálne subjekty</w:t>
      </w:r>
      <w:r w:rsidR="7EFA955C" w:rsidRPr="09F23372">
        <w:rPr>
          <w:rFonts w:ascii="Times New Roman" w:eastAsia="Calibri" w:hAnsi="Times New Roman" w:cs="Times New Roman"/>
          <w:sz w:val="24"/>
          <w:szCs w:val="24"/>
        </w:rPr>
        <w:t>,</w:t>
      </w:r>
      <w:r w:rsidR="000E74C6" w:rsidRPr="09F23372">
        <w:rPr>
          <w:rFonts w:ascii="Times New Roman" w:eastAsia="Calibri" w:hAnsi="Times New Roman" w:cs="Times New Roman"/>
          <w:sz w:val="24"/>
          <w:szCs w:val="24"/>
        </w:rPr>
        <w:t xml:space="preserve"> ako sú banky</w:t>
      </w:r>
      <w:r w:rsidR="006A7B8B" w:rsidRPr="09F23372">
        <w:rPr>
          <w:rFonts w:ascii="Times New Roman" w:eastAsia="Calibri" w:hAnsi="Times New Roman" w:cs="Times New Roman"/>
          <w:sz w:val="24"/>
          <w:szCs w:val="24"/>
        </w:rPr>
        <w:t xml:space="preserve"> (počet cca 23)</w:t>
      </w:r>
      <w:r w:rsidR="000E74C6" w:rsidRPr="09F23372">
        <w:rPr>
          <w:rFonts w:ascii="Times New Roman" w:eastAsia="Calibri" w:hAnsi="Times New Roman" w:cs="Times New Roman"/>
          <w:sz w:val="24"/>
          <w:szCs w:val="24"/>
        </w:rPr>
        <w:t>, poi</w:t>
      </w:r>
      <w:r w:rsidR="00CD4076" w:rsidRPr="09F23372">
        <w:rPr>
          <w:rFonts w:ascii="Times New Roman" w:eastAsia="Calibri" w:hAnsi="Times New Roman" w:cs="Times New Roman"/>
          <w:sz w:val="24"/>
          <w:szCs w:val="24"/>
        </w:rPr>
        <w:t>sťovne</w:t>
      </w:r>
      <w:r w:rsidR="006A7B8B" w:rsidRPr="09F23372">
        <w:rPr>
          <w:rFonts w:ascii="Times New Roman" w:eastAsia="Calibri" w:hAnsi="Times New Roman" w:cs="Times New Roman"/>
          <w:sz w:val="24"/>
          <w:szCs w:val="24"/>
        </w:rPr>
        <w:t xml:space="preserve"> (počet cca 25)</w:t>
      </w:r>
      <w:r w:rsidR="00CD4076" w:rsidRPr="09F23372">
        <w:rPr>
          <w:rFonts w:ascii="Times New Roman" w:eastAsia="Calibri" w:hAnsi="Times New Roman" w:cs="Times New Roman"/>
          <w:sz w:val="24"/>
          <w:szCs w:val="24"/>
        </w:rPr>
        <w:t>, veritelia podľa zákona</w:t>
      </w:r>
      <w:r w:rsidR="000E74C6" w:rsidRPr="09F23372">
        <w:rPr>
          <w:rFonts w:ascii="Times New Roman" w:eastAsia="Calibri" w:hAnsi="Times New Roman" w:cs="Times New Roman"/>
          <w:sz w:val="24"/>
          <w:szCs w:val="24"/>
        </w:rPr>
        <w:t xml:space="preserve"> č. 129/2010 Z. z. o </w:t>
      </w:r>
      <w:r w:rsidR="000E74C6" w:rsidRPr="09F23372">
        <w:rPr>
          <w:rFonts w:ascii="Times New Roman" w:eastAsia="Calibri" w:hAnsi="Times New Roman" w:cs="Times New Roman"/>
          <w:sz w:val="24"/>
          <w:szCs w:val="24"/>
        </w:rPr>
        <w:lastRenderedPageBreak/>
        <w:t>spotrebiteľských úveroch a o iných úveroch a pôžičkách pre spotrebiteľov a o zmene a doplnení ni</w:t>
      </w:r>
      <w:r w:rsidR="00CD4076" w:rsidRPr="09F23372">
        <w:rPr>
          <w:rFonts w:ascii="Times New Roman" w:eastAsia="Calibri" w:hAnsi="Times New Roman" w:cs="Times New Roman"/>
          <w:sz w:val="24"/>
          <w:szCs w:val="24"/>
        </w:rPr>
        <w:t xml:space="preserve">ektorých zákonov (ďalej len </w:t>
      </w:r>
      <w:r w:rsidR="000E74C6" w:rsidRPr="09F23372">
        <w:rPr>
          <w:rFonts w:ascii="Times New Roman" w:eastAsia="Calibri" w:hAnsi="Times New Roman" w:cs="Times New Roman"/>
          <w:sz w:val="24"/>
          <w:szCs w:val="24"/>
        </w:rPr>
        <w:t>„zákon o spotrebiteľských úveroch“)</w:t>
      </w:r>
      <w:r w:rsidR="006A7B8B" w:rsidRPr="09F23372">
        <w:rPr>
          <w:rFonts w:ascii="Times New Roman" w:eastAsia="Calibri" w:hAnsi="Times New Roman" w:cs="Times New Roman"/>
          <w:sz w:val="24"/>
          <w:szCs w:val="24"/>
        </w:rPr>
        <w:t xml:space="preserve"> (počet cca 32)</w:t>
      </w:r>
      <w:r w:rsidR="000E74C6" w:rsidRPr="09F23372">
        <w:rPr>
          <w:rFonts w:ascii="Times New Roman" w:eastAsia="Calibri" w:hAnsi="Times New Roman" w:cs="Times New Roman"/>
          <w:sz w:val="24"/>
          <w:szCs w:val="24"/>
        </w:rPr>
        <w:t xml:space="preserve">, </w:t>
      </w:r>
      <w:proofErr w:type="spellStart"/>
      <w:r w:rsidR="000E74C6" w:rsidRPr="09F23372">
        <w:rPr>
          <w:rFonts w:ascii="Times New Roman" w:eastAsia="Calibri" w:hAnsi="Times New Roman" w:cs="Times New Roman"/>
          <w:sz w:val="24"/>
          <w:szCs w:val="24"/>
        </w:rPr>
        <w:t>fintech</w:t>
      </w:r>
      <w:proofErr w:type="spellEnd"/>
      <w:r w:rsidR="00C06F77" w:rsidRPr="09F23372">
        <w:rPr>
          <w:rFonts w:ascii="Times New Roman" w:eastAsia="Calibri" w:hAnsi="Times New Roman" w:cs="Times New Roman"/>
          <w:sz w:val="24"/>
          <w:szCs w:val="24"/>
        </w:rPr>
        <w:t xml:space="preserve"> spoločnosti </w:t>
      </w:r>
      <w:r w:rsidR="006A7B8B" w:rsidRPr="09F23372">
        <w:rPr>
          <w:rFonts w:ascii="Times New Roman" w:eastAsia="Calibri" w:hAnsi="Times New Roman" w:cs="Times New Roman"/>
          <w:sz w:val="24"/>
          <w:szCs w:val="24"/>
        </w:rPr>
        <w:t xml:space="preserve">(počet cca </w:t>
      </w:r>
      <w:r w:rsidR="007D0B4B" w:rsidRPr="09F23372">
        <w:rPr>
          <w:rFonts w:ascii="Times New Roman" w:eastAsia="Calibri" w:hAnsi="Times New Roman" w:cs="Times New Roman"/>
          <w:sz w:val="24"/>
          <w:szCs w:val="24"/>
        </w:rPr>
        <w:t>25</w:t>
      </w:r>
      <w:r w:rsidR="00DB7650" w:rsidRPr="09F23372">
        <w:rPr>
          <w:rFonts w:ascii="Times New Roman" w:eastAsia="Calibri" w:hAnsi="Times New Roman" w:cs="Times New Roman"/>
          <w:sz w:val="24"/>
          <w:szCs w:val="24"/>
        </w:rPr>
        <w:t xml:space="preserve"> – údaj podľa údajov Slovenskej </w:t>
      </w:r>
      <w:proofErr w:type="spellStart"/>
      <w:r w:rsidR="00DB7650" w:rsidRPr="09F23372">
        <w:rPr>
          <w:rFonts w:ascii="Times New Roman" w:eastAsia="Calibri" w:hAnsi="Times New Roman" w:cs="Times New Roman"/>
          <w:sz w:val="24"/>
          <w:szCs w:val="24"/>
        </w:rPr>
        <w:t>fintech</w:t>
      </w:r>
      <w:proofErr w:type="spellEnd"/>
      <w:r w:rsidR="00DB7650" w:rsidRPr="09F23372">
        <w:rPr>
          <w:rFonts w:ascii="Times New Roman" w:eastAsia="Calibri" w:hAnsi="Times New Roman" w:cs="Times New Roman"/>
          <w:sz w:val="24"/>
          <w:szCs w:val="24"/>
        </w:rPr>
        <w:t xml:space="preserve"> asociácie</w:t>
      </w:r>
      <w:r w:rsidR="006A7B8B" w:rsidRPr="09F23372">
        <w:rPr>
          <w:rFonts w:ascii="Times New Roman" w:eastAsia="Calibri" w:hAnsi="Times New Roman" w:cs="Times New Roman"/>
          <w:sz w:val="24"/>
          <w:szCs w:val="24"/>
        </w:rPr>
        <w:t>)</w:t>
      </w:r>
      <w:r w:rsidR="00C06F77" w:rsidRPr="09F23372">
        <w:rPr>
          <w:rFonts w:ascii="Times New Roman" w:eastAsia="Calibri" w:hAnsi="Times New Roman" w:cs="Times New Roman"/>
          <w:sz w:val="24"/>
          <w:szCs w:val="24"/>
        </w:rPr>
        <w:t>,</w:t>
      </w:r>
      <w:r w:rsidR="000E74C6" w:rsidRPr="09F23372">
        <w:rPr>
          <w:rFonts w:ascii="Times New Roman" w:eastAsia="Calibri" w:hAnsi="Times New Roman" w:cs="Times New Roman"/>
          <w:sz w:val="24"/>
          <w:szCs w:val="24"/>
        </w:rPr>
        <w:t xml:space="preserve"> poskytovatelia platobných služieb a iných finančných služieb</w:t>
      </w:r>
      <w:r w:rsidR="00C06F77" w:rsidRPr="09F23372">
        <w:rPr>
          <w:rFonts w:ascii="Times New Roman" w:eastAsia="Calibri" w:hAnsi="Times New Roman" w:cs="Times New Roman"/>
          <w:sz w:val="24"/>
          <w:szCs w:val="24"/>
        </w:rPr>
        <w:t xml:space="preserve"> (počet cca </w:t>
      </w:r>
      <w:r w:rsidR="007D0B4B" w:rsidRPr="09F23372">
        <w:rPr>
          <w:rFonts w:ascii="Times New Roman" w:eastAsia="Calibri" w:hAnsi="Times New Roman" w:cs="Times New Roman"/>
          <w:sz w:val="24"/>
          <w:szCs w:val="24"/>
        </w:rPr>
        <w:t>42</w:t>
      </w:r>
      <w:r w:rsidR="00C06F77" w:rsidRPr="09F23372">
        <w:rPr>
          <w:rFonts w:ascii="Times New Roman" w:eastAsia="Calibri" w:hAnsi="Times New Roman" w:cs="Times New Roman"/>
          <w:sz w:val="24"/>
          <w:szCs w:val="24"/>
        </w:rPr>
        <w:t>)</w:t>
      </w:r>
      <w:r w:rsidR="000E74C6" w:rsidRPr="09F23372">
        <w:rPr>
          <w:rFonts w:ascii="Times New Roman" w:eastAsia="Calibri" w:hAnsi="Times New Roman" w:cs="Times New Roman"/>
          <w:sz w:val="24"/>
          <w:szCs w:val="24"/>
        </w:rPr>
        <w:t xml:space="preserve">, obchodníci s cennými papiermi </w:t>
      </w:r>
      <w:r w:rsidR="00C06F77" w:rsidRPr="09F23372">
        <w:rPr>
          <w:rFonts w:ascii="Times New Roman" w:eastAsia="Calibri" w:hAnsi="Times New Roman" w:cs="Times New Roman"/>
          <w:sz w:val="24"/>
          <w:szCs w:val="24"/>
        </w:rPr>
        <w:t xml:space="preserve">(počet cca 27) </w:t>
      </w:r>
      <w:r w:rsidR="000E74C6" w:rsidRPr="09F23372">
        <w:rPr>
          <w:rFonts w:ascii="Times New Roman" w:eastAsia="Calibri" w:hAnsi="Times New Roman" w:cs="Times New Roman"/>
          <w:sz w:val="24"/>
          <w:szCs w:val="24"/>
        </w:rPr>
        <w:t>a investičné spoločnosti</w:t>
      </w:r>
      <w:r w:rsidR="00C06F77" w:rsidRPr="09F23372">
        <w:rPr>
          <w:rFonts w:ascii="Times New Roman" w:eastAsia="Calibri" w:hAnsi="Times New Roman" w:cs="Times New Roman"/>
          <w:sz w:val="24"/>
          <w:szCs w:val="24"/>
        </w:rPr>
        <w:t xml:space="preserve"> (počet cca 26)</w:t>
      </w:r>
      <w:r w:rsidR="000E74C6" w:rsidRPr="09F23372">
        <w:rPr>
          <w:rFonts w:ascii="Times New Roman" w:eastAsia="Calibri" w:hAnsi="Times New Roman" w:cs="Times New Roman"/>
          <w:sz w:val="24"/>
          <w:szCs w:val="24"/>
        </w:rPr>
        <w:t>.</w:t>
      </w:r>
      <w:r w:rsidR="007D0B4B" w:rsidRPr="09F23372">
        <w:rPr>
          <w:rFonts w:ascii="Times New Roman" w:eastAsia="Calibri" w:hAnsi="Times New Roman" w:cs="Times New Roman"/>
          <w:sz w:val="24"/>
          <w:szCs w:val="24"/>
        </w:rPr>
        <w:t xml:space="preserve"> </w:t>
      </w:r>
      <w:r w:rsidR="00DB7650" w:rsidRPr="09F23372">
        <w:rPr>
          <w:rFonts w:ascii="Times New Roman" w:eastAsia="Calibri" w:hAnsi="Times New Roman" w:cs="Times New Roman"/>
          <w:sz w:val="24"/>
          <w:szCs w:val="24"/>
        </w:rPr>
        <w:t>Počet je iba približný</w:t>
      </w:r>
      <w:r w:rsidR="103E66A1" w:rsidRPr="09F23372">
        <w:rPr>
          <w:rFonts w:ascii="Times New Roman" w:eastAsia="Calibri" w:hAnsi="Times New Roman" w:cs="Times New Roman"/>
          <w:sz w:val="24"/>
          <w:szCs w:val="24"/>
        </w:rPr>
        <w:t>,</w:t>
      </w:r>
      <w:r w:rsidR="00DB7650" w:rsidRPr="09F23372">
        <w:rPr>
          <w:rFonts w:ascii="Times New Roman" w:eastAsia="Calibri" w:hAnsi="Times New Roman" w:cs="Times New Roman"/>
          <w:sz w:val="24"/>
          <w:szCs w:val="24"/>
        </w:rPr>
        <w:t xml:space="preserve"> nakoľko Ministerstvo financií SR ani NBS nedisponuje štatistickými údajmi</w:t>
      </w:r>
      <w:r w:rsidR="3F8C4B74" w:rsidRPr="09F23372">
        <w:rPr>
          <w:rFonts w:ascii="Times New Roman" w:eastAsia="Calibri" w:hAnsi="Times New Roman" w:cs="Times New Roman"/>
          <w:sz w:val="24"/>
          <w:szCs w:val="24"/>
        </w:rPr>
        <w:t>,</w:t>
      </w:r>
      <w:r w:rsidR="00DB7650" w:rsidRPr="09F23372">
        <w:rPr>
          <w:rFonts w:ascii="Times New Roman" w:eastAsia="Calibri" w:hAnsi="Times New Roman" w:cs="Times New Roman"/>
          <w:sz w:val="24"/>
          <w:szCs w:val="24"/>
        </w:rPr>
        <w:t xml:space="preserve"> koľko obchodníkov poskytujúcich finančné služby na diaľku na území SR pôsobí, taktiež nie všetky vyššie uvedené subjekty musia poskytovať finančné služby na diaľku. Presný výpočet tak nie je možné určiť, možno však uviesť iba expertný odhad počtu týchto subjektov. </w:t>
      </w:r>
      <w:r w:rsidR="000E74C6" w:rsidRPr="09F23372">
        <w:rPr>
          <w:rFonts w:ascii="Times New Roman" w:eastAsia="Calibri" w:hAnsi="Times New Roman" w:cs="Times New Roman"/>
          <w:sz w:val="24"/>
          <w:szCs w:val="24"/>
        </w:rPr>
        <w:t xml:space="preserve">Nepriame finančné náklady, ako aj administratívna záťaž sa predpokladá jednorazovo. </w:t>
      </w:r>
    </w:p>
    <w:p w14:paraId="67336C6D" w14:textId="2BB378E3" w:rsidR="00673F1C" w:rsidRPr="00673F1C" w:rsidRDefault="00673F1C" w:rsidP="00673F1C">
      <w:pPr>
        <w:jc w:val="both"/>
        <w:rPr>
          <w:rFonts w:ascii="Times New Roman" w:eastAsia="Calibri" w:hAnsi="Times New Roman" w:cs="Times New Roman"/>
          <w:i/>
          <w:sz w:val="24"/>
          <w:szCs w:val="24"/>
        </w:rPr>
      </w:pPr>
    </w:p>
    <w:p w14:paraId="1F316AB1" w14:textId="4CE4A049" w:rsidR="00673F1C"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Nastavenie formy informácií pre spotrebiteľov so zdravotným postihnutím</w:t>
      </w:r>
    </w:p>
    <w:p w14:paraId="79E5EA35" w14:textId="4294C092" w:rsidR="00A755A1" w:rsidRDefault="00A755A1" w:rsidP="00A755A1">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Regulá</w:t>
      </w:r>
      <w:r w:rsidR="00D71C21" w:rsidRPr="09F23372">
        <w:rPr>
          <w:rFonts w:ascii="Times New Roman" w:eastAsia="Calibri" w:hAnsi="Times New Roman" w:cs="Times New Roman"/>
          <w:sz w:val="24"/>
          <w:szCs w:val="24"/>
        </w:rPr>
        <w:t xml:space="preserve">cia zvyšuje nepriame finančné náklady a administratívnu záťaž dotknutých subjektov, ktorými sú obchodníci, ktorých expertný odhad bol učený rovnakých spôsobom ako v regulácii v bode 1 určený na 200 dotknutých subjektov – obchodníkov poskytujúcich finančné služby na diaľku. </w:t>
      </w:r>
      <w:r w:rsidR="00521316" w:rsidRPr="09F23372">
        <w:rPr>
          <w:rFonts w:ascii="Times New Roman" w:eastAsia="Calibri" w:hAnsi="Times New Roman" w:cs="Times New Roman"/>
          <w:sz w:val="24"/>
          <w:szCs w:val="24"/>
        </w:rPr>
        <w:t>Obchodníci budú povinní vytvoriť riešenie poskytovania predzmluvnej dokumentácie pre zdravotne postihnutých vo formáte, ktorý je pre to ktoré zdravotné postihnutie vhodný a bude pre daného spotrebiteľa zrozumiteľný. Následne bude potrebné riešenia zapracovať do vnútorných postupov a zabezpečiť, aby bol</w:t>
      </w:r>
      <w:r w:rsidR="0F15442A" w:rsidRPr="09F23372">
        <w:rPr>
          <w:rFonts w:ascii="Times New Roman" w:eastAsia="Calibri" w:hAnsi="Times New Roman" w:cs="Times New Roman"/>
          <w:sz w:val="24"/>
          <w:szCs w:val="24"/>
        </w:rPr>
        <w:t>i</w:t>
      </w:r>
      <w:r w:rsidR="00521316" w:rsidRPr="09F23372">
        <w:rPr>
          <w:rFonts w:ascii="Times New Roman" w:eastAsia="Calibri" w:hAnsi="Times New Roman" w:cs="Times New Roman"/>
          <w:sz w:val="24"/>
          <w:szCs w:val="24"/>
        </w:rPr>
        <w:t xml:space="preserve"> na požiadanie spotrebiteľa so zdravotným postihnutím aplikované. Predpokladaná výška nepriamych finančných nákladov sa odhaduje na 5</w:t>
      </w:r>
      <w:r w:rsidR="4E7CC771" w:rsidRPr="09F23372">
        <w:rPr>
          <w:rFonts w:ascii="Times New Roman" w:eastAsia="Calibri" w:hAnsi="Times New Roman" w:cs="Times New Roman"/>
          <w:sz w:val="24"/>
          <w:szCs w:val="24"/>
        </w:rPr>
        <w:t xml:space="preserve"> </w:t>
      </w:r>
      <w:r w:rsidR="00521316" w:rsidRPr="09F23372">
        <w:rPr>
          <w:rFonts w:ascii="Times New Roman" w:eastAsia="Calibri" w:hAnsi="Times New Roman" w:cs="Times New Roman"/>
          <w:sz w:val="24"/>
          <w:szCs w:val="24"/>
        </w:rPr>
        <w:t>000</w:t>
      </w:r>
      <w:r w:rsidR="59563C41" w:rsidRPr="09F23372">
        <w:rPr>
          <w:rFonts w:ascii="Times New Roman" w:eastAsia="Calibri" w:hAnsi="Times New Roman" w:cs="Times New Roman"/>
          <w:sz w:val="24"/>
          <w:szCs w:val="24"/>
        </w:rPr>
        <w:t>,-</w:t>
      </w:r>
      <w:r w:rsidR="00521316" w:rsidRPr="09F23372">
        <w:rPr>
          <w:rFonts w:ascii="Times New Roman" w:eastAsia="Calibri" w:hAnsi="Times New Roman" w:cs="Times New Roman"/>
          <w:sz w:val="24"/>
          <w:szCs w:val="24"/>
        </w:rPr>
        <w:t xml:space="preserve"> eur na 1 obchodníka, pričom konkrétna výška bude závisieť od toho, či už obchodník takýto systém má zavedený z vlastnej iniciatívy</w:t>
      </w:r>
      <w:r w:rsidR="00CD4076" w:rsidRPr="09F23372">
        <w:rPr>
          <w:rFonts w:ascii="Times New Roman" w:eastAsia="Calibri" w:hAnsi="Times New Roman" w:cs="Times New Roman"/>
          <w:sz w:val="24"/>
          <w:szCs w:val="24"/>
        </w:rPr>
        <w:t xml:space="preserve"> alebo nie</w:t>
      </w:r>
      <w:r w:rsidR="00521316" w:rsidRPr="09F23372">
        <w:rPr>
          <w:rFonts w:ascii="Times New Roman" w:eastAsia="Calibri" w:hAnsi="Times New Roman" w:cs="Times New Roman"/>
          <w:sz w:val="24"/>
          <w:szCs w:val="24"/>
        </w:rPr>
        <w:t>, od miery digitalizácie obchodníka a od počtu produktov, na ktoré bude povinný dané riešenie aplikovať. Nepriame finančné náklady</w:t>
      </w:r>
      <w:r w:rsidR="00CD4076" w:rsidRPr="09F23372">
        <w:rPr>
          <w:rFonts w:ascii="Times New Roman" w:eastAsia="Calibri" w:hAnsi="Times New Roman" w:cs="Times New Roman"/>
          <w:sz w:val="24"/>
          <w:szCs w:val="24"/>
        </w:rPr>
        <w:t>,</w:t>
      </w:r>
      <w:r w:rsidR="00521316" w:rsidRPr="09F23372">
        <w:rPr>
          <w:rFonts w:ascii="Times New Roman" w:eastAsia="Calibri" w:hAnsi="Times New Roman" w:cs="Times New Roman"/>
          <w:sz w:val="24"/>
          <w:szCs w:val="24"/>
        </w:rPr>
        <w:t xml:space="preserve"> ako aj administratívna záťaž sa predpokladajú jednorazovo.</w:t>
      </w:r>
    </w:p>
    <w:p w14:paraId="26C5615A" w14:textId="11F7F789" w:rsidR="00A755A1" w:rsidRDefault="00A755A1" w:rsidP="00A755A1">
      <w:pPr>
        <w:jc w:val="both"/>
        <w:rPr>
          <w:rFonts w:ascii="Times New Roman" w:eastAsia="Calibri" w:hAnsi="Times New Roman" w:cs="Times New Roman"/>
          <w:sz w:val="24"/>
          <w:szCs w:val="24"/>
        </w:rPr>
      </w:pPr>
    </w:p>
    <w:p w14:paraId="70DFFC89" w14:textId="58888BD4" w:rsid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Pripomenutie možnosti o</w:t>
      </w:r>
      <w:r>
        <w:rPr>
          <w:rFonts w:ascii="Times New Roman" w:eastAsia="Calibri" w:hAnsi="Times New Roman" w:cs="Times New Roman"/>
          <w:i/>
          <w:sz w:val="24"/>
          <w:szCs w:val="24"/>
        </w:rPr>
        <w:t> </w:t>
      </w:r>
      <w:r w:rsidRPr="00A755A1">
        <w:rPr>
          <w:rFonts w:ascii="Times New Roman" w:eastAsia="Calibri" w:hAnsi="Times New Roman" w:cs="Times New Roman"/>
          <w:i/>
          <w:sz w:val="24"/>
          <w:szCs w:val="24"/>
        </w:rPr>
        <w:t>odstúpení</w:t>
      </w:r>
    </w:p>
    <w:p w14:paraId="78B10737" w14:textId="4606C1B5" w:rsidR="00A755A1" w:rsidRPr="00521316" w:rsidRDefault="00521316" w:rsidP="00A755A1">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Ustanovuje sa povinnosť obchodníka poskytujúceho finančné služby na diaľku pripomenúť spotrebiteľovi možnosť o odstúpení od zmluvy uzavretej na diaľku v prípade, </w:t>
      </w:r>
      <w:r w:rsidRPr="09F23372">
        <w:rPr>
          <w:rFonts w:ascii="Times New Roman" w:hAnsi="Times New Roman"/>
          <w:color w:val="000000" w:themeColor="text1"/>
          <w:sz w:val="24"/>
          <w:szCs w:val="24"/>
        </w:rPr>
        <w:t>ak sa</w:t>
      </w:r>
      <w:r w:rsidR="003817D2" w:rsidRPr="09F23372">
        <w:rPr>
          <w:rFonts w:ascii="Times New Roman" w:hAnsi="Times New Roman"/>
          <w:color w:val="000000" w:themeColor="text1"/>
          <w:sz w:val="24"/>
          <w:szCs w:val="24"/>
        </w:rPr>
        <w:t xml:space="preserve"> predzmluvné informácie</w:t>
      </w:r>
      <w:r w:rsidRPr="09F23372">
        <w:rPr>
          <w:rFonts w:ascii="Times New Roman" w:hAnsi="Times New Roman"/>
          <w:color w:val="000000" w:themeColor="text1"/>
          <w:sz w:val="24"/>
          <w:szCs w:val="24"/>
        </w:rPr>
        <w:t xml:space="preserve"> poskytnú spotrebiteľovi menej než jeden deň predtým, ako začne byť spotrebiteľ viazaný zmluvou uzavretou na diaľku alebo jej ponukou.</w:t>
      </w:r>
      <w:r w:rsidR="003817D2" w:rsidRPr="09F23372">
        <w:rPr>
          <w:rFonts w:ascii="Times New Roman" w:hAnsi="Times New Roman"/>
          <w:color w:val="000000" w:themeColor="text1"/>
          <w:sz w:val="24"/>
          <w:szCs w:val="24"/>
        </w:rPr>
        <w:t xml:space="preserve"> Zavedenie predmetnej regulácie bude predstavovať administratívnu záťaž v zmysle potreby oboznámenia sa s reguláciou, zapracovaním postupu do vnútorných procesov dotknutého subjektu a vytvorením systému na pripomenutie odstúpenia od zmluvy – konkrétna záťaž bude závisieť od toho, či dotknutý subjekt bude ako trvanlivé médium využívať digitálnu formu alebo listinnú formu. Predpokladané nepriame finančné náklady súvisiace s reguláciou sú odhadované na 5</w:t>
      </w:r>
      <w:r w:rsidR="6C2F506E" w:rsidRPr="09F23372">
        <w:rPr>
          <w:rFonts w:ascii="Times New Roman" w:hAnsi="Times New Roman"/>
          <w:color w:val="000000" w:themeColor="text1"/>
          <w:sz w:val="24"/>
          <w:szCs w:val="24"/>
        </w:rPr>
        <w:t xml:space="preserve"> </w:t>
      </w:r>
      <w:r w:rsidR="003817D2" w:rsidRPr="09F23372">
        <w:rPr>
          <w:rFonts w:ascii="Times New Roman" w:hAnsi="Times New Roman"/>
          <w:color w:val="000000" w:themeColor="text1"/>
          <w:sz w:val="24"/>
          <w:szCs w:val="24"/>
        </w:rPr>
        <w:t>000</w:t>
      </w:r>
      <w:r w:rsidR="14D2833C" w:rsidRPr="09F23372">
        <w:rPr>
          <w:rFonts w:ascii="Times New Roman" w:hAnsi="Times New Roman"/>
          <w:color w:val="000000" w:themeColor="text1"/>
          <w:sz w:val="24"/>
          <w:szCs w:val="24"/>
        </w:rPr>
        <w:t>,-</w:t>
      </w:r>
      <w:r w:rsidR="003817D2" w:rsidRPr="09F23372">
        <w:rPr>
          <w:rFonts w:ascii="Times New Roman" w:hAnsi="Times New Roman"/>
          <w:color w:val="000000" w:themeColor="text1"/>
          <w:sz w:val="24"/>
          <w:szCs w:val="24"/>
        </w:rPr>
        <w:t xml:space="preserve"> eur na jedného podnikateľa jednorazovo, pričom konkrétna výška bude závisieť hlavne od miery digitalizácie dotknutého subjektu a</w:t>
      </w:r>
      <w:r w:rsidR="00CD4076" w:rsidRPr="09F23372">
        <w:rPr>
          <w:rFonts w:ascii="Times New Roman" w:hAnsi="Times New Roman"/>
          <w:color w:val="000000" w:themeColor="text1"/>
          <w:sz w:val="24"/>
          <w:szCs w:val="24"/>
        </w:rPr>
        <w:t xml:space="preserve"> od</w:t>
      </w:r>
      <w:r w:rsidR="003817D2" w:rsidRPr="09F23372">
        <w:rPr>
          <w:rFonts w:ascii="Times New Roman" w:hAnsi="Times New Roman"/>
          <w:color w:val="000000" w:themeColor="text1"/>
          <w:sz w:val="24"/>
          <w:szCs w:val="24"/>
        </w:rPr>
        <w:t xml:space="preserve"> počtu finančných služieb, na ktoré dotknutý subjekt bude povinný reguláciu aplikovať. Rovnako ako v predchádzajúcich reguláciách, počet dotknutých subjektov predstavuje expertný odhad vychádzajúci z dát zverejnených NBS a je to 200 obchodníkov poskytujúcich finančné služby na diaľku. Administratívna záťaž sa taktiež predpokladá jednorazovo. </w:t>
      </w:r>
    </w:p>
    <w:p w14:paraId="1F090DB2" w14:textId="77777777" w:rsidR="00521316" w:rsidRDefault="00521316" w:rsidP="00A755A1">
      <w:pPr>
        <w:jc w:val="both"/>
        <w:rPr>
          <w:rFonts w:ascii="Times New Roman" w:eastAsia="Calibri" w:hAnsi="Times New Roman" w:cs="Times New Roman"/>
          <w:i/>
          <w:sz w:val="24"/>
          <w:szCs w:val="24"/>
        </w:rPr>
      </w:pPr>
    </w:p>
    <w:p w14:paraId="0CDF53FE" w14:textId="3A4A1A64" w:rsid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lastRenderedPageBreak/>
        <w:t>Zmena zobrazenia informácií elektronicky</w:t>
      </w:r>
      <w:r w:rsidR="00735821">
        <w:rPr>
          <w:rFonts w:ascii="Times New Roman" w:eastAsia="Calibri" w:hAnsi="Times New Roman" w:cs="Times New Roman"/>
          <w:i/>
          <w:sz w:val="24"/>
          <w:szCs w:val="24"/>
        </w:rPr>
        <w:t xml:space="preserve"> (nastavenie vrstvenia)</w:t>
      </w:r>
    </w:p>
    <w:p w14:paraId="3EE0383F" w14:textId="4AC1AD87" w:rsidR="00A755A1" w:rsidRDefault="00383DC2" w:rsidP="00541675">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Zmena pr</w:t>
      </w:r>
      <w:r w:rsidR="00541675" w:rsidRPr="09F23372">
        <w:rPr>
          <w:rFonts w:ascii="Times New Roman" w:eastAsia="Calibri" w:hAnsi="Times New Roman" w:cs="Times New Roman"/>
          <w:sz w:val="24"/>
          <w:szCs w:val="24"/>
        </w:rPr>
        <w:t>edmetnej regulácie spôsobí</w:t>
      </w:r>
      <w:r w:rsidRPr="09F23372">
        <w:rPr>
          <w:rFonts w:ascii="Times New Roman" w:eastAsia="Calibri" w:hAnsi="Times New Roman" w:cs="Times New Roman"/>
          <w:sz w:val="24"/>
          <w:szCs w:val="24"/>
        </w:rPr>
        <w:t xml:space="preserve"> nepriame finančné náklady  a administratívnu záťaž pre dotknuté subjekty, ktorými sú obchodníci poskytujúcich finančné služby na diaľku, a to v dôsledku potreby oboznámenia sa s reguláciou, preskúmania vlastného nastavenia</w:t>
      </w:r>
      <w:r w:rsidR="268EDE01"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tzv. vrstvenia pri konkrétnych produktoch a následne vypracovania riešenia a jeho zverejnenia v online prostredí. Predpokladané nepriame finančné náklady sú určené expertným odhadom a predstavujú výšku 10 000</w:t>
      </w:r>
      <w:r w:rsidR="10C55438"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eur na jedného podnikateľa, pričom konkrétna výška pri jednotlivých dotknutých subjektoch bude závisieť od miery digitalizácie konkrétneho subjektu a vzhľadom na to potreby zásahu do online prostredia, od toho</w:t>
      </w:r>
      <w:r w:rsidR="60DC7BF0"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do akej miery už subjekt má regulačnú požiadavku splnenú a od toho, koľko poskytuje finančných služieb spadajúcich pod predmetnú reguláciu. </w:t>
      </w:r>
      <w:r w:rsidR="004C772A" w:rsidRPr="09F23372">
        <w:rPr>
          <w:rFonts w:ascii="Times New Roman" w:eastAsia="Calibri" w:hAnsi="Times New Roman" w:cs="Times New Roman"/>
          <w:sz w:val="24"/>
          <w:szCs w:val="24"/>
        </w:rPr>
        <w:t>Administratívna záťaž a nepriame finančné náklady sa predpokladajú jednorazovo a počet dotknutých subjektov vychádzajúc z postupov podľa predchádzajúcich regulácií sa odhaduje na 200.</w:t>
      </w:r>
      <w:r w:rsidRPr="09F23372">
        <w:rPr>
          <w:rFonts w:ascii="Times New Roman" w:eastAsia="Calibri" w:hAnsi="Times New Roman" w:cs="Times New Roman"/>
          <w:sz w:val="24"/>
          <w:szCs w:val="24"/>
        </w:rPr>
        <w:t xml:space="preserve"> </w:t>
      </w:r>
    </w:p>
    <w:p w14:paraId="4A15270F" w14:textId="77777777" w:rsidR="00764E20" w:rsidRPr="00764E20" w:rsidRDefault="00764E20" w:rsidP="00764E20">
      <w:pPr>
        <w:rPr>
          <w:rFonts w:ascii="Times New Roman" w:eastAsia="Calibri" w:hAnsi="Times New Roman" w:cs="Times New Roman"/>
          <w:sz w:val="24"/>
          <w:szCs w:val="24"/>
        </w:rPr>
      </w:pPr>
    </w:p>
    <w:p w14:paraId="658250A6" w14:textId="2ECCAD7A" w:rsid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Nastavenie systému poskytovania primeraných vysvetlení</w:t>
      </w:r>
    </w:p>
    <w:p w14:paraId="7D27E607" w14:textId="505884A2" w:rsidR="00A755A1" w:rsidRPr="00764E20" w:rsidRDefault="00764E20" w:rsidP="00A755A1">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Predmetná regulácia </w:t>
      </w:r>
      <w:r w:rsidR="00541675" w:rsidRPr="09F23372">
        <w:rPr>
          <w:rFonts w:ascii="Times New Roman" w:eastAsia="Calibri" w:hAnsi="Times New Roman" w:cs="Times New Roman"/>
          <w:sz w:val="24"/>
          <w:szCs w:val="24"/>
        </w:rPr>
        <w:t>bude</w:t>
      </w:r>
      <w:r w:rsidRPr="09F23372">
        <w:rPr>
          <w:rFonts w:ascii="Times New Roman" w:eastAsia="Calibri" w:hAnsi="Times New Roman" w:cs="Times New Roman"/>
          <w:sz w:val="24"/>
          <w:szCs w:val="24"/>
        </w:rPr>
        <w:t xml:space="preserve"> predstavovať zvýšenie nepriamych finančných nákladov a administratívnej záťaže dotknutých subjektov, ktorými sú obchodníci poskytujúci finančné služby na diaľku. Pri nastavení primeraných vysvetlení bude dotknutý subjekt povinný sa v prvom rade oboznámiť</w:t>
      </w:r>
      <w:r w:rsidR="0012789B" w:rsidRPr="09F23372">
        <w:rPr>
          <w:rFonts w:ascii="Times New Roman" w:eastAsia="Calibri" w:hAnsi="Times New Roman" w:cs="Times New Roman"/>
          <w:sz w:val="24"/>
          <w:szCs w:val="24"/>
        </w:rPr>
        <w:t xml:space="preserve"> </w:t>
      </w:r>
      <w:r w:rsidRPr="09F23372">
        <w:rPr>
          <w:rFonts w:ascii="Times New Roman" w:eastAsia="Calibri" w:hAnsi="Times New Roman" w:cs="Times New Roman"/>
          <w:sz w:val="24"/>
          <w:szCs w:val="24"/>
        </w:rPr>
        <w:t xml:space="preserve">s reguláciou, následne vypracovať primerané vysvetlenia pre konkrétne finančné služby a produkty a zabezpečiť ich poskytnutie a zverejnenie v požadovanej forme. </w:t>
      </w:r>
      <w:r w:rsidR="00EE31C2" w:rsidRPr="09F23372">
        <w:rPr>
          <w:rFonts w:ascii="Times New Roman" w:eastAsia="Calibri" w:hAnsi="Times New Roman" w:cs="Times New Roman"/>
          <w:sz w:val="24"/>
          <w:szCs w:val="24"/>
        </w:rPr>
        <w:t>Celý tento proces bude následne potrebné zapracovať do vnútorných predpisov, aby sa tak zabezpečila aplikácia aj n</w:t>
      </w:r>
      <w:r w:rsidR="0012789B" w:rsidRPr="09F23372">
        <w:rPr>
          <w:rFonts w:ascii="Times New Roman" w:eastAsia="Calibri" w:hAnsi="Times New Roman" w:cs="Times New Roman"/>
          <w:sz w:val="24"/>
          <w:szCs w:val="24"/>
        </w:rPr>
        <w:t>a ďalšie nové finančné služby</w:t>
      </w:r>
      <w:r w:rsidR="00EE31C2" w:rsidRPr="09F23372">
        <w:rPr>
          <w:rFonts w:ascii="Times New Roman" w:eastAsia="Calibri" w:hAnsi="Times New Roman" w:cs="Times New Roman"/>
          <w:sz w:val="24"/>
          <w:szCs w:val="24"/>
        </w:rPr>
        <w:t>. Z toho dôvodu sa frekvencia administratívnych finančných nákladov predpokladá na nepravidelnej báze, podľa toho</w:t>
      </w:r>
      <w:r w:rsidR="639D4AB8" w:rsidRPr="09F23372">
        <w:rPr>
          <w:rFonts w:ascii="Times New Roman" w:eastAsia="Calibri" w:hAnsi="Times New Roman" w:cs="Times New Roman"/>
          <w:sz w:val="24"/>
          <w:szCs w:val="24"/>
        </w:rPr>
        <w:t>,</w:t>
      </w:r>
      <w:r w:rsidR="00EE31C2" w:rsidRPr="09F23372">
        <w:rPr>
          <w:rFonts w:ascii="Times New Roman" w:eastAsia="Calibri" w:hAnsi="Times New Roman" w:cs="Times New Roman"/>
          <w:sz w:val="24"/>
          <w:szCs w:val="24"/>
        </w:rPr>
        <w:t xml:space="preserve"> v akej frekvencii budú navrhované nové finančné produkty a služby u konkrétneho dotknutého subjektu. Predpokladané nepriame finančné náklady sú odhadované do výšky 20 000</w:t>
      </w:r>
      <w:r w:rsidR="6AB9C880" w:rsidRPr="09F23372">
        <w:rPr>
          <w:rFonts w:ascii="Times New Roman" w:eastAsia="Calibri" w:hAnsi="Times New Roman" w:cs="Times New Roman"/>
          <w:sz w:val="24"/>
          <w:szCs w:val="24"/>
        </w:rPr>
        <w:t>,-</w:t>
      </w:r>
      <w:r w:rsidR="00EE31C2" w:rsidRPr="09F23372">
        <w:rPr>
          <w:rFonts w:ascii="Times New Roman" w:eastAsia="Calibri" w:hAnsi="Times New Roman" w:cs="Times New Roman"/>
          <w:sz w:val="24"/>
          <w:szCs w:val="24"/>
        </w:rPr>
        <w:t xml:space="preserve"> eur na </w:t>
      </w:r>
      <w:r w:rsidR="00D803F3" w:rsidRPr="09F23372">
        <w:rPr>
          <w:rFonts w:ascii="Times New Roman" w:eastAsia="Calibri" w:hAnsi="Times New Roman" w:cs="Times New Roman"/>
          <w:sz w:val="24"/>
          <w:szCs w:val="24"/>
        </w:rPr>
        <w:t>jednej</w:t>
      </w:r>
      <w:r w:rsidR="00EE31C2" w:rsidRPr="09F23372">
        <w:rPr>
          <w:rFonts w:ascii="Times New Roman" w:eastAsia="Calibri" w:hAnsi="Times New Roman" w:cs="Times New Roman"/>
          <w:sz w:val="24"/>
          <w:szCs w:val="24"/>
        </w:rPr>
        <w:t xml:space="preserve"> dotknutý subjekt, pričom konkrétna výška bude závisieť od digitálnych možností dotknutého subjektu a od počtu finančných služieb a</w:t>
      </w:r>
      <w:r w:rsidR="0012789B" w:rsidRPr="09F23372">
        <w:rPr>
          <w:rFonts w:ascii="Times New Roman" w:eastAsia="Calibri" w:hAnsi="Times New Roman" w:cs="Times New Roman"/>
          <w:sz w:val="24"/>
          <w:szCs w:val="24"/>
        </w:rPr>
        <w:t> </w:t>
      </w:r>
      <w:r w:rsidR="00EE31C2" w:rsidRPr="09F23372">
        <w:rPr>
          <w:rFonts w:ascii="Times New Roman" w:eastAsia="Calibri" w:hAnsi="Times New Roman" w:cs="Times New Roman"/>
          <w:sz w:val="24"/>
          <w:szCs w:val="24"/>
        </w:rPr>
        <w:t>produktov</w:t>
      </w:r>
      <w:r w:rsidR="0012789B" w:rsidRPr="09F23372">
        <w:rPr>
          <w:rFonts w:ascii="Times New Roman" w:eastAsia="Calibri" w:hAnsi="Times New Roman" w:cs="Times New Roman"/>
          <w:sz w:val="24"/>
          <w:szCs w:val="24"/>
        </w:rPr>
        <w:t>,</w:t>
      </w:r>
      <w:r w:rsidR="00EE31C2" w:rsidRPr="09F23372">
        <w:rPr>
          <w:rFonts w:ascii="Times New Roman" w:eastAsia="Calibri" w:hAnsi="Times New Roman" w:cs="Times New Roman"/>
          <w:sz w:val="24"/>
          <w:szCs w:val="24"/>
        </w:rPr>
        <w:t xml:space="preserve"> na ktoré bude povinný predmetnú reguláciu aplikovať. </w:t>
      </w:r>
      <w:r w:rsidR="00D803F3" w:rsidRPr="09F23372">
        <w:rPr>
          <w:rFonts w:ascii="Times New Roman" w:eastAsia="Calibri" w:hAnsi="Times New Roman" w:cs="Times New Roman"/>
          <w:sz w:val="24"/>
          <w:szCs w:val="24"/>
        </w:rPr>
        <w:t>Nepriame finančné náklady sa predpokladajú jednorazovo</w:t>
      </w:r>
      <w:r w:rsidR="0012789B" w:rsidRPr="09F23372">
        <w:rPr>
          <w:rFonts w:ascii="Times New Roman" w:eastAsia="Calibri" w:hAnsi="Times New Roman" w:cs="Times New Roman"/>
          <w:sz w:val="24"/>
          <w:szCs w:val="24"/>
        </w:rPr>
        <w:t>,</w:t>
      </w:r>
      <w:r w:rsidR="00D803F3" w:rsidRPr="09F23372">
        <w:rPr>
          <w:rFonts w:ascii="Times New Roman" w:eastAsia="Calibri" w:hAnsi="Times New Roman" w:cs="Times New Roman"/>
          <w:sz w:val="24"/>
          <w:szCs w:val="24"/>
        </w:rPr>
        <w:t xml:space="preserve"> najmä na prispôsobenie systémov. Počet dotknutých subjektov sa rovnako ako v predchádzajúcich reguláciách odhaduje na 200 vychádzajúc z údajov zverejnených NBS.</w:t>
      </w:r>
    </w:p>
    <w:p w14:paraId="4F3D90C5" w14:textId="2E496CE5" w:rsidR="00A755A1" w:rsidRDefault="00A755A1" w:rsidP="00A755A1">
      <w:pPr>
        <w:jc w:val="both"/>
        <w:rPr>
          <w:rFonts w:ascii="Times New Roman" w:eastAsia="Calibri" w:hAnsi="Times New Roman" w:cs="Times New Roman"/>
          <w:i/>
          <w:sz w:val="24"/>
          <w:szCs w:val="24"/>
        </w:rPr>
      </w:pPr>
    </w:p>
    <w:p w14:paraId="51E349CF" w14:textId="72145C1D" w:rsid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Poskytnutie vysvetlení nie formou online rozhrania</w:t>
      </w:r>
    </w:p>
    <w:p w14:paraId="121EC604" w14:textId="1F9D3B22" w:rsidR="00A755A1" w:rsidRPr="00550874" w:rsidRDefault="00550874" w:rsidP="00A755A1">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Nastavenie systému možnosti spotrebiteľa poskytnúť mu primerané vysvetlenia bez použitia online rozhrania </w:t>
      </w:r>
      <w:r w:rsidR="00541675" w:rsidRPr="09F23372">
        <w:rPr>
          <w:rFonts w:ascii="Times New Roman" w:eastAsia="Calibri" w:hAnsi="Times New Roman" w:cs="Times New Roman"/>
          <w:sz w:val="24"/>
          <w:szCs w:val="24"/>
        </w:rPr>
        <w:t>bude</w:t>
      </w:r>
      <w:r w:rsidRPr="09F23372">
        <w:rPr>
          <w:rFonts w:ascii="Times New Roman" w:eastAsia="Calibri" w:hAnsi="Times New Roman" w:cs="Times New Roman"/>
          <w:sz w:val="24"/>
          <w:szCs w:val="24"/>
        </w:rPr>
        <w:t xml:space="preserve"> predstavovať nepriame finančné náklady a administratívnu záťaž pre dotknuté subjekty, ktorými sú obchodníci poskytujúci finančné služby na diaľku. To, ktorých </w:t>
      </w:r>
      <w:r w:rsidR="009036EA" w:rsidRPr="09F23372">
        <w:rPr>
          <w:rFonts w:ascii="Times New Roman" w:eastAsia="Calibri" w:hAnsi="Times New Roman" w:cs="Times New Roman"/>
          <w:sz w:val="24"/>
          <w:szCs w:val="24"/>
        </w:rPr>
        <w:t>konkrétnych</w:t>
      </w:r>
      <w:r w:rsidRPr="09F23372">
        <w:rPr>
          <w:rFonts w:ascii="Times New Roman" w:eastAsia="Calibri" w:hAnsi="Times New Roman" w:cs="Times New Roman"/>
          <w:sz w:val="24"/>
          <w:szCs w:val="24"/>
        </w:rPr>
        <w:t xml:space="preserve"> subjektov sa regulácia dotkne</w:t>
      </w:r>
      <w:r w:rsidR="5A85FA4D"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bude závisieť od toho, ktoré subjekty využívajú poradenstvo vo forme online rozhrania – ak takúto možnosť subjekt nevyužíva, predmetná regulácia sa ho nedotkne a nevzniknú mu žiadne náklady ani záťaž. </w:t>
      </w:r>
      <w:r w:rsidR="009036EA" w:rsidRPr="09F23372">
        <w:rPr>
          <w:rFonts w:ascii="Times New Roman" w:eastAsia="Calibri" w:hAnsi="Times New Roman" w:cs="Times New Roman"/>
          <w:sz w:val="24"/>
          <w:szCs w:val="24"/>
        </w:rPr>
        <w:t>V prípade</w:t>
      </w:r>
      <w:r w:rsidR="78DD16C3" w:rsidRPr="09F23372">
        <w:rPr>
          <w:rFonts w:ascii="Times New Roman" w:eastAsia="Calibri" w:hAnsi="Times New Roman" w:cs="Times New Roman"/>
          <w:sz w:val="24"/>
          <w:szCs w:val="24"/>
        </w:rPr>
        <w:t>,</w:t>
      </w:r>
      <w:r w:rsidR="009036EA" w:rsidRPr="09F23372">
        <w:rPr>
          <w:rFonts w:ascii="Times New Roman" w:eastAsia="Calibri" w:hAnsi="Times New Roman" w:cs="Times New Roman"/>
          <w:sz w:val="24"/>
          <w:szCs w:val="24"/>
        </w:rPr>
        <w:t xml:space="preserve"> ak subjekt využíva poradenstvo vo forme online rozhrania bude povinný sa oboznámiť z reguláciou, premietnuť zmenu vo svojich vnútorných predpisoch a nastaviť digitálny obsah tak, aby spotrebiteľ mal možnosť požiadať o tzv. ľudský zásah, čiže o online komunikáciu </w:t>
      </w:r>
      <w:r w:rsidR="002936A5" w:rsidRPr="09F23372">
        <w:rPr>
          <w:rFonts w:ascii="Times New Roman" w:eastAsia="Calibri" w:hAnsi="Times New Roman" w:cs="Times New Roman"/>
          <w:sz w:val="24"/>
          <w:szCs w:val="24"/>
        </w:rPr>
        <w:t>buď</w:t>
      </w:r>
      <w:r w:rsidR="009036EA" w:rsidRPr="09F23372">
        <w:rPr>
          <w:rFonts w:ascii="Times New Roman" w:eastAsia="Calibri" w:hAnsi="Times New Roman" w:cs="Times New Roman"/>
          <w:sz w:val="24"/>
          <w:szCs w:val="24"/>
        </w:rPr>
        <w:t xml:space="preserve"> priamo </w:t>
      </w:r>
      <w:r w:rsidR="00B96FC1" w:rsidRPr="09F23372">
        <w:rPr>
          <w:rFonts w:ascii="Times New Roman" w:eastAsia="Calibri" w:hAnsi="Times New Roman" w:cs="Times New Roman"/>
          <w:sz w:val="24"/>
          <w:szCs w:val="24"/>
        </w:rPr>
        <w:t>s dotknutým subjektom alebo s ní</w:t>
      </w:r>
      <w:r w:rsidR="009036EA" w:rsidRPr="09F23372">
        <w:rPr>
          <w:rFonts w:ascii="Times New Roman" w:eastAsia="Calibri" w:hAnsi="Times New Roman" w:cs="Times New Roman"/>
          <w:sz w:val="24"/>
          <w:szCs w:val="24"/>
        </w:rPr>
        <w:t xml:space="preserve">m určeným zamestnancom, pričom dotknuté subjekty na túto </w:t>
      </w:r>
      <w:r w:rsidR="009036EA" w:rsidRPr="09F23372">
        <w:rPr>
          <w:rFonts w:ascii="Times New Roman" w:eastAsia="Calibri" w:hAnsi="Times New Roman" w:cs="Times New Roman"/>
          <w:sz w:val="24"/>
          <w:szCs w:val="24"/>
        </w:rPr>
        <w:lastRenderedPageBreak/>
        <w:t>činnosť budú musieť zaškoliť a určiť konkrétnych zamestnancov</w:t>
      </w:r>
      <w:r w:rsidR="77B8C164" w:rsidRPr="09F23372">
        <w:rPr>
          <w:rFonts w:ascii="Times New Roman" w:eastAsia="Calibri" w:hAnsi="Times New Roman" w:cs="Times New Roman"/>
          <w:sz w:val="24"/>
          <w:szCs w:val="24"/>
        </w:rPr>
        <w:t>,</w:t>
      </w:r>
      <w:r w:rsidR="009036EA" w:rsidRPr="09F23372">
        <w:rPr>
          <w:rFonts w:ascii="Times New Roman" w:eastAsia="Calibri" w:hAnsi="Times New Roman" w:cs="Times New Roman"/>
          <w:sz w:val="24"/>
          <w:szCs w:val="24"/>
        </w:rPr>
        <w:t xml:space="preserve"> ak tento systém u nich doteraz nefungoval. To </w:t>
      </w:r>
      <w:r w:rsidR="00541675" w:rsidRPr="09F23372">
        <w:rPr>
          <w:rFonts w:ascii="Times New Roman" w:eastAsia="Calibri" w:hAnsi="Times New Roman" w:cs="Times New Roman"/>
          <w:sz w:val="24"/>
          <w:szCs w:val="24"/>
        </w:rPr>
        <w:t>bude</w:t>
      </w:r>
      <w:r w:rsidR="009036EA" w:rsidRPr="09F23372">
        <w:rPr>
          <w:rFonts w:ascii="Times New Roman" w:eastAsia="Calibri" w:hAnsi="Times New Roman" w:cs="Times New Roman"/>
          <w:sz w:val="24"/>
          <w:szCs w:val="24"/>
        </w:rPr>
        <w:t xml:space="preserve"> predstavovať časovú záťaž v priemere </w:t>
      </w:r>
      <w:r w:rsidR="00EC3EE3" w:rsidRPr="09F23372">
        <w:rPr>
          <w:rFonts w:ascii="Times New Roman" w:eastAsia="Calibri" w:hAnsi="Times New Roman" w:cs="Times New Roman"/>
          <w:sz w:val="24"/>
          <w:szCs w:val="24"/>
        </w:rPr>
        <w:t xml:space="preserve">odhadom 10-15 </w:t>
      </w:r>
      <w:proofErr w:type="spellStart"/>
      <w:r w:rsidRPr="0011460F">
        <w:rPr>
          <w:rFonts w:ascii="Times New Roman" w:eastAsia="Calibri" w:hAnsi="Times New Roman" w:cs="Times New Roman"/>
          <w:sz w:val="24"/>
          <w:szCs w:val="24"/>
        </w:rPr>
        <w:t>mondayov</w:t>
      </w:r>
      <w:proofErr w:type="spellEnd"/>
      <w:r w:rsidR="5E37BFFF" w:rsidRPr="09F23372">
        <w:rPr>
          <w:rFonts w:ascii="Times New Roman" w:eastAsia="Calibri" w:hAnsi="Times New Roman" w:cs="Times New Roman"/>
          <w:sz w:val="24"/>
          <w:szCs w:val="24"/>
          <w:highlight w:val="yellow"/>
        </w:rPr>
        <w:t xml:space="preserve"> </w:t>
      </w:r>
      <w:r w:rsidR="00EC3EE3" w:rsidRPr="09F23372">
        <w:rPr>
          <w:rFonts w:ascii="Times New Roman" w:eastAsia="Calibri" w:hAnsi="Times New Roman" w:cs="Times New Roman"/>
          <w:sz w:val="24"/>
          <w:szCs w:val="24"/>
        </w:rPr>
        <w:t xml:space="preserve">mesačne v závislosti od </w:t>
      </w:r>
      <w:r w:rsidR="009036EA" w:rsidRPr="09F23372">
        <w:rPr>
          <w:rFonts w:ascii="Times New Roman" w:eastAsia="Calibri" w:hAnsi="Times New Roman" w:cs="Times New Roman"/>
          <w:sz w:val="24"/>
          <w:szCs w:val="24"/>
        </w:rPr>
        <w:t>počtu finančných služieb konkrétneho dotknutého subjektu. Taktiež nepriame finančné náklady sa vzhľadom na vyššie uvedené môžu pohybovať okolo 10 000</w:t>
      </w:r>
      <w:r w:rsidR="7A41D373" w:rsidRPr="09F23372">
        <w:rPr>
          <w:rFonts w:ascii="Times New Roman" w:eastAsia="Calibri" w:hAnsi="Times New Roman" w:cs="Times New Roman"/>
          <w:sz w:val="24"/>
          <w:szCs w:val="24"/>
        </w:rPr>
        <w:t>,-</w:t>
      </w:r>
      <w:r w:rsidR="009036EA" w:rsidRPr="09F23372">
        <w:rPr>
          <w:rFonts w:ascii="Times New Roman" w:eastAsia="Calibri" w:hAnsi="Times New Roman" w:cs="Times New Roman"/>
          <w:sz w:val="24"/>
          <w:szCs w:val="24"/>
        </w:rPr>
        <w:t xml:space="preserve"> eur na jednej dotknutý subjekt mesačne, a to aj v závislosti od miery potreby úpravy digitálnych systémov. Administratívna záťaž sa v prieme predpokladá taktiež na mesačnej báze. Počet dotknutých subjektov sa predpokladá</w:t>
      </w:r>
      <w:r w:rsidR="00EC3EE3" w:rsidRPr="09F23372">
        <w:rPr>
          <w:rFonts w:ascii="Times New Roman" w:eastAsia="Calibri" w:hAnsi="Times New Roman" w:cs="Times New Roman"/>
          <w:sz w:val="24"/>
          <w:szCs w:val="24"/>
        </w:rPr>
        <w:t>,</w:t>
      </w:r>
      <w:r w:rsidR="009036EA" w:rsidRPr="09F23372">
        <w:rPr>
          <w:rFonts w:ascii="Times New Roman" w:eastAsia="Calibri" w:hAnsi="Times New Roman" w:cs="Times New Roman"/>
          <w:sz w:val="24"/>
          <w:szCs w:val="24"/>
        </w:rPr>
        <w:t xml:space="preserve"> rovnako ako pri vyššie uvedených reguláciách</w:t>
      </w:r>
      <w:r w:rsidR="00EC3EE3" w:rsidRPr="09F23372">
        <w:rPr>
          <w:rFonts w:ascii="Times New Roman" w:eastAsia="Calibri" w:hAnsi="Times New Roman" w:cs="Times New Roman"/>
          <w:sz w:val="24"/>
          <w:szCs w:val="24"/>
        </w:rPr>
        <w:t>,</w:t>
      </w:r>
      <w:r w:rsidR="009036EA" w:rsidRPr="09F23372">
        <w:rPr>
          <w:rFonts w:ascii="Times New Roman" w:eastAsia="Calibri" w:hAnsi="Times New Roman" w:cs="Times New Roman"/>
          <w:sz w:val="24"/>
          <w:szCs w:val="24"/>
        </w:rPr>
        <w:t xml:space="preserve"> na 200 </w:t>
      </w:r>
      <w:r w:rsidR="00EC3EE3" w:rsidRPr="09F23372">
        <w:rPr>
          <w:rFonts w:ascii="Times New Roman" w:eastAsia="Calibri" w:hAnsi="Times New Roman" w:cs="Times New Roman"/>
          <w:sz w:val="24"/>
          <w:szCs w:val="24"/>
        </w:rPr>
        <w:t xml:space="preserve">dotknutých subjektov </w:t>
      </w:r>
      <w:r w:rsidR="009036EA" w:rsidRPr="09F23372">
        <w:rPr>
          <w:rFonts w:ascii="Times New Roman" w:eastAsia="Calibri" w:hAnsi="Times New Roman" w:cs="Times New Roman"/>
          <w:sz w:val="24"/>
          <w:szCs w:val="24"/>
        </w:rPr>
        <w:t>a vychádza z údajov zverejnených NBS.</w:t>
      </w:r>
    </w:p>
    <w:p w14:paraId="2DF7D110" w14:textId="799975D4" w:rsidR="00A755A1" w:rsidRDefault="00A755A1" w:rsidP="00A755A1">
      <w:pPr>
        <w:jc w:val="both"/>
        <w:rPr>
          <w:rFonts w:ascii="Times New Roman" w:eastAsia="Calibri" w:hAnsi="Times New Roman" w:cs="Times New Roman"/>
          <w:i/>
          <w:sz w:val="24"/>
          <w:szCs w:val="24"/>
        </w:rPr>
      </w:pPr>
    </w:p>
    <w:p w14:paraId="071C93D6" w14:textId="63FCCB42" w:rsid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Nastavenie online rozhrania v súlade so zákonnými požiadavkami</w:t>
      </w:r>
    </w:p>
    <w:p w14:paraId="67550947" w14:textId="370A171C" w:rsidR="00A84D6C" w:rsidRDefault="00A84D6C" w:rsidP="00A84D6C">
      <w:pPr>
        <w:jc w:val="both"/>
        <w:rPr>
          <w:rFonts w:ascii="Times New Roman" w:eastAsia="Calibri" w:hAnsi="Times New Roman" w:cs="Times New Roman"/>
          <w:sz w:val="24"/>
          <w:szCs w:val="24"/>
        </w:rPr>
      </w:pPr>
      <w:r>
        <w:rPr>
          <w:rFonts w:ascii="Times New Roman" w:eastAsia="Calibri" w:hAnsi="Times New Roman" w:cs="Times New Roman"/>
          <w:sz w:val="24"/>
          <w:szCs w:val="24"/>
        </w:rPr>
        <w:t>Predmetná reguláci</w:t>
      </w:r>
      <w:r w:rsidR="00B552EA">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00B552EA">
        <w:rPr>
          <w:rFonts w:ascii="Times New Roman" w:eastAsia="Calibri" w:hAnsi="Times New Roman" w:cs="Times New Roman"/>
          <w:sz w:val="24"/>
          <w:szCs w:val="24"/>
        </w:rPr>
        <w:t>zvýši</w:t>
      </w:r>
      <w:r>
        <w:rPr>
          <w:rFonts w:ascii="Times New Roman" w:eastAsia="Calibri" w:hAnsi="Times New Roman" w:cs="Times New Roman"/>
          <w:sz w:val="24"/>
          <w:szCs w:val="24"/>
        </w:rPr>
        <w:t xml:space="preserve"> nepriame finančné náklady a administratívnu záťaž vzhľadom na to, že dotknuté subjekty budú musieť prispôsobiť svoje online prostred</w:t>
      </w:r>
      <w:r w:rsidR="006C1E16">
        <w:rPr>
          <w:rFonts w:ascii="Times New Roman" w:eastAsia="Calibri" w:hAnsi="Times New Roman" w:cs="Times New Roman"/>
          <w:sz w:val="24"/>
          <w:szCs w:val="24"/>
        </w:rPr>
        <w:t>ie požiadavkám obsiahnutým v § 9</w:t>
      </w:r>
      <w:r>
        <w:rPr>
          <w:rFonts w:ascii="Times New Roman" w:eastAsia="Calibri" w:hAnsi="Times New Roman" w:cs="Times New Roman"/>
          <w:sz w:val="24"/>
          <w:szCs w:val="24"/>
        </w:rPr>
        <w:t xml:space="preserve"> a nastaviť systém aj vzhľadom na ponuku nových finančných služieb v budúcnosti. Dotknutými subjektmi sú všetci obchodníci poskytujúci finančné služby na diaľku, ktorých počet je odhadovaný na 200 a vychádza z údajov uvedených v predchádzajúcich reguláciách. </w:t>
      </w:r>
      <w:r w:rsidR="00B552EA">
        <w:rPr>
          <w:rFonts w:ascii="Times New Roman" w:eastAsia="Calibri" w:hAnsi="Times New Roman" w:cs="Times New Roman"/>
          <w:sz w:val="24"/>
          <w:szCs w:val="24"/>
        </w:rPr>
        <w:t>Podľa údajov poskytnutých Slovenskou bankovou asociáciou bude predmetná regulácia predstavovať:</w:t>
      </w:r>
    </w:p>
    <w:p w14:paraId="7892FCA2" w14:textId="6E1660CB" w:rsidR="00A84D6C" w:rsidRPr="00A84D6C" w:rsidRDefault="00B552EA" w:rsidP="00A84D6C">
      <w:pPr>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Časovú náročnosť na implementačnú</w:t>
      </w:r>
      <w:r w:rsidR="00A84D6C" w:rsidRPr="00A84D6C">
        <w:rPr>
          <w:rFonts w:ascii="Times New Roman" w:eastAsia="Calibri" w:hAnsi="Times New Roman" w:cs="Times New Roman"/>
          <w:sz w:val="24"/>
          <w:szCs w:val="24"/>
        </w:rPr>
        <w:t xml:space="preserve"> komplexnosť požiadaviek zákona v rámci onl</w:t>
      </w:r>
      <w:r>
        <w:rPr>
          <w:rFonts w:ascii="Times New Roman" w:eastAsia="Calibri" w:hAnsi="Times New Roman" w:cs="Times New Roman"/>
          <w:sz w:val="24"/>
          <w:szCs w:val="24"/>
        </w:rPr>
        <w:t xml:space="preserve">ine rozhrania (implementácia môže byť až </w:t>
      </w:r>
      <w:r w:rsidR="00A84D6C" w:rsidRPr="00A84D6C">
        <w:rPr>
          <w:rFonts w:ascii="Times New Roman" w:eastAsia="Calibri" w:hAnsi="Times New Roman" w:cs="Times New Roman"/>
          <w:sz w:val="24"/>
          <w:szCs w:val="24"/>
        </w:rPr>
        <w:t>niekoľko mesiacov až rokov)</w:t>
      </w:r>
      <w:r>
        <w:rPr>
          <w:rFonts w:ascii="Times New Roman" w:eastAsia="Calibri" w:hAnsi="Times New Roman" w:cs="Times New Roman"/>
          <w:sz w:val="24"/>
          <w:szCs w:val="24"/>
        </w:rPr>
        <w:t>.</w:t>
      </w:r>
    </w:p>
    <w:p w14:paraId="222E26A5" w14:textId="6C10B385" w:rsidR="00A84D6C" w:rsidRPr="00A84D6C" w:rsidRDefault="00A84D6C" w:rsidP="00A84D6C">
      <w:pPr>
        <w:numPr>
          <w:ilvl w:val="0"/>
          <w:numId w:val="19"/>
        </w:num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Náklady bude potrebné vynaložiť na úpravu exitujúcich systémov a procesov, náklady za zriaďovanie bežných účtov v online prostredí, náklady pre oblasť poskytovania úverov </w:t>
      </w:r>
      <w:r w:rsidR="3C1C53F0" w:rsidRPr="09F23372">
        <w:rPr>
          <w:rFonts w:ascii="Times New Roman" w:eastAsia="Calibri" w:hAnsi="Times New Roman" w:cs="Times New Roman"/>
          <w:sz w:val="24"/>
          <w:szCs w:val="24"/>
        </w:rPr>
        <w:t xml:space="preserve">pre spotrebiteľov </w:t>
      </w:r>
      <w:r w:rsidRPr="09F23372">
        <w:rPr>
          <w:rFonts w:ascii="Times New Roman" w:eastAsia="Calibri" w:hAnsi="Times New Roman" w:cs="Times New Roman"/>
          <w:sz w:val="24"/>
          <w:szCs w:val="24"/>
        </w:rPr>
        <w:t>a pre finančné sprostredkovanie poistný</w:t>
      </w:r>
      <w:r w:rsidR="00B552EA" w:rsidRPr="09F23372">
        <w:rPr>
          <w:rFonts w:ascii="Times New Roman" w:eastAsia="Calibri" w:hAnsi="Times New Roman" w:cs="Times New Roman"/>
          <w:sz w:val="24"/>
          <w:szCs w:val="24"/>
        </w:rPr>
        <w:t>ch produktov v online prostredí.</w:t>
      </w:r>
    </w:p>
    <w:p w14:paraId="5F8D533E" w14:textId="5FA37822" w:rsidR="00A84D6C" w:rsidRPr="00A84D6C" w:rsidRDefault="00A84D6C" w:rsidP="00A84D6C">
      <w:pPr>
        <w:numPr>
          <w:ilvl w:val="0"/>
          <w:numId w:val="19"/>
        </w:num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Personálne náklady, ktoré </w:t>
      </w:r>
      <w:r w:rsidR="56EA0C04" w:rsidRPr="09F23372">
        <w:rPr>
          <w:rFonts w:ascii="Times New Roman" w:eastAsia="Calibri" w:hAnsi="Times New Roman" w:cs="Times New Roman"/>
          <w:sz w:val="24"/>
          <w:szCs w:val="24"/>
        </w:rPr>
        <w:t xml:space="preserve">nie </w:t>
      </w:r>
      <w:r w:rsidRPr="09F23372">
        <w:rPr>
          <w:rFonts w:ascii="Times New Roman" w:eastAsia="Calibri" w:hAnsi="Times New Roman" w:cs="Times New Roman"/>
          <w:sz w:val="24"/>
          <w:szCs w:val="24"/>
        </w:rPr>
        <w:t>je prakticky možné odhadovať, nakoľko závisia od pr</w:t>
      </w:r>
      <w:r w:rsidR="0C0C3D2B" w:rsidRPr="09F23372">
        <w:rPr>
          <w:rFonts w:ascii="Times New Roman" w:eastAsia="Calibri" w:hAnsi="Times New Roman" w:cs="Times New Roman"/>
          <w:sz w:val="24"/>
          <w:szCs w:val="24"/>
        </w:rPr>
        <w:t>á</w:t>
      </w:r>
      <w:r w:rsidRPr="09F23372">
        <w:rPr>
          <w:rFonts w:ascii="Times New Roman" w:eastAsia="Calibri" w:hAnsi="Times New Roman" w:cs="Times New Roman"/>
          <w:sz w:val="24"/>
          <w:szCs w:val="24"/>
        </w:rPr>
        <w:t>cnosti a množstva podnetov zo strany klientov.</w:t>
      </w:r>
    </w:p>
    <w:p w14:paraId="281DE336" w14:textId="31110678" w:rsidR="00A84D6C" w:rsidRDefault="00B552EA" w:rsidP="00A84D6C">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Z vyššie uvedeného sa predpokladá </w:t>
      </w:r>
      <w:r w:rsidR="000875AD" w:rsidRPr="09F23372">
        <w:rPr>
          <w:rFonts w:ascii="Times New Roman" w:eastAsia="Calibri" w:hAnsi="Times New Roman" w:cs="Times New Roman"/>
          <w:sz w:val="24"/>
          <w:szCs w:val="24"/>
        </w:rPr>
        <w:t xml:space="preserve">jednorazové </w:t>
      </w:r>
      <w:r w:rsidRPr="09F23372">
        <w:rPr>
          <w:rFonts w:ascii="Times New Roman" w:eastAsia="Calibri" w:hAnsi="Times New Roman" w:cs="Times New Roman"/>
          <w:sz w:val="24"/>
          <w:szCs w:val="24"/>
        </w:rPr>
        <w:t>zvýšenie administratívnej záťaže z dôvodu potreby oboznámenia sa s reguláciou, vypracovanie projektu na úpravu existujúcich systémov a procesov a časový náklad externej služby, ak dotknutý subjekt využíva služby externého dodávateľa na úpravu informačných systémov. Odhad na jednorazové nepriame finančné náklady je priemerne 800 000</w:t>
      </w:r>
      <w:r w:rsidR="50844726"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eur</w:t>
      </w:r>
      <w:r w:rsidR="50B270C2" w:rsidRPr="09F23372">
        <w:rPr>
          <w:rFonts w:ascii="Times New Roman" w:eastAsia="Calibri" w:hAnsi="Times New Roman" w:cs="Times New Roman"/>
          <w:sz w:val="24"/>
          <w:szCs w:val="24"/>
        </w:rPr>
        <w:t xml:space="preserve"> (z pohľadu bankového sektora)</w:t>
      </w:r>
      <w:r w:rsidRPr="09F23372">
        <w:rPr>
          <w:rFonts w:ascii="Times New Roman" w:eastAsia="Calibri" w:hAnsi="Times New Roman" w:cs="Times New Roman"/>
          <w:sz w:val="24"/>
          <w:szCs w:val="24"/>
        </w:rPr>
        <w:t xml:space="preserve">, avšak </w:t>
      </w:r>
      <w:r w:rsidR="000875AD" w:rsidRPr="09F23372">
        <w:rPr>
          <w:rFonts w:ascii="Times New Roman" w:eastAsia="Calibri" w:hAnsi="Times New Roman" w:cs="Times New Roman"/>
          <w:sz w:val="24"/>
          <w:szCs w:val="24"/>
        </w:rPr>
        <w:t>konkrétna</w:t>
      </w:r>
      <w:r w:rsidRPr="09F23372">
        <w:rPr>
          <w:rFonts w:ascii="Times New Roman" w:eastAsia="Calibri" w:hAnsi="Times New Roman" w:cs="Times New Roman"/>
          <w:sz w:val="24"/>
          <w:szCs w:val="24"/>
        </w:rPr>
        <w:t xml:space="preserve"> suma bude závisieť najmä od veľkosti dotknutého subjektu, miery digitalizácie a potreby zásahu do informačných systémov a</w:t>
      </w:r>
      <w:r w:rsidR="000875AD" w:rsidRPr="09F23372">
        <w:rPr>
          <w:rFonts w:ascii="Times New Roman" w:eastAsia="Calibri" w:hAnsi="Times New Roman" w:cs="Times New Roman"/>
          <w:sz w:val="24"/>
          <w:szCs w:val="24"/>
        </w:rPr>
        <w:t xml:space="preserve"> od počtu produktov, ktorých sa regulácia dotkne. </w:t>
      </w:r>
    </w:p>
    <w:p w14:paraId="716AC2A6" w14:textId="77777777" w:rsidR="00A84D6C" w:rsidRPr="00A84D6C" w:rsidRDefault="00A84D6C" w:rsidP="00A84D6C">
      <w:pPr>
        <w:jc w:val="both"/>
        <w:rPr>
          <w:rFonts w:ascii="Times New Roman" w:eastAsia="Calibri" w:hAnsi="Times New Roman" w:cs="Times New Roman"/>
          <w:sz w:val="24"/>
          <w:szCs w:val="24"/>
        </w:rPr>
      </w:pPr>
    </w:p>
    <w:p w14:paraId="46E34A6C" w14:textId="56AF36DA" w:rsidR="00A84D6C" w:rsidRDefault="00A84D6C" w:rsidP="00A84D6C">
      <w:pPr>
        <w:pStyle w:val="Odsekzoznamu"/>
        <w:numPr>
          <w:ilvl w:val="0"/>
          <w:numId w:val="18"/>
        </w:numPr>
        <w:jc w:val="both"/>
        <w:rPr>
          <w:rFonts w:ascii="Times New Roman" w:eastAsia="Calibri" w:hAnsi="Times New Roman" w:cs="Times New Roman"/>
          <w:i/>
          <w:sz w:val="24"/>
          <w:szCs w:val="24"/>
        </w:rPr>
      </w:pPr>
      <w:r w:rsidRPr="00A84D6C">
        <w:rPr>
          <w:rFonts w:ascii="Times New Roman" w:eastAsia="Calibri" w:hAnsi="Times New Roman" w:cs="Times New Roman"/>
          <w:i/>
          <w:sz w:val="24"/>
          <w:szCs w:val="24"/>
        </w:rPr>
        <w:t>Prevádzkovanie online rozhrania v súlade so zákonnými požiadavkami</w:t>
      </w:r>
    </w:p>
    <w:p w14:paraId="1AD81DF1" w14:textId="12257153" w:rsidR="00A84D6C" w:rsidRPr="006C1E16" w:rsidRDefault="006C1E16" w:rsidP="00A84D6C">
      <w:pPr>
        <w:jc w:val="both"/>
        <w:rPr>
          <w:rFonts w:ascii="Times New Roman" w:eastAsia="Calibri" w:hAnsi="Times New Roman" w:cs="Times New Roman"/>
          <w:sz w:val="24"/>
          <w:szCs w:val="24"/>
        </w:rPr>
      </w:pPr>
      <w:r w:rsidRPr="006C1E16">
        <w:rPr>
          <w:rFonts w:ascii="Times New Roman" w:eastAsia="Calibri" w:hAnsi="Times New Roman" w:cs="Times New Roman"/>
          <w:sz w:val="24"/>
          <w:szCs w:val="24"/>
        </w:rPr>
        <w:t>Regulácia v bode 7 bude predstavovať nie len jednorazový náklad, ale aj pokračujúce náklady potrebné na jeho prev</w:t>
      </w:r>
      <w:r>
        <w:rPr>
          <w:rFonts w:ascii="Times New Roman" w:eastAsia="Calibri" w:hAnsi="Times New Roman" w:cs="Times New Roman"/>
          <w:sz w:val="24"/>
          <w:szCs w:val="24"/>
        </w:rPr>
        <w:t>ádzku systémov v súvislosti s reguláciou, a to v podobe administratívnej záťaže a nepriamych finančných nákladov. Dotknutými subjektmi sú všetci obchodníci poskytujúci finančné služby na diaľku, ktorých počet je odhadovaný na 200 a vychádza z údajov uvedených v predchádzajúcich reguláciách.</w:t>
      </w:r>
      <w:r w:rsidR="000A3194">
        <w:rPr>
          <w:rFonts w:ascii="Times New Roman" w:eastAsia="Calibri" w:hAnsi="Times New Roman" w:cs="Times New Roman"/>
          <w:sz w:val="24"/>
          <w:szCs w:val="24"/>
        </w:rPr>
        <w:t xml:space="preserve"> Podľa údajov poskytnutých Slovenskou bankovou asociáciou budú náklady v podobe:</w:t>
      </w:r>
    </w:p>
    <w:p w14:paraId="5A8F0A0D" w14:textId="5F095EC4" w:rsidR="00B552EA" w:rsidRPr="00A84D6C" w:rsidRDefault="00B552EA" w:rsidP="00B552EA">
      <w:pPr>
        <w:numPr>
          <w:ilvl w:val="0"/>
          <w:numId w:val="19"/>
        </w:num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lastRenderedPageBreak/>
        <w:t>Zvýšenie administratívnej náročnosti vo vzťahu k spracovaniu požiadaviek klientov, nutnosť klienta ešte kontaktovať, v prípade</w:t>
      </w:r>
      <w:r w:rsidR="79671830"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ak klient neuhradí dlžnú sumu, klienta vyzývať atď.</w:t>
      </w:r>
    </w:p>
    <w:p w14:paraId="3C818724" w14:textId="05934923" w:rsidR="00B552EA" w:rsidRPr="00A84D6C" w:rsidRDefault="00B552EA" w:rsidP="00B552EA">
      <w:pPr>
        <w:numPr>
          <w:ilvl w:val="0"/>
          <w:numId w:val="19"/>
        </w:numPr>
        <w:jc w:val="both"/>
        <w:rPr>
          <w:rFonts w:ascii="Times New Roman" w:eastAsia="Calibri" w:hAnsi="Times New Roman" w:cs="Times New Roman"/>
          <w:sz w:val="24"/>
          <w:szCs w:val="24"/>
        </w:rPr>
      </w:pPr>
      <w:r w:rsidRPr="00A84D6C">
        <w:rPr>
          <w:rFonts w:ascii="Times New Roman" w:eastAsia="Calibri" w:hAnsi="Times New Roman" w:cs="Times New Roman"/>
          <w:sz w:val="24"/>
          <w:szCs w:val="24"/>
        </w:rPr>
        <w:t xml:space="preserve">Možný nárast reklamácií a sťažností z dôvodu, že klient (aj napriek vysvetleniam v rámci online rozhrania) </w:t>
      </w:r>
      <w:r w:rsidR="000A3194">
        <w:rPr>
          <w:rFonts w:ascii="Times New Roman" w:eastAsia="Calibri" w:hAnsi="Times New Roman" w:cs="Times New Roman"/>
          <w:sz w:val="24"/>
          <w:szCs w:val="24"/>
        </w:rPr>
        <w:t xml:space="preserve">si neuvedomí </w:t>
      </w:r>
      <w:r w:rsidRPr="00A84D6C">
        <w:rPr>
          <w:rFonts w:ascii="Times New Roman" w:eastAsia="Calibri" w:hAnsi="Times New Roman" w:cs="Times New Roman"/>
          <w:sz w:val="24"/>
          <w:szCs w:val="24"/>
        </w:rPr>
        <w:t>všetky dôsledky svojho úkonu smerujúcemu k ukončeniu produktu. Napr. nezabezpečí dostatok peňažných prostriedkov na splatenie úveru pred lehotou splatnosti alebo si rozmyslí ukončenie produktu po odstúpení od zmluvy a pod.</w:t>
      </w:r>
    </w:p>
    <w:p w14:paraId="143C9DC9" w14:textId="77777777" w:rsidR="000A3194" w:rsidRDefault="000A3194" w:rsidP="000875AD">
      <w:pPr>
        <w:numPr>
          <w:ilvl w:val="0"/>
          <w:numId w:val="19"/>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Náklady bude predstavovať </w:t>
      </w:r>
      <w:r w:rsidR="000875AD" w:rsidRPr="00A84D6C">
        <w:rPr>
          <w:rFonts w:ascii="Times New Roman" w:eastAsia="Calibri" w:hAnsi="Times New Roman" w:cs="Times New Roman"/>
          <w:sz w:val="24"/>
          <w:szCs w:val="24"/>
        </w:rPr>
        <w:t>aj údržba riešenia</w:t>
      </w:r>
      <w:r>
        <w:rPr>
          <w:rFonts w:ascii="Times New Roman" w:eastAsia="Calibri" w:hAnsi="Times New Roman" w:cs="Times New Roman"/>
          <w:sz w:val="24"/>
          <w:szCs w:val="24"/>
        </w:rPr>
        <w:t>.</w:t>
      </w:r>
    </w:p>
    <w:p w14:paraId="5BEC16A0" w14:textId="70D15008" w:rsidR="00B552EA" w:rsidRDefault="000A3194" w:rsidP="09F23372">
      <w:pPr>
        <w:jc w:val="both"/>
        <w:rPr>
          <w:rFonts w:ascii="Times New Roman" w:eastAsia="Calibri" w:hAnsi="Times New Roman" w:cs="Times New Roman"/>
          <w:i/>
          <w:iCs/>
          <w:sz w:val="24"/>
          <w:szCs w:val="24"/>
        </w:rPr>
      </w:pPr>
      <w:r w:rsidRPr="09F23372">
        <w:rPr>
          <w:rFonts w:ascii="Times New Roman" w:eastAsia="Calibri" w:hAnsi="Times New Roman" w:cs="Times New Roman"/>
          <w:sz w:val="24"/>
          <w:szCs w:val="24"/>
        </w:rPr>
        <w:t>Na základe vyššie uvedeného sú nepriame finančné náklady odhadované v priemere</w:t>
      </w:r>
      <w:r w:rsidR="000875AD" w:rsidRPr="09F23372">
        <w:rPr>
          <w:rFonts w:ascii="Times New Roman" w:eastAsia="Calibri" w:hAnsi="Times New Roman" w:cs="Times New Roman"/>
          <w:sz w:val="24"/>
          <w:szCs w:val="24"/>
        </w:rPr>
        <w:t xml:space="preserve"> 25 000</w:t>
      </w:r>
      <w:r w:rsidR="0A948EC0" w:rsidRPr="09F23372">
        <w:rPr>
          <w:rFonts w:ascii="Times New Roman" w:eastAsia="Calibri" w:hAnsi="Times New Roman" w:cs="Times New Roman"/>
          <w:sz w:val="24"/>
          <w:szCs w:val="24"/>
        </w:rPr>
        <w:t>.-</w:t>
      </w:r>
      <w:r w:rsidR="000875AD" w:rsidRPr="09F23372">
        <w:rPr>
          <w:rFonts w:ascii="Times New Roman" w:eastAsia="Calibri" w:hAnsi="Times New Roman" w:cs="Times New Roman"/>
          <w:sz w:val="24"/>
          <w:szCs w:val="24"/>
        </w:rPr>
        <w:t xml:space="preserve"> </w:t>
      </w:r>
      <w:r w:rsidRPr="09F23372">
        <w:rPr>
          <w:rFonts w:ascii="Times New Roman" w:eastAsia="Calibri" w:hAnsi="Times New Roman" w:cs="Times New Roman"/>
          <w:sz w:val="24"/>
          <w:szCs w:val="24"/>
        </w:rPr>
        <w:t>eur ako</w:t>
      </w:r>
      <w:r w:rsidR="000875AD" w:rsidRPr="09F23372">
        <w:rPr>
          <w:rFonts w:ascii="Times New Roman" w:eastAsia="Calibri" w:hAnsi="Times New Roman" w:cs="Times New Roman"/>
          <w:sz w:val="24"/>
          <w:szCs w:val="24"/>
        </w:rPr>
        <w:t xml:space="preserve"> ročný prevádzkový náklad.</w:t>
      </w:r>
      <w:r w:rsidRPr="09F23372">
        <w:rPr>
          <w:rFonts w:ascii="Times New Roman" w:eastAsia="Calibri" w:hAnsi="Times New Roman" w:cs="Times New Roman"/>
          <w:sz w:val="24"/>
          <w:szCs w:val="24"/>
        </w:rPr>
        <w:t xml:space="preserve"> Administratívna záťaž je </w:t>
      </w:r>
      <w:r w:rsidR="00F408FB" w:rsidRPr="09F23372">
        <w:rPr>
          <w:rFonts w:ascii="Times New Roman" w:eastAsia="Calibri" w:hAnsi="Times New Roman" w:cs="Times New Roman"/>
          <w:sz w:val="24"/>
          <w:szCs w:val="24"/>
        </w:rPr>
        <w:t xml:space="preserve">na overenie súladu predmetnej regulácie s internými procesmi a na poskytnutie informácií v prípade podaní klientov, pričom sa odhaduje na mesačnej báze. </w:t>
      </w:r>
    </w:p>
    <w:p w14:paraId="59A7F553" w14:textId="77777777" w:rsidR="00B552EA" w:rsidRPr="00A84D6C" w:rsidRDefault="00B552EA" w:rsidP="00A84D6C">
      <w:pPr>
        <w:jc w:val="both"/>
        <w:rPr>
          <w:rFonts w:ascii="Times New Roman" w:eastAsia="Calibri" w:hAnsi="Times New Roman" w:cs="Times New Roman"/>
          <w:i/>
          <w:sz w:val="24"/>
          <w:szCs w:val="24"/>
        </w:rPr>
      </w:pPr>
    </w:p>
    <w:p w14:paraId="31BCF86E" w14:textId="49EEFA19" w:rsidR="00A755A1" w:rsidRDefault="00A755A1" w:rsidP="09F23372">
      <w:pPr>
        <w:pStyle w:val="Odsekzoznamu"/>
        <w:numPr>
          <w:ilvl w:val="0"/>
          <w:numId w:val="18"/>
        </w:numPr>
        <w:jc w:val="both"/>
        <w:rPr>
          <w:rFonts w:ascii="Times New Roman" w:eastAsia="Calibri" w:hAnsi="Times New Roman" w:cs="Times New Roman"/>
          <w:i/>
          <w:iCs/>
          <w:sz w:val="24"/>
          <w:szCs w:val="24"/>
        </w:rPr>
      </w:pPr>
      <w:r w:rsidRPr="09F23372">
        <w:rPr>
          <w:rFonts w:ascii="Times New Roman" w:eastAsia="Calibri" w:hAnsi="Times New Roman" w:cs="Times New Roman"/>
          <w:i/>
          <w:iCs/>
          <w:sz w:val="24"/>
          <w:szCs w:val="24"/>
        </w:rPr>
        <w:t>Zavedenie funkcie na odstúpenie od zmluvy</w:t>
      </w:r>
      <w:r w:rsidR="003558EA" w:rsidRPr="09F23372">
        <w:rPr>
          <w:rFonts w:ascii="Times New Roman" w:eastAsia="Calibri" w:hAnsi="Times New Roman" w:cs="Times New Roman"/>
          <w:i/>
          <w:iCs/>
          <w:sz w:val="24"/>
          <w:szCs w:val="24"/>
        </w:rPr>
        <w:t xml:space="preserve"> pre bank</w:t>
      </w:r>
      <w:r w:rsidR="0011460F">
        <w:rPr>
          <w:rFonts w:ascii="Times New Roman" w:eastAsia="Calibri" w:hAnsi="Times New Roman" w:cs="Times New Roman"/>
          <w:i/>
          <w:iCs/>
          <w:sz w:val="24"/>
          <w:szCs w:val="24"/>
        </w:rPr>
        <w:t>y a pobočky zahraničných bánk</w:t>
      </w:r>
    </w:p>
    <w:p w14:paraId="595B29A8" w14:textId="0259D146" w:rsidR="00A755A1" w:rsidRDefault="00C741FF" w:rsidP="00A755A1">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Zavedenie a prevádzkovanie funkcie na odstúpenie od zmluvy </w:t>
      </w:r>
      <w:r w:rsidR="00541675" w:rsidRPr="09F23372">
        <w:rPr>
          <w:rFonts w:ascii="Times New Roman" w:eastAsia="Calibri" w:hAnsi="Times New Roman" w:cs="Times New Roman"/>
          <w:sz w:val="24"/>
          <w:szCs w:val="24"/>
        </w:rPr>
        <w:t>bude</w:t>
      </w:r>
      <w:r w:rsidRPr="09F23372">
        <w:rPr>
          <w:rFonts w:ascii="Times New Roman" w:eastAsia="Calibri" w:hAnsi="Times New Roman" w:cs="Times New Roman"/>
          <w:sz w:val="24"/>
          <w:szCs w:val="24"/>
        </w:rPr>
        <w:t xml:space="preserve"> predstavovať jednorazové zvýšeni</w:t>
      </w:r>
      <w:r w:rsidR="00C61A3F" w:rsidRPr="09F23372">
        <w:rPr>
          <w:rFonts w:ascii="Times New Roman" w:eastAsia="Calibri" w:hAnsi="Times New Roman" w:cs="Times New Roman"/>
          <w:sz w:val="24"/>
          <w:szCs w:val="24"/>
        </w:rPr>
        <w:t>e nepriamych finančných nákladov</w:t>
      </w:r>
      <w:r w:rsidRPr="09F23372">
        <w:rPr>
          <w:rFonts w:ascii="Times New Roman" w:eastAsia="Calibri" w:hAnsi="Times New Roman" w:cs="Times New Roman"/>
          <w:sz w:val="24"/>
          <w:szCs w:val="24"/>
        </w:rPr>
        <w:t xml:space="preserve"> a mesačné zvýšenie administratívnej záťaže pre dotknuté subjekty, ktorými sú </w:t>
      </w:r>
      <w:r w:rsidR="003558EA" w:rsidRPr="09F23372">
        <w:rPr>
          <w:rFonts w:ascii="Times New Roman" w:eastAsia="Calibri" w:hAnsi="Times New Roman" w:cs="Times New Roman"/>
          <w:sz w:val="24"/>
          <w:szCs w:val="24"/>
        </w:rPr>
        <w:t xml:space="preserve">banky </w:t>
      </w:r>
      <w:r w:rsidR="50F8A352" w:rsidRPr="09F23372">
        <w:rPr>
          <w:rFonts w:ascii="Times New Roman" w:eastAsia="Calibri" w:hAnsi="Times New Roman" w:cs="Times New Roman"/>
          <w:sz w:val="24"/>
          <w:szCs w:val="24"/>
        </w:rPr>
        <w:t xml:space="preserve">a pobočky zahraničných bánk </w:t>
      </w:r>
      <w:r w:rsidR="003558EA" w:rsidRPr="09F23372">
        <w:rPr>
          <w:rFonts w:ascii="Times New Roman" w:eastAsia="Calibri" w:hAnsi="Times New Roman" w:cs="Times New Roman"/>
          <w:sz w:val="24"/>
          <w:szCs w:val="24"/>
        </w:rPr>
        <w:t>poskytujúce služby na diaľku.</w:t>
      </w:r>
      <w:r w:rsidRPr="09F23372">
        <w:rPr>
          <w:rFonts w:ascii="Times New Roman" w:eastAsia="Calibri" w:hAnsi="Times New Roman" w:cs="Times New Roman"/>
          <w:sz w:val="24"/>
          <w:szCs w:val="24"/>
        </w:rPr>
        <w:t xml:space="preserve"> Počet dotkn</w:t>
      </w:r>
      <w:r w:rsidR="003558EA" w:rsidRPr="09F23372">
        <w:rPr>
          <w:rFonts w:ascii="Times New Roman" w:eastAsia="Calibri" w:hAnsi="Times New Roman" w:cs="Times New Roman"/>
          <w:sz w:val="24"/>
          <w:szCs w:val="24"/>
        </w:rPr>
        <w:t>utých subjektov sa odhaduje na 23</w:t>
      </w:r>
      <w:r w:rsidRPr="09F23372">
        <w:rPr>
          <w:rFonts w:ascii="Times New Roman" w:eastAsia="Calibri" w:hAnsi="Times New Roman" w:cs="Times New Roman"/>
          <w:sz w:val="24"/>
          <w:szCs w:val="24"/>
        </w:rPr>
        <w:t xml:space="preserve"> a výpočet vychádza z údajov </w:t>
      </w:r>
      <w:r w:rsidR="003558EA" w:rsidRPr="09F23372">
        <w:rPr>
          <w:rFonts w:ascii="Times New Roman" w:eastAsia="Calibri" w:hAnsi="Times New Roman" w:cs="Times New Roman"/>
          <w:sz w:val="24"/>
          <w:szCs w:val="24"/>
        </w:rPr>
        <w:t>zverejnených NBS v rámci dohliadaných subjektov</w:t>
      </w:r>
      <w:r w:rsidR="00C61A3F" w:rsidRPr="09F23372">
        <w:rPr>
          <w:rFonts w:ascii="Times New Roman" w:eastAsia="Calibri" w:hAnsi="Times New Roman" w:cs="Times New Roman"/>
          <w:sz w:val="24"/>
          <w:szCs w:val="24"/>
        </w:rPr>
        <w:t xml:space="preserve">. </w:t>
      </w:r>
      <w:r w:rsidR="006370FC" w:rsidRPr="09F23372">
        <w:rPr>
          <w:rFonts w:ascii="Times New Roman" w:eastAsia="Calibri" w:hAnsi="Times New Roman" w:cs="Times New Roman"/>
          <w:sz w:val="24"/>
          <w:szCs w:val="24"/>
        </w:rPr>
        <w:t xml:space="preserve">Administratívna záťaž bude v podobe oboznámenia sa s reguláciou, vypracovaní projektu v rámci technického riešenia regulačných požiadaviek a časového nákladu externej služby, pokiaľ dotknutý subjekt na činnosti v oblasti </w:t>
      </w:r>
      <w:r w:rsidR="00730EC9" w:rsidRPr="09F23372">
        <w:rPr>
          <w:rFonts w:ascii="Times New Roman" w:eastAsia="Calibri" w:hAnsi="Times New Roman" w:cs="Times New Roman"/>
          <w:sz w:val="24"/>
          <w:szCs w:val="24"/>
        </w:rPr>
        <w:t>digitalizácie</w:t>
      </w:r>
      <w:r w:rsidR="006370FC" w:rsidRPr="09F23372">
        <w:rPr>
          <w:rFonts w:ascii="Times New Roman" w:eastAsia="Calibri" w:hAnsi="Times New Roman" w:cs="Times New Roman"/>
          <w:sz w:val="24"/>
          <w:szCs w:val="24"/>
        </w:rPr>
        <w:t xml:space="preserve"> využíva externého dodávateľa. Po zavedení funkcie na odstúpenie od zmluvy sú predpokladané administratívne náklady hlavne v súvislosti s ukončením samotného produktu v prípade, ak spotrebiteľ využije funkciu na odstúpenie. </w:t>
      </w:r>
      <w:r w:rsidR="00730EC9" w:rsidRPr="09F23372">
        <w:rPr>
          <w:rFonts w:ascii="Times New Roman" w:eastAsia="Calibri" w:hAnsi="Times New Roman" w:cs="Times New Roman"/>
          <w:sz w:val="24"/>
          <w:szCs w:val="24"/>
        </w:rPr>
        <w:t>Nepriame finančné náklady sa jedn</w:t>
      </w:r>
      <w:r w:rsidR="00B932B2" w:rsidRPr="09F23372">
        <w:rPr>
          <w:rFonts w:ascii="Times New Roman" w:eastAsia="Calibri" w:hAnsi="Times New Roman" w:cs="Times New Roman"/>
          <w:sz w:val="24"/>
          <w:szCs w:val="24"/>
        </w:rPr>
        <w:t>orazovo predpokladajú na</w:t>
      </w:r>
      <w:r w:rsidR="00115267" w:rsidRPr="09F23372">
        <w:rPr>
          <w:rFonts w:ascii="Times New Roman" w:eastAsia="Calibri" w:hAnsi="Times New Roman" w:cs="Times New Roman"/>
          <w:sz w:val="24"/>
          <w:szCs w:val="24"/>
        </w:rPr>
        <w:t xml:space="preserve"> priemerne</w:t>
      </w:r>
      <w:r w:rsidR="00B932B2" w:rsidRPr="09F23372">
        <w:rPr>
          <w:rFonts w:ascii="Times New Roman" w:eastAsia="Calibri" w:hAnsi="Times New Roman" w:cs="Times New Roman"/>
          <w:sz w:val="24"/>
          <w:szCs w:val="24"/>
        </w:rPr>
        <w:t xml:space="preserve"> cca 500</w:t>
      </w:r>
      <w:r w:rsidR="00730EC9" w:rsidRPr="09F23372">
        <w:rPr>
          <w:rFonts w:ascii="Times New Roman" w:eastAsia="Calibri" w:hAnsi="Times New Roman" w:cs="Times New Roman"/>
          <w:sz w:val="24"/>
          <w:szCs w:val="24"/>
        </w:rPr>
        <w:t> 000</w:t>
      </w:r>
      <w:r w:rsidR="52A112AD" w:rsidRPr="09F23372">
        <w:rPr>
          <w:rFonts w:ascii="Times New Roman" w:eastAsia="Calibri" w:hAnsi="Times New Roman" w:cs="Times New Roman"/>
          <w:sz w:val="24"/>
          <w:szCs w:val="24"/>
        </w:rPr>
        <w:t>,-</w:t>
      </w:r>
      <w:r w:rsidR="00730EC9" w:rsidRPr="09F23372">
        <w:rPr>
          <w:rFonts w:ascii="Times New Roman" w:eastAsia="Calibri" w:hAnsi="Times New Roman" w:cs="Times New Roman"/>
          <w:sz w:val="24"/>
          <w:szCs w:val="24"/>
        </w:rPr>
        <w:t xml:space="preserve"> eur na jeden dotknutý subjekt, konkrétna su</w:t>
      </w:r>
      <w:r w:rsidR="00EC3EE3" w:rsidRPr="09F23372">
        <w:rPr>
          <w:rFonts w:ascii="Times New Roman" w:eastAsia="Calibri" w:hAnsi="Times New Roman" w:cs="Times New Roman"/>
          <w:sz w:val="24"/>
          <w:szCs w:val="24"/>
        </w:rPr>
        <w:t>ma však bude závisieť od viacerých</w:t>
      </w:r>
      <w:r w:rsidR="00730EC9" w:rsidRPr="09F23372">
        <w:rPr>
          <w:rFonts w:ascii="Times New Roman" w:eastAsia="Calibri" w:hAnsi="Times New Roman" w:cs="Times New Roman"/>
          <w:sz w:val="24"/>
          <w:szCs w:val="24"/>
        </w:rPr>
        <w:t xml:space="preserve"> faktorov, ako napríklad veľkosti dotknutého subjektu, technickej náročnosti, počtu produktov a pod. Výpočet </w:t>
      </w:r>
      <w:r w:rsidR="00EC3EE3" w:rsidRPr="09F23372">
        <w:rPr>
          <w:rFonts w:ascii="Times New Roman" w:eastAsia="Calibri" w:hAnsi="Times New Roman" w:cs="Times New Roman"/>
          <w:sz w:val="24"/>
          <w:szCs w:val="24"/>
        </w:rPr>
        <w:t xml:space="preserve">nepriamych finančných nákladov </w:t>
      </w:r>
      <w:r w:rsidR="00730EC9" w:rsidRPr="09F23372">
        <w:rPr>
          <w:rFonts w:ascii="Times New Roman" w:eastAsia="Calibri" w:hAnsi="Times New Roman" w:cs="Times New Roman"/>
          <w:sz w:val="24"/>
          <w:szCs w:val="24"/>
        </w:rPr>
        <w:t xml:space="preserve">bol určený na základe údajov poskytnutých Slovenskou bankovou asociáciou. </w:t>
      </w:r>
    </w:p>
    <w:p w14:paraId="1B367E22" w14:textId="0CE43976" w:rsidR="003558EA" w:rsidRDefault="003558EA" w:rsidP="00A755A1">
      <w:pPr>
        <w:jc w:val="both"/>
        <w:rPr>
          <w:rFonts w:ascii="Times New Roman" w:eastAsia="Calibri" w:hAnsi="Times New Roman" w:cs="Times New Roman"/>
          <w:sz w:val="24"/>
          <w:szCs w:val="24"/>
        </w:rPr>
      </w:pPr>
    </w:p>
    <w:p w14:paraId="2A7D1E3D" w14:textId="7963B1C3" w:rsidR="003558EA" w:rsidRPr="003558EA" w:rsidRDefault="003558EA" w:rsidP="003558EA">
      <w:pPr>
        <w:pStyle w:val="Odsekzoznamu"/>
        <w:numPr>
          <w:ilvl w:val="0"/>
          <w:numId w:val="18"/>
        </w:numPr>
        <w:jc w:val="both"/>
        <w:rPr>
          <w:rFonts w:ascii="Times New Roman" w:eastAsia="Calibri" w:hAnsi="Times New Roman" w:cs="Times New Roman"/>
          <w:i/>
          <w:sz w:val="24"/>
          <w:szCs w:val="24"/>
        </w:rPr>
      </w:pPr>
      <w:r w:rsidRPr="003558EA">
        <w:rPr>
          <w:rFonts w:ascii="Times New Roman" w:eastAsia="Calibri" w:hAnsi="Times New Roman" w:cs="Times New Roman"/>
          <w:i/>
          <w:sz w:val="24"/>
          <w:szCs w:val="24"/>
        </w:rPr>
        <w:t>Zavedenie funkcie na odstúpenie od zmluvy</w:t>
      </w:r>
      <w:r>
        <w:rPr>
          <w:rFonts w:ascii="Times New Roman" w:eastAsia="Calibri" w:hAnsi="Times New Roman" w:cs="Times New Roman"/>
          <w:i/>
          <w:sz w:val="24"/>
          <w:szCs w:val="24"/>
        </w:rPr>
        <w:t xml:space="preserve"> pre obchodníkov</w:t>
      </w:r>
    </w:p>
    <w:p w14:paraId="5BD35448" w14:textId="11A6DD32" w:rsidR="003558EA" w:rsidRDefault="003558EA" w:rsidP="003558EA">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Zavedenie a prevádzkovanie funkcie na odstúpenie od zmluvy bude predstavovať jednorazové zvýšenie nepriamych finančných nákladov a mesačné zvýšenie administratívnej záťaže pre dotknuté subjekty, ktorými sú všetci obchodníci poskytujúci akékoľvek služby a tovary na diaľku</w:t>
      </w:r>
      <w:r w:rsidR="00B932B2" w:rsidRPr="09F23372">
        <w:rPr>
          <w:rFonts w:ascii="Times New Roman" w:eastAsia="Calibri" w:hAnsi="Times New Roman" w:cs="Times New Roman"/>
          <w:sz w:val="24"/>
          <w:szCs w:val="24"/>
        </w:rPr>
        <w:t>, okrem b</w:t>
      </w:r>
      <w:r w:rsidR="0011460F">
        <w:rPr>
          <w:rFonts w:ascii="Times New Roman" w:eastAsia="Calibri" w:hAnsi="Times New Roman" w:cs="Times New Roman"/>
          <w:sz w:val="24"/>
          <w:szCs w:val="24"/>
        </w:rPr>
        <w:t>ank a pobočiek zahraničných bánk</w:t>
      </w:r>
      <w:r w:rsidR="00B932B2" w:rsidRPr="09F23372">
        <w:rPr>
          <w:rFonts w:ascii="Times New Roman" w:eastAsia="Calibri" w:hAnsi="Times New Roman" w:cs="Times New Roman"/>
          <w:sz w:val="24"/>
          <w:szCs w:val="24"/>
        </w:rPr>
        <w:t xml:space="preserve">, ktorých vyčíslenie bolo uvedené v predchádzajúcej </w:t>
      </w:r>
      <w:r w:rsidR="00115267" w:rsidRPr="09F23372">
        <w:rPr>
          <w:rFonts w:ascii="Times New Roman" w:eastAsia="Calibri" w:hAnsi="Times New Roman" w:cs="Times New Roman"/>
          <w:sz w:val="24"/>
          <w:szCs w:val="24"/>
        </w:rPr>
        <w:t>regulácii – rozdelenie bolo potrebné z dôvodu rozdielnej výšky nepriamych finančných nákladov</w:t>
      </w:r>
      <w:r w:rsidRPr="09F23372">
        <w:rPr>
          <w:rFonts w:ascii="Times New Roman" w:eastAsia="Calibri" w:hAnsi="Times New Roman" w:cs="Times New Roman"/>
          <w:sz w:val="24"/>
          <w:szCs w:val="24"/>
        </w:rPr>
        <w:t xml:space="preserve">. Počet dotknutých subjektov sa odhaduje na </w:t>
      </w:r>
      <w:r w:rsidR="00115267" w:rsidRPr="09F23372">
        <w:rPr>
          <w:rFonts w:ascii="Times New Roman" w:eastAsia="Calibri" w:hAnsi="Times New Roman" w:cs="Times New Roman"/>
          <w:sz w:val="24"/>
          <w:szCs w:val="24"/>
        </w:rPr>
        <w:t>10 877</w:t>
      </w:r>
      <w:r w:rsidRPr="09F23372">
        <w:rPr>
          <w:rFonts w:ascii="Times New Roman" w:eastAsia="Calibri" w:hAnsi="Times New Roman" w:cs="Times New Roman"/>
          <w:sz w:val="24"/>
          <w:szCs w:val="24"/>
        </w:rPr>
        <w:t xml:space="preserve"> a výpočet vychádza z údajov uvedených v analýze vplyvov k zákonu č. 108/2025 Z. z. o ochrane spotrebiteľa a o zmene a doplnení niektorých zákonov</w:t>
      </w:r>
      <w:r w:rsidR="00115267" w:rsidRPr="09F23372">
        <w:rPr>
          <w:rFonts w:ascii="Times New Roman" w:eastAsia="Calibri" w:hAnsi="Times New Roman" w:cs="Times New Roman"/>
          <w:sz w:val="24"/>
          <w:szCs w:val="24"/>
        </w:rPr>
        <w:t xml:space="preserve"> po odpočítaní počtu bánk</w:t>
      </w:r>
      <w:r w:rsidR="181839D9" w:rsidRPr="09F23372">
        <w:rPr>
          <w:rFonts w:ascii="Times New Roman" w:eastAsia="Calibri" w:hAnsi="Times New Roman" w:cs="Times New Roman"/>
          <w:sz w:val="24"/>
          <w:szCs w:val="24"/>
        </w:rPr>
        <w:t xml:space="preserve"> a pobočiek zahraničných bánk</w:t>
      </w:r>
      <w:r w:rsidRPr="09F23372">
        <w:rPr>
          <w:rFonts w:ascii="Times New Roman" w:eastAsia="Calibri" w:hAnsi="Times New Roman" w:cs="Times New Roman"/>
          <w:sz w:val="24"/>
          <w:szCs w:val="24"/>
        </w:rPr>
        <w:t xml:space="preserve">. Administratívna záťaž bude v podobe oboznámenia sa s reguláciou, vypracovaní projektu v rámci technického riešenia regulačných požiadaviek a časového nákladu externej služby, </w:t>
      </w:r>
      <w:r w:rsidRPr="09F23372">
        <w:rPr>
          <w:rFonts w:ascii="Times New Roman" w:eastAsia="Calibri" w:hAnsi="Times New Roman" w:cs="Times New Roman"/>
          <w:sz w:val="24"/>
          <w:szCs w:val="24"/>
        </w:rPr>
        <w:lastRenderedPageBreak/>
        <w:t xml:space="preserve">pokiaľ dotknutý subjekt na činnosti v oblasti digitalizácie využíva externého dodávateľa. Po zavedení funkcie na odstúpenie od zmluvy sú predpokladané administratívne náklady hlavne v súvislosti s ukončením samotného produktu v prípade, ak spotrebiteľ využije funkciu na odstúpenie. Nepriame finančné náklady sa jednorazovo predpokladajú na </w:t>
      </w:r>
      <w:r w:rsidR="00115267" w:rsidRPr="09F23372">
        <w:rPr>
          <w:rFonts w:ascii="Times New Roman" w:eastAsia="Calibri" w:hAnsi="Times New Roman" w:cs="Times New Roman"/>
          <w:sz w:val="24"/>
          <w:szCs w:val="24"/>
        </w:rPr>
        <w:t xml:space="preserve">priemerne </w:t>
      </w:r>
      <w:r w:rsidRPr="09F23372">
        <w:rPr>
          <w:rFonts w:ascii="Times New Roman" w:eastAsia="Calibri" w:hAnsi="Times New Roman" w:cs="Times New Roman"/>
          <w:sz w:val="24"/>
          <w:szCs w:val="24"/>
        </w:rPr>
        <w:t>cca</w:t>
      </w:r>
      <w:r w:rsidR="096126EC"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w:t>
      </w:r>
      <w:r w:rsidR="00115267" w:rsidRPr="09F23372">
        <w:rPr>
          <w:rFonts w:ascii="Times New Roman" w:eastAsia="Calibri" w:hAnsi="Times New Roman" w:cs="Times New Roman"/>
          <w:sz w:val="24"/>
          <w:szCs w:val="24"/>
        </w:rPr>
        <w:t>10</w:t>
      </w:r>
      <w:r w:rsidRPr="09F23372">
        <w:rPr>
          <w:rFonts w:ascii="Times New Roman" w:eastAsia="Calibri" w:hAnsi="Times New Roman" w:cs="Times New Roman"/>
          <w:sz w:val="24"/>
          <w:szCs w:val="24"/>
        </w:rPr>
        <w:t> 000</w:t>
      </w:r>
      <w:r w:rsidR="2F087F69"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eur na jeden dotknutý subjekt, konkrétna suma však bude závisieť od viacerých faktorov, ako napríklad veľkosti dotknutého subjektu, technickej náročnosti, počtu produktov a pod. </w:t>
      </w:r>
    </w:p>
    <w:p w14:paraId="231E1E70" w14:textId="47DB62DA" w:rsidR="00A755A1" w:rsidRPr="00A755A1" w:rsidRDefault="00A755A1" w:rsidP="00A755A1">
      <w:pPr>
        <w:pStyle w:val="Odsekzoznamu"/>
        <w:numPr>
          <w:ilvl w:val="0"/>
          <w:numId w:val="18"/>
        </w:numPr>
        <w:jc w:val="both"/>
        <w:rPr>
          <w:rFonts w:ascii="Times New Roman" w:eastAsia="Calibri" w:hAnsi="Times New Roman" w:cs="Times New Roman"/>
          <w:i/>
          <w:sz w:val="24"/>
          <w:szCs w:val="24"/>
        </w:rPr>
      </w:pPr>
      <w:r w:rsidRPr="00A755A1">
        <w:rPr>
          <w:rFonts w:ascii="Times New Roman" w:eastAsia="Calibri" w:hAnsi="Times New Roman" w:cs="Times New Roman"/>
          <w:i/>
          <w:sz w:val="24"/>
          <w:szCs w:val="24"/>
        </w:rPr>
        <w:t>Zmena v prílohe v pokynoch na vyplnenie</w:t>
      </w:r>
    </w:p>
    <w:p w14:paraId="520176F4" w14:textId="13BFB853" w:rsidR="00A755A1" w:rsidRDefault="00730EC9" w:rsidP="00673F1C">
      <w:pPr>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 xml:space="preserve">Predmetná regulácia bude predstavovať zvýšenie nepriamych finančných nákladov a administratívnej záťaže pre dotknuté subjekty, ktorými sú všetci obchodníci poskytujúci tovary a služby na diaľku v predpokladanom počte 10 900, ktorý vychádza z rovnakých údajov ako v predchádzajúcej </w:t>
      </w:r>
      <w:r w:rsidR="009639C4" w:rsidRPr="09F23372">
        <w:rPr>
          <w:rFonts w:ascii="Times New Roman" w:eastAsia="Calibri" w:hAnsi="Times New Roman" w:cs="Times New Roman"/>
          <w:sz w:val="24"/>
          <w:szCs w:val="24"/>
        </w:rPr>
        <w:t>regulácii. Administratívna záťaž na zmenu príloh sa predpokladá v oblasti oboznámenia sa s reguláciou a vypracovaní dokumentu, konkrétne danej prílohy, ktorej zmena bude spôsobená návrhom zákona. Nepriame finančné náklady sa predpokladajú v</w:t>
      </w:r>
      <w:r w:rsidR="56D8415F" w:rsidRPr="09F23372">
        <w:rPr>
          <w:rFonts w:ascii="Times New Roman" w:eastAsia="Calibri" w:hAnsi="Times New Roman" w:cs="Times New Roman"/>
          <w:sz w:val="24"/>
          <w:szCs w:val="24"/>
        </w:rPr>
        <w:t xml:space="preserve"> priemernej</w:t>
      </w:r>
      <w:r w:rsidR="009639C4" w:rsidRPr="09F23372">
        <w:rPr>
          <w:rFonts w:ascii="Times New Roman" w:eastAsia="Calibri" w:hAnsi="Times New Roman" w:cs="Times New Roman"/>
          <w:sz w:val="24"/>
          <w:szCs w:val="24"/>
        </w:rPr>
        <w:t xml:space="preserve"> výške 1 000</w:t>
      </w:r>
      <w:r w:rsidR="76D4765B" w:rsidRPr="09F23372">
        <w:rPr>
          <w:rFonts w:ascii="Times New Roman" w:eastAsia="Calibri" w:hAnsi="Times New Roman" w:cs="Times New Roman"/>
          <w:sz w:val="24"/>
          <w:szCs w:val="24"/>
        </w:rPr>
        <w:t>,-</w:t>
      </w:r>
      <w:r w:rsidR="009639C4" w:rsidRPr="09F23372">
        <w:rPr>
          <w:rFonts w:ascii="Times New Roman" w:eastAsia="Calibri" w:hAnsi="Times New Roman" w:cs="Times New Roman"/>
          <w:sz w:val="24"/>
          <w:szCs w:val="24"/>
        </w:rPr>
        <w:t xml:space="preserve"> eur na jeden dotknutý subjekt, konkrétna výš</w:t>
      </w:r>
      <w:r w:rsidR="00EC3EE3" w:rsidRPr="09F23372">
        <w:rPr>
          <w:rFonts w:ascii="Times New Roman" w:eastAsia="Calibri" w:hAnsi="Times New Roman" w:cs="Times New Roman"/>
          <w:sz w:val="24"/>
          <w:szCs w:val="24"/>
        </w:rPr>
        <w:t>ka však bude závisieť od viacerých</w:t>
      </w:r>
      <w:r w:rsidR="009639C4" w:rsidRPr="09F23372">
        <w:rPr>
          <w:rFonts w:ascii="Times New Roman" w:eastAsia="Calibri" w:hAnsi="Times New Roman" w:cs="Times New Roman"/>
          <w:sz w:val="24"/>
          <w:szCs w:val="24"/>
        </w:rPr>
        <w:t xml:space="preserve"> faktorov, ako</w:t>
      </w:r>
      <w:r w:rsidR="000D7F86" w:rsidRPr="09F23372">
        <w:rPr>
          <w:rFonts w:ascii="Times New Roman" w:eastAsia="Calibri" w:hAnsi="Times New Roman" w:cs="Times New Roman"/>
          <w:sz w:val="24"/>
          <w:szCs w:val="24"/>
        </w:rPr>
        <w:t xml:space="preserve"> napríklad veľkosť dotknutého subjektu</w:t>
      </w:r>
      <w:r w:rsidR="2EF3CE30" w:rsidRPr="09F23372">
        <w:rPr>
          <w:rFonts w:ascii="Times New Roman" w:eastAsia="Calibri" w:hAnsi="Times New Roman" w:cs="Times New Roman"/>
          <w:sz w:val="24"/>
          <w:szCs w:val="24"/>
        </w:rPr>
        <w:t xml:space="preserve"> alebo</w:t>
      </w:r>
      <w:r w:rsidR="000D7F86" w:rsidRPr="09F23372">
        <w:rPr>
          <w:rFonts w:ascii="Times New Roman" w:eastAsia="Calibri" w:hAnsi="Times New Roman" w:cs="Times New Roman"/>
          <w:sz w:val="24"/>
          <w:szCs w:val="24"/>
        </w:rPr>
        <w:t xml:space="preserve"> </w:t>
      </w:r>
      <w:r w:rsidR="009639C4" w:rsidRPr="09F23372">
        <w:rPr>
          <w:rFonts w:ascii="Times New Roman" w:eastAsia="Calibri" w:hAnsi="Times New Roman" w:cs="Times New Roman"/>
          <w:sz w:val="24"/>
          <w:szCs w:val="24"/>
        </w:rPr>
        <w:t>forma</w:t>
      </w:r>
      <w:r w:rsidR="1D1FA52E" w:rsidRPr="09F23372">
        <w:rPr>
          <w:rFonts w:ascii="Times New Roman" w:eastAsia="Calibri" w:hAnsi="Times New Roman" w:cs="Times New Roman"/>
          <w:sz w:val="24"/>
          <w:szCs w:val="24"/>
        </w:rPr>
        <w:t>,</w:t>
      </w:r>
      <w:r w:rsidR="009639C4" w:rsidRPr="09F23372">
        <w:rPr>
          <w:rFonts w:ascii="Times New Roman" w:eastAsia="Calibri" w:hAnsi="Times New Roman" w:cs="Times New Roman"/>
          <w:sz w:val="24"/>
          <w:szCs w:val="24"/>
        </w:rPr>
        <w:t xml:space="preserve"> v akej formuláre využíva. </w:t>
      </w:r>
      <w:r w:rsidR="000D7F86" w:rsidRPr="09F23372">
        <w:rPr>
          <w:rFonts w:ascii="Times New Roman" w:eastAsia="Calibri" w:hAnsi="Times New Roman" w:cs="Times New Roman"/>
          <w:sz w:val="24"/>
          <w:szCs w:val="24"/>
        </w:rPr>
        <w:t xml:space="preserve">Náklad sa predpokladá jednorazovo, nakoľko potrebná bude len prvotná zmena formulára. </w:t>
      </w:r>
    </w:p>
    <w:p w14:paraId="67CA767E" w14:textId="15112FEA" w:rsidR="002936A5" w:rsidRDefault="002936A5" w:rsidP="00673F1C">
      <w:pPr>
        <w:jc w:val="both"/>
        <w:rPr>
          <w:rFonts w:ascii="Times New Roman" w:eastAsia="Calibri" w:hAnsi="Times New Roman" w:cs="Times New Roman"/>
          <w:sz w:val="24"/>
          <w:szCs w:val="24"/>
        </w:rPr>
      </w:pPr>
    </w:p>
    <w:p w14:paraId="4F67E0ED" w14:textId="52CBC0EF" w:rsidR="002936A5" w:rsidRPr="002936A5" w:rsidRDefault="002936A5" w:rsidP="002936A5">
      <w:pPr>
        <w:pStyle w:val="Odsekzoznamu"/>
        <w:numPr>
          <w:ilvl w:val="0"/>
          <w:numId w:val="18"/>
        </w:numPr>
        <w:jc w:val="both"/>
        <w:rPr>
          <w:rFonts w:ascii="Times New Roman" w:eastAsia="Calibri" w:hAnsi="Times New Roman" w:cs="Times New Roman"/>
          <w:i/>
          <w:sz w:val="24"/>
          <w:szCs w:val="24"/>
        </w:rPr>
      </w:pPr>
      <w:r w:rsidRPr="002936A5">
        <w:rPr>
          <w:rFonts w:ascii="Times New Roman" w:eastAsia="Calibri" w:hAnsi="Times New Roman" w:cs="Times New Roman"/>
          <w:i/>
          <w:sz w:val="24"/>
          <w:szCs w:val="24"/>
        </w:rPr>
        <w:t>Udelenie súhlasu pri komunikácii cez telefón</w:t>
      </w:r>
    </w:p>
    <w:p w14:paraId="3FB1450B" w14:textId="2DE3D27F" w:rsidR="001E24E8" w:rsidRDefault="002936A5" w:rsidP="00054C41">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spôsobujúca </w:t>
      </w:r>
      <w:proofErr w:type="spellStart"/>
      <w:r>
        <w:rPr>
          <w:rFonts w:ascii="Times New Roman" w:eastAsia="Calibri" w:hAnsi="Times New Roman" w:cs="Times New Roman"/>
          <w:sz w:val="24"/>
          <w:szCs w:val="24"/>
        </w:rPr>
        <w:t>goldplating</w:t>
      </w:r>
      <w:proofErr w:type="spellEnd"/>
      <w:r>
        <w:rPr>
          <w:rFonts w:ascii="Times New Roman" w:eastAsia="Calibri" w:hAnsi="Times New Roman" w:cs="Times New Roman"/>
          <w:sz w:val="24"/>
          <w:szCs w:val="24"/>
        </w:rPr>
        <w:t xml:space="preserve"> bude viesť k zvýšeniu administratívnej záťaže pre dotknuté subjekty, ktorými sú obchodníci poskytujúci finančné služby na diaľku. Počet dotknutých subjektov sa odhaduje na 200, a to na základe údajov uvedených v predchádzajúcich reguláciách. Administratívna záťaž bude spôsobená potrebou oboznámenia sa s reguláciou, zmenou vnútorných postupov, tak aby obchodníci požadovali následný súhlas spotrebiteľa na trvanlivou médiu v prípade ponuky cez telefón a vedenie týchto udelených súhlasov priemerne na mesačnej báze.</w:t>
      </w:r>
    </w:p>
    <w:p w14:paraId="180F1580" w14:textId="1AFB4E5B" w:rsidR="00756C88" w:rsidRDefault="00756C88" w:rsidP="00054C41">
      <w:pPr>
        <w:jc w:val="both"/>
        <w:rPr>
          <w:rFonts w:ascii="Times New Roman" w:eastAsia="Calibri" w:hAnsi="Times New Roman" w:cs="Times New Roman"/>
          <w:sz w:val="24"/>
          <w:szCs w:val="24"/>
        </w:rPr>
      </w:pPr>
    </w:p>
    <w:p w14:paraId="35F9A651" w14:textId="00F4345E" w:rsidR="00756C88" w:rsidRPr="00756C88" w:rsidRDefault="00756C88" w:rsidP="00756C88">
      <w:pPr>
        <w:pStyle w:val="Odsekzoznamu"/>
        <w:numPr>
          <w:ilvl w:val="0"/>
          <w:numId w:val="18"/>
        </w:numPr>
        <w:jc w:val="both"/>
        <w:rPr>
          <w:rFonts w:ascii="Times New Roman" w:eastAsia="Calibri" w:hAnsi="Times New Roman" w:cs="Times New Roman"/>
          <w:i/>
          <w:sz w:val="24"/>
          <w:szCs w:val="24"/>
        </w:rPr>
      </w:pPr>
      <w:r w:rsidRPr="00756C88">
        <w:rPr>
          <w:rFonts w:ascii="Times New Roman" w:eastAsia="Calibri" w:hAnsi="Times New Roman" w:cs="Times New Roman"/>
          <w:i/>
          <w:sz w:val="24"/>
          <w:szCs w:val="24"/>
        </w:rPr>
        <w:t>Povinnosť obchodníka zaslať informácie v listinnej podobe</w:t>
      </w:r>
    </w:p>
    <w:p w14:paraId="0D1AD590" w14:textId="0242A7E4" w:rsidR="00A57A0D" w:rsidRPr="00A57A0D" w:rsidRDefault="00756C88" w:rsidP="09F23372">
      <w:pPr>
        <w:jc w:val="both"/>
        <w:rPr>
          <w:rFonts w:ascii="Times New Roman" w:eastAsia="Calibri" w:hAnsi="Times New Roman" w:cs="Times New Roman"/>
          <w:color w:val="000000"/>
          <w:sz w:val="24"/>
          <w:szCs w:val="24"/>
        </w:rPr>
      </w:pPr>
      <w:r w:rsidRPr="09F23372">
        <w:rPr>
          <w:rFonts w:ascii="Times New Roman" w:eastAsia="Calibri" w:hAnsi="Times New Roman" w:cs="Times New Roman"/>
          <w:color w:val="000000" w:themeColor="text1"/>
          <w:sz w:val="24"/>
          <w:szCs w:val="24"/>
        </w:rPr>
        <w:t>P</w:t>
      </w:r>
      <w:r w:rsidR="00A57A0D" w:rsidRPr="09F23372">
        <w:rPr>
          <w:rFonts w:ascii="Times New Roman" w:eastAsia="Calibri" w:hAnsi="Times New Roman" w:cs="Times New Roman"/>
          <w:color w:val="000000" w:themeColor="text1"/>
          <w:sz w:val="24"/>
          <w:szCs w:val="24"/>
        </w:rPr>
        <w:t xml:space="preserve">redmetná regulácia bude predstavovať zvýšenie administratívnej záťaže z dôvodu, že dotknutý subjekt bude povinný nastaviť svoje systémy tak, aby v prípade, že nie je možné spotrebiteľovi možné zaslať predzmluvné informácie </w:t>
      </w:r>
      <w:r w:rsidR="00A57A0D" w:rsidRPr="09F23372">
        <w:rPr>
          <w:rFonts w:ascii="Times New Roman" w:hAnsi="Times New Roman"/>
          <w:color w:val="000000" w:themeColor="text1"/>
          <w:sz w:val="24"/>
          <w:szCs w:val="24"/>
        </w:rPr>
        <w:t>v listinnej podobe alebo na inom trvanlivom médiu z dôvodu konkrétneho prostriedku diaľkovej komunikácia prostredníctvom ktorého spotrebiteľ zmluvu uzatvoril</w:t>
      </w:r>
      <w:r w:rsidR="00A57A0D" w:rsidRPr="09F23372">
        <w:rPr>
          <w:rFonts w:ascii="Times New Roman" w:eastAsia="Calibri" w:hAnsi="Times New Roman" w:cs="Times New Roman"/>
          <w:color w:val="000000" w:themeColor="text1"/>
          <w:sz w:val="24"/>
          <w:szCs w:val="24"/>
        </w:rPr>
        <w:t xml:space="preserve">, zaslal tieto informácie v listinnej podobe alebo na inom trvanlivom médiu bezprostredne po uzavretí zmluvy uzavretej na diaľku. Konkrétna administratívna záťaž sa predpokladá v potrebe oboznámenia sa s reguláciou, zmenou vnútorných predpisov a vypracovaní a zaslaní dokumentu buď v listinnej podobe alebo na inom trvanlivom médiu. </w:t>
      </w:r>
      <w:r w:rsidR="00626769" w:rsidRPr="09F23372">
        <w:rPr>
          <w:rFonts w:ascii="Times New Roman" w:eastAsia="Calibri" w:hAnsi="Times New Roman" w:cs="Times New Roman"/>
          <w:color w:val="000000" w:themeColor="text1"/>
          <w:sz w:val="24"/>
          <w:szCs w:val="24"/>
        </w:rPr>
        <w:t xml:space="preserve">Frekvencia sa predpokladá priemerne mesačne. Počet dotknutých subjektov je 200 – všetci obchodníci poskytujúci finančné služby na diaľku, pričom tento odhad vychádza z údajov uvedených v predchádzajúcich reguláciách. </w:t>
      </w:r>
    </w:p>
    <w:p w14:paraId="28CA2658" w14:textId="38ED7211" w:rsidR="00BB5B3F" w:rsidRPr="00756C88" w:rsidRDefault="00BB5B3F" w:rsidP="00054C41">
      <w:pPr>
        <w:jc w:val="both"/>
        <w:rPr>
          <w:rFonts w:ascii="Times New Roman" w:eastAsia="Calibri" w:hAnsi="Times New Roman" w:cs="Times New Roman"/>
          <w:bCs/>
          <w:iCs/>
          <w:color w:val="000000"/>
          <w:sz w:val="24"/>
          <w:szCs w:val="24"/>
        </w:rPr>
      </w:pPr>
    </w:p>
    <w:p w14:paraId="136A9EB7" w14:textId="77777777" w:rsidR="00756C88" w:rsidRDefault="00756C88" w:rsidP="00054C41">
      <w:pPr>
        <w:jc w:val="both"/>
        <w:rPr>
          <w:rFonts w:ascii="Times New Roman" w:eastAsia="Calibri" w:hAnsi="Times New Roman" w:cs="Times New Roman"/>
          <w:bCs/>
          <w:i/>
          <w:iCs/>
          <w:color w:val="000000"/>
          <w:sz w:val="24"/>
          <w:szCs w:val="24"/>
        </w:rPr>
      </w:pPr>
    </w:p>
    <w:p w14:paraId="0EB298DB" w14:textId="77777777"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w:t>
      </w:r>
      <w:proofErr w:type="spellStart"/>
      <w:r w:rsidR="008F6ADE" w:rsidRPr="00804BC8">
        <w:rPr>
          <w:rFonts w:ascii="Times New Roman" w:eastAsia="Calibri" w:hAnsi="Times New Roman" w:cs="Times New Roman"/>
          <w:b/>
          <w:bCs/>
          <w:i/>
          <w:sz w:val="24"/>
          <w:szCs w:val="24"/>
          <w:u w:val="single"/>
        </w:rPr>
        <w:t>goldplating</w:t>
      </w:r>
      <w:r w:rsidR="0016512E">
        <w:rPr>
          <w:rFonts w:ascii="Times New Roman" w:eastAsia="Calibri" w:hAnsi="Times New Roman" w:cs="Times New Roman"/>
          <w:b/>
          <w:bCs/>
          <w:i/>
          <w:sz w:val="24"/>
          <w:szCs w:val="24"/>
          <w:u w:val="single"/>
        </w:rPr>
        <w:t>u</w:t>
      </w:r>
      <w:proofErr w:type="spellEnd"/>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14:paraId="749EC593" w14:textId="77777777"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w:t>
      </w:r>
      <w:proofErr w:type="spellStart"/>
      <w:r w:rsidRPr="000C5419">
        <w:rPr>
          <w:rFonts w:ascii="Times New Roman" w:eastAsia="Calibri" w:hAnsi="Times New Roman" w:cs="Times New Roman"/>
          <w:bCs/>
          <w:i/>
          <w:iCs/>
          <w:color w:val="000000"/>
          <w:sz w:val="24"/>
          <w:szCs w:val="24"/>
        </w:rPr>
        <w:t>goldplatingu</w:t>
      </w:r>
      <w:proofErr w:type="spellEnd"/>
      <w:r w:rsidRPr="000C5419">
        <w:rPr>
          <w:rFonts w:ascii="Times New Roman" w:eastAsia="Calibri" w:hAnsi="Times New Roman" w:cs="Times New Roman"/>
          <w:bCs/>
          <w:i/>
          <w:iCs/>
          <w:color w:val="000000"/>
          <w:sz w:val="24"/>
          <w:szCs w:val="24"/>
        </w:rPr>
        <w:t xml:space="preserve"> (ku každej hodnotenej regulácii s </w:t>
      </w:r>
      <w:proofErr w:type="spellStart"/>
      <w:r w:rsidRPr="000C5419">
        <w:rPr>
          <w:rFonts w:ascii="Times New Roman" w:eastAsia="Calibri" w:hAnsi="Times New Roman" w:cs="Times New Roman"/>
          <w:bCs/>
          <w:i/>
          <w:iCs/>
          <w:color w:val="000000"/>
          <w:sz w:val="24"/>
          <w:szCs w:val="24"/>
        </w:rPr>
        <w:t>goldplatingom</w:t>
      </w:r>
      <w:proofErr w:type="spellEnd"/>
      <w:r w:rsidRPr="000C5419">
        <w:rPr>
          <w:rFonts w:ascii="Times New Roman" w:eastAsia="Calibri" w:hAnsi="Times New Roman" w:cs="Times New Roman"/>
          <w:bCs/>
          <w:i/>
          <w:iCs/>
          <w:color w:val="000000"/>
          <w:sz w:val="24"/>
          <w:szCs w:val="24"/>
        </w:rPr>
        <w:t xml:space="preserve"> osobitne). </w:t>
      </w:r>
    </w:p>
    <w:p w14:paraId="0A0E8534" w14:textId="77777777"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w:t>
      </w:r>
      <w:proofErr w:type="spellStart"/>
      <w:r w:rsidR="004239D1" w:rsidRPr="004239D1">
        <w:rPr>
          <w:rFonts w:ascii="Times New Roman" w:eastAsia="Calibri" w:hAnsi="Times New Roman" w:cs="Times New Roman"/>
          <w:bCs/>
          <w:i/>
          <w:iCs/>
          <w:color w:val="000000"/>
          <w:sz w:val="24"/>
          <w:szCs w:val="24"/>
        </w:rPr>
        <w:t>goldplatingu</w:t>
      </w:r>
      <w:proofErr w:type="spellEnd"/>
      <w:r w:rsidR="004239D1" w:rsidRPr="004239D1">
        <w:rPr>
          <w:rFonts w:ascii="Times New Roman" w:eastAsia="Calibri" w:hAnsi="Times New Roman" w:cs="Times New Roman"/>
          <w:bCs/>
          <w:i/>
          <w:iCs/>
          <w:color w:val="000000"/>
          <w:sz w:val="24"/>
          <w:szCs w:val="24"/>
        </w:rPr>
        <w:t xml:space="preserve">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14:paraId="6A18C579" w14:textId="0633763E"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proofErr w:type="spellStart"/>
      <w:r w:rsidR="000C5419" w:rsidRPr="00284B8C">
        <w:rPr>
          <w:rFonts w:ascii="Times New Roman" w:eastAsia="Calibri" w:hAnsi="Times New Roman" w:cs="Times New Roman"/>
          <w:bCs/>
          <w:i/>
          <w:iCs/>
          <w:color w:val="000000"/>
          <w:sz w:val="24"/>
          <w:szCs w:val="24"/>
        </w:rPr>
        <w:t>goldplatingu</w:t>
      </w:r>
      <w:proofErr w:type="spellEnd"/>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14:paraId="535CABE4" w14:textId="77777777"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 xml:space="preserve">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F244DC">
        <w:rPr>
          <w:rFonts w:ascii="Times New Roman" w:eastAsia="Calibri" w:hAnsi="Times New Roman" w:cs="Times New Roman"/>
          <w:bCs/>
          <w:i/>
          <w:iCs/>
          <w:sz w:val="24"/>
          <w:szCs w:val="24"/>
        </w:rPr>
        <w:t>goldplatingu</w:t>
      </w:r>
      <w:proofErr w:type="spellEnd"/>
      <w:r w:rsidRPr="00F244DC">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7B66DEA5" w14:textId="13035EFB" w:rsidR="007030F1" w:rsidRPr="002936A5" w:rsidRDefault="00160CD9" w:rsidP="00054C41">
      <w:pPr>
        <w:jc w:val="both"/>
        <w:rPr>
          <w:rFonts w:ascii="Times New Roman" w:eastAsia="Times New Roman" w:hAnsi="Times New Roman" w:cs="Times New Roman"/>
          <w:sz w:val="24"/>
          <w:szCs w:val="24"/>
          <w:lang w:eastAsia="sk-SK"/>
        </w:rPr>
      </w:pPr>
      <w:proofErr w:type="spellStart"/>
      <w:r w:rsidRPr="09F23372">
        <w:rPr>
          <w:rFonts w:ascii="Times New Roman" w:eastAsia="Calibri" w:hAnsi="Times New Roman" w:cs="Times New Roman"/>
          <w:sz w:val="24"/>
          <w:szCs w:val="24"/>
        </w:rPr>
        <w:t>Golplating</w:t>
      </w:r>
      <w:proofErr w:type="spellEnd"/>
      <w:r w:rsidRPr="09F23372">
        <w:rPr>
          <w:rFonts w:ascii="Times New Roman" w:eastAsia="Calibri" w:hAnsi="Times New Roman" w:cs="Times New Roman"/>
          <w:sz w:val="24"/>
          <w:szCs w:val="24"/>
        </w:rPr>
        <w:t xml:space="preserve"> typu b) – navýšenie požiadaviek bol identifikovaný v § 10 odsek 2, ktorý je transpozíciou čl</w:t>
      </w:r>
      <w:r w:rsidR="4DB42404"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1 ods</w:t>
      </w:r>
      <w:r w:rsidR="6D9C086D" w:rsidRPr="09F23372">
        <w:rPr>
          <w:rFonts w:ascii="Times New Roman" w:eastAsia="Calibri" w:hAnsi="Times New Roman" w:cs="Times New Roman"/>
          <w:sz w:val="24"/>
          <w:szCs w:val="24"/>
        </w:rPr>
        <w:t>.</w:t>
      </w:r>
      <w:r w:rsidRPr="09F23372">
        <w:rPr>
          <w:rFonts w:ascii="Times New Roman" w:eastAsia="Calibri" w:hAnsi="Times New Roman" w:cs="Times New Roman"/>
          <w:sz w:val="24"/>
          <w:szCs w:val="24"/>
        </w:rPr>
        <w:t xml:space="preserve"> 1 </w:t>
      </w:r>
      <w:r w:rsidRPr="09F23372">
        <w:rPr>
          <w:rFonts w:ascii="Times New Roman" w:eastAsia="Times New Roman" w:hAnsi="Times New Roman" w:cs="Times New Roman"/>
          <w:sz w:val="24"/>
          <w:szCs w:val="24"/>
          <w:lang w:eastAsia="sk-SK"/>
        </w:rPr>
        <w:t>smernice 2023/2673 a čl</w:t>
      </w:r>
      <w:r w:rsidR="184766F3" w:rsidRPr="09F23372">
        <w:rPr>
          <w:rFonts w:ascii="Times New Roman" w:eastAsia="Times New Roman" w:hAnsi="Times New Roman" w:cs="Times New Roman"/>
          <w:sz w:val="24"/>
          <w:szCs w:val="24"/>
          <w:lang w:eastAsia="sk-SK"/>
        </w:rPr>
        <w:t>.</w:t>
      </w:r>
      <w:r w:rsidRPr="09F23372">
        <w:rPr>
          <w:rFonts w:ascii="Times New Roman" w:eastAsia="Times New Roman" w:hAnsi="Times New Roman" w:cs="Times New Roman"/>
          <w:sz w:val="24"/>
          <w:szCs w:val="24"/>
          <w:lang w:eastAsia="sk-SK"/>
        </w:rPr>
        <w:t xml:space="preserve"> 8 ods</w:t>
      </w:r>
      <w:r w:rsidR="2C22558A" w:rsidRPr="09F23372">
        <w:rPr>
          <w:rFonts w:ascii="Times New Roman" w:eastAsia="Times New Roman" w:hAnsi="Times New Roman" w:cs="Times New Roman"/>
          <w:sz w:val="24"/>
          <w:szCs w:val="24"/>
          <w:lang w:eastAsia="sk-SK"/>
        </w:rPr>
        <w:t>.</w:t>
      </w:r>
      <w:r w:rsidRPr="09F23372">
        <w:rPr>
          <w:rFonts w:ascii="Times New Roman" w:eastAsia="Times New Roman" w:hAnsi="Times New Roman" w:cs="Times New Roman"/>
          <w:sz w:val="24"/>
          <w:szCs w:val="24"/>
          <w:lang w:eastAsia="sk-SK"/>
        </w:rPr>
        <w:t xml:space="preserve"> 6 smernice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 12. 2015), v znení smernice Európskeho parlamentu a Rady (EÚ) 2019/2161 z 27. novembra 2019 (Ú. v. EÚ L 328, 18. 12. 2019), v znení smernice Európskeho parlamentu a Rady (EÚ) 2023/2673 z 22. novembra 2023 (Ú. v. EÚ L, 2023/2673, 28. 11. 2023). V obdobnom znení už bolo ustanovenie transponované do zákona č. 108/2024 Z. z. o ochrane spotrebiteľa a o zmene a doplnení niektorých zákonov a z dôvodu zachovania kontinuity medzi oboma zákonmi bolo žiadúce ustanovenie prebrať v podobnom znení. Taktiež je právna úprava v tomto znení nevyhnutná z dôvodu zvýšenia ochrany spotrebiteľa, ktorý bude ponukou viazaný až vyjadrením následného súhlasu na trvalom nosiči, a tak spotrebiteľ nebude časovo limitovaný povinnosťou záväzne sa vyjadriť k ponuke už počas telefonického </w:t>
      </w:r>
      <w:r w:rsidRPr="09F23372">
        <w:rPr>
          <w:rFonts w:ascii="Times New Roman" w:eastAsia="Times New Roman" w:hAnsi="Times New Roman" w:cs="Times New Roman"/>
          <w:sz w:val="24"/>
          <w:szCs w:val="24"/>
          <w:lang w:eastAsia="sk-SK"/>
        </w:rPr>
        <w:lastRenderedPageBreak/>
        <w:t xml:space="preserve">rozhovoru. </w:t>
      </w:r>
      <w:r w:rsidR="0051156F" w:rsidRPr="09F23372">
        <w:rPr>
          <w:rFonts w:ascii="Times New Roman" w:eastAsia="Times New Roman" w:hAnsi="Times New Roman" w:cs="Times New Roman"/>
          <w:sz w:val="24"/>
          <w:szCs w:val="24"/>
          <w:lang w:eastAsia="sk-SK"/>
        </w:rPr>
        <w:t xml:space="preserve">Taktiež je </w:t>
      </w:r>
      <w:proofErr w:type="spellStart"/>
      <w:r w:rsidR="0051156F" w:rsidRPr="09F23372">
        <w:rPr>
          <w:rFonts w:ascii="Times New Roman" w:eastAsia="Times New Roman" w:hAnsi="Times New Roman" w:cs="Times New Roman"/>
          <w:sz w:val="24"/>
          <w:szCs w:val="24"/>
          <w:lang w:eastAsia="sk-SK"/>
        </w:rPr>
        <w:t>golplating</w:t>
      </w:r>
      <w:proofErr w:type="spellEnd"/>
      <w:r w:rsidR="0051156F" w:rsidRPr="09F23372">
        <w:rPr>
          <w:rFonts w:ascii="Times New Roman" w:eastAsia="Times New Roman" w:hAnsi="Times New Roman" w:cs="Times New Roman"/>
          <w:sz w:val="24"/>
          <w:szCs w:val="24"/>
          <w:lang w:eastAsia="sk-SK"/>
        </w:rPr>
        <w:t xml:space="preserve"> nevyhnutný z hľadiska právnej istoty, nakoľko vďaka súhlasu na trvalom nosiči bude môcť byť preukázateľný súhlas udelený spotrebiteľom v prípade</w:t>
      </w:r>
      <w:r w:rsidR="5737BECD" w:rsidRPr="09F23372">
        <w:rPr>
          <w:rFonts w:ascii="Times New Roman" w:eastAsia="Times New Roman" w:hAnsi="Times New Roman" w:cs="Times New Roman"/>
          <w:sz w:val="24"/>
          <w:szCs w:val="24"/>
          <w:lang w:eastAsia="sk-SK"/>
        </w:rPr>
        <w:t>,</w:t>
      </w:r>
      <w:r w:rsidR="0051156F" w:rsidRPr="09F23372">
        <w:rPr>
          <w:rFonts w:ascii="Times New Roman" w:eastAsia="Times New Roman" w:hAnsi="Times New Roman" w:cs="Times New Roman"/>
          <w:sz w:val="24"/>
          <w:szCs w:val="24"/>
          <w:lang w:eastAsia="sk-SK"/>
        </w:rPr>
        <w:t xml:space="preserve"> ak by vznikli spory, ako aj termín udelenia súhlasu, ktorý je potrebné identifikovať na účely plynutia lehôt, napríklad lehota na odstúpenie od zmluvy. Navýšenie požiadaviek bude predstavovať minimálne zvýšenie administratívnej záťaže obchodníka, avšak na účely preukazovania udelenia súhlasu spotrebiteľom je ustanovenie priaznivé aj pre podnikateľské prostredie. Navyše smernica 2023/2673 umožňuje členskému štátu navýšenie požiadaviek v zmysle možnosti stanoviť, aby potvrdenia boli vydávané na trvalom nosiči.</w:t>
      </w:r>
    </w:p>
    <w:p w14:paraId="4BD96D6C" w14:textId="77777777" w:rsidR="00024EE4" w:rsidRDefault="00024EE4" w:rsidP="00054C41">
      <w:pPr>
        <w:jc w:val="both"/>
        <w:rPr>
          <w:rFonts w:ascii="Times New Roman" w:eastAsia="Calibri" w:hAnsi="Times New Roman" w:cs="Times New Roman"/>
          <w:b/>
          <w:sz w:val="24"/>
          <w:szCs w:val="24"/>
        </w:rPr>
      </w:pPr>
    </w:p>
    <w:p w14:paraId="39D55FBC" w14:textId="44B0C098"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D8247C">
        <w:rPr>
          <w:rFonts w:ascii="Times New Roman" w:eastAsia="Calibri" w:hAnsi="Times New Roman" w:cs="Times New Roman"/>
          <w:i/>
          <w:sz w:val="24"/>
          <w:szCs w:val="24"/>
        </w:rPr>
        <w:t>link</w:t>
      </w:r>
      <w:proofErr w:type="spellEnd"/>
      <w:r w:rsidRPr="00D8247C">
        <w:rPr>
          <w:rFonts w:ascii="Times New Roman" w:eastAsia="Calibri" w:hAnsi="Times New Roman" w:cs="Times New Roman"/>
          <w:i/>
          <w:sz w:val="24"/>
          <w:szCs w:val="24"/>
        </w:rPr>
        <w:t xml:space="preserve"> na webovú stránku, na ktorej boli konzultácie zverejnené. </w:t>
      </w:r>
    </w:p>
    <w:p w14:paraId="5DDE9409"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14:paraId="3EE2084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064013B"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14:paraId="178FF6D3" w14:textId="61DD11B4" w:rsidR="00054C41" w:rsidRDefault="00054C41" w:rsidP="00054C41">
      <w:pPr>
        <w:spacing w:after="0"/>
        <w:jc w:val="both"/>
        <w:rPr>
          <w:rFonts w:ascii="Times New Roman" w:eastAsia="Calibri" w:hAnsi="Times New Roman" w:cs="Times New Roman"/>
          <w:i/>
          <w:sz w:val="24"/>
          <w:szCs w:val="24"/>
        </w:rPr>
      </w:pPr>
    </w:p>
    <w:p w14:paraId="6171ED94" w14:textId="6D3BE4BF" w:rsidR="00E30BB9" w:rsidRDefault="00121BD4" w:rsidP="00121BD4">
      <w:pPr>
        <w:pStyle w:val="Bezriadkovania"/>
        <w:jc w:val="both"/>
        <w:rPr>
          <w:rFonts w:ascii="Times New Roman" w:eastAsia="Times New Roman" w:hAnsi="Times New Roman" w:cs="Times New Roman"/>
          <w:sz w:val="24"/>
          <w:szCs w:val="24"/>
          <w:lang w:eastAsia="sk-SK"/>
        </w:rPr>
      </w:pPr>
      <w:r w:rsidRPr="09F23372">
        <w:rPr>
          <w:rFonts w:ascii="Times New Roman" w:eastAsia="Calibri" w:hAnsi="Times New Roman" w:cs="Times New Roman"/>
          <w:sz w:val="24"/>
          <w:szCs w:val="24"/>
        </w:rPr>
        <w:t xml:space="preserve">Dňa </w:t>
      </w:r>
      <w:r w:rsidR="00141E62" w:rsidRPr="09F23372">
        <w:rPr>
          <w:rFonts w:ascii="Times New Roman" w:eastAsia="Calibri" w:hAnsi="Times New Roman" w:cs="Times New Roman"/>
          <w:sz w:val="24"/>
          <w:szCs w:val="24"/>
        </w:rPr>
        <w:t>6. februára 2024</w:t>
      </w:r>
      <w:r w:rsidRPr="09F23372">
        <w:rPr>
          <w:rFonts w:ascii="Times New Roman" w:eastAsia="Calibri" w:hAnsi="Times New Roman" w:cs="Times New Roman"/>
          <w:sz w:val="24"/>
          <w:szCs w:val="24"/>
        </w:rPr>
        <w:t xml:space="preserve"> bola zverejnená predbežná informácia (</w:t>
      </w:r>
      <w:r w:rsidR="00141E62" w:rsidRPr="09F23372">
        <w:rPr>
          <w:rFonts w:ascii="Times New Roman" w:eastAsia="Calibri" w:hAnsi="Times New Roman" w:cs="Times New Roman"/>
          <w:sz w:val="24"/>
          <w:szCs w:val="24"/>
        </w:rPr>
        <w:t>PI/2024/33</w:t>
      </w:r>
      <w:r w:rsidRPr="09F23372">
        <w:rPr>
          <w:rFonts w:ascii="Times New Roman" w:eastAsia="Calibri" w:hAnsi="Times New Roman" w:cs="Times New Roman"/>
          <w:sz w:val="24"/>
          <w:szCs w:val="24"/>
        </w:rPr>
        <w:t>) podľa § 9 zákona č. 400/2015 Z. z. o tvorbe právnych predpisov a o Zbierke zákonov Slovenskej republiky a o zmene a doplnení niektorých zákonov k </w:t>
      </w:r>
      <w:r w:rsidR="0D2D9267" w:rsidRPr="09F23372">
        <w:rPr>
          <w:rFonts w:ascii="Times New Roman" w:eastAsia="Calibri" w:hAnsi="Times New Roman" w:cs="Times New Roman"/>
          <w:sz w:val="24"/>
          <w:szCs w:val="24"/>
        </w:rPr>
        <w:t xml:space="preserve">tomuto </w:t>
      </w:r>
      <w:r w:rsidRPr="09F23372">
        <w:rPr>
          <w:rFonts w:ascii="Times New Roman" w:eastAsia="Calibri" w:hAnsi="Times New Roman" w:cs="Times New Roman"/>
          <w:sz w:val="24"/>
          <w:szCs w:val="24"/>
        </w:rPr>
        <w:t>návrhu zákona</w:t>
      </w:r>
      <w:r w:rsidRPr="09F23372">
        <w:rPr>
          <w:rFonts w:ascii="Times New Roman" w:hAnsi="Times New Roman" w:cs="Times New Roman"/>
          <w:sz w:val="24"/>
          <w:szCs w:val="24"/>
        </w:rPr>
        <w:t xml:space="preserve">. Dôvodom vytvorenia návrhu zákona bola povinnosť implementácie </w:t>
      </w:r>
      <w:r w:rsidRPr="09F23372">
        <w:rPr>
          <w:rStyle w:val="normaltextrun"/>
          <w:rFonts w:ascii="Times New Roman" w:eastAsia="Times New Roman" w:hAnsi="Times New Roman" w:cs="Times New Roman"/>
          <w:sz w:val="24"/>
          <w:szCs w:val="24"/>
          <w:lang w:eastAsia="sk-SK"/>
        </w:rPr>
        <w:t xml:space="preserve">smernice </w:t>
      </w:r>
      <w:r w:rsidR="00141E62" w:rsidRPr="09F23372">
        <w:rPr>
          <w:rFonts w:ascii="Times New Roman" w:eastAsia="Times New Roman" w:hAnsi="Times New Roman" w:cs="Times New Roman"/>
          <w:sz w:val="24"/>
          <w:szCs w:val="24"/>
          <w:lang w:eastAsia="sk-SK"/>
        </w:rPr>
        <w:t>2023/2673</w:t>
      </w:r>
      <w:r w:rsidR="4E2B9766" w:rsidRPr="09F23372">
        <w:rPr>
          <w:rFonts w:ascii="Times New Roman" w:eastAsia="Times New Roman" w:hAnsi="Times New Roman" w:cs="Times New Roman"/>
          <w:sz w:val="24"/>
          <w:szCs w:val="24"/>
          <w:lang w:eastAsia="sk-SK"/>
        </w:rPr>
        <w:t>.</w:t>
      </w:r>
      <w:r w:rsidR="00E30BB9" w:rsidRPr="09F23372">
        <w:rPr>
          <w:rStyle w:val="normaltextrun"/>
          <w:rFonts w:ascii="Times New Roman" w:eastAsia="Times New Roman" w:hAnsi="Times New Roman" w:cs="Times New Roman"/>
          <w:sz w:val="24"/>
          <w:szCs w:val="24"/>
          <w:lang w:eastAsia="sk-SK"/>
        </w:rPr>
        <w:t>Na zverejnenú predbežnú informáciu reagovala</w:t>
      </w:r>
      <w:r w:rsidRPr="09F23372">
        <w:rPr>
          <w:rStyle w:val="normaltextrun"/>
          <w:rFonts w:ascii="Times New Roman" w:eastAsia="Times New Roman" w:hAnsi="Times New Roman" w:cs="Times New Roman"/>
          <w:sz w:val="24"/>
          <w:szCs w:val="24"/>
          <w:lang w:eastAsia="sk-SK"/>
        </w:rPr>
        <w:t xml:space="preserve"> </w:t>
      </w:r>
      <w:r w:rsidR="00E30BB9" w:rsidRPr="09F23372">
        <w:rPr>
          <w:rStyle w:val="normaltextrun"/>
          <w:rFonts w:ascii="Times New Roman" w:eastAsia="Times New Roman" w:hAnsi="Times New Roman" w:cs="Times New Roman"/>
          <w:sz w:val="24"/>
          <w:szCs w:val="24"/>
          <w:lang w:eastAsia="sk-SK"/>
        </w:rPr>
        <w:t>Slovenská banková asociácia (</w:t>
      </w:r>
      <w:r w:rsidR="4676C9E2" w:rsidRPr="09F23372">
        <w:rPr>
          <w:rStyle w:val="normaltextrun"/>
          <w:rFonts w:ascii="Times New Roman" w:eastAsia="Times New Roman" w:hAnsi="Times New Roman" w:cs="Times New Roman"/>
          <w:sz w:val="24"/>
          <w:szCs w:val="24"/>
          <w:lang w:eastAsia="sk-SK"/>
        </w:rPr>
        <w:t>ďalej len “</w:t>
      </w:r>
      <w:r w:rsidR="00E30BB9" w:rsidRPr="09F23372">
        <w:rPr>
          <w:rStyle w:val="normaltextrun"/>
          <w:rFonts w:ascii="Times New Roman" w:eastAsia="Times New Roman" w:hAnsi="Times New Roman" w:cs="Times New Roman"/>
          <w:sz w:val="24"/>
          <w:szCs w:val="24"/>
          <w:lang w:eastAsia="sk-SK"/>
        </w:rPr>
        <w:t>SBA</w:t>
      </w:r>
      <w:r w:rsidR="48724373" w:rsidRPr="09F23372">
        <w:rPr>
          <w:rStyle w:val="normaltextrun"/>
          <w:rFonts w:ascii="Times New Roman" w:eastAsia="Times New Roman" w:hAnsi="Times New Roman" w:cs="Times New Roman"/>
          <w:sz w:val="24"/>
          <w:szCs w:val="24"/>
          <w:lang w:eastAsia="sk-SK"/>
        </w:rPr>
        <w:t>”</w:t>
      </w:r>
      <w:r w:rsidR="00E30BB9" w:rsidRPr="09F23372">
        <w:rPr>
          <w:rStyle w:val="normaltextrun"/>
          <w:rFonts w:ascii="Times New Roman" w:eastAsia="Times New Roman" w:hAnsi="Times New Roman" w:cs="Times New Roman"/>
          <w:sz w:val="24"/>
          <w:szCs w:val="24"/>
          <w:lang w:eastAsia="sk-SK"/>
        </w:rPr>
        <w:t>)</w:t>
      </w:r>
      <w:r w:rsidR="00A226FD" w:rsidRPr="09F23372">
        <w:rPr>
          <w:rStyle w:val="normaltextrun"/>
          <w:rFonts w:ascii="Times New Roman" w:eastAsia="Times New Roman" w:hAnsi="Times New Roman" w:cs="Times New Roman"/>
          <w:sz w:val="24"/>
          <w:szCs w:val="24"/>
          <w:lang w:eastAsia="sk-SK"/>
        </w:rPr>
        <w:t xml:space="preserve">, </w:t>
      </w:r>
      <w:r w:rsidR="00A226FD" w:rsidRPr="09F23372">
        <w:rPr>
          <w:rFonts w:ascii="Times New Roman" w:eastAsia="Times New Roman" w:hAnsi="Times New Roman" w:cs="Times New Roman"/>
          <w:sz w:val="24"/>
          <w:szCs w:val="24"/>
          <w:lang w:eastAsia="sk-SK"/>
        </w:rPr>
        <w:t>Únia spotrebiteľov SR</w:t>
      </w:r>
      <w:r w:rsidR="00E30BB9" w:rsidRPr="09F23372">
        <w:rPr>
          <w:rStyle w:val="normaltextrun"/>
          <w:rFonts w:ascii="Times New Roman" w:eastAsia="Times New Roman" w:hAnsi="Times New Roman" w:cs="Times New Roman"/>
          <w:sz w:val="24"/>
          <w:szCs w:val="24"/>
          <w:lang w:eastAsia="sk-SK"/>
        </w:rPr>
        <w:t xml:space="preserve"> a </w:t>
      </w:r>
      <w:r w:rsidR="00E30BB9" w:rsidRPr="09F23372">
        <w:rPr>
          <w:rFonts w:ascii="Times New Roman" w:eastAsia="Times New Roman" w:hAnsi="Times New Roman" w:cs="Times New Roman"/>
          <w:sz w:val="24"/>
          <w:szCs w:val="24"/>
          <w:lang w:eastAsia="sk-SK"/>
        </w:rPr>
        <w:t>Inštitút moderného spotrebiteľa</w:t>
      </w:r>
      <w:r w:rsidR="00A226FD" w:rsidRPr="09F23372">
        <w:rPr>
          <w:rFonts w:ascii="Times New Roman" w:eastAsia="Times New Roman" w:hAnsi="Times New Roman" w:cs="Times New Roman"/>
          <w:sz w:val="24"/>
          <w:szCs w:val="24"/>
          <w:lang w:eastAsia="sk-SK"/>
        </w:rPr>
        <w:t xml:space="preserve">, ktorí </w:t>
      </w:r>
      <w:r w:rsidR="00E30BB9" w:rsidRPr="09F23372">
        <w:rPr>
          <w:rFonts w:ascii="Times New Roman" w:eastAsia="Times New Roman" w:hAnsi="Times New Roman" w:cs="Times New Roman"/>
          <w:sz w:val="24"/>
          <w:szCs w:val="24"/>
          <w:lang w:eastAsia="sk-SK"/>
        </w:rPr>
        <w:t xml:space="preserve">zároveň </w:t>
      </w:r>
      <w:r w:rsidR="00A226FD" w:rsidRPr="09F23372">
        <w:rPr>
          <w:rFonts w:ascii="Times New Roman" w:eastAsia="Times New Roman" w:hAnsi="Times New Roman" w:cs="Times New Roman"/>
          <w:sz w:val="24"/>
          <w:szCs w:val="24"/>
          <w:lang w:eastAsia="sk-SK"/>
        </w:rPr>
        <w:t xml:space="preserve">aj </w:t>
      </w:r>
      <w:r w:rsidR="00E30BB9" w:rsidRPr="09F23372">
        <w:rPr>
          <w:rFonts w:ascii="Times New Roman" w:eastAsia="Times New Roman" w:hAnsi="Times New Roman" w:cs="Times New Roman"/>
          <w:sz w:val="24"/>
          <w:szCs w:val="24"/>
          <w:lang w:eastAsia="sk-SK"/>
        </w:rPr>
        <w:t>prejavil</w:t>
      </w:r>
      <w:r w:rsidR="00A226FD" w:rsidRPr="09F23372">
        <w:rPr>
          <w:rFonts w:ascii="Times New Roman" w:eastAsia="Times New Roman" w:hAnsi="Times New Roman" w:cs="Times New Roman"/>
          <w:sz w:val="24"/>
          <w:szCs w:val="24"/>
          <w:lang w:eastAsia="sk-SK"/>
        </w:rPr>
        <w:t>i</w:t>
      </w:r>
      <w:r w:rsidR="00E30BB9" w:rsidRPr="09F23372">
        <w:rPr>
          <w:rFonts w:ascii="Times New Roman" w:eastAsia="Times New Roman" w:hAnsi="Times New Roman" w:cs="Times New Roman"/>
          <w:sz w:val="24"/>
          <w:szCs w:val="24"/>
          <w:lang w:eastAsia="sk-SK"/>
        </w:rPr>
        <w:t xml:space="preserve"> záujem o</w:t>
      </w:r>
      <w:r w:rsidR="00A226FD" w:rsidRPr="09F23372">
        <w:rPr>
          <w:rFonts w:ascii="Times New Roman" w:eastAsia="Times New Roman" w:hAnsi="Times New Roman" w:cs="Times New Roman"/>
          <w:sz w:val="24"/>
          <w:szCs w:val="24"/>
          <w:lang w:eastAsia="sk-SK"/>
        </w:rPr>
        <w:t> účasť na konzultáciách. Dňa 3.</w:t>
      </w:r>
      <w:r w:rsidR="31609828" w:rsidRPr="09F23372">
        <w:rPr>
          <w:rFonts w:ascii="Times New Roman" w:eastAsia="Times New Roman" w:hAnsi="Times New Roman" w:cs="Times New Roman"/>
          <w:sz w:val="24"/>
          <w:szCs w:val="24"/>
          <w:lang w:eastAsia="sk-SK"/>
        </w:rPr>
        <w:t xml:space="preserve"> júna</w:t>
      </w:r>
      <w:r w:rsidR="0011460F">
        <w:rPr>
          <w:rFonts w:ascii="Times New Roman" w:eastAsia="Times New Roman" w:hAnsi="Times New Roman" w:cs="Times New Roman"/>
          <w:sz w:val="24"/>
          <w:szCs w:val="24"/>
          <w:lang w:eastAsia="sk-SK"/>
        </w:rPr>
        <w:t xml:space="preserve"> </w:t>
      </w:r>
      <w:r w:rsidR="00A226FD" w:rsidRPr="09F23372">
        <w:rPr>
          <w:rFonts w:ascii="Times New Roman" w:eastAsia="Times New Roman" w:hAnsi="Times New Roman" w:cs="Times New Roman"/>
          <w:sz w:val="24"/>
          <w:szCs w:val="24"/>
          <w:lang w:eastAsia="sk-SK"/>
        </w:rPr>
        <w:t>2024 bola na webovej stránke Ministerstva hospodárstva Slovenskej republiky vyhlásená informácia o termínoch konania konzultácií, a to v období od 3.</w:t>
      </w:r>
      <w:r w:rsidR="1D847BE3" w:rsidRPr="09F23372">
        <w:rPr>
          <w:rFonts w:ascii="Times New Roman" w:eastAsia="Times New Roman" w:hAnsi="Times New Roman" w:cs="Times New Roman"/>
          <w:sz w:val="24"/>
          <w:szCs w:val="24"/>
          <w:lang w:eastAsia="sk-SK"/>
        </w:rPr>
        <w:t xml:space="preserve"> júna</w:t>
      </w:r>
      <w:r w:rsidR="00A226FD" w:rsidRPr="09F23372">
        <w:rPr>
          <w:rFonts w:ascii="Times New Roman" w:eastAsia="Times New Roman" w:hAnsi="Times New Roman" w:cs="Times New Roman"/>
          <w:sz w:val="24"/>
          <w:szCs w:val="24"/>
          <w:lang w:eastAsia="sk-SK"/>
        </w:rPr>
        <w:t xml:space="preserve"> do 1.</w:t>
      </w:r>
      <w:r w:rsidR="3E0B52B4" w:rsidRPr="09F23372">
        <w:rPr>
          <w:rFonts w:ascii="Times New Roman" w:eastAsia="Times New Roman" w:hAnsi="Times New Roman" w:cs="Times New Roman"/>
          <w:sz w:val="24"/>
          <w:szCs w:val="24"/>
          <w:lang w:eastAsia="sk-SK"/>
        </w:rPr>
        <w:t xml:space="preserve"> júla</w:t>
      </w:r>
      <w:r w:rsidR="00A226FD" w:rsidRPr="09F23372">
        <w:rPr>
          <w:rFonts w:ascii="Times New Roman" w:eastAsia="Times New Roman" w:hAnsi="Times New Roman" w:cs="Times New Roman"/>
          <w:sz w:val="24"/>
          <w:szCs w:val="24"/>
          <w:lang w:eastAsia="sk-SK"/>
        </w:rPr>
        <w:t xml:space="preserve">2024. </w:t>
      </w:r>
    </w:p>
    <w:p w14:paraId="5E9934E9" w14:textId="5E53ACE1" w:rsidR="00A70361" w:rsidRDefault="00A70361" w:rsidP="00A70361">
      <w:pPr>
        <w:pStyle w:val="Bezriadkovania"/>
        <w:jc w:val="both"/>
        <w:rPr>
          <w:rFonts w:ascii="Times New Roman" w:eastAsia="Times New Roman" w:hAnsi="Times New Roman" w:cs="Times New Roman"/>
          <w:sz w:val="24"/>
          <w:szCs w:val="24"/>
          <w:lang w:eastAsia="sk-SK"/>
        </w:rPr>
      </w:pPr>
      <w:r w:rsidRPr="09F23372">
        <w:rPr>
          <w:rFonts w:ascii="Times New Roman" w:eastAsia="Times New Roman" w:hAnsi="Times New Roman" w:cs="Times New Roman"/>
          <w:sz w:val="24"/>
          <w:szCs w:val="24"/>
          <w:lang w:eastAsia="sk-SK"/>
        </w:rPr>
        <w:t>Dňa 11.</w:t>
      </w:r>
      <w:r w:rsidR="005D1210" w:rsidRPr="09F23372">
        <w:rPr>
          <w:rFonts w:ascii="Times New Roman" w:eastAsia="Times New Roman" w:hAnsi="Times New Roman" w:cs="Times New Roman"/>
          <w:sz w:val="24"/>
          <w:szCs w:val="24"/>
          <w:lang w:eastAsia="sk-SK"/>
        </w:rPr>
        <w:t xml:space="preserve"> júna </w:t>
      </w:r>
      <w:r w:rsidRPr="09F23372">
        <w:rPr>
          <w:rFonts w:ascii="Times New Roman" w:eastAsia="Times New Roman" w:hAnsi="Times New Roman" w:cs="Times New Roman"/>
          <w:sz w:val="24"/>
          <w:szCs w:val="24"/>
          <w:lang w:eastAsia="sk-SK"/>
        </w:rPr>
        <w:t xml:space="preserve">2024 boli pozvané na osobné konzultácie všetky subjekty, ktoré prejavili záujem zúčastniť sa konzultácií. Tieto subjekty boli Inštitút moderného spotrebiteľa, Únia spotrebiteľov SR, </w:t>
      </w:r>
      <w:r w:rsidR="003938FF" w:rsidRPr="09F23372">
        <w:rPr>
          <w:rFonts w:ascii="Times New Roman" w:eastAsia="Times New Roman" w:hAnsi="Times New Roman" w:cs="Times New Roman"/>
          <w:sz w:val="24"/>
          <w:szCs w:val="24"/>
          <w:lang w:eastAsia="sk-SK"/>
        </w:rPr>
        <w:t>Asociácia slovenských inkasných spoločností (ďalej len „</w:t>
      </w:r>
      <w:r w:rsidRPr="09F23372">
        <w:rPr>
          <w:rFonts w:ascii="Times New Roman" w:eastAsia="Times New Roman" w:hAnsi="Times New Roman" w:cs="Times New Roman"/>
          <w:sz w:val="24"/>
          <w:szCs w:val="24"/>
          <w:lang w:eastAsia="sk-SK"/>
        </w:rPr>
        <w:t>ASINS</w:t>
      </w:r>
      <w:r w:rsidR="003938FF" w:rsidRPr="09F23372">
        <w:rPr>
          <w:rFonts w:ascii="Times New Roman" w:eastAsia="Times New Roman" w:hAnsi="Times New Roman" w:cs="Times New Roman"/>
          <w:sz w:val="24"/>
          <w:szCs w:val="24"/>
          <w:lang w:eastAsia="sk-SK"/>
        </w:rPr>
        <w:t>“)</w:t>
      </w:r>
      <w:r w:rsidRPr="09F23372">
        <w:rPr>
          <w:rFonts w:ascii="Times New Roman" w:eastAsia="Times New Roman" w:hAnsi="Times New Roman" w:cs="Times New Roman"/>
          <w:sz w:val="24"/>
          <w:szCs w:val="24"/>
          <w:lang w:eastAsia="sk-SK"/>
        </w:rPr>
        <w:t xml:space="preserve">, SBA, </w:t>
      </w:r>
      <w:r w:rsidR="003938FF" w:rsidRPr="09F23372">
        <w:rPr>
          <w:rFonts w:ascii="Times New Roman" w:eastAsia="Times New Roman" w:hAnsi="Times New Roman" w:cs="Times New Roman"/>
          <w:sz w:val="24"/>
          <w:szCs w:val="24"/>
          <w:lang w:eastAsia="sk-SK"/>
        </w:rPr>
        <w:t>Asociácia leasingových spoločností SR (ďalej len „</w:t>
      </w:r>
      <w:r w:rsidRPr="09F23372">
        <w:rPr>
          <w:rFonts w:ascii="Times New Roman" w:eastAsia="Times New Roman" w:hAnsi="Times New Roman" w:cs="Times New Roman"/>
          <w:sz w:val="24"/>
          <w:szCs w:val="24"/>
          <w:lang w:eastAsia="sk-SK"/>
        </w:rPr>
        <w:t>ALS</w:t>
      </w:r>
      <w:r w:rsidR="003938FF" w:rsidRPr="09F23372">
        <w:rPr>
          <w:rFonts w:ascii="Times New Roman" w:eastAsia="Times New Roman" w:hAnsi="Times New Roman" w:cs="Times New Roman"/>
          <w:sz w:val="24"/>
          <w:szCs w:val="24"/>
          <w:lang w:eastAsia="sk-SK"/>
        </w:rPr>
        <w:t>“)</w:t>
      </w:r>
      <w:r w:rsidRPr="09F23372">
        <w:rPr>
          <w:rFonts w:ascii="Times New Roman" w:eastAsia="Times New Roman" w:hAnsi="Times New Roman" w:cs="Times New Roman"/>
          <w:sz w:val="24"/>
          <w:szCs w:val="24"/>
          <w:lang w:eastAsia="sk-SK"/>
        </w:rPr>
        <w:t xml:space="preserve"> a </w:t>
      </w:r>
      <w:r w:rsidR="003938FF" w:rsidRPr="09F23372">
        <w:rPr>
          <w:rFonts w:ascii="Times New Roman" w:eastAsia="Times New Roman" w:hAnsi="Times New Roman" w:cs="Times New Roman"/>
          <w:sz w:val="24"/>
          <w:szCs w:val="24"/>
          <w:lang w:eastAsia="sk-SK"/>
        </w:rPr>
        <w:t>Asociácia priemyselných zväzov a dopravy (ďalej len „</w:t>
      </w:r>
      <w:r w:rsidRPr="09F23372">
        <w:rPr>
          <w:rFonts w:ascii="Times New Roman" w:eastAsia="Times New Roman" w:hAnsi="Times New Roman" w:cs="Times New Roman"/>
          <w:sz w:val="24"/>
          <w:szCs w:val="24"/>
          <w:lang w:eastAsia="sk-SK"/>
        </w:rPr>
        <w:t>APZD</w:t>
      </w:r>
      <w:r w:rsidR="003938FF" w:rsidRPr="09F23372">
        <w:rPr>
          <w:rFonts w:ascii="Times New Roman" w:eastAsia="Times New Roman" w:hAnsi="Times New Roman" w:cs="Times New Roman"/>
          <w:sz w:val="24"/>
          <w:szCs w:val="24"/>
          <w:lang w:eastAsia="sk-SK"/>
        </w:rPr>
        <w:t>“)</w:t>
      </w:r>
      <w:r w:rsidRPr="09F23372">
        <w:rPr>
          <w:rFonts w:ascii="Times New Roman" w:eastAsia="Times New Roman" w:hAnsi="Times New Roman" w:cs="Times New Roman"/>
          <w:sz w:val="24"/>
          <w:szCs w:val="24"/>
          <w:lang w:eastAsia="sk-SK"/>
        </w:rPr>
        <w:t>, pričom prizvaní boli aj predstavitelia M</w:t>
      </w:r>
      <w:r w:rsidR="003938FF" w:rsidRPr="09F23372">
        <w:rPr>
          <w:rFonts w:ascii="Times New Roman" w:eastAsia="Times New Roman" w:hAnsi="Times New Roman" w:cs="Times New Roman"/>
          <w:sz w:val="24"/>
          <w:szCs w:val="24"/>
          <w:lang w:eastAsia="sk-SK"/>
        </w:rPr>
        <w:t>inisterstva hospodárstva Slovenskej republiky (ďalej len „MHSR“)</w:t>
      </w:r>
      <w:r w:rsidRPr="09F23372">
        <w:rPr>
          <w:rFonts w:ascii="Times New Roman" w:eastAsia="Times New Roman" w:hAnsi="Times New Roman" w:cs="Times New Roman"/>
          <w:sz w:val="24"/>
          <w:szCs w:val="24"/>
          <w:lang w:eastAsia="sk-SK"/>
        </w:rPr>
        <w:t xml:space="preserve"> a NBS. Osobných konzultácií sa dňa 13.</w:t>
      </w:r>
      <w:r w:rsidR="2E3103F4" w:rsidRPr="09F23372">
        <w:rPr>
          <w:rFonts w:ascii="Times New Roman" w:eastAsia="Times New Roman" w:hAnsi="Times New Roman" w:cs="Times New Roman"/>
          <w:sz w:val="24"/>
          <w:szCs w:val="24"/>
          <w:lang w:eastAsia="sk-SK"/>
        </w:rPr>
        <w:t xml:space="preserve"> júna</w:t>
      </w:r>
      <w:r w:rsidRPr="09F23372">
        <w:rPr>
          <w:rFonts w:ascii="Times New Roman" w:eastAsia="Times New Roman" w:hAnsi="Times New Roman" w:cs="Times New Roman"/>
          <w:sz w:val="24"/>
          <w:szCs w:val="24"/>
          <w:lang w:eastAsia="sk-SK"/>
        </w:rPr>
        <w:t xml:space="preserve">2024 zúčastnili </w:t>
      </w:r>
      <w:r w:rsidR="005259E7" w:rsidRPr="09F23372">
        <w:rPr>
          <w:rFonts w:ascii="Times New Roman" w:eastAsia="Times New Roman" w:hAnsi="Times New Roman" w:cs="Times New Roman"/>
          <w:sz w:val="24"/>
          <w:szCs w:val="24"/>
          <w:lang w:eastAsia="sk-SK"/>
        </w:rPr>
        <w:t xml:space="preserve">ASINS, SBA, </w:t>
      </w:r>
      <w:r w:rsidRPr="09F23372">
        <w:rPr>
          <w:rFonts w:ascii="Times New Roman" w:eastAsia="Times New Roman" w:hAnsi="Times New Roman" w:cs="Times New Roman"/>
          <w:sz w:val="24"/>
          <w:szCs w:val="24"/>
          <w:lang w:eastAsia="sk-SK"/>
        </w:rPr>
        <w:t>MHSR a</w:t>
      </w:r>
      <w:r w:rsidR="005259E7" w:rsidRPr="09F23372">
        <w:rPr>
          <w:rFonts w:ascii="Times New Roman" w:eastAsia="Times New Roman" w:hAnsi="Times New Roman" w:cs="Times New Roman"/>
          <w:sz w:val="24"/>
          <w:szCs w:val="24"/>
          <w:lang w:eastAsia="sk-SK"/>
        </w:rPr>
        <w:t> </w:t>
      </w:r>
      <w:r w:rsidRPr="09F23372">
        <w:rPr>
          <w:rFonts w:ascii="Times New Roman" w:eastAsia="Times New Roman" w:hAnsi="Times New Roman" w:cs="Times New Roman"/>
          <w:sz w:val="24"/>
          <w:szCs w:val="24"/>
          <w:lang w:eastAsia="sk-SK"/>
        </w:rPr>
        <w:t>NBS</w:t>
      </w:r>
      <w:r w:rsidR="005259E7" w:rsidRPr="09F23372">
        <w:rPr>
          <w:rFonts w:ascii="Times New Roman" w:eastAsia="Times New Roman" w:hAnsi="Times New Roman" w:cs="Times New Roman"/>
          <w:sz w:val="24"/>
          <w:szCs w:val="24"/>
          <w:lang w:eastAsia="sk-SK"/>
        </w:rPr>
        <w:t xml:space="preserve"> a následne dňa 21.</w:t>
      </w:r>
      <w:r w:rsidR="6EF54813" w:rsidRPr="09F23372">
        <w:rPr>
          <w:rFonts w:ascii="Times New Roman" w:eastAsia="Times New Roman" w:hAnsi="Times New Roman" w:cs="Times New Roman"/>
          <w:sz w:val="24"/>
          <w:szCs w:val="24"/>
          <w:lang w:eastAsia="sk-SK"/>
        </w:rPr>
        <w:t xml:space="preserve"> júna</w:t>
      </w:r>
      <w:r w:rsidR="005259E7" w:rsidRPr="09F23372">
        <w:rPr>
          <w:rFonts w:ascii="Times New Roman" w:eastAsia="Times New Roman" w:hAnsi="Times New Roman" w:cs="Times New Roman"/>
          <w:sz w:val="24"/>
          <w:szCs w:val="24"/>
          <w:lang w:eastAsia="sk-SK"/>
        </w:rPr>
        <w:t xml:space="preserve">2024 sa dodatočných osobných konzultácií zúčastnili ALS a APZD. Konzultácie obsahovali všeobecnú prezentáciu hlavných cieľov budúcej právnej úpravy so zameraním sa na národné voľby, pričom následne prebiehala diskusia aj </w:t>
      </w:r>
      <w:r w:rsidR="005D1210" w:rsidRPr="09F23372">
        <w:rPr>
          <w:rFonts w:ascii="Times New Roman" w:eastAsia="Times New Roman" w:hAnsi="Times New Roman" w:cs="Times New Roman"/>
          <w:sz w:val="24"/>
          <w:szCs w:val="24"/>
          <w:lang w:eastAsia="sk-SK"/>
        </w:rPr>
        <w:t>o bodoch, ktoré dotknuté subjekty v rámci témy potrebovali prediskutovať</w:t>
      </w:r>
      <w:r w:rsidR="005259E7" w:rsidRPr="09F23372">
        <w:rPr>
          <w:rFonts w:ascii="Times New Roman" w:eastAsia="Times New Roman" w:hAnsi="Times New Roman" w:cs="Times New Roman"/>
          <w:sz w:val="24"/>
          <w:szCs w:val="24"/>
          <w:lang w:eastAsia="sk-SK"/>
        </w:rPr>
        <w:t xml:space="preserve">. </w:t>
      </w:r>
    </w:p>
    <w:p w14:paraId="21410BE7" w14:textId="214BC5DA" w:rsidR="005D1210" w:rsidRDefault="005D1210" w:rsidP="00A70361">
      <w:pPr>
        <w:pStyle w:val="Bezriadkovania"/>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Následne bol návrh zákona konzultovaný osobitne s MHSR, keďže sa dotkne aj zákonov v gescii MHSR – v tomto prípade konzultácie prebiehali prostredníctvom diaľkovej komunikácie vo forme pripomienok a návrhov zmien priamo v materiály. Rovnakou formou bol návrh zákona konzultovaný aj s NBS.</w:t>
      </w:r>
    </w:p>
    <w:p w14:paraId="2D75F10E" w14:textId="77777777" w:rsidR="00A70361" w:rsidRDefault="00A70361" w:rsidP="00121BD4">
      <w:pPr>
        <w:pStyle w:val="Bezriadkovania"/>
        <w:jc w:val="both"/>
        <w:rPr>
          <w:rFonts w:ascii="Times New Roman" w:eastAsia="Times New Roman" w:hAnsi="Times New Roman" w:cs="Times New Roman"/>
          <w:sz w:val="24"/>
          <w:szCs w:val="24"/>
          <w:lang w:eastAsia="sk-SK"/>
        </w:rPr>
      </w:pPr>
    </w:p>
    <w:p w14:paraId="08FCAD96" w14:textId="77777777" w:rsidR="00054C41" w:rsidRPr="00D8247C" w:rsidRDefault="00054C41" w:rsidP="00054C41">
      <w:pPr>
        <w:spacing w:after="0"/>
        <w:jc w:val="both"/>
        <w:rPr>
          <w:rFonts w:ascii="Times New Roman" w:eastAsia="Calibri" w:hAnsi="Times New Roman" w:cs="Times New Roman"/>
          <w:i/>
          <w:sz w:val="24"/>
          <w:szCs w:val="24"/>
        </w:rPr>
      </w:pPr>
    </w:p>
    <w:p w14:paraId="609C066C" w14:textId="77777777"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14:paraId="5CAF52B4"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lastRenderedPageBreak/>
        <w:t xml:space="preserve">Dochádza k vytvoreniu resp. k zmene bariér na trhu? </w:t>
      </w:r>
    </w:p>
    <w:p w14:paraId="4D049DE7"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D8247C">
        <w:rPr>
          <w:rFonts w:ascii="Times New Roman" w:eastAsia="Calibri" w:hAnsi="Times New Roman" w:cs="Times New Roman"/>
          <w:i/>
          <w:sz w:val="24"/>
          <w:szCs w:val="24"/>
        </w:rPr>
        <w:t>mikro</w:t>
      </w:r>
      <w:proofErr w:type="spellEnd"/>
      <w:r w:rsidRPr="00D8247C">
        <w:rPr>
          <w:rFonts w:ascii="Times New Roman" w:eastAsia="Calibri" w:hAnsi="Times New Roman" w:cs="Times New Roman"/>
          <w:i/>
          <w:sz w:val="24"/>
          <w:szCs w:val="24"/>
        </w:rPr>
        <w:t xml:space="preserve">, malé a stredné podniky tzv. MSP)? </w:t>
      </w:r>
    </w:p>
    <w:p w14:paraId="452A90F1"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14:paraId="64E2FB2F" w14:textId="77777777"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bol identifikovaný </w:t>
      </w:r>
      <w:proofErr w:type="spellStart"/>
      <w:r>
        <w:rPr>
          <w:rFonts w:ascii="Times New Roman" w:eastAsia="Calibri" w:hAnsi="Times New Roman" w:cs="Times New Roman"/>
          <w:i/>
          <w:sz w:val="24"/>
          <w:szCs w:val="24"/>
        </w:rPr>
        <w:t>goldplating</w:t>
      </w:r>
      <w:proofErr w:type="spellEnd"/>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14:paraId="72CB32C8"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D8247C" w:rsidRDefault="00054C41" w:rsidP="00054C41">
      <w:pPr>
        <w:spacing w:after="0"/>
        <w:jc w:val="both"/>
        <w:rPr>
          <w:rFonts w:ascii="Times New Roman" w:eastAsia="Calibri" w:hAnsi="Times New Roman" w:cs="Times New Roman"/>
          <w:i/>
          <w:sz w:val="24"/>
          <w:szCs w:val="24"/>
        </w:rPr>
      </w:pPr>
    </w:p>
    <w:p w14:paraId="4BE35CB4"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14:paraId="6C684286"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14:paraId="76CD0669" w14:textId="7785B5F2" w:rsidR="00054C41" w:rsidRPr="00D8247C"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Content>
          <w:sdt>
            <w:sdtPr>
              <w:rPr>
                <w:rFonts w:ascii="Times New Roman" w:eastAsia="Calibri" w:hAnsi="Times New Roman" w:cs="Times New Roman"/>
                <w:i/>
                <w:sz w:val="24"/>
                <w:szCs w:val="24"/>
              </w:rPr>
              <w:id w:val="1729873660"/>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Content>
          <w:sdt>
            <w:sdtPr>
              <w:rPr>
                <w:rFonts w:ascii="Times New Roman" w:eastAsia="Calibri" w:hAnsi="Times New Roman" w:cs="Times New Roman"/>
                <w:i/>
                <w:sz w:val="24"/>
                <w:szCs w:val="24"/>
              </w:rPr>
              <w:id w:val="-80300261"/>
            </w:sdtPr>
            <w:sdtContent>
              <w:r w:rsidR="00121BD4">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Content>
          <w:sdt>
            <w:sdtPr>
              <w:rPr>
                <w:rFonts w:ascii="Times New Roman" w:eastAsia="Calibri" w:hAnsi="Times New Roman" w:cs="Times New Roman"/>
                <w:i/>
                <w:sz w:val="24"/>
                <w:szCs w:val="24"/>
              </w:rPr>
              <w:id w:val="-1706551548"/>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327BF48A" w14:textId="77777777" w:rsidR="00054C41" w:rsidRPr="00D8247C" w:rsidRDefault="00054C41" w:rsidP="00054C41">
      <w:pPr>
        <w:spacing w:after="0"/>
        <w:jc w:val="both"/>
        <w:rPr>
          <w:rFonts w:ascii="Times New Roman" w:eastAsia="Calibri" w:hAnsi="Times New Roman" w:cs="Times New Roman"/>
          <w:i/>
          <w:sz w:val="24"/>
          <w:szCs w:val="24"/>
        </w:rPr>
      </w:pPr>
    </w:p>
    <w:p w14:paraId="5861187D" w14:textId="77777777"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14:paraId="1FF562C2"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D8247C" w:rsidRDefault="00054C41" w:rsidP="00054C41">
      <w:pPr>
        <w:spacing w:after="0"/>
        <w:jc w:val="both"/>
        <w:rPr>
          <w:rFonts w:ascii="Times New Roman" w:eastAsia="Calibri" w:hAnsi="Times New Roman" w:cs="Times New Roman"/>
          <w:i/>
          <w:sz w:val="24"/>
          <w:szCs w:val="24"/>
        </w:rPr>
      </w:pPr>
    </w:p>
    <w:p w14:paraId="0B272ABF" w14:textId="77777777"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14:paraId="789FA80A" w14:textId="31F68755" w:rsidR="00054C41" w:rsidRPr="00D8247C" w:rsidRDefault="00000000"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Content>
          <w:sdt>
            <w:sdtPr>
              <w:rPr>
                <w:rFonts w:ascii="Times New Roman" w:eastAsia="Calibri" w:hAnsi="Times New Roman" w:cs="Times New Roman"/>
                <w:i/>
                <w:sz w:val="24"/>
                <w:szCs w:val="24"/>
              </w:rPr>
              <w:id w:val="825715010"/>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Content>
          <w:sdt>
            <w:sdtPr>
              <w:rPr>
                <w:rFonts w:ascii="Times New Roman" w:eastAsia="Calibri" w:hAnsi="Times New Roman" w:cs="Times New Roman"/>
                <w:i/>
                <w:sz w:val="24"/>
                <w:szCs w:val="24"/>
              </w:rPr>
              <w:id w:val="-1222205104"/>
            </w:sdtPr>
            <w:sdtContent>
              <w:r w:rsidR="00121BD4">
                <w:rPr>
                  <w:rFonts w:ascii="Segoe UI Symbol" w:eastAsia="Calibri" w:hAnsi="Segoe UI Symbol" w:cs="Segoe UI Symbol"/>
                  <w:i/>
                  <w:sz w:val="24"/>
                  <w:szCs w:val="24"/>
                </w:rPr>
                <w:t>X</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Content>
          <w:sdt>
            <w:sdtPr>
              <w:rPr>
                <w:rFonts w:ascii="Times New Roman" w:eastAsia="Calibri" w:hAnsi="Times New Roman" w:cs="Times New Roman"/>
                <w:i/>
                <w:sz w:val="24"/>
                <w:szCs w:val="24"/>
              </w:rPr>
              <w:id w:val="-623767955"/>
            </w:sdt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14:paraId="1FFE92DA" w14:textId="77777777" w:rsidR="00054C41" w:rsidRPr="00D8247C" w:rsidRDefault="00054C41" w:rsidP="00054C41">
      <w:pPr>
        <w:spacing w:after="0"/>
        <w:jc w:val="both"/>
        <w:rPr>
          <w:rFonts w:ascii="Times New Roman" w:eastAsia="Calibri" w:hAnsi="Times New Roman" w:cs="Times New Roman"/>
          <w:i/>
          <w:sz w:val="24"/>
          <w:szCs w:val="24"/>
        </w:rPr>
      </w:pPr>
    </w:p>
    <w:p w14:paraId="0F05F45F" w14:textId="1664B121"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14:paraId="727C9A0E" w14:textId="77777777"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46E907D6" w14:textId="77777777"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14:paraId="74DE7A2D" w14:textId="6B4D00C9" w:rsidR="00D114ED"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 xml:space="preserve">iné vplyvy podľa písm. a) až c), ktoré sú </w:t>
      </w:r>
      <w:proofErr w:type="spellStart"/>
      <w:r w:rsidRPr="00F244DC">
        <w:rPr>
          <w:rFonts w:ascii="Times New Roman" w:eastAsia="Calibri" w:hAnsi="Times New Roman" w:cs="Times New Roman"/>
          <w:i/>
          <w:sz w:val="24"/>
          <w:szCs w:val="24"/>
        </w:rPr>
        <w:t>goldplatingom</w:t>
      </w:r>
      <w:proofErr w:type="spellEnd"/>
      <w:r w:rsidRPr="00F244DC">
        <w:rPr>
          <w:rFonts w:ascii="Times New Roman" w:eastAsia="Calibri" w:hAnsi="Times New Roman" w:cs="Times New Roman"/>
          <w:i/>
          <w:sz w:val="24"/>
          <w:szCs w:val="24"/>
        </w:rPr>
        <w:t>.</w:t>
      </w:r>
    </w:p>
    <w:p w14:paraId="0424157C" w14:textId="7FD5BB4B" w:rsidR="00121BD4" w:rsidRDefault="00121BD4" w:rsidP="00121BD4">
      <w:pPr>
        <w:spacing w:after="0" w:line="254" w:lineRule="auto"/>
        <w:jc w:val="both"/>
        <w:rPr>
          <w:rFonts w:ascii="Times New Roman" w:eastAsia="Calibri" w:hAnsi="Times New Roman" w:cs="Times New Roman"/>
          <w:i/>
          <w:sz w:val="24"/>
          <w:szCs w:val="24"/>
        </w:rPr>
      </w:pPr>
    </w:p>
    <w:p w14:paraId="7BBA9EE1" w14:textId="700B9D8F" w:rsidR="003E6635" w:rsidRDefault="00121BD4" w:rsidP="00121BD4">
      <w:pPr>
        <w:spacing w:after="0"/>
        <w:jc w:val="both"/>
        <w:rPr>
          <w:rFonts w:ascii="Times New Roman" w:eastAsia="Calibri" w:hAnsi="Times New Roman" w:cs="Times New Roman"/>
          <w:sz w:val="24"/>
          <w:szCs w:val="24"/>
        </w:rPr>
      </w:pPr>
      <w:r w:rsidRPr="09F23372">
        <w:rPr>
          <w:rFonts w:ascii="Times New Roman" w:eastAsia="Calibri" w:hAnsi="Times New Roman" w:cs="Times New Roman"/>
          <w:sz w:val="24"/>
          <w:szCs w:val="24"/>
        </w:rPr>
        <w:t>Návrh zákona môže mať negatívny vplyv na finančné náklady</w:t>
      </w:r>
      <w:r w:rsidR="003E6635" w:rsidRPr="09F23372">
        <w:rPr>
          <w:rFonts w:ascii="Times New Roman" w:eastAsia="Calibri" w:hAnsi="Times New Roman" w:cs="Times New Roman"/>
          <w:sz w:val="24"/>
          <w:szCs w:val="24"/>
        </w:rPr>
        <w:t xml:space="preserve"> obchodníkov</w:t>
      </w:r>
      <w:r w:rsidR="005B5FEA" w:rsidRPr="09F23372">
        <w:rPr>
          <w:rFonts w:ascii="Times New Roman" w:eastAsia="Calibri" w:hAnsi="Times New Roman" w:cs="Times New Roman"/>
          <w:sz w:val="24"/>
          <w:szCs w:val="24"/>
        </w:rPr>
        <w:t xml:space="preserve"> poskytujúcich finančné služby na diaľku</w:t>
      </w:r>
      <w:r w:rsidR="003E6635" w:rsidRPr="09F23372">
        <w:rPr>
          <w:rFonts w:ascii="Times New Roman" w:eastAsia="Calibri" w:hAnsi="Times New Roman" w:cs="Times New Roman"/>
          <w:sz w:val="24"/>
          <w:szCs w:val="24"/>
        </w:rPr>
        <w:t xml:space="preserve">, nakoľko nová regulácia bude dohliadaná NBS podľa zákona č. 747/2004 Z. z. o dohľade nad finančným trhom a o zmene a doplnení niektorých zákonov. V prípade nedodržania požiadaviek </w:t>
      </w:r>
      <w:r w:rsidR="005B5FEA" w:rsidRPr="09F23372">
        <w:rPr>
          <w:rFonts w:ascii="Times New Roman" w:eastAsia="Calibri" w:hAnsi="Times New Roman" w:cs="Times New Roman"/>
          <w:sz w:val="24"/>
          <w:szCs w:val="24"/>
        </w:rPr>
        <w:t xml:space="preserve">návrhu zákona </w:t>
      </w:r>
      <w:r w:rsidR="003E6635" w:rsidRPr="09F23372">
        <w:rPr>
          <w:rFonts w:ascii="Times New Roman" w:eastAsia="Calibri" w:hAnsi="Times New Roman" w:cs="Times New Roman"/>
          <w:sz w:val="24"/>
          <w:szCs w:val="24"/>
        </w:rPr>
        <w:t>môže byť na základe dohľadu NBS uložená pokuta</w:t>
      </w:r>
      <w:r w:rsidR="6A2F3954" w:rsidRPr="09F23372">
        <w:rPr>
          <w:rFonts w:ascii="Times New Roman" w:eastAsia="Calibri" w:hAnsi="Times New Roman" w:cs="Times New Roman"/>
          <w:sz w:val="24"/>
          <w:szCs w:val="24"/>
        </w:rPr>
        <w:t xml:space="preserve"> alebo iná sankcia</w:t>
      </w:r>
      <w:r w:rsidR="003E6635" w:rsidRPr="09F23372">
        <w:rPr>
          <w:rFonts w:ascii="Times New Roman" w:eastAsia="Calibri" w:hAnsi="Times New Roman" w:cs="Times New Roman"/>
          <w:sz w:val="24"/>
          <w:szCs w:val="24"/>
        </w:rPr>
        <w:t xml:space="preserve">. V prípade funkcie na odstúpenie od zmluvy </w:t>
      </w:r>
      <w:r w:rsidR="005B5FEA" w:rsidRPr="09F23372">
        <w:rPr>
          <w:rFonts w:ascii="Times New Roman" w:eastAsia="Calibri" w:hAnsi="Times New Roman" w:cs="Times New Roman"/>
          <w:sz w:val="24"/>
          <w:szCs w:val="24"/>
        </w:rPr>
        <w:t xml:space="preserve">a zmeny formulára </w:t>
      </w:r>
      <w:r w:rsidR="003E6635" w:rsidRPr="09F23372">
        <w:rPr>
          <w:rFonts w:ascii="Times New Roman" w:eastAsia="Calibri" w:hAnsi="Times New Roman" w:cs="Times New Roman"/>
          <w:sz w:val="24"/>
          <w:szCs w:val="24"/>
        </w:rPr>
        <w:t>môže byť porušenie regulácie sankcionované zo strán viacerých subjektov dohľadu, podľa toho v akej oblasti a u akého obchodníka porušenie nastane.</w:t>
      </w:r>
    </w:p>
    <w:p w14:paraId="0F543A6A" w14:textId="67E8097C" w:rsidR="004E3CFF" w:rsidRDefault="004E3CFF" w:rsidP="00121BD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Predmetná regulácia v rámci návrhu zákona je zameraná hlavne na zvýšenie ochrany spotrebiteľa, ale predpokladá aj istý pozitívny vplyv na podnikateľské prostredie, ktorý však nie je možné vyčísliť, nakoľko ide o veľmi abstraktný vplyv, ktorého účinky nie je možné dopredu definovať. Pozitívne môže byť umožnenie digitalizácie procesov vo vyššej miere, ako </w:t>
      </w:r>
      <w:r>
        <w:rPr>
          <w:rFonts w:ascii="Times New Roman" w:eastAsia="Calibri" w:hAnsi="Times New Roman" w:cs="Times New Roman"/>
          <w:sz w:val="24"/>
          <w:szCs w:val="24"/>
        </w:rPr>
        <w:lastRenderedPageBreak/>
        <w:t>aj zvýšenie právnej istoty v danej oblasti, definovaním jasných a aktuálnych požiadaviek v digitálnej oblasti pri poskytovaní finančných služieb na diaľku.</w:t>
      </w:r>
    </w:p>
    <w:p w14:paraId="6C89E613" w14:textId="68330665" w:rsidR="00BE0B5B" w:rsidRDefault="00BE0B5B" w:rsidP="00F15EE3">
      <w:pPr>
        <w:spacing w:after="0" w:line="240" w:lineRule="auto"/>
        <w:rPr>
          <w:rFonts w:ascii="Times New Roman" w:eastAsia="Times New Roman" w:hAnsi="Times New Roman" w:cs="Times New Roman"/>
          <w:b/>
          <w:sz w:val="28"/>
          <w:szCs w:val="28"/>
          <w:lang w:eastAsia="sk-SK"/>
        </w:rPr>
      </w:pPr>
    </w:p>
    <w:sectPr w:rsidR="00BE0B5B"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1750" w14:textId="77777777" w:rsidR="004F53A8" w:rsidRDefault="004F53A8" w:rsidP="00054C41">
      <w:pPr>
        <w:spacing w:after="0" w:line="240" w:lineRule="auto"/>
      </w:pPr>
      <w:r>
        <w:separator/>
      </w:r>
    </w:p>
  </w:endnote>
  <w:endnote w:type="continuationSeparator" w:id="0">
    <w:p w14:paraId="011CD717" w14:textId="77777777" w:rsidR="004F53A8" w:rsidRDefault="004F53A8"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Segoe UI Symbol">
    <w:altName w:val="Century Gothic"/>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39254747" w:rsidR="00A755A1" w:rsidRPr="006045CB" w:rsidRDefault="00A755A1"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F5824">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4556761F" w14:textId="77777777" w:rsidR="00A755A1" w:rsidRPr="00FF7125" w:rsidRDefault="00A755A1" w:rsidP="00054C41">
    <w:pPr>
      <w:pStyle w:val="Pta"/>
      <w:rPr>
        <w:sz w:val="24"/>
        <w:szCs w:val="24"/>
      </w:rPr>
    </w:pPr>
  </w:p>
  <w:p w14:paraId="20FE6A4A" w14:textId="77777777" w:rsidR="00A755A1" w:rsidRDefault="00A755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C196A" w14:textId="77777777" w:rsidR="004F53A8" w:rsidRDefault="004F53A8" w:rsidP="00054C41">
      <w:pPr>
        <w:spacing w:after="0" w:line="240" w:lineRule="auto"/>
      </w:pPr>
      <w:r>
        <w:separator/>
      </w:r>
    </w:p>
  </w:footnote>
  <w:footnote w:type="continuationSeparator" w:id="0">
    <w:p w14:paraId="44659577" w14:textId="77777777" w:rsidR="004F53A8" w:rsidRDefault="004F53A8" w:rsidP="00054C41">
      <w:pPr>
        <w:spacing w:after="0" w:line="240" w:lineRule="auto"/>
      </w:pPr>
      <w:r>
        <w:continuationSeparator/>
      </w:r>
    </w:p>
  </w:footnote>
  <w:footnote w:id="1">
    <w:p w14:paraId="6CC680CB" w14:textId="6BF8CDC6" w:rsidR="00A755A1" w:rsidRPr="000A6B7F" w:rsidRDefault="00A755A1"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A755A1" w:rsidRPr="00804BC8" w:rsidRDefault="00A755A1"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A755A1" w:rsidRDefault="00A755A1"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8E6B" w14:textId="77777777" w:rsidR="00A755A1" w:rsidRPr="006045CB" w:rsidRDefault="00A755A1"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A755A1" w:rsidRPr="006045CB" w:rsidRDefault="00A755A1"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2F62655"/>
    <w:multiLevelType w:val="hybridMultilevel"/>
    <w:tmpl w:val="046E2D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9655D9C"/>
    <w:multiLevelType w:val="hybridMultilevel"/>
    <w:tmpl w:val="A7EA2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298681C"/>
    <w:multiLevelType w:val="hybridMultilevel"/>
    <w:tmpl w:val="043829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907CF5"/>
    <w:multiLevelType w:val="hybridMultilevel"/>
    <w:tmpl w:val="B1126AEE"/>
    <w:lvl w:ilvl="0" w:tplc="8E2CDA3C">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E52040B"/>
    <w:multiLevelType w:val="hybridMultilevel"/>
    <w:tmpl w:val="05DC0FA6"/>
    <w:lvl w:ilvl="0" w:tplc="A6DEFB26">
      <w:start w:val="1"/>
      <w:numFmt w:val="decimal"/>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499611038">
    <w:abstractNumId w:val="2"/>
  </w:num>
  <w:num w:numId="2" w16cid:durableId="1043288705">
    <w:abstractNumId w:val="14"/>
  </w:num>
  <w:num w:numId="3" w16cid:durableId="1523738039">
    <w:abstractNumId w:val="15"/>
  </w:num>
  <w:num w:numId="4" w16cid:durableId="1946306346">
    <w:abstractNumId w:val="13"/>
  </w:num>
  <w:num w:numId="5" w16cid:durableId="451746424">
    <w:abstractNumId w:val="9"/>
  </w:num>
  <w:num w:numId="6" w16cid:durableId="1547063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120747">
    <w:abstractNumId w:val="15"/>
  </w:num>
  <w:num w:numId="8" w16cid:durableId="1000811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793808">
    <w:abstractNumId w:val="11"/>
  </w:num>
  <w:num w:numId="10" w16cid:durableId="888538936">
    <w:abstractNumId w:val="5"/>
  </w:num>
  <w:num w:numId="11" w16cid:durableId="198788936">
    <w:abstractNumId w:val="6"/>
  </w:num>
  <w:num w:numId="12" w16cid:durableId="989870023">
    <w:abstractNumId w:val="0"/>
  </w:num>
  <w:num w:numId="13" w16cid:durableId="354890402">
    <w:abstractNumId w:val="16"/>
  </w:num>
  <w:num w:numId="14" w16cid:durableId="558327970">
    <w:abstractNumId w:val="8"/>
  </w:num>
  <w:num w:numId="15" w16cid:durableId="538788436">
    <w:abstractNumId w:val="7"/>
  </w:num>
  <w:num w:numId="16" w16cid:durableId="1418406362">
    <w:abstractNumId w:val="4"/>
  </w:num>
  <w:num w:numId="17" w16cid:durableId="1404445391">
    <w:abstractNumId w:val="1"/>
  </w:num>
  <w:num w:numId="18" w16cid:durableId="1769890509">
    <w:abstractNumId w:val="12"/>
  </w:num>
  <w:num w:numId="19" w16cid:durableId="452411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41"/>
    <w:rsid w:val="0002425A"/>
    <w:rsid w:val="00024EE4"/>
    <w:rsid w:val="00047C70"/>
    <w:rsid w:val="00050AAB"/>
    <w:rsid w:val="00054A53"/>
    <w:rsid w:val="00054C41"/>
    <w:rsid w:val="00060DA1"/>
    <w:rsid w:val="00061E85"/>
    <w:rsid w:val="000820E0"/>
    <w:rsid w:val="000875AD"/>
    <w:rsid w:val="00091A43"/>
    <w:rsid w:val="0009490E"/>
    <w:rsid w:val="000A3194"/>
    <w:rsid w:val="000A6B7F"/>
    <w:rsid w:val="000C5419"/>
    <w:rsid w:val="000C5E9A"/>
    <w:rsid w:val="000D15F0"/>
    <w:rsid w:val="000D68B6"/>
    <w:rsid w:val="000D7F86"/>
    <w:rsid w:val="000E74C6"/>
    <w:rsid w:val="000F5824"/>
    <w:rsid w:val="00100CE6"/>
    <w:rsid w:val="0011003B"/>
    <w:rsid w:val="001133DA"/>
    <w:rsid w:val="0011460F"/>
    <w:rsid w:val="00115267"/>
    <w:rsid w:val="0011588C"/>
    <w:rsid w:val="00121BD4"/>
    <w:rsid w:val="00126A2B"/>
    <w:rsid w:val="0012789B"/>
    <w:rsid w:val="00141E62"/>
    <w:rsid w:val="00142154"/>
    <w:rsid w:val="001476A4"/>
    <w:rsid w:val="00160CD9"/>
    <w:rsid w:val="00162C6C"/>
    <w:rsid w:val="0016512E"/>
    <w:rsid w:val="0018715C"/>
    <w:rsid w:val="001A1561"/>
    <w:rsid w:val="001B4C03"/>
    <w:rsid w:val="001C7B91"/>
    <w:rsid w:val="001D1083"/>
    <w:rsid w:val="001D3FA0"/>
    <w:rsid w:val="001E24E8"/>
    <w:rsid w:val="001E53CB"/>
    <w:rsid w:val="001F4966"/>
    <w:rsid w:val="0020776E"/>
    <w:rsid w:val="00207F43"/>
    <w:rsid w:val="002232D3"/>
    <w:rsid w:val="00225A83"/>
    <w:rsid w:val="00231B8F"/>
    <w:rsid w:val="00270EA5"/>
    <w:rsid w:val="002712B9"/>
    <w:rsid w:val="00284B8C"/>
    <w:rsid w:val="002936A5"/>
    <w:rsid w:val="0029483F"/>
    <w:rsid w:val="002C2FC0"/>
    <w:rsid w:val="002E6766"/>
    <w:rsid w:val="00302A17"/>
    <w:rsid w:val="00314D25"/>
    <w:rsid w:val="00315BE2"/>
    <w:rsid w:val="003322EE"/>
    <w:rsid w:val="00337630"/>
    <w:rsid w:val="00340CFD"/>
    <w:rsid w:val="003413D5"/>
    <w:rsid w:val="00342621"/>
    <w:rsid w:val="003558EA"/>
    <w:rsid w:val="00357F22"/>
    <w:rsid w:val="0036748D"/>
    <w:rsid w:val="00376039"/>
    <w:rsid w:val="003817D2"/>
    <w:rsid w:val="0038255E"/>
    <w:rsid w:val="00383DC2"/>
    <w:rsid w:val="00391648"/>
    <w:rsid w:val="0039304E"/>
    <w:rsid w:val="0039334E"/>
    <w:rsid w:val="003938FF"/>
    <w:rsid w:val="00394AD2"/>
    <w:rsid w:val="003A02AF"/>
    <w:rsid w:val="003A3124"/>
    <w:rsid w:val="003A686F"/>
    <w:rsid w:val="003D0048"/>
    <w:rsid w:val="003E58B8"/>
    <w:rsid w:val="003E6635"/>
    <w:rsid w:val="003F06D7"/>
    <w:rsid w:val="00400224"/>
    <w:rsid w:val="00400BA5"/>
    <w:rsid w:val="00410E62"/>
    <w:rsid w:val="00414FA7"/>
    <w:rsid w:val="00420090"/>
    <w:rsid w:val="004239D1"/>
    <w:rsid w:val="00445638"/>
    <w:rsid w:val="00446432"/>
    <w:rsid w:val="00446512"/>
    <w:rsid w:val="00466D7A"/>
    <w:rsid w:val="0048237B"/>
    <w:rsid w:val="00484D16"/>
    <w:rsid w:val="00491853"/>
    <w:rsid w:val="004941E5"/>
    <w:rsid w:val="004A14CD"/>
    <w:rsid w:val="004A2C6B"/>
    <w:rsid w:val="004C1BFE"/>
    <w:rsid w:val="004C772A"/>
    <w:rsid w:val="004D20CB"/>
    <w:rsid w:val="004D65B2"/>
    <w:rsid w:val="004D681D"/>
    <w:rsid w:val="004E2324"/>
    <w:rsid w:val="004E3CFF"/>
    <w:rsid w:val="004E4C87"/>
    <w:rsid w:val="004F53A8"/>
    <w:rsid w:val="004F548E"/>
    <w:rsid w:val="004F63E6"/>
    <w:rsid w:val="005103DA"/>
    <w:rsid w:val="0051156F"/>
    <w:rsid w:val="00511F8F"/>
    <w:rsid w:val="00512BA7"/>
    <w:rsid w:val="00515726"/>
    <w:rsid w:val="00521316"/>
    <w:rsid w:val="005259E7"/>
    <w:rsid w:val="00541675"/>
    <w:rsid w:val="00550874"/>
    <w:rsid w:val="00562527"/>
    <w:rsid w:val="00562A1E"/>
    <w:rsid w:val="00563427"/>
    <w:rsid w:val="00581EB9"/>
    <w:rsid w:val="005B4E6E"/>
    <w:rsid w:val="005B56E4"/>
    <w:rsid w:val="005B5FEA"/>
    <w:rsid w:val="005C795C"/>
    <w:rsid w:val="005D0E50"/>
    <w:rsid w:val="005D1210"/>
    <w:rsid w:val="005D39D8"/>
    <w:rsid w:val="005D40F5"/>
    <w:rsid w:val="0061097B"/>
    <w:rsid w:val="0061612F"/>
    <w:rsid w:val="006177C8"/>
    <w:rsid w:val="0062600A"/>
    <w:rsid w:val="00626769"/>
    <w:rsid w:val="006370FC"/>
    <w:rsid w:val="0063777D"/>
    <w:rsid w:val="00643358"/>
    <w:rsid w:val="00646084"/>
    <w:rsid w:val="006564C3"/>
    <w:rsid w:val="00656789"/>
    <w:rsid w:val="006578CB"/>
    <w:rsid w:val="00673F1C"/>
    <w:rsid w:val="00677B6D"/>
    <w:rsid w:val="006A4E85"/>
    <w:rsid w:val="006A60C0"/>
    <w:rsid w:val="006A712F"/>
    <w:rsid w:val="006A7B8B"/>
    <w:rsid w:val="006B5D74"/>
    <w:rsid w:val="006C1E16"/>
    <w:rsid w:val="006C25BE"/>
    <w:rsid w:val="006C3B39"/>
    <w:rsid w:val="006D7AD8"/>
    <w:rsid w:val="006E0FAF"/>
    <w:rsid w:val="006F1D57"/>
    <w:rsid w:val="006F4915"/>
    <w:rsid w:val="007030F1"/>
    <w:rsid w:val="0070364C"/>
    <w:rsid w:val="00710EDF"/>
    <w:rsid w:val="0072221D"/>
    <w:rsid w:val="0072357C"/>
    <w:rsid w:val="007259CB"/>
    <w:rsid w:val="00726031"/>
    <w:rsid w:val="00730EC9"/>
    <w:rsid w:val="00735821"/>
    <w:rsid w:val="00751DA9"/>
    <w:rsid w:val="00755E69"/>
    <w:rsid w:val="00756C88"/>
    <w:rsid w:val="007648EE"/>
    <w:rsid w:val="00764E20"/>
    <w:rsid w:val="00767B33"/>
    <w:rsid w:val="0077106D"/>
    <w:rsid w:val="00780ACC"/>
    <w:rsid w:val="00787A11"/>
    <w:rsid w:val="00797B40"/>
    <w:rsid w:val="007A0C9D"/>
    <w:rsid w:val="007B40FB"/>
    <w:rsid w:val="007B62AF"/>
    <w:rsid w:val="007D0B4B"/>
    <w:rsid w:val="007D2A1D"/>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ACCCB"/>
    <w:rsid w:val="008B4AA1"/>
    <w:rsid w:val="008C1C71"/>
    <w:rsid w:val="008E1AD0"/>
    <w:rsid w:val="008E315F"/>
    <w:rsid w:val="008E6B82"/>
    <w:rsid w:val="008F6ADE"/>
    <w:rsid w:val="009036EA"/>
    <w:rsid w:val="0091269B"/>
    <w:rsid w:val="00923C0C"/>
    <w:rsid w:val="0095170D"/>
    <w:rsid w:val="00952CF6"/>
    <w:rsid w:val="00960413"/>
    <w:rsid w:val="009621EF"/>
    <w:rsid w:val="009639C4"/>
    <w:rsid w:val="00981995"/>
    <w:rsid w:val="00981C7F"/>
    <w:rsid w:val="00985515"/>
    <w:rsid w:val="00990813"/>
    <w:rsid w:val="0099544D"/>
    <w:rsid w:val="00997513"/>
    <w:rsid w:val="009A0E2C"/>
    <w:rsid w:val="009A4D56"/>
    <w:rsid w:val="009B1F04"/>
    <w:rsid w:val="009E09F7"/>
    <w:rsid w:val="009E2D5C"/>
    <w:rsid w:val="009E3E44"/>
    <w:rsid w:val="009F4175"/>
    <w:rsid w:val="009F66A4"/>
    <w:rsid w:val="009F6C80"/>
    <w:rsid w:val="00A000DA"/>
    <w:rsid w:val="00A1736E"/>
    <w:rsid w:val="00A216DF"/>
    <w:rsid w:val="00A226FD"/>
    <w:rsid w:val="00A33F2C"/>
    <w:rsid w:val="00A50EE3"/>
    <w:rsid w:val="00A57A0D"/>
    <w:rsid w:val="00A70361"/>
    <w:rsid w:val="00A755A1"/>
    <w:rsid w:val="00A75F80"/>
    <w:rsid w:val="00A83E11"/>
    <w:rsid w:val="00A84D6C"/>
    <w:rsid w:val="00A94A0F"/>
    <w:rsid w:val="00AA3C6D"/>
    <w:rsid w:val="00AB57C4"/>
    <w:rsid w:val="00AE0D64"/>
    <w:rsid w:val="00B11CF5"/>
    <w:rsid w:val="00B209FA"/>
    <w:rsid w:val="00B21D1F"/>
    <w:rsid w:val="00B3385B"/>
    <w:rsid w:val="00B410BA"/>
    <w:rsid w:val="00B43D68"/>
    <w:rsid w:val="00B44A3A"/>
    <w:rsid w:val="00B552EA"/>
    <w:rsid w:val="00B5600C"/>
    <w:rsid w:val="00B66E33"/>
    <w:rsid w:val="00B72FB1"/>
    <w:rsid w:val="00B932B2"/>
    <w:rsid w:val="00B953DA"/>
    <w:rsid w:val="00B96FC1"/>
    <w:rsid w:val="00BA19B0"/>
    <w:rsid w:val="00BB3870"/>
    <w:rsid w:val="00BB45A7"/>
    <w:rsid w:val="00BB5B3F"/>
    <w:rsid w:val="00BD0EF7"/>
    <w:rsid w:val="00BD6778"/>
    <w:rsid w:val="00BE0B5B"/>
    <w:rsid w:val="00C01599"/>
    <w:rsid w:val="00C048D1"/>
    <w:rsid w:val="00C05563"/>
    <w:rsid w:val="00C06F77"/>
    <w:rsid w:val="00C11132"/>
    <w:rsid w:val="00C115B9"/>
    <w:rsid w:val="00C12FDD"/>
    <w:rsid w:val="00C145AA"/>
    <w:rsid w:val="00C14655"/>
    <w:rsid w:val="00C21399"/>
    <w:rsid w:val="00C446E2"/>
    <w:rsid w:val="00C535F5"/>
    <w:rsid w:val="00C560C4"/>
    <w:rsid w:val="00C61A3F"/>
    <w:rsid w:val="00C6748F"/>
    <w:rsid w:val="00C741FF"/>
    <w:rsid w:val="00C74337"/>
    <w:rsid w:val="00C75DC8"/>
    <w:rsid w:val="00C929AE"/>
    <w:rsid w:val="00CA4344"/>
    <w:rsid w:val="00CA6348"/>
    <w:rsid w:val="00CB1232"/>
    <w:rsid w:val="00CB17A0"/>
    <w:rsid w:val="00CC1C37"/>
    <w:rsid w:val="00CC3B7D"/>
    <w:rsid w:val="00CD4076"/>
    <w:rsid w:val="00CD5AE4"/>
    <w:rsid w:val="00CD5E86"/>
    <w:rsid w:val="00CE3B21"/>
    <w:rsid w:val="00CF4D09"/>
    <w:rsid w:val="00D005F2"/>
    <w:rsid w:val="00D03A8E"/>
    <w:rsid w:val="00D114ED"/>
    <w:rsid w:val="00D24B1F"/>
    <w:rsid w:val="00D3032C"/>
    <w:rsid w:val="00D31A3B"/>
    <w:rsid w:val="00D5309D"/>
    <w:rsid w:val="00D631FA"/>
    <w:rsid w:val="00D71064"/>
    <w:rsid w:val="00D71C21"/>
    <w:rsid w:val="00D803F3"/>
    <w:rsid w:val="00D811BB"/>
    <w:rsid w:val="00D82356"/>
    <w:rsid w:val="00D84EEE"/>
    <w:rsid w:val="00D90A61"/>
    <w:rsid w:val="00D946EF"/>
    <w:rsid w:val="00D95553"/>
    <w:rsid w:val="00DB7650"/>
    <w:rsid w:val="00DC355F"/>
    <w:rsid w:val="00DD1664"/>
    <w:rsid w:val="00DD1E4C"/>
    <w:rsid w:val="00DD417C"/>
    <w:rsid w:val="00DE331A"/>
    <w:rsid w:val="00DE6ACB"/>
    <w:rsid w:val="00DF02CE"/>
    <w:rsid w:val="00DF1462"/>
    <w:rsid w:val="00E030DA"/>
    <w:rsid w:val="00E052C7"/>
    <w:rsid w:val="00E214C0"/>
    <w:rsid w:val="00E30BB9"/>
    <w:rsid w:val="00E30D85"/>
    <w:rsid w:val="00E444EB"/>
    <w:rsid w:val="00E77A69"/>
    <w:rsid w:val="00E81A42"/>
    <w:rsid w:val="00E961E8"/>
    <w:rsid w:val="00E96244"/>
    <w:rsid w:val="00E96DE0"/>
    <w:rsid w:val="00EA29C2"/>
    <w:rsid w:val="00EB2BEC"/>
    <w:rsid w:val="00EB74BF"/>
    <w:rsid w:val="00EC0704"/>
    <w:rsid w:val="00EC3EE3"/>
    <w:rsid w:val="00EC508B"/>
    <w:rsid w:val="00ED6B5D"/>
    <w:rsid w:val="00EE31C2"/>
    <w:rsid w:val="00EE4C99"/>
    <w:rsid w:val="00F153D7"/>
    <w:rsid w:val="00F1599C"/>
    <w:rsid w:val="00F15EE3"/>
    <w:rsid w:val="00F2433F"/>
    <w:rsid w:val="00F244DC"/>
    <w:rsid w:val="00F378F4"/>
    <w:rsid w:val="00F408FB"/>
    <w:rsid w:val="00F47912"/>
    <w:rsid w:val="00F541B6"/>
    <w:rsid w:val="00F57702"/>
    <w:rsid w:val="00F61361"/>
    <w:rsid w:val="00F613E8"/>
    <w:rsid w:val="00F74D3C"/>
    <w:rsid w:val="00F74FC9"/>
    <w:rsid w:val="00F91F47"/>
    <w:rsid w:val="00FA4F36"/>
    <w:rsid w:val="00FA6FFE"/>
    <w:rsid w:val="00FB3373"/>
    <w:rsid w:val="00FC121B"/>
    <w:rsid w:val="00FD3DFB"/>
    <w:rsid w:val="00FF0272"/>
    <w:rsid w:val="00FF414B"/>
    <w:rsid w:val="00FF4B7A"/>
    <w:rsid w:val="00FF6FF5"/>
    <w:rsid w:val="00FF7E81"/>
    <w:rsid w:val="0139A39B"/>
    <w:rsid w:val="021B4D0B"/>
    <w:rsid w:val="029EE1EB"/>
    <w:rsid w:val="096126EC"/>
    <w:rsid w:val="09F23372"/>
    <w:rsid w:val="0A948EC0"/>
    <w:rsid w:val="0C0C3D2B"/>
    <w:rsid w:val="0D2D9267"/>
    <w:rsid w:val="0EA21820"/>
    <w:rsid w:val="0F15442A"/>
    <w:rsid w:val="102CE2BA"/>
    <w:rsid w:val="103E66A1"/>
    <w:rsid w:val="10C55438"/>
    <w:rsid w:val="1176189B"/>
    <w:rsid w:val="1418A8C0"/>
    <w:rsid w:val="14D2833C"/>
    <w:rsid w:val="1713110A"/>
    <w:rsid w:val="181839D9"/>
    <w:rsid w:val="184766F3"/>
    <w:rsid w:val="19FE1159"/>
    <w:rsid w:val="1D1FA52E"/>
    <w:rsid w:val="1D607FF9"/>
    <w:rsid w:val="1D847BE3"/>
    <w:rsid w:val="1E56C1E3"/>
    <w:rsid w:val="223C4B88"/>
    <w:rsid w:val="2372076F"/>
    <w:rsid w:val="268EDE01"/>
    <w:rsid w:val="2B52F6AB"/>
    <w:rsid w:val="2C22558A"/>
    <w:rsid w:val="2E3103F4"/>
    <w:rsid w:val="2EF3CE30"/>
    <w:rsid w:val="2F087F69"/>
    <w:rsid w:val="2FA2BD41"/>
    <w:rsid w:val="31609828"/>
    <w:rsid w:val="32CAC8D8"/>
    <w:rsid w:val="339C7211"/>
    <w:rsid w:val="3607E80E"/>
    <w:rsid w:val="370BAC85"/>
    <w:rsid w:val="377A29BD"/>
    <w:rsid w:val="3851EFE8"/>
    <w:rsid w:val="3C1C53F0"/>
    <w:rsid w:val="3E0B52B4"/>
    <w:rsid w:val="3F8C4B74"/>
    <w:rsid w:val="4676C9E2"/>
    <w:rsid w:val="48724373"/>
    <w:rsid w:val="4DB42404"/>
    <w:rsid w:val="4E2B9766"/>
    <w:rsid w:val="4E69D645"/>
    <w:rsid w:val="4E7CC771"/>
    <w:rsid w:val="4EF66590"/>
    <w:rsid w:val="50844726"/>
    <w:rsid w:val="50B270C2"/>
    <w:rsid w:val="50F8A352"/>
    <w:rsid w:val="52473A8B"/>
    <w:rsid w:val="52A112AD"/>
    <w:rsid w:val="545E97C5"/>
    <w:rsid w:val="56D8415F"/>
    <w:rsid w:val="56EA0C04"/>
    <w:rsid w:val="5737BECD"/>
    <w:rsid w:val="59563C41"/>
    <w:rsid w:val="5A85FA4D"/>
    <w:rsid w:val="5C0CEE1B"/>
    <w:rsid w:val="5C1630EE"/>
    <w:rsid w:val="5E37BFFF"/>
    <w:rsid w:val="5E7DC840"/>
    <w:rsid w:val="6082ED91"/>
    <w:rsid w:val="60DC7BF0"/>
    <w:rsid w:val="61FCF6BB"/>
    <w:rsid w:val="639D4AB8"/>
    <w:rsid w:val="6645C4CB"/>
    <w:rsid w:val="6A2F3954"/>
    <w:rsid w:val="6AB9C880"/>
    <w:rsid w:val="6C2F506E"/>
    <w:rsid w:val="6D9C086D"/>
    <w:rsid w:val="6EF54813"/>
    <w:rsid w:val="6F07499A"/>
    <w:rsid w:val="716CFBA8"/>
    <w:rsid w:val="74EAB26F"/>
    <w:rsid w:val="76D4765B"/>
    <w:rsid w:val="773ECE76"/>
    <w:rsid w:val="7756FAAA"/>
    <w:rsid w:val="777AACAA"/>
    <w:rsid w:val="77B8C164"/>
    <w:rsid w:val="7820292D"/>
    <w:rsid w:val="78DD16C3"/>
    <w:rsid w:val="79671830"/>
    <w:rsid w:val="7A41D373"/>
    <w:rsid w:val="7AB4C76C"/>
    <w:rsid w:val="7C847AE5"/>
    <w:rsid w:val="7EFA95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4C41"/>
  </w:style>
  <w:style w:type="paragraph" w:styleId="Nadpis1">
    <w:name w:val="heading 1"/>
    <w:basedOn w:val="Normlny"/>
    <w:next w:val="Normlny"/>
    <w:link w:val="Nadpis1Char"/>
    <w:uiPriority w:val="9"/>
    <w:qFormat/>
    <w:rsid w:val="00141E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3938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paragraph" w:styleId="Bezriadkovania">
    <w:name w:val="No Spacing"/>
    <w:uiPriority w:val="1"/>
    <w:qFormat/>
    <w:rsid w:val="00121BD4"/>
    <w:pPr>
      <w:spacing w:after="0" w:line="240" w:lineRule="auto"/>
    </w:pPr>
  </w:style>
  <w:style w:type="character" w:customStyle="1" w:styleId="normaltextrun">
    <w:name w:val="normaltextrun"/>
    <w:basedOn w:val="Predvolenpsmoodseku"/>
    <w:rsid w:val="00121BD4"/>
  </w:style>
  <w:style w:type="character" w:customStyle="1" w:styleId="Nadpis1Char">
    <w:name w:val="Nadpis 1 Char"/>
    <w:basedOn w:val="Predvolenpsmoodseku"/>
    <w:link w:val="Nadpis1"/>
    <w:uiPriority w:val="9"/>
    <w:rsid w:val="00141E6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3938F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659">
      <w:bodyDiv w:val="1"/>
      <w:marLeft w:val="0"/>
      <w:marRight w:val="0"/>
      <w:marTop w:val="0"/>
      <w:marBottom w:val="0"/>
      <w:divBdr>
        <w:top w:val="none" w:sz="0" w:space="0" w:color="auto"/>
        <w:left w:val="none" w:sz="0" w:space="0" w:color="auto"/>
        <w:bottom w:val="none" w:sz="0" w:space="0" w:color="auto"/>
        <w:right w:val="none" w:sz="0" w:space="0" w:color="auto"/>
      </w:divBdr>
    </w:div>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68302334">
      <w:bodyDiv w:val="1"/>
      <w:marLeft w:val="0"/>
      <w:marRight w:val="0"/>
      <w:marTop w:val="0"/>
      <w:marBottom w:val="0"/>
      <w:divBdr>
        <w:top w:val="none" w:sz="0" w:space="0" w:color="auto"/>
        <w:left w:val="none" w:sz="0" w:space="0" w:color="auto"/>
        <w:bottom w:val="none" w:sz="0" w:space="0" w:color="auto"/>
        <w:right w:val="none" w:sz="0" w:space="0" w:color="auto"/>
      </w:divBdr>
    </w:div>
    <w:div w:id="197550198">
      <w:bodyDiv w:val="1"/>
      <w:marLeft w:val="0"/>
      <w:marRight w:val="0"/>
      <w:marTop w:val="0"/>
      <w:marBottom w:val="0"/>
      <w:divBdr>
        <w:top w:val="none" w:sz="0" w:space="0" w:color="auto"/>
        <w:left w:val="none" w:sz="0" w:space="0" w:color="auto"/>
        <w:bottom w:val="none" w:sz="0" w:space="0" w:color="auto"/>
        <w:right w:val="none" w:sz="0" w:space="0" w:color="auto"/>
      </w:divBdr>
    </w:div>
    <w:div w:id="266470059">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545291948">
      <w:bodyDiv w:val="1"/>
      <w:marLeft w:val="0"/>
      <w:marRight w:val="0"/>
      <w:marTop w:val="0"/>
      <w:marBottom w:val="0"/>
      <w:divBdr>
        <w:top w:val="none" w:sz="0" w:space="0" w:color="auto"/>
        <w:left w:val="none" w:sz="0" w:space="0" w:color="auto"/>
        <w:bottom w:val="none" w:sz="0" w:space="0" w:color="auto"/>
        <w:right w:val="none" w:sz="0" w:space="0" w:color="auto"/>
      </w:divBdr>
    </w:div>
    <w:div w:id="613833323">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632713291">
      <w:bodyDiv w:val="1"/>
      <w:marLeft w:val="0"/>
      <w:marRight w:val="0"/>
      <w:marTop w:val="0"/>
      <w:marBottom w:val="0"/>
      <w:divBdr>
        <w:top w:val="none" w:sz="0" w:space="0" w:color="auto"/>
        <w:left w:val="none" w:sz="0" w:space="0" w:color="auto"/>
        <w:bottom w:val="none" w:sz="0" w:space="0" w:color="auto"/>
        <w:right w:val="none" w:sz="0" w:space="0" w:color="auto"/>
      </w:divBdr>
    </w:div>
    <w:div w:id="695732572">
      <w:bodyDiv w:val="1"/>
      <w:marLeft w:val="0"/>
      <w:marRight w:val="0"/>
      <w:marTop w:val="0"/>
      <w:marBottom w:val="0"/>
      <w:divBdr>
        <w:top w:val="none" w:sz="0" w:space="0" w:color="auto"/>
        <w:left w:val="none" w:sz="0" w:space="0" w:color="auto"/>
        <w:bottom w:val="none" w:sz="0" w:space="0" w:color="auto"/>
        <w:right w:val="none" w:sz="0" w:space="0" w:color="auto"/>
      </w:divBdr>
    </w:div>
    <w:div w:id="704478732">
      <w:bodyDiv w:val="1"/>
      <w:marLeft w:val="0"/>
      <w:marRight w:val="0"/>
      <w:marTop w:val="0"/>
      <w:marBottom w:val="0"/>
      <w:divBdr>
        <w:top w:val="none" w:sz="0" w:space="0" w:color="auto"/>
        <w:left w:val="none" w:sz="0" w:space="0" w:color="auto"/>
        <w:bottom w:val="none" w:sz="0" w:space="0" w:color="auto"/>
        <w:right w:val="none" w:sz="0" w:space="0" w:color="auto"/>
      </w:divBdr>
    </w:div>
    <w:div w:id="72852934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12522420">
      <w:bodyDiv w:val="1"/>
      <w:marLeft w:val="0"/>
      <w:marRight w:val="0"/>
      <w:marTop w:val="0"/>
      <w:marBottom w:val="0"/>
      <w:divBdr>
        <w:top w:val="none" w:sz="0" w:space="0" w:color="auto"/>
        <w:left w:val="none" w:sz="0" w:space="0" w:color="auto"/>
        <w:bottom w:val="none" w:sz="0" w:space="0" w:color="auto"/>
        <w:right w:val="none" w:sz="0" w:space="0" w:color="auto"/>
      </w:divBdr>
    </w:div>
    <w:div w:id="821123948">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156914093">
      <w:bodyDiv w:val="1"/>
      <w:marLeft w:val="0"/>
      <w:marRight w:val="0"/>
      <w:marTop w:val="0"/>
      <w:marBottom w:val="0"/>
      <w:divBdr>
        <w:top w:val="none" w:sz="0" w:space="0" w:color="auto"/>
        <w:left w:val="none" w:sz="0" w:space="0" w:color="auto"/>
        <w:bottom w:val="none" w:sz="0" w:space="0" w:color="auto"/>
        <w:right w:val="none" w:sz="0" w:space="0" w:color="auto"/>
      </w:divBdr>
    </w:div>
    <w:div w:id="1260872240">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352560942">
      <w:bodyDiv w:val="1"/>
      <w:marLeft w:val="0"/>
      <w:marRight w:val="0"/>
      <w:marTop w:val="0"/>
      <w:marBottom w:val="0"/>
      <w:divBdr>
        <w:top w:val="none" w:sz="0" w:space="0" w:color="auto"/>
        <w:left w:val="none" w:sz="0" w:space="0" w:color="auto"/>
        <w:bottom w:val="none" w:sz="0" w:space="0" w:color="auto"/>
        <w:right w:val="none" w:sz="0" w:space="0" w:color="auto"/>
      </w:divBdr>
    </w:div>
    <w:div w:id="1443065207">
      <w:bodyDiv w:val="1"/>
      <w:marLeft w:val="0"/>
      <w:marRight w:val="0"/>
      <w:marTop w:val="0"/>
      <w:marBottom w:val="0"/>
      <w:divBdr>
        <w:top w:val="none" w:sz="0" w:space="0" w:color="auto"/>
        <w:left w:val="none" w:sz="0" w:space="0" w:color="auto"/>
        <w:bottom w:val="none" w:sz="0" w:space="0" w:color="auto"/>
        <w:right w:val="none" w:sz="0" w:space="0" w:color="auto"/>
      </w:divBdr>
    </w:div>
    <w:div w:id="1453329395">
      <w:bodyDiv w:val="1"/>
      <w:marLeft w:val="0"/>
      <w:marRight w:val="0"/>
      <w:marTop w:val="0"/>
      <w:marBottom w:val="0"/>
      <w:divBdr>
        <w:top w:val="none" w:sz="0" w:space="0" w:color="auto"/>
        <w:left w:val="none" w:sz="0" w:space="0" w:color="auto"/>
        <w:bottom w:val="none" w:sz="0" w:space="0" w:color="auto"/>
        <w:right w:val="none" w:sz="0" w:space="0" w:color="auto"/>
      </w:divBdr>
    </w:div>
    <w:div w:id="1615863281">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B7E318B-E65D-4A0E-BD3C-04BF3A8D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4976</Words>
  <Characters>28364</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natalia.sihelnikova@mfsr.sk</dc:creator>
  <cp:lastModifiedBy>Sihelnikova Natalia</cp:lastModifiedBy>
  <cp:revision>50</cp:revision>
  <dcterms:created xsi:type="dcterms:W3CDTF">2023-09-13T07:31:00Z</dcterms:created>
  <dcterms:modified xsi:type="dcterms:W3CDTF">2024-09-26T12:40:00Z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